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53996" w14:textId="77777777" w:rsidR="00F57736" w:rsidRPr="003016DF" w:rsidRDefault="00E86372" w:rsidP="00F57736">
      <w:r>
        <w:rPr>
          <w:rFonts w:eastAsiaTheme="minorHAnsi"/>
          <w:noProof/>
          <w:szCs w:val="24"/>
          <w:lang w:eastAsia="en-GB"/>
        </w:rPr>
        <mc:AlternateContent>
          <mc:Choice Requires="wps">
            <w:drawing>
              <wp:anchor distT="91440" distB="91440" distL="114300" distR="114300" simplePos="0" relativeHeight="251659264" behindDoc="0" locked="0" layoutInCell="0" allowOverlap="1" wp14:anchorId="68353A5A" wp14:editId="68353A5B">
                <wp:simplePos x="0" y="0"/>
                <wp:positionH relativeFrom="margin">
                  <wp:posOffset>3047365</wp:posOffset>
                </wp:positionH>
                <wp:positionV relativeFrom="margin">
                  <wp:posOffset>419100</wp:posOffset>
                </wp:positionV>
                <wp:extent cx="2409825" cy="1341120"/>
                <wp:effectExtent l="0" t="0" r="28575" b="11430"/>
                <wp:wrapSquare wrapText="bothSides"/>
                <wp:docPr id="698" name="Rectangle 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09825" cy="1341120"/>
                        </a:xfrm>
                        <a:prstGeom prst="rect">
                          <a:avLst/>
                        </a:prstGeom>
                        <a:noFill/>
                        <a:ln w="9525">
                          <a:solidFill>
                            <a:schemeClr val="tx1">
                              <a:lumMod val="50000"/>
                              <a:lumOff val="50000"/>
                            </a:schemeClr>
                          </a:solidFill>
                          <a:miter lim="800000"/>
                          <a:headEnd/>
                          <a:tailEnd/>
                        </a:ln>
                        <a:effectLst/>
                      </wps:spPr>
                      <wps:txbx>
                        <w:txbxContent>
                          <w:p w14:paraId="68353A6D" w14:textId="7E04F780" w:rsidR="00E86372" w:rsidRDefault="001C61F7" w:rsidP="00E86372">
                            <w:pPr>
                              <w:rPr>
                                <w:color w:val="4F81BD" w:themeColor="accent1"/>
                              </w:rPr>
                            </w:pPr>
                            <w:r>
                              <w:rPr>
                                <w:noProof/>
                                <w:snapToGrid/>
                                <w:color w:val="4F81BD" w:themeColor="accent1"/>
                                <w:lang w:eastAsia="en-GB"/>
                              </w:rPr>
                              <w:drawing>
                                <wp:inline distT="0" distB="0" distL="0" distR="0" wp14:anchorId="1F97DADE" wp14:editId="5DC743CB">
                                  <wp:extent cx="1852295" cy="7607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2295" cy="760730"/>
                                          </a:xfrm>
                                          <a:prstGeom prst="rect">
                                            <a:avLst/>
                                          </a:prstGeom>
                                          <a:noFill/>
                                          <a:ln>
                                            <a:noFill/>
                                          </a:ln>
                                        </pic:spPr>
                                      </pic:pic>
                                    </a:graphicData>
                                  </a:graphic>
                                </wp:inline>
                              </w:drawing>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698" o:spid="_x0000_s1026" style="position:absolute;margin-left:239.95pt;margin-top:33pt;width:189.75pt;height:105.6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" o:allowincell="f" filled="f" strokecolor="gray [1629]">
                <v:textbox inset="21.6pt,21.6pt,21.6pt,21.6pt">
                  <w:txbxContent>
                    <w:p w14:paraId="68353A6D" w14:textId="7E04F780" w:rsidR="00E86372" w:rsidRDefault="001C61F7" w:rsidP="00E86372">
                      <w:pPr>
                        <w:rPr>
                          <w:color w:val="4F81BD" w:themeColor="accent1"/>
                        </w:rPr>
                      </w:pPr>
                      <w:r>
                        <w:rPr>
                          <w:noProof/>
                          <w:snapToGrid/>
                          <w:color w:val="4F81BD" w:themeColor="accent1"/>
                          <w:lang w:eastAsia="en-GB"/>
                        </w:rPr>
                        <w:drawing>
                          <wp:inline distT="0" distB="0" distL="0" distR="0" wp14:anchorId="1F97DADE" wp14:editId="5DC743CB">
                            <wp:extent cx="1852295" cy="7607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2295" cy="760730"/>
                                    </a:xfrm>
                                    <a:prstGeom prst="rect">
                                      <a:avLst/>
                                    </a:prstGeom>
                                    <a:noFill/>
                                    <a:ln>
                                      <a:noFill/>
                                    </a:ln>
                                  </pic:spPr>
                                </pic:pic>
                              </a:graphicData>
                            </a:graphic>
                          </wp:inline>
                        </w:drawing>
                      </w:r>
                    </w:p>
                  </w:txbxContent>
                </v:textbox>
                <w10:wrap type="square" anchorx="margin" anchory="margin"/>
              </v:rect>
            </w:pict>
          </mc:Fallback>
        </mc:AlternateContent>
      </w:r>
    </w:p>
    <w:p w14:paraId="68353997" w14:textId="77777777" w:rsidR="00F57736" w:rsidRPr="003016DF" w:rsidRDefault="00F57736" w:rsidP="00F57736"/>
    <w:p w14:paraId="68353998" w14:textId="77777777" w:rsidR="00F57736" w:rsidRPr="003016DF" w:rsidRDefault="00F57736" w:rsidP="00F57736"/>
    <w:p w14:paraId="68353999" w14:textId="77777777" w:rsidR="00F57736" w:rsidRPr="003016DF" w:rsidRDefault="00F57736" w:rsidP="00F57736"/>
    <w:p w14:paraId="6835399A" w14:textId="77777777" w:rsidR="00F57736" w:rsidRPr="003016DF" w:rsidRDefault="00F57736" w:rsidP="00F57736"/>
    <w:p w14:paraId="6835399B" w14:textId="77777777" w:rsidR="00F57736" w:rsidRPr="003016DF" w:rsidRDefault="00F57736" w:rsidP="00F57736"/>
    <w:p w14:paraId="6835399C" w14:textId="77777777" w:rsidR="00F57736" w:rsidRPr="003016DF" w:rsidRDefault="00F57736" w:rsidP="00F57736">
      <w:pPr>
        <w:jc w:val="center"/>
        <w:rPr>
          <w:b/>
          <w:sz w:val="28"/>
          <w:szCs w:val="28"/>
        </w:rPr>
      </w:pPr>
    </w:p>
    <w:p w14:paraId="6835399D" w14:textId="77777777" w:rsidR="00F57736" w:rsidRDefault="00F57736" w:rsidP="00F57736">
      <w:pPr>
        <w:spacing w:after="360"/>
        <w:jc w:val="center"/>
        <w:rPr>
          <w:b/>
          <w:sz w:val="32"/>
          <w:szCs w:val="32"/>
        </w:rPr>
      </w:pPr>
    </w:p>
    <w:p w14:paraId="6835399E" w14:textId="77777777" w:rsidR="00F57736" w:rsidRDefault="00F57736" w:rsidP="00F57736">
      <w:pPr>
        <w:spacing w:after="360"/>
        <w:jc w:val="center"/>
        <w:rPr>
          <w:b/>
          <w:sz w:val="32"/>
          <w:szCs w:val="32"/>
        </w:rPr>
      </w:pPr>
    </w:p>
    <w:p w14:paraId="6835399F" w14:textId="77777777" w:rsidR="00F57736" w:rsidRPr="00E86372" w:rsidRDefault="00F57736" w:rsidP="00F57736">
      <w:pPr>
        <w:spacing w:after="360"/>
        <w:jc w:val="center"/>
        <w:rPr>
          <w:b/>
          <w:sz w:val="24"/>
          <w:szCs w:val="24"/>
        </w:rPr>
      </w:pPr>
    </w:p>
    <w:p w14:paraId="683539A0" w14:textId="6CDC0AA4" w:rsidR="00F57736" w:rsidRPr="00933AC5" w:rsidRDefault="001C1F13" w:rsidP="00E86372">
      <w:pPr>
        <w:spacing w:after="360"/>
        <w:jc w:val="center"/>
        <w:rPr>
          <w:b/>
          <w:sz w:val="24"/>
          <w:szCs w:val="24"/>
        </w:rPr>
      </w:pPr>
      <w:r w:rsidRPr="00933AC5">
        <w:rPr>
          <w:b/>
          <w:sz w:val="24"/>
          <w:szCs w:val="24"/>
        </w:rPr>
        <w:t>Risk Management Option Analysis Conclusion Document</w:t>
      </w:r>
      <w:r w:rsidR="00F57736" w:rsidRPr="00933AC5">
        <w:rPr>
          <w:b/>
          <w:sz w:val="24"/>
          <w:szCs w:val="24"/>
        </w:rPr>
        <w:t xml:space="preserve"> </w:t>
      </w:r>
    </w:p>
    <w:p w14:paraId="683539A2" w14:textId="77777777" w:rsidR="00F57736" w:rsidRPr="00933AC5" w:rsidRDefault="00F57736" w:rsidP="00F57736">
      <w:pPr>
        <w:jc w:val="center"/>
        <w:rPr>
          <w:b/>
          <w:sz w:val="28"/>
          <w:szCs w:val="28"/>
        </w:rPr>
      </w:pPr>
    </w:p>
    <w:p w14:paraId="683539A3" w14:textId="77777777" w:rsidR="00E86372" w:rsidRPr="00933AC5" w:rsidRDefault="00E86372" w:rsidP="00E86372">
      <w:pPr>
        <w:pStyle w:val="BodyText"/>
        <w:rPr>
          <w:b/>
        </w:rPr>
      </w:pPr>
    </w:p>
    <w:p w14:paraId="792DCCC5" w14:textId="77777777" w:rsidR="00E306DD" w:rsidRPr="00937276" w:rsidRDefault="00E306DD" w:rsidP="00E306DD">
      <w:pPr>
        <w:pStyle w:val="BodyText"/>
      </w:pPr>
      <w:r>
        <w:rPr>
          <w:b/>
        </w:rPr>
        <w:t>Substance Name</w:t>
      </w:r>
      <w:r w:rsidRPr="003607CA">
        <w:rPr>
          <w:b/>
        </w:rPr>
        <w:t>:</w:t>
      </w:r>
      <w:r>
        <w:rPr>
          <w:b/>
        </w:rPr>
        <w:t xml:space="preserve"> p-</w:t>
      </w:r>
      <w:proofErr w:type="spellStart"/>
      <w:r>
        <w:rPr>
          <w:b/>
        </w:rPr>
        <w:t>phenylenediamine</w:t>
      </w:r>
      <w:proofErr w:type="spellEnd"/>
    </w:p>
    <w:p w14:paraId="6D159C99" w14:textId="77777777" w:rsidR="00E306DD" w:rsidRPr="00937276" w:rsidRDefault="00E306DD" w:rsidP="00E306DD">
      <w:pPr>
        <w:pStyle w:val="BodyText"/>
      </w:pPr>
      <w:r w:rsidRPr="003607CA">
        <w:rPr>
          <w:b/>
        </w:rPr>
        <w:t>EC Number:</w:t>
      </w:r>
      <w:r>
        <w:rPr>
          <w:b/>
        </w:rPr>
        <w:t xml:space="preserve"> 203-404-7</w:t>
      </w:r>
    </w:p>
    <w:p w14:paraId="71257D29" w14:textId="77777777" w:rsidR="00E306DD" w:rsidRPr="00937276" w:rsidRDefault="00E306DD" w:rsidP="00E306DD">
      <w:pPr>
        <w:pStyle w:val="BodyText"/>
        <w:rPr>
          <w:sz w:val="32"/>
        </w:rPr>
      </w:pPr>
      <w:r w:rsidRPr="003607CA">
        <w:rPr>
          <w:b/>
        </w:rPr>
        <w:t>CAS Number:</w:t>
      </w:r>
      <w:r>
        <w:rPr>
          <w:b/>
        </w:rPr>
        <w:t xml:space="preserve"> 106-50-3</w:t>
      </w:r>
    </w:p>
    <w:p w14:paraId="463F772B" w14:textId="77777777" w:rsidR="00E306DD" w:rsidRDefault="00E306DD" w:rsidP="00E306DD">
      <w:pPr>
        <w:pStyle w:val="BodyText"/>
        <w:rPr>
          <w:b/>
          <w:sz w:val="32"/>
        </w:rPr>
      </w:pPr>
    </w:p>
    <w:p w14:paraId="0BCB8E68" w14:textId="77777777" w:rsidR="00E306DD" w:rsidRDefault="00E306DD" w:rsidP="00E306DD">
      <w:pPr>
        <w:pStyle w:val="BodyText"/>
        <w:rPr>
          <w:b/>
          <w:sz w:val="32"/>
        </w:rPr>
      </w:pPr>
      <w:r w:rsidRPr="006119A2">
        <w:rPr>
          <w:b/>
        </w:rPr>
        <w:t>Authority:</w:t>
      </w:r>
      <w:r>
        <w:rPr>
          <w:b/>
        </w:rPr>
        <w:t xml:space="preserve"> RIVM</w:t>
      </w:r>
    </w:p>
    <w:p w14:paraId="683539AA" w14:textId="241815EF" w:rsidR="00A41F93" w:rsidRPr="00E306DD" w:rsidRDefault="00E306DD" w:rsidP="00E306DD">
      <w:pPr>
        <w:pStyle w:val="BodyText"/>
        <w:rPr>
          <w:b/>
        </w:rPr>
      </w:pPr>
      <w:r w:rsidRPr="003607CA">
        <w:rPr>
          <w:b/>
        </w:rPr>
        <w:t>Date:</w:t>
      </w:r>
      <w:r>
        <w:rPr>
          <w:b/>
        </w:rPr>
        <w:t xml:space="preserve"> December 2017</w:t>
      </w:r>
    </w:p>
    <w:p w14:paraId="683539AB" w14:textId="77777777" w:rsidR="00A41F93" w:rsidRDefault="00A41F93" w:rsidP="00A41F93">
      <w:pPr>
        <w:widowControl/>
        <w:spacing w:after="200" w:line="276" w:lineRule="auto"/>
        <w:rPr>
          <w:b/>
          <w:i/>
          <w:color w:val="FF0000"/>
        </w:rPr>
      </w:pPr>
    </w:p>
    <w:p w14:paraId="683539AC" w14:textId="77777777" w:rsidR="00A41F93" w:rsidRDefault="00A41F93" w:rsidP="00A41F93">
      <w:pPr>
        <w:widowControl/>
        <w:spacing w:after="200" w:line="276" w:lineRule="auto"/>
        <w:rPr>
          <w:b/>
          <w:i/>
          <w:color w:val="FF0000"/>
        </w:rPr>
      </w:pPr>
    </w:p>
    <w:p w14:paraId="683539AD" w14:textId="77777777" w:rsidR="00E86372" w:rsidRDefault="00E86372" w:rsidP="00A41F93">
      <w:pPr>
        <w:widowControl/>
        <w:spacing w:after="200" w:line="276" w:lineRule="auto"/>
        <w:rPr>
          <w:b/>
          <w:i/>
          <w:color w:val="FF0000"/>
        </w:rPr>
      </w:pPr>
    </w:p>
    <w:p w14:paraId="683539AE" w14:textId="77777777" w:rsidR="00E86372" w:rsidRDefault="00E86372" w:rsidP="00A41F93">
      <w:pPr>
        <w:widowControl/>
        <w:spacing w:after="200" w:line="276" w:lineRule="auto"/>
        <w:rPr>
          <w:b/>
          <w:i/>
          <w:color w:val="FF0000"/>
        </w:rPr>
      </w:pPr>
    </w:p>
    <w:p w14:paraId="683539AF" w14:textId="77777777" w:rsidR="00E86372" w:rsidRDefault="00E86372" w:rsidP="00A41F93">
      <w:pPr>
        <w:widowControl/>
        <w:spacing w:after="200" w:line="276" w:lineRule="auto"/>
        <w:rPr>
          <w:b/>
          <w:i/>
          <w:color w:val="FF0000"/>
        </w:rPr>
      </w:pPr>
    </w:p>
    <w:p w14:paraId="683539B0" w14:textId="77777777" w:rsidR="00E86372" w:rsidRDefault="00E86372" w:rsidP="00A41F93">
      <w:pPr>
        <w:widowControl/>
        <w:spacing w:after="200" w:line="276" w:lineRule="auto"/>
        <w:rPr>
          <w:b/>
          <w:i/>
          <w:color w:val="FF0000"/>
        </w:rPr>
      </w:pPr>
    </w:p>
    <w:p w14:paraId="683539B1" w14:textId="77777777" w:rsidR="002E4026" w:rsidRDefault="002E4026" w:rsidP="00471457">
      <w:pPr>
        <w:spacing w:after="120"/>
        <w:jc w:val="both"/>
        <w:rPr>
          <w:b/>
        </w:rPr>
        <w:sectPr w:rsidR="002E4026">
          <w:headerReference w:type="default" r:id="rId13"/>
          <w:footerReference w:type="default" r:id="rId14"/>
          <w:pgSz w:w="11906" w:h="16838"/>
          <w:pgMar w:top="1440" w:right="1440" w:bottom="1440" w:left="1440" w:header="708" w:footer="708" w:gutter="0"/>
          <w:cols w:space="708"/>
          <w:docGrid w:linePitch="360"/>
        </w:sectPr>
      </w:pPr>
    </w:p>
    <w:p w14:paraId="683539B2" w14:textId="77777777" w:rsidR="00AD40AE" w:rsidRDefault="00AD40AE" w:rsidP="00AD40AE">
      <w:pPr>
        <w:jc w:val="center"/>
        <w:rPr>
          <w:b/>
          <w:iCs/>
        </w:rPr>
      </w:pPr>
      <w:bookmarkStart w:id="0" w:name="_Toc387819847"/>
    </w:p>
    <w:p w14:paraId="683539B3" w14:textId="77777777" w:rsidR="00AD40AE" w:rsidRDefault="00AD40AE" w:rsidP="00AD40AE">
      <w:pPr>
        <w:jc w:val="center"/>
        <w:rPr>
          <w:b/>
          <w:iCs/>
        </w:rPr>
      </w:pPr>
    </w:p>
    <w:p w14:paraId="683539B4" w14:textId="77777777" w:rsidR="00AD40AE" w:rsidRPr="0013615E" w:rsidRDefault="00AD40AE" w:rsidP="00AD40AE">
      <w:pPr>
        <w:jc w:val="center"/>
        <w:rPr>
          <w:b/>
          <w:iCs/>
        </w:rPr>
      </w:pPr>
      <w:r w:rsidRPr="0013615E">
        <w:rPr>
          <w:b/>
          <w:iCs/>
        </w:rPr>
        <w:t>DISCLAIMER</w:t>
      </w:r>
    </w:p>
    <w:p w14:paraId="683539B5" w14:textId="77777777" w:rsidR="00AD40AE" w:rsidRDefault="00AD40AE" w:rsidP="00AD40AE">
      <w:pPr>
        <w:pStyle w:val="BodyText"/>
        <w:jc w:val="center"/>
      </w:pPr>
    </w:p>
    <w:p w14:paraId="683539B6" w14:textId="77777777" w:rsidR="00AD40AE" w:rsidRDefault="00AD40AE" w:rsidP="00AD40AE">
      <w:pPr>
        <w:pStyle w:val="BodyText"/>
        <w:jc w:val="center"/>
      </w:pPr>
    </w:p>
    <w:p w14:paraId="683539B7" w14:textId="183D0041" w:rsidR="007A39FF" w:rsidRDefault="007A39FF" w:rsidP="007A39FF">
      <w:pPr>
        <w:pStyle w:val="BodyText"/>
      </w:pPr>
    </w:p>
    <w:p w14:paraId="683539BC" w14:textId="451BBF13" w:rsidR="007A39FF" w:rsidRDefault="001C1F13" w:rsidP="007A39FF">
      <w:pPr>
        <w:pStyle w:val="BodyText"/>
        <w:jc w:val="both"/>
      </w:pPr>
      <w:r w:rsidRPr="001C1F13">
        <w:t xml:space="preserve">The author does not accept any liability with regard to the use that may be made of the information contained in this document. Usage of the information remains under the sole responsibility of the user. Statements made or information contained in the document </w:t>
      </w:r>
      <w:proofErr w:type="gramStart"/>
      <w:r w:rsidRPr="001C1F13">
        <w:t>are</w:t>
      </w:r>
      <w:proofErr w:type="gramEnd"/>
      <w:r w:rsidRPr="001C1F13">
        <w:t xml:space="preserve"> without prejudice to any further regulatory work that ECHA or the Member States may initiate at a later stage. Risk Management Option Analyses and their conclusions are compiled </w:t>
      </w:r>
      <w:proofErr w:type="gramStart"/>
      <w:r w:rsidRPr="001C1F13">
        <w:t>on the basis of</w:t>
      </w:r>
      <w:proofErr w:type="gramEnd"/>
      <w:r w:rsidRPr="001C1F13">
        <w:t xml:space="preserve"> available information and may change in light of newly available information or further assessment.</w:t>
      </w:r>
    </w:p>
    <w:p w14:paraId="683539BD" w14:textId="77777777" w:rsidR="007A39FF" w:rsidRPr="00270FFE" w:rsidRDefault="007A39FF" w:rsidP="007A39FF">
      <w:pPr>
        <w:pStyle w:val="BodyText"/>
        <w:jc w:val="both"/>
        <w:sectPr w:rsidR="007A39FF" w:rsidRPr="00270FFE">
          <w:footerReference w:type="default" r:id="rId15"/>
          <w:pgSz w:w="11906" w:h="16838"/>
          <w:pgMar w:top="1440" w:right="1440" w:bottom="1440" w:left="1440" w:header="708" w:footer="708" w:gutter="0"/>
          <w:cols w:space="708"/>
          <w:docGrid w:linePitch="360"/>
        </w:sectPr>
      </w:pPr>
    </w:p>
    <w:p w14:paraId="683539BE" w14:textId="77777777" w:rsidR="002E4026" w:rsidRPr="002E4026" w:rsidRDefault="002E4026" w:rsidP="002E4026">
      <w:pPr>
        <w:pStyle w:val="Heading1"/>
        <w:rPr>
          <w:color w:val="4F81BD"/>
        </w:rPr>
      </w:pPr>
      <w:r w:rsidRPr="002E4026">
        <w:rPr>
          <w:color w:val="4F81BD"/>
        </w:rPr>
        <w:lastRenderedPageBreak/>
        <w:t>Foreword</w:t>
      </w:r>
      <w:bookmarkEnd w:id="0"/>
    </w:p>
    <w:p w14:paraId="683539BF" w14:textId="77777777" w:rsidR="002E4026" w:rsidRPr="003016DF" w:rsidRDefault="002E4026" w:rsidP="002E4026">
      <w:pPr>
        <w:rPr>
          <w:sz w:val="24"/>
          <w:szCs w:val="24"/>
        </w:rPr>
      </w:pPr>
    </w:p>
    <w:p w14:paraId="0640B7FF" w14:textId="77777777" w:rsidR="001C1F13" w:rsidRDefault="001C1F13" w:rsidP="001C1F13">
      <w:pPr>
        <w:jc w:val="both"/>
      </w:pPr>
      <w:r>
        <w:t xml:space="preserve">The purpose of Risk Management Option analysis (RMOA) is to help authorities decide whether further regulatory risk management activities are required for a substance and to identify the most appropriate instrument to address a concern. </w:t>
      </w:r>
    </w:p>
    <w:p w14:paraId="7BDF57EC" w14:textId="77777777" w:rsidR="001C1F13" w:rsidRDefault="001C1F13" w:rsidP="001C1F13">
      <w:pPr>
        <w:jc w:val="both"/>
      </w:pPr>
    </w:p>
    <w:p w14:paraId="423CF1F8" w14:textId="77777777" w:rsidR="001C1F13" w:rsidRDefault="001C1F13" w:rsidP="001C1F13">
      <w:pPr>
        <w:jc w:val="both"/>
      </w:pPr>
      <w:r>
        <w:t>RMOA is a voluntary step, i.e., it is not part of the processes as defined in the legislation. For authorities, documenting the RMOA allows the sharing of information and promoting early discussion, which helps lead to a common understanding on the action pursued. A Member State or ECHA (at the request of the Commission) can carry out this case-by-case analysis in order to conclude whether a substance is a 'relevant substance of very high concern (SVHC)' in the sense of the SVHC Roadmap to 2020</w:t>
      </w:r>
      <w:r>
        <w:rPr>
          <w:rStyle w:val="FootnoteReference"/>
        </w:rPr>
        <w:footnoteReference w:id="1"/>
      </w:r>
      <w:r>
        <w:t>.</w:t>
      </w:r>
    </w:p>
    <w:p w14:paraId="371B8D0A" w14:textId="77777777" w:rsidR="001C1F13" w:rsidRDefault="001C1F13" w:rsidP="001C1F13">
      <w:pPr>
        <w:jc w:val="both"/>
      </w:pPr>
    </w:p>
    <w:p w14:paraId="36FE7939" w14:textId="77777777" w:rsidR="001C1F13" w:rsidRDefault="001C1F13" w:rsidP="001C1F13">
      <w:pPr>
        <w:jc w:val="both"/>
      </w:pPr>
      <w:r>
        <w:t>An RMOA can conclude that regulatory risk management at EU level is required for a substance (e.g. harmonised classification and labelling, Candidate List inclusion, restriction, other EU legislation) or that no regulatory action is required at EU level. Any subsequent regulatory processes under the REACH Regulation include consultation of interested parties and appropriate decision making involving Member State Competent Authorities and the European Commission as defined in REACH.</w:t>
      </w:r>
    </w:p>
    <w:p w14:paraId="5B7D4936" w14:textId="77777777" w:rsidR="001C1F13" w:rsidRDefault="001C1F13" w:rsidP="001C1F13">
      <w:pPr>
        <w:spacing w:after="120"/>
        <w:jc w:val="both"/>
      </w:pPr>
    </w:p>
    <w:p w14:paraId="706E7DB9" w14:textId="6925A024" w:rsidR="001C1F13" w:rsidRDefault="001C1F13" w:rsidP="001C1F13">
      <w:pPr>
        <w:spacing w:after="120"/>
        <w:jc w:val="both"/>
      </w:pPr>
      <w:r>
        <w:t xml:space="preserve">This Conclusion document provides the </w:t>
      </w:r>
      <w:r w:rsidRPr="003016DF">
        <w:t xml:space="preserve">outcome of the </w:t>
      </w:r>
      <w:r>
        <w:t>RMOA</w:t>
      </w:r>
      <w:r w:rsidRPr="003016DF">
        <w:t xml:space="preserve"> carried out by the </w:t>
      </w:r>
      <w:r>
        <w:t>author authority</w:t>
      </w:r>
      <w:r w:rsidRPr="003016DF">
        <w:t xml:space="preserve">.  In this conclusion document, the </w:t>
      </w:r>
      <w:r>
        <w:t>authority</w:t>
      </w:r>
      <w:r w:rsidRPr="003016DF">
        <w:t xml:space="preserve"> consider</w:t>
      </w:r>
      <w:r>
        <w:t>s</w:t>
      </w:r>
      <w:r w:rsidRPr="003016DF">
        <w:t xml:space="preserve"> how the</w:t>
      </w:r>
      <w:r>
        <w:t xml:space="preserve"> available </w:t>
      </w:r>
      <w:r w:rsidRPr="003016DF">
        <w:t xml:space="preserve">information </w:t>
      </w:r>
      <w:r>
        <w:t xml:space="preserve">collected </w:t>
      </w:r>
      <w:r w:rsidRPr="003016DF">
        <w:t xml:space="preserve">on the substance </w:t>
      </w:r>
      <w:proofErr w:type="gramStart"/>
      <w:r w:rsidRPr="003016DF">
        <w:t>can be used</w:t>
      </w:r>
      <w:proofErr w:type="gramEnd"/>
      <w:r w:rsidRPr="003016DF">
        <w:t xml:space="preserve"> </w:t>
      </w:r>
      <w:r>
        <w:t>to conclude whether regulatory risk management activities are required for a substance and which is the most appropriate instrument to address a concern</w:t>
      </w:r>
      <w:r w:rsidRPr="003016DF">
        <w:t>. Wi</w:t>
      </w:r>
      <w:r>
        <w:t xml:space="preserve">th this Conclusion document </w:t>
      </w:r>
      <w:r w:rsidRPr="003016DF">
        <w:t>the Commission, the competent authorities of the other Member States</w:t>
      </w:r>
      <w:r>
        <w:t xml:space="preserve"> and stakeholders</w:t>
      </w:r>
      <w:r w:rsidRPr="003016DF">
        <w:t xml:space="preserve"> </w:t>
      </w:r>
      <w:proofErr w:type="gramStart"/>
      <w:r w:rsidRPr="003016DF">
        <w:t>are informed</w:t>
      </w:r>
      <w:proofErr w:type="gramEnd"/>
      <w:r w:rsidRPr="003016DF">
        <w:t xml:space="preserve"> of the considerations of the </w:t>
      </w:r>
      <w:r>
        <w:t>author authority</w:t>
      </w:r>
      <w:r w:rsidRPr="003016DF">
        <w:t xml:space="preserve">. In case the </w:t>
      </w:r>
      <w:r>
        <w:t>author authority</w:t>
      </w:r>
      <w:r w:rsidRPr="003016DF">
        <w:t xml:space="preserve"> proposes</w:t>
      </w:r>
      <w:r>
        <w:t xml:space="preserve"> in this conclusion document</w:t>
      </w:r>
      <w:r w:rsidRPr="003016DF">
        <w:t xml:space="preserve"> further regulatory risk management measures, this </w:t>
      </w:r>
      <w:proofErr w:type="gramStart"/>
      <w:r w:rsidRPr="003016DF">
        <w:t>shall not be considered</w:t>
      </w:r>
      <w:proofErr w:type="gramEnd"/>
      <w:r w:rsidRPr="003016DF">
        <w:t xml:space="preserve"> initiating those other measures or processes. </w:t>
      </w:r>
      <w:r>
        <w:t>Since this document only reflects the views of the author authority, it does not preclude Member States or the European Commission from considering or initiating regulatory risk management measures which they deem appropriate.</w:t>
      </w:r>
    </w:p>
    <w:p w14:paraId="683539C7" w14:textId="77777777" w:rsidR="002E4026" w:rsidRDefault="002E4026" w:rsidP="002E4026">
      <w:pPr>
        <w:spacing w:after="120"/>
        <w:jc w:val="both"/>
        <w:rPr>
          <w:b/>
        </w:rPr>
        <w:sectPr w:rsidR="002E4026">
          <w:pgSz w:w="11906" w:h="16838"/>
          <w:pgMar w:top="1440" w:right="1440" w:bottom="1440" w:left="1440" w:header="708" w:footer="708" w:gutter="0"/>
          <w:cols w:space="708"/>
          <w:docGrid w:linePitch="360"/>
        </w:sectPr>
      </w:pPr>
    </w:p>
    <w:p w14:paraId="683539C8" w14:textId="77777777" w:rsidR="00BE5AF4" w:rsidRPr="000711F7" w:rsidRDefault="009C2172" w:rsidP="00BE5AF4">
      <w:pPr>
        <w:pStyle w:val="Heading3"/>
        <w:numPr>
          <w:ilvl w:val="0"/>
          <w:numId w:val="6"/>
        </w:numPr>
        <w:rPr>
          <w:color w:val="4F81BD" w:themeColor="accent1"/>
          <w:sz w:val="24"/>
          <w:szCs w:val="28"/>
        </w:rPr>
      </w:pPr>
      <w:r w:rsidRPr="000711F7">
        <w:rPr>
          <w:color w:val="4F81BD" w:themeColor="accent1"/>
          <w:sz w:val="24"/>
          <w:szCs w:val="28"/>
        </w:rPr>
        <w:lastRenderedPageBreak/>
        <w:t xml:space="preserve">OVERVIEW OF OTHER </w:t>
      </w:r>
      <w:r w:rsidR="00BE5AF4" w:rsidRPr="000711F7">
        <w:rPr>
          <w:color w:val="4F81BD" w:themeColor="accent1"/>
          <w:sz w:val="24"/>
          <w:szCs w:val="28"/>
        </w:rPr>
        <w:t>PROCESSES</w:t>
      </w:r>
      <w:r w:rsidR="00262180" w:rsidRPr="000711F7">
        <w:rPr>
          <w:color w:val="4F81BD" w:themeColor="accent1"/>
          <w:sz w:val="24"/>
          <w:szCs w:val="28"/>
        </w:rPr>
        <w:t xml:space="preserve"> / EU </w:t>
      </w:r>
      <w:r w:rsidR="005575E6" w:rsidRPr="000711F7">
        <w:rPr>
          <w:color w:val="4F81BD" w:themeColor="accent1"/>
          <w:sz w:val="24"/>
          <w:szCs w:val="28"/>
        </w:rPr>
        <w:t>LEGISLATION</w:t>
      </w:r>
    </w:p>
    <w:tbl>
      <w:tblPr>
        <w:tblStyle w:val="TableGrid"/>
        <w:tblW w:w="0" w:type="auto"/>
        <w:tblLayout w:type="fixed"/>
        <w:tblLook w:val="04A0" w:firstRow="1" w:lastRow="0" w:firstColumn="1" w:lastColumn="0" w:noHBand="0" w:noVBand="1"/>
      </w:tblPr>
      <w:tblGrid>
        <w:gridCol w:w="1384"/>
        <w:gridCol w:w="1134"/>
        <w:gridCol w:w="5812"/>
      </w:tblGrid>
      <w:tr w:rsidR="00E306DD" w:rsidRPr="00DC3C42" w14:paraId="4D672D0F" w14:textId="77777777" w:rsidTr="00376A5C">
        <w:trPr>
          <w:cantSplit/>
          <w:trHeight w:val="901"/>
        </w:trPr>
        <w:tc>
          <w:tcPr>
            <w:tcW w:w="1384" w:type="dxa"/>
            <w:textDirection w:val="btLr"/>
            <w:vAlign w:val="center"/>
          </w:tcPr>
          <w:p w14:paraId="23E5A1A9" w14:textId="77777777" w:rsidR="00E306DD" w:rsidRPr="00D06EB3" w:rsidRDefault="00E306DD" w:rsidP="00376A5C">
            <w:pPr>
              <w:pStyle w:val="BodyText"/>
              <w:spacing w:before="120" w:after="0"/>
              <w:ind w:left="113" w:right="113"/>
              <w:jc w:val="center"/>
            </w:pPr>
            <w:r>
              <w:t>RMOA</w:t>
            </w:r>
          </w:p>
        </w:tc>
        <w:tc>
          <w:tcPr>
            <w:tcW w:w="1134" w:type="dxa"/>
            <w:tcBorders>
              <w:right w:val="nil"/>
            </w:tcBorders>
            <w:shd w:val="clear" w:color="auto" w:fill="auto"/>
            <w:textDirection w:val="btLr"/>
            <w:vAlign w:val="center"/>
          </w:tcPr>
          <w:p w14:paraId="3B77A404" w14:textId="77777777" w:rsidR="00E306DD" w:rsidRPr="009845E0" w:rsidRDefault="00E306DD" w:rsidP="00376A5C">
            <w:pPr>
              <w:pStyle w:val="BodyText"/>
              <w:spacing w:before="120" w:after="0"/>
              <w:ind w:left="113" w:right="113"/>
              <w:jc w:val="center"/>
            </w:pPr>
          </w:p>
        </w:tc>
        <w:tc>
          <w:tcPr>
            <w:tcW w:w="5812" w:type="dxa"/>
            <w:tcBorders>
              <w:left w:val="nil"/>
            </w:tcBorders>
            <w:shd w:val="clear" w:color="auto" w:fill="auto"/>
            <w:vAlign w:val="center"/>
          </w:tcPr>
          <w:p w14:paraId="77DBFC33" w14:textId="77777777" w:rsidR="00E306DD" w:rsidRPr="00404EE1" w:rsidRDefault="00E306DD" w:rsidP="00376A5C">
            <w:pPr>
              <w:pStyle w:val="BodyText"/>
              <w:spacing w:before="120" w:after="0"/>
              <w:ind w:left="317" w:hanging="317"/>
            </w:pPr>
            <w:sdt>
              <w:sdtPr>
                <w:rPr>
                  <w:szCs w:val="24"/>
                </w:rPr>
                <w:id w:val="1902332067"/>
                <w14:checkbox>
                  <w14:checked w14:val="0"/>
                  <w14:checkedState w14:val="2612" w14:font="MS Gothic"/>
                  <w14:uncheckedState w14:val="2610" w14:font="MS Gothic"/>
                </w14:checkbox>
              </w:sdtPr>
              <w:sdtContent>
                <w:r w:rsidRPr="005C7C49">
                  <w:rPr>
                    <w:rFonts w:ascii="MS Gothic" w:eastAsia="MS Gothic" w:hAnsi="MS Gothic" w:cs="MS Gothic" w:hint="eastAsia"/>
                    <w:szCs w:val="24"/>
                  </w:rPr>
                  <w:t>☐</w:t>
                </w:r>
              </w:sdtContent>
            </w:sdt>
            <w:r w:rsidRPr="00404EE1">
              <w:t xml:space="preserve"> </w:t>
            </w:r>
            <w:r>
              <w:t>Risk Manage</w:t>
            </w:r>
            <w:r w:rsidRPr="00C220E5">
              <w:t xml:space="preserve">ment Option Analysis </w:t>
            </w:r>
            <w:r>
              <w:t>(RMOA) other than this RMOA</w:t>
            </w:r>
          </w:p>
        </w:tc>
      </w:tr>
      <w:tr w:rsidR="00E306DD" w:rsidRPr="00DC3C42" w14:paraId="0E451B4A" w14:textId="77777777" w:rsidTr="00376A5C">
        <w:trPr>
          <w:cantSplit/>
          <w:trHeight w:val="559"/>
        </w:trPr>
        <w:tc>
          <w:tcPr>
            <w:tcW w:w="1384" w:type="dxa"/>
            <w:vMerge w:val="restart"/>
            <w:textDirection w:val="btLr"/>
            <w:vAlign w:val="center"/>
          </w:tcPr>
          <w:p w14:paraId="0A386DF2" w14:textId="77777777" w:rsidR="00E306DD" w:rsidRPr="00D06EB3" w:rsidRDefault="00E306DD" w:rsidP="00376A5C">
            <w:pPr>
              <w:pStyle w:val="BodyText"/>
              <w:spacing w:before="120" w:after="0"/>
              <w:ind w:left="113" w:right="113"/>
              <w:jc w:val="center"/>
            </w:pPr>
            <w:r>
              <w:t>REACH</w:t>
            </w:r>
            <w:r w:rsidRPr="00D06EB3">
              <w:t xml:space="preserve"> Processes</w:t>
            </w:r>
          </w:p>
        </w:tc>
        <w:tc>
          <w:tcPr>
            <w:tcW w:w="1134" w:type="dxa"/>
            <w:vMerge w:val="restart"/>
            <w:textDirection w:val="btLr"/>
            <w:vAlign w:val="center"/>
          </w:tcPr>
          <w:p w14:paraId="31DE9A0F" w14:textId="77777777" w:rsidR="00E306DD" w:rsidRPr="009845E0" w:rsidRDefault="00E306DD" w:rsidP="00376A5C">
            <w:pPr>
              <w:pStyle w:val="BodyText"/>
              <w:spacing w:before="120" w:after="0"/>
              <w:ind w:left="113" w:right="113"/>
              <w:jc w:val="center"/>
            </w:pPr>
            <w:r w:rsidRPr="00E813C2">
              <w:t>Evaluation</w:t>
            </w:r>
          </w:p>
        </w:tc>
        <w:tc>
          <w:tcPr>
            <w:tcW w:w="5812" w:type="dxa"/>
            <w:vAlign w:val="center"/>
          </w:tcPr>
          <w:p w14:paraId="43C8ED51" w14:textId="77777777" w:rsidR="00E306DD" w:rsidRPr="00404EE1" w:rsidRDefault="00E306DD" w:rsidP="00376A5C">
            <w:pPr>
              <w:pStyle w:val="BodyText"/>
              <w:spacing w:before="120" w:after="0"/>
            </w:pPr>
            <w:sdt>
              <w:sdtPr>
                <w:rPr>
                  <w:szCs w:val="24"/>
                </w:rPr>
                <w:id w:val="1618794995"/>
                <w14:checkbox>
                  <w14:checked w14:val="0"/>
                  <w14:checkedState w14:val="2612" w14:font="MS Gothic"/>
                  <w14:uncheckedState w14:val="2610" w14:font="MS Gothic"/>
                </w14:checkbox>
              </w:sdtPr>
              <w:sdtContent>
                <w:r w:rsidRPr="005C7C49">
                  <w:rPr>
                    <w:rFonts w:ascii="MS Gothic" w:eastAsia="MS Gothic" w:hAnsi="MS Gothic" w:cs="MS Gothic" w:hint="eastAsia"/>
                    <w:szCs w:val="24"/>
                  </w:rPr>
                  <w:t>☐</w:t>
                </w:r>
              </w:sdtContent>
            </w:sdt>
            <w:r w:rsidRPr="00404EE1">
              <w:t xml:space="preserve"> Compliance check, Final decision</w:t>
            </w:r>
          </w:p>
        </w:tc>
      </w:tr>
      <w:tr w:rsidR="00E306DD" w:rsidRPr="00DC3C42" w14:paraId="194935F0" w14:textId="77777777" w:rsidTr="00376A5C">
        <w:trPr>
          <w:cantSplit/>
          <w:trHeight w:val="553"/>
        </w:trPr>
        <w:tc>
          <w:tcPr>
            <w:tcW w:w="1384" w:type="dxa"/>
            <w:vMerge/>
            <w:textDirection w:val="btLr"/>
            <w:vAlign w:val="center"/>
          </w:tcPr>
          <w:p w14:paraId="0C3497B7" w14:textId="77777777" w:rsidR="00E306DD" w:rsidRPr="00D06EB3" w:rsidRDefault="00E306DD" w:rsidP="00376A5C">
            <w:pPr>
              <w:pStyle w:val="BodyText"/>
              <w:spacing w:before="120" w:after="0"/>
              <w:ind w:left="113" w:right="113"/>
              <w:jc w:val="center"/>
            </w:pPr>
          </w:p>
        </w:tc>
        <w:tc>
          <w:tcPr>
            <w:tcW w:w="1134" w:type="dxa"/>
            <w:vMerge/>
            <w:textDirection w:val="btLr"/>
            <w:vAlign w:val="center"/>
          </w:tcPr>
          <w:p w14:paraId="58ACF2F0" w14:textId="77777777" w:rsidR="00E306DD" w:rsidRPr="009845E0" w:rsidRDefault="00E306DD" w:rsidP="00376A5C">
            <w:pPr>
              <w:pStyle w:val="BodyText"/>
              <w:spacing w:before="120" w:after="0"/>
              <w:ind w:left="113" w:right="113"/>
              <w:jc w:val="center"/>
            </w:pPr>
          </w:p>
        </w:tc>
        <w:tc>
          <w:tcPr>
            <w:tcW w:w="5812" w:type="dxa"/>
            <w:vAlign w:val="center"/>
          </w:tcPr>
          <w:p w14:paraId="7DF0C883" w14:textId="77777777" w:rsidR="00E306DD" w:rsidRPr="00404EE1" w:rsidRDefault="00E306DD" w:rsidP="00376A5C">
            <w:pPr>
              <w:pStyle w:val="BodyText"/>
              <w:spacing w:before="120" w:after="0"/>
            </w:pPr>
            <w:sdt>
              <w:sdtPr>
                <w:rPr>
                  <w:szCs w:val="24"/>
                </w:rPr>
                <w:id w:val="-555246610"/>
                <w14:checkbox>
                  <w14:checked w14:val="1"/>
                  <w14:checkedState w14:val="2612" w14:font="MS Gothic"/>
                  <w14:uncheckedState w14:val="2610" w14:font="MS Gothic"/>
                </w14:checkbox>
              </w:sdtPr>
              <w:sdtContent>
                <w:r>
                  <w:rPr>
                    <w:rFonts w:ascii="MS Gothic" w:eastAsia="MS Gothic" w:hAnsi="MS Gothic" w:hint="eastAsia"/>
                    <w:szCs w:val="24"/>
                  </w:rPr>
                  <w:t>☒</w:t>
                </w:r>
              </w:sdtContent>
            </w:sdt>
            <w:r w:rsidRPr="00404EE1">
              <w:t xml:space="preserve"> Testing proposal</w:t>
            </w:r>
          </w:p>
        </w:tc>
      </w:tr>
      <w:tr w:rsidR="00E306DD" w:rsidRPr="00DC3C42" w14:paraId="0C3B49A6" w14:textId="77777777" w:rsidTr="00376A5C">
        <w:trPr>
          <w:cantSplit/>
          <w:trHeight w:val="561"/>
        </w:trPr>
        <w:tc>
          <w:tcPr>
            <w:tcW w:w="1384" w:type="dxa"/>
            <w:vMerge/>
            <w:textDirection w:val="btLr"/>
            <w:vAlign w:val="center"/>
          </w:tcPr>
          <w:p w14:paraId="28A704B1" w14:textId="77777777" w:rsidR="00E306DD" w:rsidRPr="00D06EB3" w:rsidRDefault="00E306DD" w:rsidP="00376A5C">
            <w:pPr>
              <w:pStyle w:val="BodyText"/>
              <w:spacing w:before="120" w:after="0"/>
              <w:ind w:left="113" w:right="113"/>
              <w:jc w:val="center"/>
            </w:pPr>
          </w:p>
        </w:tc>
        <w:tc>
          <w:tcPr>
            <w:tcW w:w="1134" w:type="dxa"/>
            <w:vMerge/>
            <w:textDirection w:val="btLr"/>
            <w:vAlign w:val="center"/>
          </w:tcPr>
          <w:p w14:paraId="2A6BBF3D" w14:textId="77777777" w:rsidR="00E306DD" w:rsidRPr="009845E0" w:rsidRDefault="00E306DD" w:rsidP="00376A5C">
            <w:pPr>
              <w:pStyle w:val="BodyText"/>
              <w:spacing w:before="120" w:after="0"/>
              <w:ind w:left="113" w:right="113"/>
              <w:jc w:val="center"/>
            </w:pPr>
          </w:p>
        </w:tc>
        <w:tc>
          <w:tcPr>
            <w:tcW w:w="5812" w:type="dxa"/>
            <w:vAlign w:val="center"/>
          </w:tcPr>
          <w:p w14:paraId="02943ED6" w14:textId="77777777" w:rsidR="00E306DD" w:rsidRPr="00404EE1" w:rsidRDefault="00E306DD" w:rsidP="00376A5C">
            <w:pPr>
              <w:pStyle w:val="BodyText"/>
              <w:spacing w:before="120" w:after="0"/>
            </w:pPr>
            <w:sdt>
              <w:sdtPr>
                <w:rPr>
                  <w:szCs w:val="24"/>
                </w:rPr>
                <w:id w:val="1708519159"/>
                <w14:checkbox>
                  <w14:checked w14:val="0"/>
                  <w14:checkedState w14:val="2612" w14:font="MS Gothic"/>
                  <w14:uncheckedState w14:val="2610" w14:font="MS Gothic"/>
                </w14:checkbox>
              </w:sdtPr>
              <w:sdtContent>
                <w:r w:rsidRPr="005C7C49">
                  <w:rPr>
                    <w:rFonts w:ascii="MS Gothic" w:eastAsia="MS Gothic" w:hAnsi="MS Gothic" w:cs="MS Gothic" w:hint="eastAsia"/>
                    <w:szCs w:val="24"/>
                  </w:rPr>
                  <w:t>☐</w:t>
                </w:r>
              </w:sdtContent>
            </w:sdt>
            <w:r w:rsidRPr="00404EE1">
              <w:t xml:space="preserve"> </w:t>
            </w:r>
            <w:proofErr w:type="spellStart"/>
            <w:r>
              <w:t>CoRAP</w:t>
            </w:r>
            <w:proofErr w:type="spellEnd"/>
            <w:r>
              <w:t xml:space="preserve"> and Substance Evaluation</w:t>
            </w:r>
          </w:p>
        </w:tc>
      </w:tr>
      <w:tr w:rsidR="00E306DD" w:rsidRPr="00DC3C42" w14:paraId="6075AFE9" w14:textId="77777777" w:rsidTr="00376A5C">
        <w:trPr>
          <w:cantSplit/>
          <w:trHeight w:val="838"/>
        </w:trPr>
        <w:tc>
          <w:tcPr>
            <w:tcW w:w="1384" w:type="dxa"/>
            <w:vMerge/>
            <w:textDirection w:val="btLr"/>
            <w:vAlign w:val="center"/>
          </w:tcPr>
          <w:p w14:paraId="598517BC" w14:textId="77777777" w:rsidR="00E306DD" w:rsidRPr="00D06EB3" w:rsidRDefault="00E306DD" w:rsidP="00376A5C">
            <w:pPr>
              <w:pStyle w:val="BodyText"/>
              <w:spacing w:before="120" w:after="0"/>
              <w:ind w:left="113" w:right="113"/>
              <w:jc w:val="center"/>
            </w:pPr>
          </w:p>
        </w:tc>
        <w:tc>
          <w:tcPr>
            <w:tcW w:w="1134" w:type="dxa"/>
            <w:vMerge w:val="restart"/>
            <w:textDirection w:val="btLr"/>
            <w:vAlign w:val="center"/>
          </w:tcPr>
          <w:p w14:paraId="61EC5B21" w14:textId="77777777" w:rsidR="00E306DD" w:rsidRPr="00D06EB3" w:rsidRDefault="00E306DD" w:rsidP="00376A5C">
            <w:pPr>
              <w:pStyle w:val="BodyText"/>
              <w:spacing w:before="120" w:after="0"/>
              <w:ind w:left="113" w:right="113"/>
              <w:jc w:val="center"/>
            </w:pPr>
            <w:r w:rsidRPr="009845E0">
              <w:t>Authori</w:t>
            </w:r>
            <w:r>
              <w:t>s</w:t>
            </w:r>
            <w:r w:rsidRPr="009845E0">
              <w:t>ation</w:t>
            </w:r>
          </w:p>
        </w:tc>
        <w:tc>
          <w:tcPr>
            <w:tcW w:w="5812" w:type="dxa"/>
            <w:vAlign w:val="center"/>
          </w:tcPr>
          <w:p w14:paraId="4370FBB9" w14:textId="77777777" w:rsidR="00E306DD" w:rsidRPr="00404EE1" w:rsidRDefault="00E306DD" w:rsidP="00376A5C">
            <w:pPr>
              <w:pStyle w:val="BodyText"/>
              <w:spacing w:before="120" w:after="0"/>
            </w:pPr>
            <w:sdt>
              <w:sdtPr>
                <w:rPr>
                  <w:szCs w:val="24"/>
                </w:rPr>
                <w:id w:val="-1573199791"/>
                <w14:checkbox>
                  <w14:checked w14:val="0"/>
                  <w14:checkedState w14:val="2612" w14:font="MS Gothic"/>
                  <w14:uncheckedState w14:val="2610" w14:font="MS Gothic"/>
                </w14:checkbox>
              </w:sdtPr>
              <w:sdtContent>
                <w:r w:rsidRPr="005C7C49">
                  <w:rPr>
                    <w:rFonts w:ascii="MS Gothic" w:eastAsia="MS Gothic" w:hAnsi="MS Gothic" w:cs="MS Gothic" w:hint="eastAsia"/>
                    <w:szCs w:val="24"/>
                  </w:rPr>
                  <w:t>☐</w:t>
                </w:r>
              </w:sdtContent>
            </w:sdt>
            <w:r w:rsidRPr="00404EE1">
              <w:t xml:space="preserve"> </w:t>
            </w:r>
            <w:r w:rsidRPr="009845E0">
              <w:t>Candidate List</w:t>
            </w:r>
          </w:p>
        </w:tc>
      </w:tr>
      <w:tr w:rsidR="00E306DD" w:rsidRPr="00DC3C42" w14:paraId="64FEF732" w14:textId="77777777" w:rsidTr="00376A5C">
        <w:trPr>
          <w:cantSplit/>
          <w:trHeight w:val="838"/>
        </w:trPr>
        <w:tc>
          <w:tcPr>
            <w:tcW w:w="1384" w:type="dxa"/>
            <w:vMerge/>
            <w:textDirection w:val="btLr"/>
            <w:vAlign w:val="center"/>
          </w:tcPr>
          <w:p w14:paraId="1DEA7755" w14:textId="77777777" w:rsidR="00E306DD" w:rsidRPr="00D06EB3" w:rsidRDefault="00E306DD" w:rsidP="00376A5C">
            <w:pPr>
              <w:pStyle w:val="BodyText"/>
              <w:spacing w:before="120" w:after="0"/>
              <w:ind w:left="113" w:right="113"/>
              <w:jc w:val="center"/>
            </w:pPr>
          </w:p>
        </w:tc>
        <w:tc>
          <w:tcPr>
            <w:tcW w:w="1134" w:type="dxa"/>
            <w:vMerge/>
            <w:textDirection w:val="btLr"/>
            <w:vAlign w:val="center"/>
          </w:tcPr>
          <w:p w14:paraId="46F0AAC1" w14:textId="77777777" w:rsidR="00E306DD" w:rsidRPr="00D06EB3" w:rsidRDefault="00E306DD" w:rsidP="00376A5C">
            <w:pPr>
              <w:pStyle w:val="BodyText"/>
              <w:spacing w:before="120" w:after="0"/>
              <w:ind w:left="113" w:right="113"/>
              <w:jc w:val="center"/>
            </w:pPr>
          </w:p>
        </w:tc>
        <w:tc>
          <w:tcPr>
            <w:tcW w:w="5812" w:type="dxa"/>
            <w:vAlign w:val="center"/>
          </w:tcPr>
          <w:p w14:paraId="19D394C5" w14:textId="77777777" w:rsidR="00E306DD" w:rsidRPr="00404EE1" w:rsidRDefault="00E306DD" w:rsidP="00376A5C">
            <w:pPr>
              <w:pStyle w:val="BodyText"/>
              <w:spacing w:before="120" w:after="0"/>
            </w:pPr>
            <w:sdt>
              <w:sdtPr>
                <w:rPr>
                  <w:szCs w:val="24"/>
                </w:rPr>
                <w:id w:val="-305165667"/>
                <w14:checkbox>
                  <w14:checked w14:val="0"/>
                  <w14:checkedState w14:val="2612" w14:font="MS Gothic"/>
                  <w14:uncheckedState w14:val="2610" w14:font="MS Gothic"/>
                </w14:checkbox>
              </w:sdtPr>
              <w:sdtContent>
                <w:r w:rsidRPr="005C7C49">
                  <w:rPr>
                    <w:rFonts w:ascii="MS Gothic" w:eastAsia="MS Gothic" w:hAnsi="MS Gothic" w:cs="MS Gothic" w:hint="eastAsia"/>
                    <w:szCs w:val="24"/>
                  </w:rPr>
                  <w:t>☐</w:t>
                </w:r>
              </w:sdtContent>
            </w:sdt>
            <w:r w:rsidRPr="00404EE1">
              <w:t xml:space="preserve"> </w:t>
            </w:r>
            <w:r w:rsidRPr="009845E0">
              <w:t xml:space="preserve">Annex XIV </w:t>
            </w:r>
          </w:p>
        </w:tc>
      </w:tr>
      <w:tr w:rsidR="00E306DD" w:rsidRPr="00DC3C42" w14:paraId="562EB2E5" w14:textId="77777777" w:rsidTr="00376A5C">
        <w:trPr>
          <w:cantSplit/>
          <w:trHeight w:val="896"/>
        </w:trPr>
        <w:tc>
          <w:tcPr>
            <w:tcW w:w="1384" w:type="dxa"/>
            <w:vMerge/>
            <w:textDirection w:val="btLr"/>
            <w:vAlign w:val="center"/>
          </w:tcPr>
          <w:p w14:paraId="245E2AC2" w14:textId="77777777" w:rsidR="00E306DD" w:rsidRPr="00D06EB3" w:rsidRDefault="00E306DD" w:rsidP="00376A5C">
            <w:pPr>
              <w:pStyle w:val="BodyText"/>
              <w:spacing w:before="120" w:after="0"/>
              <w:ind w:left="113" w:right="113"/>
              <w:jc w:val="center"/>
            </w:pPr>
          </w:p>
        </w:tc>
        <w:tc>
          <w:tcPr>
            <w:tcW w:w="1134" w:type="dxa"/>
            <w:tcBorders>
              <w:bottom w:val="single" w:sz="4" w:space="0" w:color="auto"/>
            </w:tcBorders>
            <w:textDirection w:val="btLr"/>
            <w:vAlign w:val="center"/>
          </w:tcPr>
          <w:p w14:paraId="4B9B160A" w14:textId="77777777" w:rsidR="00E306DD" w:rsidRPr="00D06EB3" w:rsidRDefault="00E306DD" w:rsidP="00376A5C">
            <w:pPr>
              <w:pStyle w:val="BodyText"/>
              <w:spacing w:before="120" w:after="0"/>
              <w:ind w:left="113" w:right="113"/>
              <w:jc w:val="center"/>
            </w:pPr>
            <w:proofErr w:type="spellStart"/>
            <w:r w:rsidRPr="009845E0">
              <w:t>Restri</w:t>
            </w:r>
            <w:r>
              <w:t>-</w:t>
            </w:r>
            <w:r w:rsidRPr="009845E0">
              <w:t>ction</w:t>
            </w:r>
            <w:proofErr w:type="spellEnd"/>
          </w:p>
        </w:tc>
        <w:tc>
          <w:tcPr>
            <w:tcW w:w="5812" w:type="dxa"/>
            <w:tcBorders>
              <w:bottom w:val="single" w:sz="4" w:space="0" w:color="auto"/>
            </w:tcBorders>
            <w:vAlign w:val="center"/>
          </w:tcPr>
          <w:p w14:paraId="17A95501" w14:textId="77777777" w:rsidR="00E306DD" w:rsidRPr="00404EE1" w:rsidRDefault="00E306DD" w:rsidP="00376A5C">
            <w:pPr>
              <w:pStyle w:val="BodyText"/>
              <w:spacing w:before="120" w:after="0"/>
            </w:pPr>
            <w:sdt>
              <w:sdtPr>
                <w:rPr>
                  <w:szCs w:val="24"/>
                </w:rPr>
                <w:id w:val="-1799371774"/>
                <w14:checkbox>
                  <w14:checked w14:val="1"/>
                  <w14:checkedState w14:val="2612" w14:font="MS Gothic"/>
                  <w14:uncheckedState w14:val="2610" w14:font="MS Gothic"/>
                </w14:checkbox>
              </w:sdtPr>
              <w:sdtContent>
                <w:r>
                  <w:rPr>
                    <w:rFonts w:ascii="MS Gothic" w:eastAsia="MS Gothic" w:hAnsi="MS Gothic" w:hint="eastAsia"/>
                    <w:szCs w:val="24"/>
                  </w:rPr>
                  <w:t>☒</w:t>
                </w:r>
              </w:sdtContent>
            </w:sdt>
            <w:r w:rsidRPr="00404EE1">
              <w:t xml:space="preserve"> </w:t>
            </w:r>
            <w:r w:rsidRPr="00074765">
              <w:t>Annex XVII</w:t>
            </w:r>
            <w:r>
              <w:rPr>
                <w:rStyle w:val="FootnoteReference"/>
              </w:rPr>
              <w:footnoteReference w:id="2"/>
            </w:r>
          </w:p>
        </w:tc>
      </w:tr>
      <w:tr w:rsidR="00E306DD" w:rsidRPr="00DC3C42" w14:paraId="796E2C1C" w14:textId="77777777" w:rsidTr="00376A5C">
        <w:trPr>
          <w:cantSplit/>
          <w:trHeight w:val="1475"/>
        </w:trPr>
        <w:tc>
          <w:tcPr>
            <w:tcW w:w="1384" w:type="dxa"/>
            <w:textDirection w:val="btLr"/>
            <w:vAlign w:val="center"/>
          </w:tcPr>
          <w:p w14:paraId="5891E97C" w14:textId="77777777" w:rsidR="00E306DD" w:rsidRPr="00037AE8" w:rsidRDefault="00E306DD" w:rsidP="00376A5C">
            <w:pPr>
              <w:pStyle w:val="BodyText"/>
              <w:spacing w:before="120" w:after="0"/>
              <w:ind w:left="113" w:right="113"/>
              <w:jc w:val="center"/>
            </w:pPr>
            <w:r w:rsidRPr="00D06EB3">
              <w:t>Harmonised C&amp;L</w:t>
            </w:r>
            <w:r>
              <w:t xml:space="preserve"> </w:t>
            </w:r>
          </w:p>
        </w:tc>
        <w:tc>
          <w:tcPr>
            <w:tcW w:w="1134" w:type="dxa"/>
            <w:tcBorders>
              <w:right w:val="nil"/>
            </w:tcBorders>
            <w:textDirection w:val="btLr"/>
            <w:vAlign w:val="center"/>
          </w:tcPr>
          <w:p w14:paraId="70B72245" w14:textId="77777777" w:rsidR="00E306DD" w:rsidRPr="00D06EB3" w:rsidRDefault="00E306DD" w:rsidP="00376A5C">
            <w:pPr>
              <w:pStyle w:val="BodyText"/>
              <w:spacing w:before="120" w:after="0"/>
              <w:ind w:left="113" w:right="113"/>
              <w:jc w:val="center"/>
            </w:pPr>
          </w:p>
        </w:tc>
        <w:tc>
          <w:tcPr>
            <w:tcW w:w="5812" w:type="dxa"/>
            <w:tcBorders>
              <w:left w:val="nil"/>
            </w:tcBorders>
            <w:vAlign w:val="center"/>
          </w:tcPr>
          <w:p w14:paraId="3CAAA44F" w14:textId="77777777" w:rsidR="00E306DD" w:rsidRPr="00404EE1" w:rsidRDefault="00E306DD" w:rsidP="00376A5C">
            <w:pPr>
              <w:pStyle w:val="BodyText"/>
              <w:spacing w:before="120" w:after="0"/>
            </w:pPr>
            <w:sdt>
              <w:sdtPr>
                <w:rPr>
                  <w:szCs w:val="24"/>
                </w:rPr>
                <w:id w:val="-1422323023"/>
                <w14:checkbox>
                  <w14:checked w14:val="1"/>
                  <w14:checkedState w14:val="2612" w14:font="MS Gothic"/>
                  <w14:uncheckedState w14:val="2610" w14:font="MS Gothic"/>
                </w14:checkbox>
              </w:sdtPr>
              <w:sdtContent>
                <w:r>
                  <w:rPr>
                    <w:rFonts w:ascii="MS Gothic" w:eastAsia="MS Gothic" w:hAnsi="MS Gothic" w:hint="eastAsia"/>
                    <w:szCs w:val="24"/>
                  </w:rPr>
                  <w:t>☒</w:t>
                </w:r>
              </w:sdtContent>
            </w:sdt>
            <w:r w:rsidRPr="00404EE1">
              <w:t xml:space="preserve"> Annex VI (CLP)</w:t>
            </w:r>
            <w:r>
              <w:t xml:space="preserve"> (see section 3.1)</w:t>
            </w:r>
          </w:p>
        </w:tc>
      </w:tr>
      <w:tr w:rsidR="00E306DD" w:rsidRPr="00DC3C42" w14:paraId="30598D44" w14:textId="77777777" w:rsidTr="00376A5C">
        <w:trPr>
          <w:cantSplit/>
          <w:trHeight w:val="726"/>
        </w:trPr>
        <w:tc>
          <w:tcPr>
            <w:tcW w:w="1384" w:type="dxa"/>
            <w:vMerge w:val="restart"/>
            <w:textDirection w:val="btLr"/>
            <w:vAlign w:val="center"/>
          </w:tcPr>
          <w:p w14:paraId="129F1DF8" w14:textId="77777777" w:rsidR="00E306DD" w:rsidRPr="00037AE8" w:rsidRDefault="00E306DD" w:rsidP="00376A5C">
            <w:pPr>
              <w:pStyle w:val="BodyText"/>
              <w:spacing w:before="120" w:after="0"/>
              <w:ind w:left="113" w:right="113"/>
              <w:jc w:val="center"/>
            </w:pPr>
            <w:r w:rsidRPr="00361575">
              <w:t>Processes under other EU legislation</w:t>
            </w:r>
          </w:p>
        </w:tc>
        <w:tc>
          <w:tcPr>
            <w:tcW w:w="1134" w:type="dxa"/>
            <w:tcBorders>
              <w:right w:val="nil"/>
            </w:tcBorders>
            <w:textDirection w:val="btLr"/>
            <w:vAlign w:val="center"/>
          </w:tcPr>
          <w:p w14:paraId="7D4D66DE" w14:textId="77777777" w:rsidR="00E306DD" w:rsidRPr="00D06EB3" w:rsidRDefault="00E306DD" w:rsidP="00376A5C">
            <w:pPr>
              <w:pStyle w:val="BodyText"/>
              <w:spacing w:before="120" w:after="0"/>
              <w:ind w:left="113" w:right="113"/>
              <w:jc w:val="center"/>
            </w:pPr>
          </w:p>
        </w:tc>
        <w:tc>
          <w:tcPr>
            <w:tcW w:w="5812" w:type="dxa"/>
            <w:tcBorders>
              <w:left w:val="nil"/>
            </w:tcBorders>
            <w:vAlign w:val="center"/>
          </w:tcPr>
          <w:p w14:paraId="1D704032" w14:textId="77777777" w:rsidR="00E306DD" w:rsidRDefault="00E306DD" w:rsidP="00376A5C">
            <w:pPr>
              <w:pStyle w:val="BodyText"/>
              <w:spacing w:before="120" w:after="0"/>
              <w:ind w:left="459" w:hanging="459"/>
            </w:pPr>
            <w:sdt>
              <w:sdtPr>
                <w:rPr>
                  <w:szCs w:val="24"/>
                </w:rPr>
                <w:id w:val="2114626067"/>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sidRPr="009940A8">
              <w:t xml:space="preserve"> </w:t>
            </w:r>
            <w:r w:rsidRPr="00404EE1">
              <w:t>Plant Protection Products Regulation</w:t>
            </w:r>
            <w:r>
              <w:t xml:space="preserve"> </w:t>
            </w:r>
          </w:p>
          <w:p w14:paraId="765B8711" w14:textId="77777777" w:rsidR="00E306DD" w:rsidRPr="009940A8" w:rsidRDefault="00E306DD" w:rsidP="00376A5C">
            <w:pPr>
              <w:pStyle w:val="BodyText"/>
              <w:spacing w:before="120" w:after="0"/>
              <w:ind w:left="317"/>
            </w:pPr>
            <w:r>
              <w:t>Regulation</w:t>
            </w:r>
            <w:r w:rsidRPr="00404EE1">
              <w:t xml:space="preserve"> </w:t>
            </w:r>
            <w:r>
              <w:t xml:space="preserve">(EC) No 1107/2009 </w:t>
            </w:r>
          </w:p>
        </w:tc>
      </w:tr>
      <w:tr w:rsidR="00E306DD" w:rsidRPr="00037AE8" w14:paraId="42790D70" w14:textId="77777777" w:rsidTr="00376A5C">
        <w:trPr>
          <w:cantSplit/>
          <w:trHeight w:val="694"/>
        </w:trPr>
        <w:tc>
          <w:tcPr>
            <w:tcW w:w="1384" w:type="dxa"/>
            <w:vMerge/>
            <w:textDirection w:val="btLr"/>
            <w:vAlign w:val="center"/>
          </w:tcPr>
          <w:p w14:paraId="768D275E" w14:textId="77777777" w:rsidR="00E306DD" w:rsidRPr="00831D14" w:rsidRDefault="00E306DD" w:rsidP="00376A5C">
            <w:pPr>
              <w:pStyle w:val="BodyText"/>
              <w:spacing w:before="120" w:after="0"/>
              <w:ind w:left="113" w:right="113"/>
              <w:jc w:val="center"/>
            </w:pPr>
          </w:p>
        </w:tc>
        <w:tc>
          <w:tcPr>
            <w:tcW w:w="1134" w:type="dxa"/>
            <w:tcBorders>
              <w:right w:val="nil"/>
            </w:tcBorders>
            <w:textDirection w:val="btLr"/>
            <w:vAlign w:val="center"/>
          </w:tcPr>
          <w:p w14:paraId="202C2DCC" w14:textId="77777777" w:rsidR="00E306DD" w:rsidRPr="001F1FCC" w:rsidRDefault="00E306DD" w:rsidP="00376A5C">
            <w:pPr>
              <w:pStyle w:val="BodyText"/>
              <w:spacing w:before="120" w:after="0"/>
              <w:ind w:left="113" w:right="113"/>
              <w:jc w:val="center"/>
            </w:pPr>
          </w:p>
        </w:tc>
        <w:tc>
          <w:tcPr>
            <w:tcW w:w="5812" w:type="dxa"/>
            <w:tcBorders>
              <w:left w:val="nil"/>
            </w:tcBorders>
            <w:vAlign w:val="center"/>
          </w:tcPr>
          <w:p w14:paraId="59E5AD1F" w14:textId="77777777" w:rsidR="00E306DD" w:rsidRDefault="00E306DD" w:rsidP="00376A5C">
            <w:pPr>
              <w:pStyle w:val="BodyText"/>
              <w:spacing w:before="120" w:after="0"/>
              <w:ind w:left="317" w:hanging="317"/>
            </w:pPr>
            <w:sdt>
              <w:sdtPr>
                <w:rPr>
                  <w:szCs w:val="24"/>
                </w:rPr>
                <w:id w:val="1651639555"/>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sidRPr="00404EE1">
              <w:t xml:space="preserve"> Biocidal Product Regulation</w:t>
            </w:r>
          </w:p>
          <w:p w14:paraId="5B2F5913" w14:textId="77777777" w:rsidR="00E306DD" w:rsidRPr="00404EE1" w:rsidRDefault="00E306DD" w:rsidP="00376A5C">
            <w:pPr>
              <w:pStyle w:val="BodyText"/>
              <w:spacing w:before="120" w:after="0"/>
              <w:ind w:left="317"/>
            </w:pPr>
            <w:r>
              <w:t>Regulation</w:t>
            </w:r>
            <w:r w:rsidRPr="00404EE1">
              <w:t xml:space="preserve"> (EU) 528/2012</w:t>
            </w:r>
            <w:r>
              <w:t xml:space="preserve"> and amendments</w:t>
            </w:r>
            <w:r w:rsidRPr="00404EE1">
              <w:t xml:space="preserve"> </w:t>
            </w:r>
            <w:r>
              <w:t xml:space="preserve"> </w:t>
            </w:r>
          </w:p>
        </w:tc>
      </w:tr>
      <w:tr w:rsidR="00E306DD" w:rsidRPr="0051133B" w14:paraId="489784DE" w14:textId="77777777" w:rsidTr="00376A5C">
        <w:trPr>
          <w:cantSplit/>
          <w:trHeight w:val="704"/>
        </w:trPr>
        <w:tc>
          <w:tcPr>
            <w:tcW w:w="1384" w:type="dxa"/>
            <w:vMerge w:val="restart"/>
            <w:textDirection w:val="btLr"/>
            <w:vAlign w:val="center"/>
          </w:tcPr>
          <w:p w14:paraId="39054BDE" w14:textId="77777777" w:rsidR="00E306DD" w:rsidRPr="003E5AC2" w:rsidRDefault="00E306DD" w:rsidP="00376A5C">
            <w:pPr>
              <w:pStyle w:val="BodyText"/>
              <w:spacing w:before="120" w:after="0"/>
              <w:ind w:left="113" w:right="113"/>
              <w:jc w:val="center"/>
            </w:pPr>
            <w:r>
              <w:t>Previous legislation</w:t>
            </w:r>
          </w:p>
        </w:tc>
        <w:tc>
          <w:tcPr>
            <w:tcW w:w="1134" w:type="dxa"/>
            <w:tcBorders>
              <w:right w:val="nil"/>
            </w:tcBorders>
            <w:textDirection w:val="btLr"/>
            <w:vAlign w:val="center"/>
          </w:tcPr>
          <w:p w14:paraId="1B3C56BF" w14:textId="77777777" w:rsidR="00E306DD" w:rsidRPr="003E5AC2" w:rsidRDefault="00E306DD" w:rsidP="00376A5C">
            <w:pPr>
              <w:pStyle w:val="BodyText"/>
              <w:spacing w:before="120" w:after="0"/>
              <w:ind w:left="113" w:right="113"/>
              <w:jc w:val="center"/>
            </w:pPr>
          </w:p>
        </w:tc>
        <w:tc>
          <w:tcPr>
            <w:tcW w:w="5812" w:type="dxa"/>
            <w:tcBorders>
              <w:left w:val="nil"/>
            </w:tcBorders>
            <w:vAlign w:val="center"/>
          </w:tcPr>
          <w:p w14:paraId="74D8A1B8" w14:textId="77777777" w:rsidR="00E306DD" w:rsidRDefault="00E306DD" w:rsidP="00376A5C">
            <w:pPr>
              <w:pStyle w:val="BodyText"/>
              <w:spacing w:before="120" w:after="0"/>
              <w:ind w:left="317" w:hanging="317"/>
              <w:rPr>
                <w:lang w:val="fr-FR"/>
              </w:rPr>
            </w:pPr>
            <w:sdt>
              <w:sdtPr>
                <w:rPr>
                  <w:szCs w:val="24"/>
                  <w:lang w:val="fr-BE"/>
                </w:rPr>
                <w:id w:val="2022975554"/>
                <w14:checkbox>
                  <w14:checked w14:val="0"/>
                  <w14:checkedState w14:val="2612" w14:font="MS Gothic"/>
                  <w14:uncheckedState w14:val="2610" w14:font="MS Gothic"/>
                </w14:checkbox>
              </w:sdtPr>
              <w:sdtContent>
                <w:r w:rsidRPr="006513B1">
                  <w:rPr>
                    <w:rFonts w:ascii="MS Gothic" w:eastAsia="MS Gothic" w:hAnsi="MS Gothic" w:hint="eastAsia"/>
                    <w:szCs w:val="24"/>
                    <w:lang w:val="fr-BE"/>
                  </w:rPr>
                  <w:t>☐</w:t>
                </w:r>
              </w:sdtContent>
            </w:sdt>
            <w:r w:rsidRPr="0048058C">
              <w:rPr>
                <w:lang w:val="fr-BE"/>
              </w:rPr>
              <w:t xml:space="preserve"> </w:t>
            </w:r>
            <w:r w:rsidRPr="006C0A2C">
              <w:rPr>
                <w:lang w:val="fr-FR"/>
              </w:rPr>
              <w:t>Dangerous substances Directive</w:t>
            </w:r>
          </w:p>
          <w:p w14:paraId="35C102DC" w14:textId="77777777" w:rsidR="00E306DD" w:rsidRPr="0048058C" w:rsidRDefault="00E306DD" w:rsidP="00376A5C">
            <w:pPr>
              <w:pStyle w:val="BodyText"/>
              <w:spacing w:before="120" w:after="0"/>
              <w:ind w:left="317"/>
              <w:rPr>
                <w:lang w:val="fr-BE"/>
              </w:rPr>
            </w:pPr>
            <w:r>
              <w:rPr>
                <w:lang w:val="fr-FR"/>
              </w:rPr>
              <w:t xml:space="preserve"> Directive</w:t>
            </w:r>
            <w:r w:rsidRPr="006C0A2C">
              <w:rPr>
                <w:lang w:val="fr-FR"/>
              </w:rPr>
              <w:t xml:space="preserve"> 67/548/EEC (NONS)</w:t>
            </w:r>
          </w:p>
        </w:tc>
      </w:tr>
      <w:tr w:rsidR="00E306DD" w:rsidRPr="00037AE8" w14:paraId="475BEB08" w14:textId="77777777" w:rsidTr="00376A5C">
        <w:trPr>
          <w:cantSplit/>
          <w:trHeight w:val="646"/>
        </w:trPr>
        <w:tc>
          <w:tcPr>
            <w:tcW w:w="1384" w:type="dxa"/>
            <w:vMerge/>
            <w:textDirection w:val="btLr"/>
            <w:vAlign w:val="center"/>
          </w:tcPr>
          <w:p w14:paraId="77D11568" w14:textId="77777777" w:rsidR="00E306DD" w:rsidRPr="0048058C" w:rsidRDefault="00E306DD" w:rsidP="00376A5C">
            <w:pPr>
              <w:pStyle w:val="BodyText"/>
              <w:spacing w:before="120" w:after="0"/>
              <w:ind w:left="113" w:right="113"/>
              <w:jc w:val="center"/>
              <w:rPr>
                <w:lang w:val="fr-BE"/>
              </w:rPr>
            </w:pPr>
          </w:p>
        </w:tc>
        <w:tc>
          <w:tcPr>
            <w:tcW w:w="1134" w:type="dxa"/>
            <w:tcBorders>
              <w:right w:val="nil"/>
            </w:tcBorders>
            <w:textDirection w:val="btLr"/>
            <w:vAlign w:val="center"/>
          </w:tcPr>
          <w:p w14:paraId="2B2F320A" w14:textId="77777777" w:rsidR="00E306DD" w:rsidRPr="0048058C" w:rsidRDefault="00E306DD" w:rsidP="00376A5C">
            <w:pPr>
              <w:pStyle w:val="BodyText"/>
              <w:spacing w:before="120" w:after="0"/>
              <w:ind w:left="113" w:right="113"/>
              <w:jc w:val="center"/>
              <w:rPr>
                <w:lang w:val="fr-BE"/>
              </w:rPr>
            </w:pPr>
          </w:p>
        </w:tc>
        <w:tc>
          <w:tcPr>
            <w:tcW w:w="5812" w:type="dxa"/>
            <w:tcBorders>
              <w:left w:val="nil"/>
            </w:tcBorders>
            <w:vAlign w:val="center"/>
          </w:tcPr>
          <w:p w14:paraId="4C9F7BD4" w14:textId="77777777" w:rsidR="00E306DD" w:rsidRDefault="00E306DD" w:rsidP="00376A5C">
            <w:pPr>
              <w:pStyle w:val="BodyText"/>
              <w:spacing w:before="120" w:after="0"/>
              <w:ind w:left="317" w:hanging="317"/>
            </w:pPr>
            <w:sdt>
              <w:sdtPr>
                <w:rPr>
                  <w:szCs w:val="24"/>
                </w:rPr>
                <w:id w:val="983901159"/>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sidRPr="00404EE1">
              <w:t xml:space="preserve"> Existing Substances Regulation</w:t>
            </w:r>
          </w:p>
          <w:p w14:paraId="1D5E57D3" w14:textId="77777777" w:rsidR="00E306DD" w:rsidRPr="00404EE1" w:rsidRDefault="00E306DD" w:rsidP="00376A5C">
            <w:pPr>
              <w:pStyle w:val="BodyText"/>
              <w:spacing w:before="120" w:after="0"/>
              <w:ind w:left="317"/>
            </w:pPr>
            <w:r>
              <w:t xml:space="preserve"> Regulation</w:t>
            </w:r>
            <w:r w:rsidRPr="00404EE1">
              <w:t xml:space="preserve"> 793/93/EEC</w:t>
            </w:r>
            <w:r>
              <w:t xml:space="preserve"> (RAR/RRS)   </w:t>
            </w:r>
          </w:p>
        </w:tc>
      </w:tr>
      <w:tr w:rsidR="00E306DD" w:rsidRPr="00037AE8" w14:paraId="71D19F4E" w14:textId="77777777" w:rsidTr="00376A5C">
        <w:trPr>
          <w:cantSplit/>
          <w:trHeight w:val="1000"/>
        </w:trPr>
        <w:tc>
          <w:tcPr>
            <w:tcW w:w="1384" w:type="dxa"/>
            <w:vMerge w:val="restart"/>
            <w:textDirection w:val="btLr"/>
            <w:vAlign w:val="center"/>
          </w:tcPr>
          <w:p w14:paraId="2C546048" w14:textId="77777777" w:rsidR="00E306DD" w:rsidRPr="00C220E5" w:rsidRDefault="00E306DD" w:rsidP="00376A5C">
            <w:pPr>
              <w:pStyle w:val="BodyText"/>
              <w:spacing w:before="120" w:after="0"/>
              <w:ind w:left="113" w:right="113"/>
              <w:jc w:val="center"/>
            </w:pPr>
            <w:r w:rsidRPr="00C220E5">
              <w:t>(UNEP) Stockholm convention (POPs Protocol)</w:t>
            </w:r>
          </w:p>
        </w:tc>
        <w:tc>
          <w:tcPr>
            <w:tcW w:w="1134" w:type="dxa"/>
            <w:tcBorders>
              <w:right w:val="nil"/>
            </w:tcBorders>
            <w:textDirection w:val="btLr"/>
            <w:vAlign w:val="center"/>
          </w:tcPr>
          <w:p w14:paraId="3BFE83D9" w14:textId="77777777" w:rsidR="00E306DD" w:rsidRPr="00C220E5" w:rsidRDefault="00E306DD" w:rsidP="00376A5C">
            <w:pPr>
              <w:pStyle w:val="BodyText"/>
              <w:spacing w:before="120" w:after="0"/>
              <w:ind w:left="113" w:right="113"/>
              <w:jc w:val="center"/>
            </w:pPr>
          </w:p>
        </w:tc>
        <w:tc>
          <w:tcPr>
            <w:tcW w:w="5812" w:type="dxa"/>
            <w:tcBorders>
              <w:left w:val="nil"/>
            </w:tcBorders>
            <w:vAlign w:val="center"/>
          </w:tcPr>
          <w:p w14:paraId="2E14DF92" w14:textId="77777777" w:rsidR="00E306DD" w:rsidRPr="00404EE1" w:rsidRDefault="00E306DD" w:rsidP="00376A5C">
            <w:pPr>
              <w:pStyle w:val="BodyText"/>
              <w:spacing w:before="120" w:after="0"/>
            </w:pPr>
            <w:sdt>
              <w:sdtPr>
                <w:rPr>
                  <w:szCs w:val="24"/>
                </w:rPr>
                <w:id w:val="1125200805"/>
                <w14:checkbox>
                  <w14:checked w14:val="0"/>
                  <w14:checkedState w14:val="2612" w14:font="MS Gothic"/>
                  <w14:uncheckedState w14:val="2610" w14:font="MS Gothic"/>
                </w14:checkbox>
              </w:sdtPr>
              <w:sdtContent>
                <w:r w:rsidRPr="005C7C49">
                  <w:rPr>
                    <w:rFonts w:ascii="MS Gothic" w:eastAsia="MS Gothic" w:hAnsi="MS Gothic" w:cs="MS Gothic" w:hint="eastAsia"/>
                    <w:szCs w:val="24"/>
                  </w:rPr>
                  <w:t>☐</w:t>
                </w:r>
              </w:sdtContent>
            </w:sdt>
            <w:r w:rsidRPr="00404EE1">
              <w:t xml:space="preserve"> </w:t>
            </w:r>
            <w:r>
              <w:t xml:space="preserve">Assessment   </w:t>
            </w:r>
          </w:p>
        </w:tc>
      </w:tr>
      <w:tr w:rsidR="00E306DD" w:rsidRPr="00037AE8" w14:paraId="243E9BD7" w14:textId="77777777" w:rsidTr="00376A5C">
        <w:trPr>
          <w:cantSplit/>
          <w:trHeight w:val="692"/>
        </w:trPr>
        <w:tc>
          <w:tcPr>
            <w:tcW w:w="1384" w:type="dxa"/>
            <w:vMerge/>
            <w:textDirection w:val="btLr"/>
            <w:vAlign w:val="center"/>
          </w:tcPr>
          <w:p w14:paraId="11D9672E" w14:textId="77777777" w:rsidR="00E306DD" w:rsidRPr="0048058C" w:rsidRDefault="00E306DD" w:rsidP="00376A5C">
            <w:pPr>
              <w:pStyle w:val="BodyText"/>
              <w:spacing w:before="120" w:after="0"/>
              <w:ind w:left="113" w:right="113"/>
              <w:jc w:val="center"/>
            </w:pPr>
          </w:p>
        </w:tc>
        <w:tc>
          <w:tcPr>
            <w:tcW w:w="1134" w:type="dxa"/>
            <w:tcBorders>
              <w:right w:val="nil"/>
            </w:tcBorders>
            <w:textDirection w:val="btLr"/>
            <w:vAlign w:val="center"/>
          </w:tcPr>
          <w:p w14:paraId="5C57FC24" w14:textId="77777777" w:rsidR="00E306DD" w:rsidRPr="0048058C" w:rsidRDefault="00E306DD" w:rsidP="00376A5C">
            <w:pPr>
              <w:pStyle w:val="BodyText"/>
              <w:spacing w:before="120"/>
              <w:ind w:left="113" w:right="113"/>
              <w:jc w:val="center"/>
            </w:pPr>
          </w:p>
        </w:tc>
        <w:tc>
          <w:tcPr>
            <w:tcW w:w="5812" w:type="dxa"/>
            <w:tcBorders>
              <w:left w:val="nil"/>
            </w:tcBorders>
            <w:vAlign w:val="center"/>
          </w:tcPr>
          <w:p w14:paraId="3670E644" w14:textId="77777777" w:rsidR="00E306DD" w:rsidRPr="00404EE1" w:rsidRDefault="00E306DD" w:rsidP="00376A5C">
            <w:pPr>
              <w:pStyle w:val="BodyText"/>
              <w:spacing w:before="120"/>
            </w:pPr>
            <w:sdt>
              <w:sdtPr>
                <w:rPr>
                  <w:szCs w:val="24"/>
                </w:rPr>
                <w:id w:val="689656449"/>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sidRPr="00404EE1">
              <w:t xml:space="preserve"> </w:t>
            </w:r>
            <w:r>
              <w:t xml:space="preserve">In relevant Annex </w:t>
            </w:r>
          </w:p>
        </w:tc>
      </w:tr>
      <w:tr w:rsidR="00E306DD" w:rsidRPr="00037AE8" w14:paraId="6953C969" w14:textId="77777777" w:rsidTr="00376A5C">
        <w:trPr>
          <w:cantSplit/>
          <w:trHeight w:val="1431"/>
        </w:trPr>
        <w:tc>
          <w:tcPr>
            <w:tcW w:w="1384" w:type="dxa"/>
            <w:textDirection w:val="btLr"/>
            <w:vAlign w:val="center"/>
          </w:tcPr>
          <w:p w14:paraId="10ED587B" w14:textId="77777777" w:rsidR="00E306DD" w:rsidRPr="0048058C" w:rsidRDefault="00E306DD" w:rsidP="00376A5C">
            <w:pPr>
              <w:pStyle w:val="BodyText"/>
              <w:spacing w:before="120" w:after="0"/>
              <w:ind w:left="113" w:right="113"/>
              <w:jc w:val="center"/>
            </w:pPr>
            <w:r>
              <w:t>Other processes/ EU legislation</w:t>
            </w:r>
          </w:p>
        </w:tc>
        <w:tc>
          <w:tcPr>
            <w:tcW w:w="1134" w:type="dxa"/>
            <w:tcBorders>
              <w:right w:val="nil"/>
            </w:tcBorders>
            <w:textDirection w:val="btLr"/>
            <w:vAlign w:val="center"/>
          </w:tcPr>
          <w:p w14:paraId="7C682432" w14:textId="77777777" w:rsidR="00E306DD" w:rsidRPr="0048058C" w:rsidRDefault="00E306DD" w:rsidP="00376A5C">
            <w:pPr>
              <w:pStyle w:val="BodyText"/>
              <w:spacing w:before="120"/>
              <w:ind w:left="113" w:right="113"/>
              <w:jc w:val="center"/>
            </w:pPr>
          </w:p>
        </w:tc>
        <w:tc>
          <w:tcPr>
            <w:tcW w:w="5812" w:type="dxa"/>
            <w:tcBorders>
              <w:left w:val="nil"/>
            </w:tcBorders>
            <w:vAlign w:val="center"/>
          </w:tcPr>
          <w:p w14:paraId="4241973D" w14:textId="77777777" w:rsidR="00E306DD" w:rsidRPr="00404EE1" w:rsidRDefault="00E306DD" w:rsidP="00376A5C">
            <w:pPr>
              <w:pStyle w:val="BodyText"/>
              <w:spacing w:before="120"/>
            </w:pPr>
            <w:sdt>
              <w:sdtPr>
                <w:rPr>
                  <w:szCs w:val="24"/>
                </w:rPr>
                <w:id w:val="-1936583114"/>
                <w14:checkbox>
                  <w14:checked w14:val="1"/>
                  <w14:checkedState w14:val="2612" w14:font="MS Gothic"/>
                  <w14:uncheckedState w14:val="2610" w14:font="MS Gothic"/>
                </w14:checkbox>
              </w:sdtPr>
              <w:sdtContent>
                <w:r>
                  <w:rPr>
                    <w:rFonts w:ascii="MS Gothic" w:eastAsia="MS Gothic" w:hAnsi="MS Gothic" w:hint="eastAsia"/>
                    <w:szCs w:val="24"/>
                  </w:rPr>
                  <w:t>☒</w:t>
                </w:r>
              </w:sdtContent>
            </w:sdt>
            <w:r w:rsidRPr="00404EE1">
              <w:t xml:space="preserve"> </w:t>
            </w:r>
            <w:r w:rsidRPr="001D1FDB">
              <w:t>Other</w:t>
            </w:r>
            <w:r>
              <w:t xml:space="preserve"> </w:t>
            </w:r>
            <w:r w:rsidRPr="001D1FDB">
              <w:t>(provide further details below)</w:t>
            </w:r>
          </w:p>
        </w:tc>
      </w:tr>
    </w:tbl>
    <w:p w14:paraId="1216718E" w14:textId="77777777" w:rsidR="00E306DD" w:rsidRDefault="00E306DD" w:rsidP="00E306DD">
      <w:pPr>
        <w:pStyle w:val="BodyText"/>
      </w:pPr>
      <w:r>
        <w:lastRenderedPageBreak/>
        <w:t xml:space="preserve">Remarks on </w:t>
      </w:r>
      <w:r>
        <w:fldChar w:fldCharType="begin"/>
      </w:r>
      <w:r>
        <w:instrText xml:space="preserve"> REF _Ref430762260 \h  \* MERGEFORMAT </w:instrText>
      </w:r>
      <w:r>
        <w:fldChar w:fldCharType="separate"/>
      </w:r>
      <w:r w:rsidRPr="00EB51D3">
        <w:t>Table 2</w:t>
      </w:r>
      <w:r>
        <w:fldChar w:fldCharType="end"/>
      </w:r>
      <w:r>
        <w:t>:</w:t>
      </w:r>
    </w:p>
    <w:p w14:paraId="020EFED9" w14:textId="77777777" w:rsidR="00E306DD" w:rsidRDefault="00E306DD" w:rsidP="00E306DD">
      <w:pPr>
        <w:pStyle w:val="Heading3"/>
        <w:keepLines w:val="0"/>
        <w:widowControl/>
        <w:numPr>
          <w:ilvl w:val="2"/>
          <w:numId w:val="0"/>
        </w:numPr>
        <w:tabs>
          <w:tab w:val="left" w:pos="839"/>
          <w:tab w:val="num" w:pos="1077"/>
        </w:tabs>
        <w:spacing w:before="360" w:after="200"/>
        <w:ind w:left="1077" w:hanging="1077"/>
      </w:pPr>
      <w:r>
        <w:t>Restriction proposal</w:t>
      </w:r>
    </w:p>
    <w:p w14:paraId="14538F65" w14:textId="77777777" w:rsidR="00E306DD" w:rsidRPr="00366DF7" w:rsidRDefault="00E306DD" w:rsidP="00E306DD">
      <w:pPr>
        <w:pStyle w:val="BodyText"/>
      </w:pPr>
      <w:r>
        <w:t xml:space="preserve">ECHA is currently developing a proposal for restricting CMRS substances in tattoos and permanent make-up. Submission of the proposal is expected </w:t>
      </w:r>
      <w:proofErr w:type="spellStart"/>
      <w:r>
        <w:t>medio</w:t>
      </w:r>
      <w:proofErr w:type="spellEnd"/>
      <w:r>
        <w:t xml:space="preserve"> 2017. The Swedish Competent Authority on REACH is developing a restriction proposal for skin sensitizers in textile.</w:t>
      </w:r>
    </w:p>
    <w:p w14:paraId="64B0D0E3" w14:textId="77777777" w:rsidR="00E306DD" w:rsidRDefault="00E306DD" w:rsidP="00E306DD">
      <w:pPr>
        <w:pStyle w:val="Heading3"/>
        <w:keepLines w:val="0"/>
        <w:widowControl/>
        <w:numPr>
          <w:ilvl w:val="2"/>
          <w:numId w:val="0"/>
        </w:numPr>
        <w:tabs>
          <w:tab w:val="left" w:pos="839"/>
          <w:tab w:val="num" w:pos="1077"/>
        </w:tabs>
        <w:spacing w:before="360" w:after="200"/>
        <w:ind w:left="1077" w:hanging="1077"/>
      </w:pPr>
      <w:r>
        <w:t>Testing proposal</w:t>
      </w:r>
    </w:p>
    <w:p w14:paraId="6E4A71F9" w14:textId="77777777" w:rsidR="00E306DD" w:rsidRPr="009F03AE" w:rsidRDefault="00E306DD" w:rsidP="00E306DD">
      <w:proofErr w:type="gramStart"/>
      <w:r>
        <w:t xml:space="preserve">Testing proposal for </w:t>
      </w:r>
      <w:r w:rsidRPr="002258E8">
        <w:t xml:space="preserve">Long-term toxicity testing </w:t>
      </w:r>
      <w:r>
        <w:t>in</w:t>
      </w:r>
      <w:r w:rsidRPr="002258E8">
        <w:t xml:space="preserve"> fish</w:t>
      </w:r>
      <w:r>
        <w:t>.</w:t>
      </w:r>
      <w:proofErr w:type="gramEnd"/>
      <w:r>
        <w:t xml:space="preserve"> Deadline for submitting the information was 14/03/2011. </w:t>
      </w:r>
      <w:proofErr w:type="gramStart"/>
      <w:r>
        <w:t>No dossier nor</w:t>
      </w:r>
      <w:proofErr w:type="gramEnd"/>
      <w:r>
        <w:t xml:space="preserve"> any other information was available on the ECHA home page.</w:t>
      </w:r>
    </w:p>
    <w:p w14:paraId="390351AC" w14:textId="77777777" w:rsidR="00E306DD" w:rsidRDefault="00E306DD" w:rsidP="00E306DD">
      <w:r>
        <w:t xml:space="preserve">The </w:t>
      </w:r>
      <w:r w:rsidRPr="009F03AE">
        <w:t xml:space="preserve">Registrant proposes to conduct acute and chronic studies in </w:t>
      </w:r>
      <w:r w:rsidRPr="009F03AE">
        <w:rPr>
          <w:i/>
        </w:rPr>
        <w:t>Daphnia</w:t>
      </w:r>
      <w:r w:rsidRPr="009F03AE">
        <w:t xml:space="preserve"> first as well as in algae (see testing proposals for acute and chronic toxicity to aquatic invertebrates and testing proposals for toxicity to aquatic algae</w:t>
      </w:r>
      <w:r>
        <w:t>)</w:t>
      </w:r>
      <w:r w:rsidRPr="009F03AE">
        <w:t>, under conditions in which the concentration of PPD is kept as constant as possible. A fully validated analytical method is under development for that purpose</w:t>
      </w:r>
      <w:r>
        <w:t xml:space="preserve">. It is stated </w:t>
      </w:r>
      <w:proofErr w:type="gramStart"/>
      <w:r>
        <w:t>that  “</w:t>
      </w:r>
      <w:proofErr w:type="gramEnd"/>
      <w:r w:rsidRPr="009F03AE">
        <w:rPr>
          <w:i/>
        </w:rPr>
        <w:t>It may be possible to demonstrate with the outcome of this study and the existing data that fish are not the most sensitive trophic level and that chronic fish studies are not required</w:t>
      </w:r>
      <w:r>
        <w:rPr>
          <w:i/>
        </w:rPr>
        <w:t>”</w:t>
      </w:r>
      <w:r w:rsidRPr="009F03AE">
        <w:t xml:space="preserve">. </w:t>
      </w:r>
      <w:proofErr w:type="gramStart"/>
      <w:r w:rsidRPr="009F03AE">
        <w:t xml:space="preserve">This would be in accordance with the Guidance on information requirements and chemical safety assessment chapter R.10: Characterisation of dose </w:t>
      </w:r>
      <w:r>
        <w:t xml:space="preserve"> [</w:t>
      </w:r>
      <w:r w:rsidRPr="009F03AE">
        <w:t xml:space="preserve">concentration]-response for environment and table R.10-4 assessment factors to derive a </w:t>
      </w:r>
      <w:proofErr w:type="spellStart"/>
      <w:r w:rsidRPr="009F03AE">
        <w:t>PNEC</w:t>
      </w:r>
      <w:r w:rsidRPr="003B2AFF">
        <w:rPr>
          <w:vertAlign w:val="subscript"/>
        </w:rPr>
        <w:t>aquatic</w:t>
      </w:r>
      <w:proofErr w:type="spellEnd"/>
      <w:r w:rsidRPr="009F03AE">
        <w:t xml:space="preserve"> will be used: “if it is possible to determine with high probability that the most sensitive species has been examined, i.e. that a further long-term result from a different taxonomic group would not be lower than the data already available, a third NOEC will not need to be determined in those circumstances, a factor of 10 applied to the lowest long term result (e.g. EC10 or NOECs) from only two species is also appropriate”.</w:t>
      </w:r>
      <w:proofErr w:type="gramEnd"/>
      <w:r>
        <w:t xml:space="preserve"> </w:t>
      </w:r>
      <w:r w:rsidRPr="009F03AE">
        <w:t>If the planned studies show that this is indeed the case,</w:t>
      </w:r>
      <w:r>
        <w:t xml:space="preserve"> the registrant </w:t>
      </w:r>
      <w:r w:rsidRPr="009F03AE">
        <w:t>will ask ECHA to deny permission for this chronic fish study</w:t>
      </w:r>
      <w:r>
        <w:t>.</w:t>
      </w:r>
    </w:p>
    <w:p w14:paraId="4F6102D5" w14:textId="77777777" w:rsidR="00E306DD" w:rsidRPr="009F03AE" w:rsidRDefault="00E306DD" w:rsidP="00E306DD">
      <w:pPr>
        <w:pStyle w:val="Heading3"/>
        <w:keepLines w:val="0"/>
        <w:widowControl/>
        <w:numPr>
          <w:ilvl w:val="2"/>
          <w:numId w:val="0"/>
        </w:numPr>
        <w:tabs>
          <w:tab w:val="left" w:pos="839"/>
          <w:tab w:val="num" w:pos="1077"/>
        </w:tabs>
        <w:spacing w:before="360" w:after="200"/>
        <w:ind w:left="1077" w:hanging="1077"/>
      </w:pPr>
      <w:r>
        <w:t>Other regulations</w:t>
      </w:r>
    </w:p>
    <w:p w14:paraId="57B68CEE" w14:textId="77777777" w:rsidR="00E306DD" w:rsidRPr="00A54EE6" w:rsidRDefault="00E306DD" w:rsidP="00E306DD">
      <w:pPr>
        <w:pStyle w:val="Heading4"/>
        <w:keepLines w:val="0"/>
        <w:widowControl/>
        <w:numPr>
          <w:ilvl w:val="3"/>
          <w:numId w:val="0"/>
        </w:numPr>
        <w:tabs>
          <w:tab w:val="left" w:pos="839"/>
          <w:tab w:val="num" w:pos="1077"/>
        </w:tabs>
        <w:spacing w:before="360" w:after="200"/>
        <w:ind w:left="1077" w:hanging="1077"/>
        <w:rPr>
          <w:rFonts w:eastAsia="Arial Unicode MS"/>
        </w:rPr>
      </w:pPr>
      <w:r w:rsidRPr="00A54EE6">
        <w:rPr>
          <w:rFonts w:eastAsia="Arial Unicode MS"/>
        </w:rPr>
        <w:t>Cosmetics regulation (EC) no. 1223/2009</w:t>
      </w:r>
    </w:p>
    <w:p w14:paraId="1149615A" w14:textId="77777777" w:rsidR="00E306DD" w:rsidRDefault="00E306DD" w:rsidP="00E306DD">
      <w:r>
        <w:t>In the Cosmetics R</w:t>
      </w:r>
      <w:r w:rsidRPr="009F03AE">
        <w:t>egulation (EC) no. 1223/2009</w:t>
      </w:r>
      <w:proofErr w:type="gramStart"/>
      <w:r w:rsidRPr="009F03AE">
        <w:t>,  p</w:t>
      </w:r>
      <w:proofErr w:type="gramEnd"/>
      <w:r w:rsidRPr="009F03AE">
        <w:t>-</w:t>
      </w:r>
      <w:proofErr w:type="spellStart"/>
      <w:r w:rsidRPr="009F03AE">
        <w:t>phenylenediamine</w:t>
      </w:r>
      <w:proofErr w:type="spellEnd"/>
      <w:r w:rsidRPr="009F03AE">
        <w:t xml:space="preserve"> is mentioned in ANNEX III</w:t>
      </w:r>
      <w:r>
        <w:t>, entry 8:</w:t>
      </w:r>
      <w:r w:rsidRPr="009F03AE">
        <w:t xml:space="preserve"> List of substances which cosmetic products must not contain except subject to the restriction laid down.</w:t>
      </w:r>
      <w:r>
        <w:t xml:space="preserve"> Entry 8 suggests that p-</w:t>
      </w:r>
      <w:proofErr w:type="spellStart"/>
      <w:r>
        <w:t>phenylene</w:t>
      </w:r>
      <w:proofErr w:type="spellEnd"/>
      <w:r>
        <w:t xml:space="preserve"> diamine is not allowed for use in cosmetics other than the </w:t>
      </w:r>
      <w:proofErr w:type="spellStart"/>
      <w:r>
        <w:t>onces</w:t>
      </w:r>
      <w:proofErr w:type="spellEnd"/>
      <w:r>
        <w:t xml:space="preserve"> </w:t>
      </w:r>
      <w:proofErr w:type="spellStart"/>
      <w:r>
        <w:t>indentified</w:t>
      </w:r>
      <w:proofErr w:type="spellEnd"/>
      <w:r>
        <w:t xml:space="preserve"> below. Article </w:t>
      </w:r>
      <w:proofErr w:type="gramStart"/>
      <w:r>
        <w:t>2(</w:t>
      </w:r>
      <w:proofErr w:type="gramEnd"/>
      <w:r>
        <w:t>1a) and 2(1b) of this Regulation defines a cosmetic product as:</w:t>
      </w:r>
    </w:p>
    <w:p w14:paraId="472879D5" w14:textId="77777777" w:rsidR="00E306DD" w:rsidRDefault="00E306DD" w:rsidP="00E306DD">
      <w:pPr>
        <w:pStyle w:val="BodyText"/>
        <w:rPr>
          <w:i/>
          <w:lang w:val="en-US"/>
        </w:rPr>
      </w:pPr>
      <w:proofErr w:type="gramStart"/>
      <w:r>
        <w:rPr>
          <w:i/>
          <w:lang w:val="en-US"/>
        </w:rPr>
        <w:t xml:space="preserve">2(1a) </w:t>
      </w:r>
      <w:r w:rsidRPr="00FB5B83">
        <w:rPr>
          <w:i/>
          <w:lang w:val="en-US"/>
        </w:rPr>
        <w:t xml:space="preserve">‘cosmetic product’ means any substance or mixture intended to be placed in contact with the external parts of the human body (epidermis, hair system, nails, lips and external genital organs) or with the teeth and the mucous membranes of the oral cavity with a view exclusively or mainly to cleaning them, perfuming them, changing their appearance, protecting them, keeping them in good condition or correcting body </w:t>
      </w:r>
      <w:proofErr w:type="spellStart"/>
      <w:r w:rsidRPr="00FB5B83">
        <w:rPr>
          <w:i/>
          <w:lang w:val="en-US"/>
        </w:rPr>
        <w:t>odours</w:t>
      </w:r>
      <w:proofErr w:type="spellEnd"/>
      <w:r w:rsidRPr="00FB5B83">
        <w:rPr>
          <w:i/>
          <w:lang w:val="en-US"/>
        </w:rPr>
        <w:t>;</w:t>
      </w:r>
      <w:proofErr w:type="gramEnd"/>
    </w:p>
    <w:p w14:paraId="76D6CCCC" w14:textId="77777777" w:rsidR="00E306DD" w:rsidRPr="00FB5B83" w:rsidRDefault="00E306DD" w:rsidP="00E306DD">
      <w:pPr>
        <w:pStyle w:val="BodyText"/>
        <w:rPr>
          <w:i/>
        </w:rPr>
      </w:pPr>
      <w:r>
        <w:rPr>
          <w:i/>
          <w:lang w:val="en-US"/>
        </w:rPr>
        <w:t xml:space="preserve">2(1b) </w:t>
      </w:r>
      <w:r w:rsidRPr="00FB5B83">
        <w:rPr>
          <w:i/>
        </w:rPr>
        <w:t>‘substance’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297BA7F2" w14:textId="77777777" w:rsidR="00E306DD" w:rsidRDefault="00E306DD" w:rsidP="00E306DD">
      <w:r>
        <w:t xml:space="preserve">It </w:t>
      </w:r>
      <w:proofErr w:type="gramStart"/>
      <w:r>
        <w:t>is furthermore stated</w:t>
      </w:r>
      <w:proofErr w:type="gramEnd"/>
      <w:r>
        <w:t xml:space="preserve"> under (8) of the Regulation that:</w:t>
      </w:r>
    </w:p>
    <w:p w14:paraId="07E6AFBB" w14:textId="77777777" w:rsidR="00E306DD" w:rsidRPr="00FB5B83" w:rsidRDefault="00E306DD" w:rsidP="00E306DD">
      <w:pPr>
        <w:pStyle w:val="BodyText"/>
        <w:rPr>
          <w:i/>
          <w:lang w:val="en-US"/>
        </w:rPr>
      </w:pPr>
      <w:r w:rsidRPr="00FB5B83">
        <w:rPr>
          <w:i/>
          <w:lang w:val="en-US"/>
        </w:rPr>
        <w:t xml:space="preserve">The Commission should define the categories of cosmetic </w:t>
      </w:r>
      <w:proofErr w:type="gramStart"/>
      <w:r w:rsidRPr="00FB5B83">
        <w:rPr>
          <w:i/>
          <w:lang w:val="en-US"/>
        </w:rPr>
        <w:t>products which</w:t>
      </w:r>
      <w:proofErr w:type="gramEnd"/>
      <w:r w:rsidRPr="00FB5B83">
        <w:rPr>
          <w:i/>
          <w:lang w:val="en-US"/>
        </w:rPr>
        <w:t xml:space="preserve"> are relevant for </w:t>
      </w:r>
      <w:r w:rsidRPr="00FB5B83">
        <w:rPr>
          <w:i/>
          <w:lang w:val="en-US"/>
        </w:rPr>
        <w:lastRenderedPageBreak/>
        <w:t>the application of this Regulation.</w:t>
      </w:r>
    </w:p>
    <w:p w14:paraId="37F050FB" w14:textId="77777777" w:rsidR="00E306DD" w:rsidRPr="009F03AE" w:rsidRDefault="00E306DD" w:rsidP="00E306DD">
      <w:r>
        <w:t>(Black) Henna tattoos are not mentioned in the list of possible cosmetic products included under (7) of the Regulation. The manual on borderline cases for cosmetic products (2017)</w:t>
      </w:r>
      <w:r>
        <w:rPr>
          <w:rStyle w:val="FootnoteReference"/>
        </w:rPr>
        <w:footnoteReference w:id="3"/>
      </w:r>
      <w:r>
        <w:t xml:space="preserve"> makes note of washable, temporary tattoos (section 1.5) suggesting that these might meet the criteria for being a cosmetic product. Consultation of the Dutch Authority for food and product safety learns that (Black) Henna Tattoos indeed meet the criteria of a cosmetic product as line out under article 2(1a) and are to be considered as such. By Annex III, entry 8 of the Regulation does imply that p-</w:t>
      </w:r>
      <w:proofErr w:type="spellStart"/>
      <w:r>
        <w:t>phenylene</w:t>
      </w:r>
      <w:proofErr w:type="spellEnd"/>
      <w:r>
        <w:t xml:space="preserve"> diamine </w:t>
      </w:r>
      <w:proofErr w:type="gramStart"/>
      <w:r>
        <w:t>is not allowed</w:t>
      </w:r>
      <w:proofErr w:type="gramEnd"/>
      <w:r>
        <w:t xml:space="preserve"> for use in temporary tattoos like e.g. (black) Henna tattoos.</w:t>
      </w:r>
    </w:p>
    <w:p w14:paraId="435616FE" w14:textId="77777777" w:rsidR="00141098" w:rsidRDefault="00141098" w:rsidP="00E306DD">
      <w:pPr>
        <w:pStyle w:val="Subtitle"/>
      </w:pPr>
    </w:p>
    <w:p w14:paraId="195F81EE" w14:textId="77777777" w:rsidR="00E306DD" w:rsidRDefault="00E306DD" w:rsidP="00E306DD">
      <w:pPr>
        <w:pStyle w:val="Subtitle"/>
      </w:pPr>
      <w:r>
        <w:t>Hair dye in oxidative hair products, Annex III entry 8a</w:t>
      </w:r>
    </w:p>
    <w:p w14:paraId="00084BA6" w14:textId="77777777" w:rsidR="00E306DD" w:rsidRPr="009F03AE" w:rsidRDefault="00E306DD" w:rsidP="00E306DD">
      <w:proofErr w:type="gramStart"/>
      <w:r w:rsidRPr="009F03AE">
        <w:t>Thus</w:t>
      </w:r>
      <w:proofErr w:type="gramEnd"/>
      <w:r w:rsidRPr="009F03AE">
        <w:t xml:space="preserve"> the use of p-</w:t>
      </w:r>
      <w:proofErr w:type="spellStart"/>
      <w:r w:rsidRPr="009F03AE">
        <w:t>phenylenediamine</w:t>
      </w:r>
      <w:proofErr w:type="spellEnd"/>
      <w:r w:rsidRPr="009F03AE">
        <w:t xml:space="preserve"> and its salts is restricted to</w:t>
      </w:r>
      <w:r>
        <w:t xml:space="preserve"> h</w:t>
      </w:r>
      <w:r w:rsidRPr="0086033D">
        <w:t>air dye substance in oxidative hair dye</w:t>
      </w:r>
      <w:r w:rsidRPr="009F03AE">
        <w:t xml:space="preserve"> products for general and professional use. For both uses</w:t>
      </w:r>
      <w:r>
        <w:t>,</w:t>
      </w:r>
      <w:r w:rsidRPr="009F03AE">
        <w:t xml:space="preserve"> the maximum concentration applied to hair must not ex</w:t>
      </w:r>
      <w:r>
        <w:t xml:space="preserve">ceed 2% calculated as </w:t>
      </w:r>
      <w:proofErr w:type="gramStart"/>
      <w:r>
        <w:t>free base</w:t>
      </w:r>
      <w:proofErr w:type="gramEnd"/>
      <w:r w:rsidRPr="009F03AE">
        <w:t xml:space="preserve"> after mixing under oxidative conditions. </w:t>
      </w:r>
    </w:p>
    <w:p w14:paraId="594ADE05" w14:textId="77777777" w:rsidR="00E306DD" w:rsidRDefault="00E306DD" w:rsidP="00E306DD">
      <w:r>
        <w:t>The warnings are that:</w:t>
      </w:r>
    </w:p>
    <w:p w14:paraId="283440EF" w14:textId="77777777" w:rsidR="00E306DD" w:rsidRPr="0086033D" w:rsidRDefault="00E306DD" w:rsidP="00E306DD">
      <w:pPr>
        <w:pStyle w:val="BodyText"/>
        <w:rPr>
          <w:i/>
          <w:lang w:val="en-US"/>
        </w:rPr>
      </w:pPr>
      <w:r w:rsidRPr="0086033D">
        <w:rPr>
          <w:i/>
          <w:lang w:val="en-US"/>
        </w:rPr>
        <w:t xml:space="preserve">Hair </w:t>
      </w:r>
      <w:proofErr w:type="spellStart"/>
      <w:r w:rsidRPr="0086033D">
        <w:rPr>
          <w:i/>
          <w:lang w:val="en-US"/>
        </w:rPr>
        <w:t>colourants</w:t>
      </w:r>
      <w:proofErr w:type="spellEnd"/>
      <w:r w:rsidRPr="0086033D">
        <w:rPr>
          <w:i/>
          <w:lang w:val="en-US"/>
        </w:rPr>
        <w:t xml:space="preserve"> can cause severe allergic reactions. Read and follow instructions. This product </w:t>
      </w:r>
      <w:proofErr w:type="gramStart"/>
      <w:r w:rsidRPr="0086033D">
        <w:rPr>
          <w:i/>
          <w:lang w:val="en-US"/>
        </w:rPr>
        <w:t>is not intended</w:t>
      </w:r>
      <w:proofErr w:type="gramEnd"/>
      <w:r w:rsidRPr="0086033D">
        <w:rPr>
          <w:i/>
          <w:lang w:val="en-US"/>
        </w:rPr>
        <w:t xml:space="preserve"> for use on persons under the age of 16. Temporary “black henna” tattoos may increase your risk of allergy. Do not </w:t>
      </w:r>
      <w:proofErr w:type="spellStart"/>
      <w:r w:rsidRPr="0086033D">
        <w:rPr>
          <w:i/>
          <w:lang w:val="en-US"/>
        </w:rPr>
        <w:t>colour</w:t>
      </w:r>
      <w:proofErr w:type="spellEnd"/>
      <w:r w:rsidRPr="0086033D">
        <w:rPr>
          <w:i/>
          <w:lang w:val="en-US"/>
        </w:rPr>
        <w:t xml:space="preserve"> your hair if: — you have a rash on your face or sensitive, irritated and damaged scalp, — you have ever experienced any reaction after </w:t>
      </w:r>
      <w:proofErr w:type="spellStart"/>
      <w:r w:rsidRPr="0086033D">
        <w:rPr>
          <w:i/>
          <w:lang w:val="en-US"/>
        </w:rPr>
        <w:t>colouring</w:t>
      </w:r>
      <w:proofErr w:type="spellEnd"/>
      <w:r w:rsidRPr="0086033D">
        <w:rPr>
          <w:i/>
          <w:lang w:val="en-US"/>
        </w:rPr>
        <w:t xml:space="preserve"> your hair, — you have experienced a reaction to a temporary “black henna” tattoo in the past. </w:t>
      </w:r>
      <w:proofErr w:type="gramStart"/>
      <w:r w:rsidRPr="0086033D">
        <w:rPr>
          <w:i/>
          <w:lang w:val="en-US"/>
        </w:rPr>
        <w:t xml:space="preserve">Contains </w:t>
      </w:r>
      <w:proofErr w:type="spellStart"/>
      <w:r w:rsidRPr="0086033D">
        <w:rPr>
          <w:i/>
          <w:lang w:val="en-US"/>
        </w:rPr>
        <w:t>phenylenediamines</w:t>
      </w:r>
      <w:proofErr w:type="spellEnd"/>
      <w:r w:rsidRPr="0086033D">
        <w:rPr>
          <w:i/>
          <w:lang w:val="en-US"/>
        </w:rPr>
        <w:t>.</w:t>
      </w:r>
      <w:proofErr w:type="gramEnd"/>
      <w:r w:rsidRPr="0086033D">
        <w:rPr>
          <w:i/>
          <w:lang w:val="en-US"/>
        </w:rPr>
        <w:t xml:space="preserve"> Do not use to dye eyelashes or eyebrows.’</w:t>
      </w:r>
    </w:p>
    <w:p w14:paraId="58BCDE12" w14:textId="77777777" w:rsidR="00141098" w:rsidRDefault="00141098" w:rsidP="00E306DD">
      <w:pPr>
        <w:pStyle w:val="Subtitle"/>
      </w:pPr>
    </w:p>
    <w:p w14:paraId="77ABCD23" w14:textId="77777777" w:rsidR="00E306DD" w:rsidRDefault="00E306DD" w:rsidP="00E306DD">
      <w:pPr>
        <w:pStyle w:val="Subtitle"/>
      </w:pPr>
      <w:r>
        <w:t xml:space="preserve">Products for eyelashes </w:t>
      </w:r>
      <w:proofErr w:type="spellStart"/>
      <w:r>
        <w:t>colouring</w:t>
      </w:r>
      <w:proofErr w:type="spellEnd"/>
      <w:r>
        <w:t xml:space="preserve">, Annex III entry 8b </w:t>
      </w:r>
    </w:p>
    <w:p w14:paraId="14E9C063" w14:textId="77777777" w:rsidR="00E306DD" w:rsidRPr="009F03AE" w:rsidRDefault="00E306DD" w:rsidP="00E306DD">
      <w:r w:rsidRPr="0086033D">
        <w:t>Products intended for colouring eyelashes</w:t>
      </w:r>
      <w:r w:rsidRPr="009F03AE">
        <w:t xml:space="preserve"> for professional use only with the same warnings as written above.</w:t>
      </w:r>
    </w:p>
    <w:p w14:paraId="6686556D" w14:textId="77777777" w:rsidR="00E306DD" w:rsidRDefault="00E306DD" w:rsidP="00E306DD">
      <w:pPr>
        <w:pStyle w:val="Heading4"/>
        <w:keepLines w:val="0"/>
        <w:widowControl/>
        <w:numPr>
          <w:ilvl w:val="3"/>
          <w:numId w:val="0"/>
        </w:numPr>
        <w:tabs>
          <w:tab w:val="left" w:pos="839"/>
          <w:tab w:val="num" w:pos="1077"/>
        </w:tabs>
        <w:spacing w:before="360" w:after="200"/>
        <w:ind w:left="1077" w:hanging="1077"/>
      </w:pPr>
      <w:r w:rsidRPr="009F03AE">
        <w:t xml:space="preserve">Other regulations </w:t>
      </w:r>
    </w:p>
    <w:p w14:paraId="4A883108" w14:textId="77777777" w:rsidR="00E306DD" w:rsidRPr="009F03AE" w:rsidRDefault="00E306DD" w:rsidP="00E306DD">
      <w:r>
        <w:t xml:space="preserve">Other regulations </w:t>
      </w:r>
      <w:r w:rsidRPr="009F03AE">
        <w:t>and directives that could possibly include a specific note on p-</w:t>
      </w:r>
      <w:proofErr w:type="spellStart"/>
      <w:r w:rsidRPr="009F03AE">
        <w:t>phenylenediamine</w:t>
      </w:r>
      <w:proofErr w:type="spellEnd"/>
      <w:r w:rsidRPr="009F03AE">
        <w:t xml:space="preserve"> </w:t>
      </w:r>
      <w:r>
        <w:t xml:space="preserve">but in which this substance is not </w:t>
      </w:r>
      <w:proofErr w:type="spellStart"/>
      <w:r>
        <w:t>explicitely</w:t>
      </w:r>
      <w:proofErr w:type="spellEnd"/>
      <w:r>
        <w:t xml:space="preserve"> mentioned </w:t>
      </w:r>
      <w:r w:rsidRPr="009F03AE">
        <w:t>are:</w:t>
      </w:r>
    </w:p>
    <w:p w14:paraId="65CDD21A" w14:textId="77777777" w:rsidR="00E306DD" w:rsidRPr="009F03AE" w:rsidRDefault="00E306DD" w:rsidP="00E306DD">
      <w:pPr>
        <w:pStyle w:val="ListParagraph"/>
        <w:widowControl/>
        <w:numPr>
          <w:ilvl w:val="0"/>
          <w:numId w:val="14"/>
        </w:numPr>
        <w:spacing w:after="180"/>
        <w:contextualSpacing/>
        <w:rPr>
          <w:rFonts w:eastAsia="Arial Unicode MS"/>
        </w:rPr>
      </w:pPr>
      <w:r w:rsidRPr="009F03AE">
        <w:rPr>
          <w:rFonts w:eastAsia="Arial Unicode MS"/>
        </w:rPr>
        <w:t>Regulation (EU) no. 1007/2011 on textile fibre names and related labelling and marking of the fibre composition of textile products</w:t>
      </w:r>
    </w:p>
    <w:p w14:paraId="24021340" w14:textId="77777777" w:rsidR="00E306DD" w:rsidRPr="009F03AE" w:rsidRDefault="00E306DD" w:rsidP="00E306DD">
      <w:pPr>
        <w:pStyle w:val="ListParagraph"/>
        <w:widowControl/>
        <w:numPr>
          <w:ilvl w:val="0"/>
          <w:numId w:val="14"/>
        </w:numPr>
        <w:spacing w:after="180"/>
        <w:contextualSpacing/>
        <w:rPr>
          <w:rFonts w:eastAsia="Arial Unicode MS"/>
        </w:rPr>
      </w:pPr>
      <w:r w:rsidRPr="009F03AE">
        <w:rPr>
          <w:rFonts w:eastAsia="Arial Unicode MS"/>
        </w:rPr>
        <w:t>DIRECTIVE 2001/95/EC on general product safety</w:t>
      </w:r>
    </w:p>
    <w:p w14:paraId="3579F88F" w14:textId="061D35FD" w:rsidR="00E306DD" w:rsidRDefault="00E306DD" w:rsidP="00E306DD">
      <w:pPr>
        <w:pStyle w:val="ListParagraph"/>
        <w:widowControl/>
        <w:numPr>
          <w:ilvl w:val="0"/>
          <w:numId w:val="14"/>
        </w:numPr>
        <w:spacing w:after="180"/>
        <w:contextualSpacing/>
        <w:rPr>
          <w:rFonts w:eastAsia="Arial Unicode MS"/>
        </w:rPr>
      </w:pPr>
      <w:r w:rsidRPr="009F03AE">
        <w:rPr>
          <w:rFonts w:eastAsia="Arial Unicode MS"/>
        </w:rPr>
        <w:t>DIRECTIVE 2009/48/EC OF THE EUROPEAN PARLIAMENT AND OF THE COUNCIL of 18 June 2009 on the safety of toys</w:t>
      </w:r>
    </w:p>
    <w:p w14:paraId="29ACF158" w14:textId="77777777" w:rsidR="00141098" w:rsidRPr="00141098" w:rsidRDefault="00141098" w:rsidP="00141098">
      <w:pPr>
        <w:widowControl/>
        <w:spacing w:after="180"/>
        <w:contextualSpacing/>
        <w:rPr>
          <w:rFonts w:eastAsia="Arial Unicode MS"/>
        </w:rPr>
      </w:pPr>
    </w:p>
    <w:p w14:paraId="683539CC" w14:textId="77777777" w:rsidR="00BE5AF4" w:rsidRPr="000711F7" w:rsidRDefault="00BE5AF4" w:rsidP="00BE5AF4">
      <w:pPr>
        <w:pStyle w:val="Heading3"/>
        <w:numPr>
          <w:ilvl w:val="0"/>
          <w:numId w:val="6"/>
        </w:numPr>
        <w:rPr>
          <w:color w:val="4F81BD" w:themeColor="accent1"/>
          <w:sz w:val="24"/>
          <w:szCs w:val="28"/>
        </w:rPr>
      </w:pPr>
      <w:r w:rsidRPr="000711F7">
        <w:rPr>
          <w:color w:val="4F81BD" w:themeColor="accent1"/>
          <w:sz w:val="24"/>
          <w:szCs w:val="28"/>
        </w:rPr>
        <w:t>CONCLUSION</w:t>
      </w:r>
      <w:r w:rsidR="00166209" w:rsidRPr="000711F7">
        <w:rPr>
          <w:color w:val="4F81BD" w:themeColor="accent1"/>
          <w:sz w:val="24"/>
          <w:szCs w:val="28"/>
        </w:rPr>
        <w:t xml:space="preserve"> OF RMOA</w:t>
      </w:r>
    </w:p>
    <w:p w14:paraId="683539CD" w14:textId="77777777" w:rsidR="00BE5AF4" w:rsidRPr="00D53A3D" w:rsidRDefault="00BE5AF4" w:rsidP="00FB30A3">
      <w:r w:rsidRPr="00D53A3D">
        <w:t xml:space="preserve">This conclusion </w:t>
      </w:r>
      <w:proofErr w:type="gramStart"/>
      <w:r w:rsidRPr="00D53A3D">
        <w:t>is based</w:t>
      </w:r>
      <w:proofErr w:type="gramEnd"/>
      <w:r w:rsidRPr="00D53A3D">
        <w:t xml:space="preserve"> on the REACH and CLP data as well as other available relevant information taking into account the SVHC Roadmap to 2020, where appropriate.</w:t>
      </w:r>
    </w:p>
    <w:p w14:paraId="683539D0" w14:textId="77777777" w:rsidR="00BE5AF4" w:rsidRDefault="00BE5AF4" w:rsidP="00BE5AF4">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912"/>
      </w:tblGrid>
      <w:tr w:rsidR="00B2524D" w:rsidRPr="00B2524D" w:rsidDel="001E1883" w14:paraId="683539D3" w14:textId="77777777" w:rsidTr="009D30A3">
        <w:trPr>
          <w:trHeight w:val="175"/>
        </w:trPr>
        <w:tc>
          <w:tcPr>
            <w:tcW w:w="7338" w:type="dxa"/>
            <w:shd w:val="clear" w:color="auto" w:fill="auto"/>
          </w:tcPr>
          <w:p w14:paraId="683539D1" w14:textId="77777777" w:rsidR="00B2524D" w:rsidRPr="00B2524D" w:rsidRDefault="00B2524D" w:rsidP="00B2524D">
            <w:pPr>
              <w:spacing w:before="120"/>
              <w:rPr>
                <w:b/>
              </w:rPr>
            </w:pPr>
            <w:r w:rsidRPr="00B2524D">
              <w:rPr>
                <w:b/>
              </w:rPr>
              <w:t>Conclusions</w:t>
            </w:r>
          </w:p>
        </w:tc>
        <w:tc>
          <w:tcPr>
            <w:tcW w:w="912" w:type="dxa"/>
          </w:tcPr>
          <w:p w14:paraId="683539D2" w14:textId="77777777" w:rsidR="00B2524D" w:rsidRPr="00B2524D" w:rsidDel="001E1883" w:rsidRDefault="00B2524D" w:rsidP="00B2524D">
            <w:pPr>
              <w:rPr>
                <w:b/>
              </w:rPr>
            </w:pPr>
            <w:r w:rsidRPr="00B2524D">
              <w:rPr>
                <w:b/>
              </w:rPr>
              <w:t>Tick box</w:t>
            </w:r>
          </w:p>
        </w:tc>
      </w:tr>
      <w:tr w:rsidR="00B2524D" w:rsidRPr="00B2524D" w:rsidDel="001E1883" w14:paraId="683539D6" w14:textId="77777777" w:rsidTr="009D30A3">
        <w:trPr>
          <w:trHeight w:val="454"/>
        </w:trPr>
        <w:tc>
          <w:tcPr>
            <w:tcW w:w="7338" w:type="dxa"/>
            <w:tcBorders>
              <w:bottom w:val="dashed" w:sz="4" w:space="0" w:color="auto"/>
            </w:tcBorders>
            <w:shd w:val="clear" w:color="auto" w:fill="auto"/>
            <w:vAlign w:val="center"/>
          </w:tcPr>
          <w:p w14:paraId="683539D4" w14:textId="77777777" w:rsidR="00B2524D" w:rsidRPr="00B2524D" w:rsidDel="001E1883" w:rsidRDefault="00B2524D" w:rsidP="00B2524D">
            <w:pPr>
              <w:spacing w:line="276" w:lineRule="auto"/>
            </w:pPr>
            <w:r w:rsidRPr="00B2524D">
              <w:lastRenderedPageBreak/>
              <w:t>Need for follow-up regulatory action at EU level:</w:t>
            </w:r>
          </w:p>
        </w:tc>
        <w:tc>
          <w:tcPr>
            <w:tcW w:w="912" w:type="dxa"/>
            <w:tcBorders>
              <w:bottom w:val="dashed" w:sz="4" w:space="0" w:color="auto"/>
            </w:tcBorders>
            <w:vAlign w:val="center"/>
          </w:tcPr>
          <w:p w14:paraId="683539D5" w14:textId="77777777" w:rsidR="00B2524D" w:rsidRPr="00B2524D" w:rsidDel="001E1883" w:rsidRDefault="00B2524D" w:rsidP="00B2524D">
            <w:pPr>
              <w:spacing w:line="276" w:lineRule="auto"/>
            </w:pPr>
          </w:p>
        </w:tc>
      </w:tr>
      <w:tr w:rsidR="00B2524D" w:rsidRPr="00B2524D" w14:paraId="683539D9" w14:textId="77777777" w:rsidTr="009D30A3">
        <w:trPr>
          <w:trHeight w:val="227"/>
        </w:trPr>
        <w:tc>
          <w:tcPr>
            <w:tcW w:w="7338" w:type="dxa"/>
            <w:tcBorders>
              <w:top w:val="dashed" w:sz="4" w:space="0" w:color="auto"/>
              <w:bottom w:val="dashed" w:sz="4" w:space="0" w:color="auto"/>
            </w:tcBorders>
            <w:shd w:val="clear" w:color="auto" w:fill="auto"/>
          </w:tcPr>
          <w:p w14:paraId="683539D7" w14:textId="77777777" w:rsidR="00B2524D" w:rsidRPr="00B2524D" w:rsidRDefault="00B2524D" w:rsidP="00B2524D">
            <w:pPr>
              <w:spacing w:line="276" w:lineRule="auto"/>
              <w:ind w:left="340"/>
              <w:rPr>
                <w:i/>
              </w:rPr>
            </w:pPr>
            <w:r w:rsidRPr="00B2524D">
              <w:rPr>
                <w:i/>
              </w:rPr>
              <w:t>Harmonised classification and labelling</w:t>
            </w:r>
          </w:p>
        </w:tc>
        <w:tc>
          <w:tcPr>
            <w:tcW w:w="912" w:type="dxa"/>
            <w:tcBorders>
              <w:top w:val="dashed" w:sz="4" w:space="0" w:color="auto"/>
              <w:bottom w:val="dashed" w:sz="4" w:space="0" w:color="auto"/>
            </w:tcBorders>
            <w:vAlign w:val="center"/>
          </w:tcPr>
          <w:p w14:paraId="683539D8" w14:textId="49BABAEB" w:rsidR="00B2524D" w:rsidRPr="00B2524D" w:rsidRDefault="00141098" w:rsidP="00B2524D">
            <w:r>
              <w:t>X</w:t>
            </w:r>
          </w:p>
        </w:tc>
      </w:tr>
      <w:tr w:rsidR="00B2524D" w:rsidRPr="00B2524D" w14:paraId="683539DC" w14:textId="77777777" w:rsidTr="009D30A3">
        <w:trPr>
          <w:trHeight w:val="227"/>
        </w:trPr>
        <w:tc>
          <w:tcPr>
            <w:tcW w:w="7338" w:type="dxa"/>
            <w:tcBorders>
              <w:top w:val="dashed" w:sz="4" w:space="0" w:color="auto"/>
              <w:bottom w:val="dashed" w:sz="4" w:space="0" w:color="auto"/>
            </w:tcBorders>
            <w:shd w:val="clear" w:color="auto" w:fill="auto"/>
          </w:tcPr>
          <w:p w14:paraId="683539DA" w14:textId="77777777" w:rsidR="00B2524D" w:rsidRPr="00B2524D" w:rsidRDefault="00B2524D" w:rsidP="00B2524D">
            <w:pPr>
              <w:spacing w:line="276" w:lineRule="auto"/>
              <w:ind w:left="340"/>
              <w:rPr>
                <w:i/>
              </w:rPr>
            </w:pPr>
            <w:r w:rsidRPr="00B2524D">
              <w:rPr>
                <w:i/>
              </w:rPr>
              <w:t>Identification as SVHC (authorisation)</w:t>
            </w:r>
          </w:p>
        </w:tc>
        <w:tc>
          <w:tcPr>
            <w:tcW w:w="912" w:type="dxa"/>
            <w:tcBorders>
              <w:top w:val="dashed" w:sz="4" w:space="0" w:color="auto"/>
              <w:bottom w:val="dashed" w:sz="4" w:space="0" w:color="auto"/>
            </w:tcBorders>
            <w:vAlign w:val="center"/>
          </w:tcPr>
          <w:p w14:paraId="683539DB" w14:textId="77777777" w:rsidR="00B2524D" w:rsidRPr="00B2524D" w:rsidRDefault="00B2524D" w:rsidP="00B2524D">
            <w:pPr>
              <w:jc w:val="center"/>
            </w:pPr>
          </w:p>
        </w:tc>
      </w:tr>
      <w:tr w:rsidR="00B2524D" w:rsidRPr="00B2524D" w14:paraId="683539DF" w14:textId="77777777" w:rsidTr="009D30A3">
        <w:trPr>
          <w:trHeight w:val="227"/>
        </w:trPr>
        <w:tc>
          <w:tcPr>
            <w:tcW w:w="7338" w:type="dxa"/>
            <w:tcBorders>
              <w:top w:val="dashed" w:sz="4" w:space="0" w:color="auto"/>
              <w:bottom w:val="dashed" w:sz="4" w:space="0" w:color="auto"/>
            </w:tcBorders>
            <w:shd w:val="clear" w:color="auto" w:fill="auto"/>
          </w:tcPr>
          <w:p w14:paraId="683539DD" w14:textId="77777777" w:rsidR="00B2524D" w:rsidRPr="00B2524D" w:rsidRDefault="008A1880" w:rsidP="00B2524D">
            <w:pPr>
              <w:spacing w:line="276" w:lineRule="auto"/>
              <w:ind w:left="340"/>
              <w:rPr>
                <w:i/>
              </w:rPr>
            </w:pPr>
            <w:r>
              <w:rPr>
                <w:i/>
              </w:rPr>
              <w:t>Restriction</w:t>
            </w:r>
            <w:r w:rsidR="00B2524D" w:rsidRPr="00B2524D">
              <w:rPr>
                <w:i/>
              </w:rPr>
              <w:t xml:space="preserve"> under REACH</w:t>
            </w:r>
          </w:p>
        </w:tc>
        <w:tc>
          <w:tcPr>
            <w:tcW w:w="912" w:type="dxa"/>
            <w:tcBorders>
              <w:top w:val="dashed" w:sz="4" w:space="0" w:color="auto"/>
              <w:bottom w:val="dashed" w:sz="4" w:space="0" w:color="auto"/>
            </w:tcBorders>
            <w:vAlign w:val="center"/>
          </w:tcPr>
          <w:p w14:paraId="683539DE" w14:textId="1BA1A037" w:rsidR="00B2524D" w:rsidRPr="00B2524D" w:rsidRDefault="00141098" w:rsidP="00B2524D">
            <w:r>
              <w:t>X</w:t>
            </w:r>
          </w:p>
        </w:tc>
      </w:tr>
      <w:tr w:rsidR="00B2524D" w:rsidRPr="00B2524D" w14:paraId="683539E2" w14:textId="77777777" w:rsidTr="009D30A3">
        <w:trPr>
          <w:trHeight w:val="227"/>
        </w:trPr>
        <w:tc>
          <w:tcPr>
            <w:tcW w:w="7338" w:type="dxa"/>
            <w:tcBorders>
              <w:top w:val="dashed" w:sz="4" w:space="0" w:color="auto"/>
            </w:tcBorders>
            <w:shd w:val="clear" w:color="auto" w:fill="auto"/>
          </w:tcPr>
          <w:p w14:paraId="683539E0" w14:textId="77777777" w:rsidR="00B2524D" w:rsidRPr="00B2524D" w:rsidRDefault="00B2524D" w:rsidP="00B2524D">
            <w:pPr>
              <w:spacing w:line="276" w:lineRule="auto"/>
              <w:ind w:left="340"/>
              <w:rPr>
                <w:i/>
              </w:rPr>
            </w:pPr>
            <w:r w:rsidRPr="00B2524D">
              <w:rPr>
                <w:i/>
              </w:rPr>
              <w:t>Other EU-wide regulatory measures</w:t>
            </w:r>
          </w:p>
        </w:tc>
        <w:tc>
          <w:tcPr>
            <w:tcW w:w="912" w:type="dxa"/>
            <w:tcBorders>
              <w:top w:val="dashed" w:sz="4" w:space="0" w:color="auto"/>
            </w:tcBorders>
            <w:vAlign w:val="center"/>
          </w:tcPr>
          <w:p w14:paraId="683539E1" w14:textId="77777777" w:rsidR="00B2524D" w:rsidRPr="00B2524D" w:rsidRDefault="00B2524D" w:rsidP="00B2524D">
            <w:pPr>
              <w:jc w:val="center"/>
            </w:pPr>
          </w:p>
        </w:tc>
      </w:tr>
      <w:tr w:rsidR="00B2524D" w:rsidRPr="00B2524D" w14:paraId="683539E5" w14:textId="77777777" w:rsidTr="009D30A3">
        <w:trPr>
          <w:trHeight w:val="227"/>
        </w:trPr>
        <w:tc>
          <w:tcPr>
            <w:tcW w:w="7338" w:type="dxa"/>
            <w:shd w:val="clear" w:color="auto" w:fill="auto"/>
            <w:vAlign w:val="center"/>
          </w:tcPr>
          <w:p w14:paraId="683539E3" w14:textId="77777777" w:rsidR="00B2524D" w:rsidRPr="00B2524D" w:rsidRDefault="00B2524D" w:rsidP="00B2524D">
            <w:pPr>
              <w:spacing w:line="276" w:lineRule="auto"/>
            </w:pPr>
            <w:r w:rsidRPr="00B2524D">
              <w:t>Need for action other than EU regulatory action</w:t>
            </w:r>
          </w:p>
        </w:tc>
        <w:tc>
          <w:tcPr>
            <w:tcW w:w="912" w:type="dxa"/>
            <w:vAlign w:val="center"/>
          </w:tcPr>
          <w:p w14:paraId="683539E4" w14:textId="228C2577" w:rsidR="00B2524D" w:rsidRPr="00B2524D" w:rsidRDefault="00141098" w:rsidP="00B2524D">
            <w:pPr>
              <w:spacing w:line="276" w:lineRule="auto"/>
              <w:jc w:val="center"/>
            </w:pPr>
            <w:r>
              <w:t>CCH</w:t>
            </w:r>
          </w:p>
        </w:tc>
      </w:tr>
      <w:tr w:rsidR="00B2524D" w:rsidRPr="00B2524D" w14:paraId="683539E8" w14:textId="77777777" w:rsidTr="009D30A3">
        <w:trPr>
          <w:trHeight w:val="227"/>
        </w:trPr>
        <w:tc>
          <w:tcPr>
            <w:tcW w:w="7338" w:type="dxa"/>
            <w:shd w:val="clear" w:color="auto" w:fill="auto"/>
            <w:vAlign w:val="center"/>
          </w:tcPr>
          <w:p w14:paraId="683539E6" w14:textId="77777777" w:rsidR="00B2524D" w:rsidRPr="00B2524D" w:rsidRDefault="00B2524D" w:rsidP="00B2524D">
            <w:pPr>
              <w:spacing w:line="276" w:lineRule="auto"/>
            </w:pPr>
            <w:r w:rsidRPr="00B2524D">
              <w:t>No action needed at this time</w:t>
            </w:r>
          </w:p>
        </w:tc>
        <w:tc>
          <w:tcPr>
            <w:tcW w:w="912" w:type="dxa"/>
            <w:vAlign w:val="center"/>
          </w:tcPr>
          <w:p w14:paraId="683539E7" w14:textId="77777777" w:rsidR="00B2524D" w:rsidRPr="00B2524D" w:rsidRDefault="00B2524D" w:rsidP="00B2524D">
            <w:pPr>
              <w:spacing w:line="276" w:lineRule="auto"/>
            </w:pPr>
          </w:p>
        </w:tc>
      </w:tr>
    </w:tbl>
    <w:p w14:paraId="683539E9" w14:textId="77777777" w:rsidR="00B2524D" w:rsidRDefault="00B2524D" w:rsidP="00BE5AF4">
      <w:pPr>
        <w:pStyle w:val="BodyText"/>
      </w:pPr>
    </w:p>
    <w:p w14:paraId="68353A01" w14:textId="77777777" w:rsidR="00A446BC" w:rsidRDefault="00A446BC" w:rsidP="00471457"/>
    <w:p w14:paraId="68353A02" w14:textId="77777777" w:rsidR="00A446BC" w:rsidRPr="006E3CBA" w:rsidRDefault="00A446BC" w:rsidP="00471457"/>
    <w:p w14:paraId="68353A04" w14:textId="10ED0481" w:rsidR="00471457" w:rsidRPr="000711F7" w:rsidRDefault="00AF77F1" w:rsidP="00AF77F1">
      <w:pPr>
        <w:pStyle w:val="Heading3"/>
        <w:numPr>
          <w:ilvl w:val="0"/>
          <w:numId w:val="6"/>
        </w:numPr>
        <w:rPr>
          <w:color w:val="4F81BD" w:themeColor="accent1"/>
          <w:sz w:val="24"/>
          <w:szCs w:val="28"/>
        </w:rPr>
      </w:pPr>
      <w:r w:rsidRPr="00270FFE">
        <w:rPr>
          <w:caps/>
          <w:color w:val="4F81BD" w:themeColor="accent1"/>
          <w:sz w:val="24"/>
          <w:szCs w:val="28"/>
        </w:rPr>
        <w:t>Need for follow-up regulatory action at EU level</w:t>
      </w:r>
      <w:r w:rsidR="00471457" w:rsidRPr="000711F7">
        <w:rPr>
          <w:color w:val="4F81BD" w:themeColor="accent1"/>
          <w:sz w:val="24"/>
          <w:szCs w:val="28"/>
        </w:rPr>
        <w:t xml:space="preserve"> </w:t>
      </w:r>
    </w:p>
    <w:p w14:paraId="68353A06" w14:textId="77777777" w:rsidR="003C3793" w:rsidRDefault="003C3793" w:rsidP="00471457">
      <w:pPr>
        <w:pStyle w:val="BodyText"/>
        <w:rPr>
          <w:i/>
        </w:rPr>
      </w:pPr>
    </w:p>
    <w:p w14:paraId="3D0638B5" w14:textId="77777777" w:rsidR="00E306DD" w:rsidRDefault="00E306DD" w:rsidP="00E306DD">
      <w:pPr>
        <w:pStyle w:val="Heading1"/>
        <w:keepLines w:val="0"/>
        <w:widowControl/>
        <w:tabs>
          <w:tab w:val="num" w:pos="360"/>
        </w:tabs>
        <w:spacing w:before="240" w:after="200"/>
        <w:ind w:left="360" w:hanging="360"/>
      </w:pPr>
      <w:r>
        <w:t>Justification for the risk management option</w:t>
      </w:r>
    </w:p>
    <w:p w14:paraId="32BA3ABE" w14:textId="77777777" w:rsidR="00E306DD" w:rsidRDefault="00E306DD" w:rsidP="00E306DD">
      <w:pPr>
        <w:pStyle w:val="Heading2"/>
        <w:keepLines w:val="0"/>
        <w:widowControl/>
        <w:numPr>
          <w:ilvl w:val="1"/>
          <w:numId w:val="0"/>
        </w:numPr>
        <w:tabs>
          <w:tab w:val="num" w:pos="540"/>
          <w:tab w:val="num" w:pos="1361"/>
        </w:tabs>
        <w:spacing w:before="240" w:after="200"/>
        <w:ind w:left="540" w:hanging="540"/>
        <w:jc w:val="both"/>
        <w:rPr>
          <w:szCs w:val="24"/>
        </w:rPr>
      </w:pPr>
      <w:r>
        <w:rPr>
          <w:szCs w:val="24"/>
        </w:rPr>
        <w:t>Need for (further) risk management</w:t>
      </w:r>
    </w:p>
    <w:p w14:paraId="2D6C4D56" w14:textId="77777777" w:rsidR="00E306DD" w:rsidRDefault="00E306DD" w:rsidP="00E306DD">
      <w:r>
        <w:t xml:space="preserve">An overview of different uses and regulatory risk management measures in place </w:t>
      </w:r>
      <w:proofErr w:type="gramStart"/>
      <w:r>
        <w:t>is provided</w:t>
      </w:r>
      <w:proofErr w:type="gramEnd"/>
      <w:r>
        <w:t xml:space="preserve"> in the table below:</w:t>
      </w:r>
    </w:p>
    <w:p w14:paraId="2EDFAC91" w14:textId="77777777" w:rsidR="00E306DD" w:rsidRDefault="00E306DD" w:rsidP="00E306DD">
      <w:pPr>
        <w:pStyle w:val="Caption"/>
      </w:pPr>
      <w:bookmarkStart w:id="1" w:name="_Ref478375359"/>
      <w:bookmarkStart w:id="2" w:name="_Ref478375353"/>
      <w:r>
        <w:t xml:space="preserve">Table </w:t>
      </w:r>
      <w:r>
        <w:fldChar w:fldCharType="begin"/>
      </w:r>
      <w:r>
        <w:instrText xml:space="preserve"> SEQ Table \* ARABIC </w:instrText>
      </w:r>
      <w:r>
        <w:fldChar w:fldCharType="separate"/>
      </w:r>
      <w:r>
        <w:rPr>
          <w:noProof/>
        </w:rPr>
        <w:t>13</w:t>
      </w:r>
      <w:r>
        <w:rPr>
          <w:noProof/>
        </w:rPr>
        <w:fldChar w:fldCharType="end"/>
      </w:r>
      <w:bookmarkEnd w:id="1"/>
      <w:r>
        <w:t xml:space="preserve"> Overview of regulatory measures already in place for the different uses identified for PPD</w:t>
      </w:r>
      <w:bookmarkEnd w:id="2"/>
    </w:p>
    <w:tbl>
      <w:tblPr>
        <w:tblStyle w:val="TableGrid"/>
        <w:tblW w:w="0" w:type="auto"/>
        <w:tblLook w:val="04A0" w:firstRow="1" w:lastRow="0" w:firstColumn="1" w:lastColumn="0" w:noHBand="0" w:noVBand="1"/>
      </w:tblPr>
      <w:tblGrid>
        <w:gridCol w:w="1609"/>
        <w:gridCol w:w="1760"/>
        <w:gridCol w:w="1417"/>
        <w:gridCol w:w="1404"/>
        <w:gridCol w:w="1148"/>
        <w:gridCol w:w="1134"/>
      </w:tblGrid>
      <w:tr w:rsidR="00E306DD" w:rsidRPr="00E56B0F" w14:paraId="493A8CAE" w14:textId="77777777" w:rsidTr="00376A5C">
        <w:tc>
          <w:tcPr>
            <w:tcW w:w="1609" w:type="dxa"/>
            <w:shd w:val="clear" w:color="auto" w:fill="F2F2F2" w:themeFill="background1" w:themeFillShade="F2"/>
          </w:tcPr>
          <w:p w14:paraId="55EC05B9" w14:textId="77777777" w:rsidR="00E306DD" w:rsidRPr="00E56B0F" w:rsidRDefault="00E306DD" w:rsidP="00376A5C">
            <w:pPr>
              <w:rPr>
                <w:rFonts w:asciiTheme="minorHAnsi" w:hAnsiTheme="minorHAnsi"/>
                <w:b/>
                <w:sz w:val="16"/>
              </w:rPr>
            </w:pPr>
          </w:p>
        </w:tc>
        <w:tc>
          <w:tcPr>
            <w:tcW w:w="1760" w:type="dxa"/>
            <w:shd w:val="clear" w:color="auto" w:fill="F2F2F2" w:themeFill="background1" w:themeFillShade="F2"/>
          </w:tcPr>
          <w:p w14:paraId="5AA47C3F" w14:textId="77777777" w:rsidR="00E306DD" w:rsidRPr="00E56B0F" w:rsidRDefault="00E306DD" w:rsidP="00376A5C">
            <w:pPr>
              <w:rPr>
                <w:rFonts w:asciiTheme="minorHAnsi" w:hAnsiTheme="minorHAnsi"/>
                <w:b/>
                <w:sz w:val="16"/>
              </w:rPr>
            </w:pPr>
            <w:r w:rsidRPr="00E56B0F">
              <w:rPr>
                <w:rFonts w:asciiTheme="minorHAnsi" w:hAnsiTheme="minorHAnsi"/>
                <w:b/>
                <w:sz w:val="16"/>
              </w:rPr>
              <w:t>OSH</w:t>
            </w:r>
          </w:p>
        </w:tc>
        <w:tc>
          <w:tcPr>
            <w:tcW w:w="2821" w:type="dxa"/>
            <w:gridSpan w:val="2"/>
            <w:shd w:val="clear" w:color="auto" w:fill="F2F2F2" w:themeFill="background1" w:themeFillShade="F2"/>
          </w:tcPr>
          <w:p w14:paraId="733F6842" w14:textId="77777777" w:rsidR="00E306DD" w:rsidRPr="00E56B0F" w:rsidRDefault="00E306DD" w:rsidP="00376A5C">
            <w:pPr>
              <w:rPr>
                <w:rFonts w:asciiTheme="minorHAnsi" w:hAnsiTheme="minorHAnsi"/>
                <w:b/>
                <w:sz w:val="16"/>
              </w:rPr>
            </w:pPr>
            <w:r w:rsidRPr="00E56B0F">
              <w:rPr>
                <w:rFonts w:asciiTheme="minorHAnsi" w:hAnsiTheme="minorHAnsi"/>
                <w:b/>
                <w:sz w:val="16"/>
              </w:rPr>
              <w:t>Cosmetics Regulation</w:t>
            </w:r>
          </w:p>
          <w:p w14:paraId="628F90FA" w14:textId="77777777" w:rsidR="00E306DD" w:rsidRPr="00E56B0F" w:rsidRDefault="00E306DD" w:rsidP="00376A5C">
            <w:pPr>
              <w:rPr>
                <w:rFonts w:asciiTheme="minorHAnsi" w:hAnsiTheme="minorHAnsi"/>
                <w:b/>
                <w:sz w:val="16"/>
              </w:rPr>
            </w:pPr>
          </w:p>
        </w:tc>
        <w:tc>
          <w:tcPr>
            <w:tcW w:w="2282" w:type="dxa"/>
            <w:gridSpan w:val="2"/>
            <w:shd w:val="clear" w:color="auto" w:fill="F2F2F2" w:themeFill="background1" w:themeFillShade="F2"/>
          </w:tcPr>
          <w:p w14:paraId="38B9C154" w14:textId="77777777" w:rsidR="00E306DD" w:rsidRPr="00E56B0F" w:rsidRDefault="00E306DD" w:rsidP="00376A5C">
            <w:pPr>
              <w:rPr>
                <w:rFonts w:asciiTheme="minorHAnsi" w:hAnsiTheme="minorHAnsi"/>
                <w:b/>
                <w:sz w:val="16"/>
              </w:rPr>
            </w:pPr>
            <w:r w:rsidRPr="00E56B0F">
              <w:rPr>
                <w:rFonts w:asciiTheme="minorHAnsi" w:hAnsiTheme="minorHAnsi"/>
                <w:b/>
                <w:sz w:val="16"/>
              </w:rPr>
              <w:t>REACH Restriction</w:t>
            </w:r>
          </w:p>
        </w:tc>
      </w:tr>
      <w:tr w:rsidR="00E306DD" w:rsidRPr="00E56B0F" w14:paraId="0D9C16C5" w14:textId="77777777" w:rsidTr="00376A5C">
        <w:tc>
          <w:tcPr>
            <w:tcW w:w="1609" w:type="dxa"/>
          </w:tcPr>
          <w:p w14:paraId="6633CEE4" w14:textId="77777777" w:rsidR="00E306DD" w:rsidRPr="00E56B0F" w:rsidRDefault="00E306DD" w:rsidP="00376A5C">
            <w:pPr>
              <w:rPr>
                <w:rFonts w:asciiTheme="minorHAnsi" w:hAnsiTheme="minorHAnsi"/>
                <w:sz w:val="16"/>
              </w:rPr>
            </w:pPr>
          </w:p>
        </w:tc>
        <w:tc>
          <w:tcPr>
            <w:tcW w:w="1760" w:type="dxa"/>
          </w:tcPr>
          <w:p w14:paraId="6C94FF4E" w14:textId="77777777" w:rsidR="00E306DD" w:rsidRPr="00E56B0F" w:rsidRDefault="00E306DD" w:rsidP="00376A5C">
            <w:pPr>
              <w:rPr>
                <w:rFonts w:asciiTheme="minorHAnsi" w:hAnsiTheme="minorHAnsi"/>
                <w:sz w:val="16"/>
              </w:rPr>
            </w:pPr>
          </w:p>
        </w:tc>
        <w:tc>
          <w:tcPr>
            <w:tcW w:w="1417" w:type="dxa"/>
          </w:tcPr>
          <w:p w14:paraId="2B13448E" w14:textId="77777777" w:rsidR="00E306DD" w:rsidRPr="00E56B0F" w:rsidRDefault="00E306DD" w:rsidP="00376A5C">
            <w:pPr>
              <w:rPr>
                <w:rFonts w:asciiTheme="minorHAnsi" w:hAnsiTheme="minorHAnsi"/>
                <w:sz w:val="16"/>
              </w:rPr>
            </w:pPr>
            <w:r w:rsidRPr="00E56B0F">
              <w:rPr>
                <w:rFonts w:asciiTheme="minorHAnsi" w:hAnsiTheme="minorHAnsi"/>
                <w:sz w:val="16"/>
              </w:rPr>
              <w:t>Workers</w:t>
            </w:r>
          </w:p>
        </w:tc>
        <w:tc>
          <w:tcPr>
            <w:tcW w:w="1404" w:type="dxa"/>
          </w:tcPr>
          <w:p w14:paraId="1D39C0BF" w14:textId="77777777" w:rsidR="00E306DD" w:rsidRPr="00E56B0F" w:rsidRDefault="00E306DD" w:rsidP="00376A5C">
            <w:pPr>
              <w:rPr>
                <w:rFonts w:asciiTheme="minorHAnsi" w:hAnsiTheme="minorHAnsi"/>
                <w:sz w:val="16"/>
              </w:rPr>
            </w:pPr>
            <w:r w:rsidRPr="00E56B0F">
              <w:rPr>
                <w:rFonts w:asciiTheme="minorHAnsi" w:hAnsiTheme="minorHAnsi"/>
                <w:sz w:val="16"/>
              </w:rPr>
              <w:t>consumers</w:t>
            </w:r>
          </w:p>
        </w:tc>
        <w:tc>
          <w:tcPr>
            <w:tcW w:w="1148" w:type="dxa"/>
          </w:tcPr>
          <w:p w14:paraId="4BA42BF7" w14:textId="77777777" w:rsidR="00E306DD" w:rsidRPr="00E56B0F" w:rsidRDefault="00E306DD" w:rsidP="00376A5C">
            <w:pPr>
              <w:rPr>
                <w:rFonts w:asciiTheme="minorHAnsi" w:hAnsiTheme="minorHAnsi"/>
                <w:sz w:val="16"/>
              </w:rPr>
            </w:pPr>
            <w:r w:rsidRPr="00E56B0F">
              <w:rPr>
                <w:rFonts w:asciiTheme="minorHAnsi" w:hAnsiTheme="minorHAnsi"/>
                <w:sz w:val="16"/>
              </w:rPr>
              <w:t>Sens in textiles</w:t>
            </w:r>
          </w:p>
        </w:tc>
        <w:tc>
          <w:tcPr>
            <w:tcW w:w="1134" w:type="dxa"/>
          </w:tcPr>
          <w:p w14:paraId="74376EA1" w14:textId="77777777" w:rsidR="00E306DD" w:rsidRPr="00E56B0F" w:rsidRDefault="00E306DD" w:rsidP="00376A5C">
            <w:pPr>
              <w:rPr>
                <w:rFonts w:asciiTheme="minorHAnsi" w:hAnsiTheme="minorHAnsi"/>
                <w:sz w:val="16"/>
              </w:rPr>
            </w:pPr>
            <w:r w:rsidRPr="00E56B0F">
              <w:rPr>
                <w:rFonts w:asciiTheme="minorHAnsi" w:hAnsiTheme="minorHAnsi"/>
                <w:sz w:val="16"/>
              </w:rPr>
              <w:t>CMRS in tattoos (+)</w:t>
            </w:r>
          </w:p>
        </w:tc>
      </w:tr>
      <w:tr w:rsidR="00E306DD" w:rsidRPr="00E56B0F" w14:paraId="1F4E55DA" w14:textId="77777777" w:rsidTr="00376A5C">
        <w:trPr>
          <w:trHeight w:val="337"/>
        </w:trPr>
        <w:tc>
          <w:tcPr>
            <w:tcW w:w="1609" w:type="dxa"/>
          </w:tcPr>
          <w:p w14:paraId="382235D8" w14:textId="77777777" w:rsidR="00E306DD" w:rsidRPr="00E56B0F" w:rsidRDefault="00E306DD" w:rsidP="00376A5C">
            <w:pPr>
              <w:rPr>
                <w:rFonts w:asciiTheme="minorHAnsi" w:hAnsiTheme="minorHAnsi"/>
                <w:sz w:val="16"/>
              </w:rPr>
            </w:pPr>
            <w:r w:rsidRPr="00E56B0F">
              <w:rPr>
                <w:rFonts w:asciiTheme="minorHAnsi" w:hAnsiTheme="minorHAnsi"/>
                <w:sz w:val="16"/>
              </w:rPr>
              <w:t xml:space="preserve">Cosmetics products (overall) </w:t>
            </w:r>
          </w:p>
        </w:tc>
        <w:tc>
          <w:tcPr>
            <w:tcW w:w="1760" w:type="dxa"/>
          </w:tcPr>
          <w:p w14:paraId="137874BD" w14:textId="77777777" w:rsidR="00E306DD" w:rsidRPr="00E56B0F" w:rsidRDefault="00E306DD" w:rsidP="00376A5C">
            <w:pPr>
              <w:rPr>
                <w:rFonts w:asciiTheme="minorHAnsi" w:hAnsiTheme="minorHAnsi"/>
                <w:sz w:val="16"/>
              </w:rPr>
            </w:pPr>
            <w:r>
              <w:rPr>
                <w:rFonts w:asciiTheme="minorHAnsi" w:hAnsiTheme="minorHAnsi"/>
                <w:sz w:val="16"/>
              </w:rPr>
              <w:t>Not applicable</w:t>
            </w:r>
          </w:p>
        </w:tc>
        <w:tc>
          <w:tcPr>
            <w:tcW w:w="1417" w:type="dxa"/>
          </w:tcPr>
          <w:p w14:paraId="0F234543" w14:textId="77777777" w:rsidR="00E306DD" w:rsidRPr="00E56B0F" w:rsidRDefault="00E306DD" w:rsidP="00376A5C">
            <w:pPr>
              <w:rPr>
                <w:rFonts w:asciiTheme="minorHAnsi" w:hAnsiTheme="minorHAnsi"/>
                <w:sz w:val="16"/>
              </w:rPr>
            </w:pPr>
            <w:r w:rsidRPr="00E56B0F">
              <w:rPr>
                <w:rFonts w:asciiTheme="minorHAnsi" w:hAnsiTheme="minorHAnsi"/>
                <w:sz w:val="16"/>
              </w:rPr>
              <w:t>Generally prohibited</w:t>
            </w:r>
          </w:p>
        </w:tc>
        <w:tc>
          <w:tcPr>
            <w:tcW w:w="1404" w:type="dxa"/>
          </w:tcPr>
          <w:p w14:paraId="5724E392" w14:textId="77777777" w:rsidR="00E306DD" w:rsidRPr="00E56B0F" w:rsidRDefault="00E306DD" w:rsidP="00376A5C">
            <w:pPr>
              <w:rPr>
                <w:rFonts w:asciiTheme="minorHAnsi" w:hAnsiTheme="minorHAnsi"/>
                <w:sz w:val="16"/>
              </w:rPr>
            </w:pPr>
            <w:r w:rsidRPr="00E56B0F">
              <w:rPr>
                <w:rFonts w:asciiTheme="minorHAnsi" w:hAnsiTheme="minorHAnsi"/>
                <w:sz w:val="16"/>
              </w:rPr>
              <w:t>Generally prohibited</w:t>
            </w:r>
          </w:p>
        </w:tc>
        <w:tc>
          <w:tcPr>
            <w:tcW w:w="1148" w:type="dxa"/>
          </w:tcPr>
          <w:p w14:paraId="3D3B35C6" w14:textId="77777777" w:rsidR="00E306DD" w:rsidRPr="00E56B0F" w:rsidRDefault="00E306DD" w:rsidP="00376A5C">
            <w:pPr>
              <w:rPr>
                <w:rFonts w:asciiTheme="minorHAnsi" w:hAnsiTheme="minorHAnsi"/>
                <w:sz w:val="16"/>
              </w:rPr>
            </w:pPr>
          </w:p>
        </w:tc>
        <w:tc>
          <w:tcPr>
            <w:tcW w:w="1134" w:type="dxa"/>
          </w:tcPr>
          <w:p w14:paraId="238ACFB0" w14:textId="77777777" w:rsidR="00E306DD" w:rsidRPr="00E56B0F" w:rsidRDefault="00E306DD" w:rsidP="00376A5C">
            <w:pPr>
              <w:rPr>
                <w:rFonts w:asciiTheme="minorHAnsi" w:hAnsiTheme="minorHAnsi"/>
                <w:sz w:val="16"/>
              </w:rPr>
            </w:pPr>
          </w:p>
        </w:tc>
      </w:tr>
      <w:tr w:rsidR="00E306DD" w:rsidRPr="00E56B0F" w14:paraId="15496772" w14:textId="77777777" w:rsidTr="00376A5C">
        <w:trPr>
          <w:trHeight w:val="694"/>
        </w:trPr>
        <w:tc>
          <w:tcPr>
            <w:tcW w:w="1609" w:type="dxa"/>
          </w:tcPr>
          <w:p w14:paraId="1B40478B" w14:textId="77777777" w:rsidR="00E306DD" w:rsidRPr="00E56B0F" w:rsidRDefault="00E306DD" w:rsidP="00376A5C">
            <w:pPr>
              <w:rPr>
                <w:rFonts w:asciiTheme="minorHAnsi" w:hAnsiTheme="minorHAnsi"/>
                <w:sz w:val="16"/>
              </w:rPr>
            </w:pPr>
            <w:r w:rsidRPr="00E56B0F">
              <w:rPr>
                <w:rFonts w:asciiTheme="minorHAnsi" w:hAnsiTheme="minorHAnsi"/>
                <w:sz w:val="16"/>
              </w:rPr>
              <w:t>Hair dye and eyelashes colouring ingredients</w:t>
            </w:r>
          </w:p>
        </w:tc>
        <w:tc>
          <w:tcPr>
            <w:tcW w:w="1760" w:type="dxa"/>
          </w:tcPr>
          <w:p w14:paraId="0C054D95" w14:textId="77777777" w:rsidR="00E306DD" w:rsidRDefault="00E306DD" w:rsidP="00376A5C">
            <w:pPr>
              <w:rPr>
                <w:rFonts w:asciiTheme="minorHAnsi" w:hAnsiTheme="minorHAnsi"/>
                <w:sz w:val="16"/>
              </w:rPr>
            </w:pPr>
            <w:r>
              <w:rPr>
                <w:rFonts w:asciiTheme="minorHAnsi" w:hAnsiTheme="minorHAnsi"/>
                <w:sz w:val="16"/>
              </w:rPr>
              <w:t>Not applicable</w:t>
            </w:r>
          </w:p>
          <w:p w14:paraId="427DF571" w14:textId="77777777" w:rsidR="00E306DD" w:rsidRPr="00E56B0F" w:rsidRDefault="00E306DD" w:rsidP="00376A5C">
            <w:pPr>
              <w:rPr>
                <w:rFonts w:asciiTheme="minorHAnsi" w:hAnsiTheme="minorHAnsi"/>
                <w:sz w:val="16"/>
              </w:rPr>
            </w:pPr>
            <w:r w:rsidRPr="00E56B0F">
              <w:rPr>
                <w:rFonts w:asciiTheme="minorHAnsi" w:hAnsiTheme="minorHAnsi"/>
                <w:sz w:val="16"/>
              </w:rPr>
              <w:t>Concern for risk for Hairdressers and beautyworkers</w:t>
            </w:r>
          </w:p>
        </w:tc>
        <w:tc>
          <w:tcPr>
            <w:tcW w:w="1417" w:type="dxa"/>
          </w:tcPr>
          <w:p w14:paraId="753DBF3F" w14:textId="77777777" w:rsidR="00E306DD" w:rsidRPr="00E56B0F" w:rsidRDefault="00E306DD" w:rsidP="00376A5C">
            <w:pPr>
              <w:rPr>
                <w:rFonts w:asciiTheme="minorHAnsi" w:hAnsiTheme="minorHAnsi"/>
                <w:sz w:val="16"/>
              </w:rPr>
            </w:pPr>
            <w:r w:rsidRPr="00E56B0F">
              <w:rPr>
                <w:rFonts w:asciiTheme="minorHAnsi" w:hAnsiTheme="minorHAnsi"/>
                <w:sz w:val="16"/>
              </w:rPr>
              <w:t xml:space="preserve">Restricted, signals </w:t>
            </w:r>
            <w:r>
              <w:rPr>
                <w:rFonts w:asciiTheme="minorHAnsi" w:hAnsiTheme="minorHAnsi"/>
                <w:sz w:val="16"/>
              </w:rPr>
              <w:t xml:space="preserve">in literature that </w:t>
            </w:r>
            <w:r w:rsidRPr="00E56B0F">
              <w:rPr>
                <w:rFonts w:asciiTheme="minorHAnsi" w:hAnsiTheme="minorHAnsi"/>
                <w:sz w:val="16"/>
              </w:rPr>
              <w:t>RM may be insufficient</w:t>
            </w:r>
          </w:p>
        </w:tc>
        <w:tc>
          <w:tcPr>
            <w:tcW w:w="1404" w:type="dxa"/>
          </w:tcPr>
          <w:p w14:paraId="5CDED3DD" w14:textId="77777777" w:rsidR="00E306DD" w:rsidRPr="00E56B0F" w:rsidRDefault="00E306DD" w:rsidP="00376A5C">
            <w:pPr>
              <w:rPr>
                <w:rFonts w:asciiTheme="minorHAnsi" w:hAnsiTheme="minorHAnsi"/>
                <w:sz w:val="16"/>
              </w:rPr>
            </w:pPr>
            <w:r w:rsidRPr="00E56B0F">
              <w:rPr>
                <w:rFonts w:asciiTheme="minorHAnsi" w:hAnsiTheme="minorHAnsi"/>
                <w:sz w:val="16"/>
              </w:rPr>
              <w:t xml:space="preserve">Restricted, signals </w:t>
            </w:r>
            <w:r>
              <w:rPr>
                <w:rFonts w:asciiTheme="minorHAnsi" w:hAnsiTheme="minorHAnsi"/>
                <w:sz w:val="16"/>
              </w:rPr>
              <w:t xml:space="preserve">in literature that </w:t>
            </w:r>
            <w:r w:rsidRPr="00E56B0F">
              <w:rPr>
                <w:rFonts w:asciiTheme="minorHAnsi" w:hAnsiTheme="minorHAnsi"/>
                <w:sz w:val="16"/>
              </w:rPr>
              <w:t>RM may be insufficient</w:t>
            </w:r>
          </w:p>
        </w:tc>
        <w:tc>
          <w:tcPr>
            <w:tcW w:w="1148" w:type="dxa"/>
          </w:tcPr>
          <w:p w14:paraId="6B72A86A" w14:textId="77777777" w:rsidR="00E306DD" w:rsidRPr="00E56B0F" w:rsidRDefault="00E306DD" w:rsidP="00376A5C">
            <w:pPr>
              <w:rPr>
                <w:rFonts w:asciiTheme="minorHAnsi" w:hAnsiTheme="minorHAnsi"/>
                <w:sz w:val="16"/>
              </w:rPr>
            </w:pPr>
          </w:p>
        </w:tc>
        <w:tc>
          <w:tcPr>
            <w:tcW w:w="1134" w:type="dxa"/>
          </w:tcPr>
          <w:p w14:paraId="28B3D043" w14:textId="77777777" w:rsidR="00E306DD" w:rsidRPr="00E56B0F" w:rsidRDefault="00E306DD" w:rsidP="00376A5C">
            <w:pPr>
              <w:rPr>
                <w:rFonts w:asciiTheme="minorHAnsi" w:hAnsiTheme="minorHAnsi"/>
                <w:sz w:val="16"/>
              </w:rPr>
            </w:pPr>
          </w:p>
        </w:tc>
      </w:tr>
      <w:tr w:rsidR="00E306DD" w:rsidRPr="00E56B0F" w14:paraId="3E7B9651" w14:textId="77777777" w:rsidTr="00376A5C">
        <w:trPr>
          <w:trHeight w:val="1461"/>
        </w:trPr>
        <w:tc>
          <w:tcPr>
            <w:tcW w:w="1609" w:type="dxa"/>
          </w:tcPr>
          <w:p w14:paraId="3C12305E" w14:textId="77777777" w:rsidR="00E306DD" w:rsidRPr="00E56B0F" w:rsidRDefault="00E306DD" w:rsidP="00376A5C">
            <w:pPr>
              <w:rPr>
                <w:rFonts w:asciiTheme="minorHAnsi" w:hAnsiTheme="minorHAnsi"/>
                <w:sz w:val="16"/>
              </w:rPr>
            </w:pPr>
            <w:r w:rsidRPr="00E56B0F">
              <w:rPr>
                <w:rFonts w:asciiTheme="minorHAnsi" w:hAnsiTheme="minorHAnsi"/>
                <w:sz w:val="16"/>
              </w:rPr>
              <w:t>Black henna tattoos</w:t>
            </w:r>
          </w:p>
        </w:tc>
        <w:tc>
          <w:tcPr>
            <w:tcW w:w="1760" w:type="dxa"/>
          </w:tcPr>
          <w:p w14:paraId="20D66995" w14:textId="77777777" w:rsidR="00E306DD" w:rsidRDefault="00E306DD" w:rsidP="00376A5C">
            <w:pPr>
              <w:rPr>
                <w:rFonts w:asciiTheme="minorHAnsi" w:hAnsiTheme="minorHAnsi"/>
                <w:sz w:val="16"/>
              </w:rPr>
            </w:pPr>
            <w:r>
              <w:rPr>
                <w:rFonts w:asciiTheme="minorHAnsi" w:hAnsiTheme="minorHAnsi"/>
                <w:sz w:val="16"/>
              </w:rPr>
              <w:t>Not applicable</w:t>
            </w:r>
          </w:p>
          <w:p w14:paraId="5C9D2E07" w14:textId="77777777" w:rsidR="00E306DD" w:rsidRPr="00E56B0F" w:rsidRDefault="00E306DD" w:rsidP="00376A5C">
            <w:pPr>
              <w:rPr>
                <w:rFonts w:asciiTheme="minorHAnsi" w:hAnsiTheme="minorHAnsi"/>
                <w:sz w:val="16"/>
              </w:rPr>
            </w:pPr>
          </w:p>
        </w:tc>
        <w:tc>
          <w:tcPr>
            <w:tcW w:w="1417" w:type="dxa"/>
          </w:tcPr>
          <w:p w14:paraId="14FBA587" w14:textId="77777777" w:rsidR="00E306DD" w:rsidRPr="00E56B0F" w:rsidRDefault="00E306DD" w:rsidP="00376A5C">
            <w:pPr>
              <w:rPr>
                <w:rFonts w:asciiTheme="minorHAnsi" w:hAnsiTheme="minorHAnsi"/>
                <w:sz w:val="16"/>
              </w:rPr>
            </w:pPr>
            <w:r w:rsidRPr="00E56B0F">
              <w:rPr>
                <w:rFonts w:asciiTheme="minorHAnsi" w:hAnsiTheme="minorHAnsi"/>
                <w:sz w:val="16"/>
              </w:rPr>
              <w:t xml:space="preserve">Prohibited </w:t>
            </w:r>
          </w:p>
        </w:tc>
        <w:tc>
          <w:tcPr>
            <w:tcW w:w="1404" w:type="dxa"/>
          </w:tcPr>
          <w:p w14:paraId="1509DD80" w14:textId="77777777" w:rsidR="00E306DD" w:rsidRDefault="00E306DD" w:rsidP="00376A5C">
            <w:pPr>
              <w:rPr>
                <w:rFonts w:asciiTheme="minorHAnsi" w:hAnsiTheme="minorHAnsi"/>
                <w:sz w:val="16"/>
              </w:rPr>
            </w:pPr>
            <w:r w:rsidRPr="00E56B0F">
              <w:rPr>
                <w:rFonts w:asciiTheme="minorHAnsi" w:hAnsiTheme="minorHAnsi"/>
                <w:sz w:val="16"/>
              </w:rPr>
              <w:t xml:space="preserve">Prohibited </w:t>
            </w:r>
          </w:p>
          <w:p w14:paraId="3683267B" w14:textId="77777777" w:rsidR="00E306DD" w:rsidRPr="00E56B0F" w:rsidRDefault="00E306DD" w:rsidP="00376A5C">
            <w:pPr>
              <w:rPr>
                <w:rFonts w:asciiTheme="minorHAnsi" w:hAnsiTheme="minorHAnsi"/>
                <w:sz w:val="16"/>
              </w:rPr>
            </w:pPr>
            <w:r>
              <w:rPr>
                <w:rFonts w:asciiTheme="minorHAnsi" w:hAnsiTheme="minorHAnsi"/>
                <w:sz w:val="16"/>
              </w:rPr>
              <w:t>Concern for risk from “holiday” applications obtained outside Europe</w:t>
            </w:r>
          </w:p>
        </w:tc>
        <w:tc>
          <w:tcPr>
            <w:tcW w:w="1148" w:type="dxa"/>
          </w:tcPr>
          <w:p w14:paraId="60681240" w14:textId="77777777" w:rsidR="00E306DD" w:rsidRPr="00E56B0F" w:rsidRDefault="00E306DD" w:rsidP="00376A5C">
            <w:pPr>
              <w:rPr>
                <w:rFonts w:asciiTheme="minorHAnsi" w:hAnsiTheme="minorHAnsi"/>
                <w:sz w:val="16"/>
              </w:rPr>
            </w:pPr>
          </w:p>
        </w:tc>
        <w:tc>
          <w:tcPr>
            <w:tcW w:w="1134" w:type="dxa"/>
          </w:tcPr>
          <w:p w14:paraId="13910BBA" w14:textId="77777777" w:rsidR="00E306DD" w:rsidRPr="00E56B0F" w:rsidRDefault="00E306DD" w:rsidP="00376A5C">
            <w:pPr>
              <w:rPr>
                <w:rFonts w:asciiTheme="minorHAnsi" w:hAnsiTheme="minorHAnsi"/>
                <w:sz w:val="16"/>
              </w:rPr>
            </w:pPr>
            <w:r>
              <w:rPr>
                <w:rFonts w:asciiTheme="minorHAnsi" w:hAnsiTheme="minorHAnsi"/>
                <w:sz w:val="16"/>
              </w:rPr>
              <w:t>Black henna tattoos are a</w:t>
            </w:r>
            <w:r w:rsidRPr="00E56B0F">
              <w:rPr>
                <w:rFonts w:asciiTheme="minorHAnsi" w:hAnsiTheme="minorHAnsi"/>
                <w:sz w:val="16"/>
              </w:rPr>
              <w:t xml:space="preserve"> cosmetic product</w:t>
            </w:r>
            <w:r>
              <w:rPr>
                <w:rFonts w:asciiTheme="minorHAnsi" w:hAnsiTheme="minorHAnsi"/>
                <w:sz w:val="16"/>
              </w:rPr>
              <w:t xml:space="preserve"> and hence most likely out of scope</w:t>
            </w:r>
          </w:p>
        </w:tc>
      </w:tr>
      <w:tr w:rsidR="00E306DD" w:rsidRPr="00E56B0F" w14:paraId="44A25D02" w14:textId="77777777" w:rsidTr="00376A5C">
        <w:tc>
          <w:tcPr>
            <w:tcW w:w="1609" w:type="dxa"/>
          </w:tcPr>
          <w:p w14:paraId="264280A9" w14:textId="77777777" w:rsidR="00E306DD" w:rsidRPr="00E56B0F" w:rsidRDefault="00E306DD" w:rsidP="00376A5C">
            <w:pPr>
              <w:rPr>
                <w:rFonts w:asciiTheme="minorHAnsi" w:hAnsiTheme="minorHAnsi"/>
                <w:sz w:val="16"/>
              </w:rPr>
            </w:pPr>
            <w:r w:rsidRPr="00E56B0F">
              <w:rPr>
                <w:rFonts w:asciiTheme="minorHAnsi" w:hAnsiTheme="minorHAnsi"/>
                <w:sz w:val="16"/>
              </w:rPr>
              <w:t>Dye ingredient in textiles, furs and leather</w:t>
            </w:r>
          </w:p>
        </w:tc>
        <w:tc>
          <w:tcPr>
            <w:tcW w:w="1760" w:type="dxa"/>
          </w:tcPr>
          <w:p w14:paraId="604EA810" w14:textId="77777777" w:rsidR="00E306DD" w:rsidRPr="00E56B0F" w:rsidRDefault="00E306DD" w:rsidP="00376A5C">
            <w:pPr>
              <w:rPr>
                <w:rFonts w:asciiTheme="minorHAnsi" w:hAnsiTheme="minorHAnsi"/>
                <w:sz w:val="16"/>
              </w:rPr>
            </w:pPr>
            <w:r>
              <w:rPr>
                <w:rFonts w:asciiTheme="minorHAnsi" w:hAnsiTheme="minorHAnsi"/>
                <w:sz w:val="16"/>
              </w:rPr>
              <w:t>Yes</w:t>
            </w:r>
          </w:p>
        </w:tc>
        <w:tc>
          <w:tcPr>
            <w:tcW w:w="1417" w:type="dxa"/>
          </w:tcPr>
          <w:p w14:paraId="44925164" w14:textId="77777777" w:rsidR="00E306DD" w:rsidRPr="00E56B0F" w:rsidRDefault="00E306DD" w:rsidP="00376A5C">
            <w:pPr>
              <w:rPr>
                <w:rFonts w:asciiTheme="minorHAnsi" w:hAnsiTheme="minorHAnsi"/>
                <w:sz w:val="16"/>
              </w:rPr>
            </w:pPr>
          </w:p>
        </w:tc>
        <w:tc>
          <w:tcPr>
            <w:tcW w:w="1404" w:type="dxa"/>
          </w:tcPr>
          <w:p w14:paraId="3C495287" w14:textId="77777777" w:rsidR="00E306DD" w:rsidRPr="00E56B0F" w:rsidRDefault="00E306DD" w:rsidP="00376A5C">
            <w:pPr>
              <w:rPr>
                <w:rFonts w:asciiTheme="minorHAnsi" w:hAnsiTheme="minorHAnsi"/>
                <w:sz w:val="16"/>
              </w:rPr>
            </w:pPr>
          </w:p>
        </w:tc>
        <w:tc>
          <w:tcPr>
            <w:tcW w:w="1148" w:type="dxa"/>
          </w:tcPr>
          <w:p w14:paraId="63EFDFC7" w14:textId="77777777" w:rsidR="00E306DD" w:rsidRPr="00E56B0F" w:rsidRDefault="00E306DD" w:rsidP="00376A5C">
            <w:pPr>
              <w:rPr>
                <w:rFonts w:asciiTheme="minorHAnsi" w:hAnsiTheme="minorHAnsi"/>
                <w:sz w:val="16"/>
              </w:rPr>
            </w:pPr>
            <w:r w:rsidRPr="00E56B0F">
              <w:rPr>
                <w:rFonts w:asciiTheme="minorHAnsi" w:hAnsiTheme="minorHAnsi"/>
                <w:sz w:val="16"/>
              </w:rPr>
              <w:t>May be (partly) in scope (e.g. fur, leather)</w:t>
            </w:r>
          </w:p>
        </w:tc>
        <w:tc>
          <w:tcPr>
            <w:tcW w:w="1134" w:type="dxa"/>
          </w:tcPr>
          <w:p w14:paraId="0468D43A" w14:textId="77777777" w:rsidR="00E306DD" w:rsidRPr="00E56B0F" w:rsidRDefault="00E306DD" w:rsidP="00376A5C">
            <w:pPr>
              <w:rPr>
                <w:rFonts w:asciiTheme="minorHAnsi" w:hAnsiTheme="minorHAnsi"/>
                <w:sz w:val="16"/>
              </w:rPr>
            </w:pPr>
          </w:p>
        </w:tc>
      </w:tr>
      <w:tr w:rsidR="00E306DD" w:rsidRPr="00E56B0F" w14:paraId="452E679B" w14:textId="77777777" w:rsidTr="00376A5C">
        <w:tc>
          <w:tcPr>
            <w:tcW w:w="1609" w:type="dxa"/>
          </w:tcPr>
          <w:p w14:paraId="23D6E873" w14:textId="77777777" w:rsidR="00E306DD" w:rsidRPr="00E56B0F" w:rsidRDefault="00E306DD" w:rsidP="00376A5C">
            <w:pPr>
              <w:rPr>
                <w:rFonts w:asciiTheme="minorHAnsi" w:hAnsiTheme="minorHAnsi"/>
                <w:sz w:val="16"/>
              </w:rPr>
            </w:pPr>
            <w:r w:rsidRPr="00E56B0F">
              <w:rPr>
                <w:rFonts w:asciiTheme="minorHAnsi" w:hAnsiTheme="minorHAnsi"/>
                <w:sz w:val="16"/>
              </w:rPr>
              <w:t xml:space="preserve">Ink </w:t>
            </w:r>
          </w:p>
        </w:tc>
        <w:tc>
          <w:tcPr>
            <w:tcW w:w="1760" w:type="dxa"/>
          </w:tcPr>
          <w:p w14:paraId="06A04BA3" w14:textId="77777777" w:rsidR="00E306DD" w:rsidRDefault="00E306DD" w:rsidP="00376A5C">
            <w:pPr>
              <w:rPr>
                <w:rFonts w:asciiTheme="minorHAnsi" w:hAnsiTheme="minorHAnsi"/>
                <w:sz w:val="16"/>
              </w:rPr>
            </w:pPr>
            <w:r>
              <w:rPr>
                <w:rFonts w:asciiTheme="minorHAnsi" w:hAnsiTheme="minorHAnsi"/>
                <w:sz w:val="16"/>
              </w:rPr>
              <w:t>Yes</w:t>
            </w:r>
            <w:r w:rsidRPr="00E56B0F">
              <w:rPr>
                <w:rFonts w:asciiTheme="minorHAnsi" w:hAnsiTheme="minorHAnsi"/>
                <w:sz w:val="16"/>
              </w:rPr>
              <w:t xml:space="preserve"> </w:t>
            </w:r>
          </w:p>
          <w:p w14:paraId="4E82671C" w14:textId="77777777" w:rsidR="00E306DD" w:rsidRPr="00E56B0F" w:rsidRDefault="00E306DD" w:rsidP="00376A5C">
            <w:pPr>
              <w:rPr>
                <w:rFonts w:asciiTheme="minorHAnsi" w:hAnsiTheme="minorHAnsi"/>
                <w:sz w:val="16"/>
              </w:rPr>
            </w:pPr>
            <w:r w:rsidRPr="00E56B0F">
              <w:rPr>
                <w:rFonts w:asciiTheme="minorHAnsi" w:hAnsiTheme="minorHAnsi"/>
                <w:sz w:val="16"/>
              </w:rPr>
              <w:t>Concern for risk for printers</w:t>
            </w:r>
          </w:p>
        </w:tc>
        <w:tc>
          <w:tcPr>
            <w:tcW w:w="1417" w:type="dxa"/>
          </w:tcPr>
          <w:p w14:paraId="7BBA6E2B" w14:textId="77777777" w:rsidR="00E306DD" w:rsidRPr="00E56B0F" w:rsidRDefault="00E306DD" w:rsidP="00376A5C">
            <w:pPr>
              <w:rPr>
                <w:rFonts w:asciiTheme="minorHAnsi" w:hAnsiTheme="minorHAnsi"/>
                <w:sz w:val="16"/>
              </w:rPr>
            </w:pPr>
          </w:p>
        </w:tc>
        <w:tc>
          <w:tcPr>
            <w:tcW w:w="1404" w:type="dxa"/>
          </w:tcPr>
          <w:p w14:paraId="3A214F06" w14:textId="77777777" w:rsidR="00E306DD" w:rsidRPr="00E56B0F" w:rsidRDefault="00E306DD" w:rsidP="00376A5C">
            <w:pPr>
              <w:rPr>
                <w:rFonts w:asciiTheme="minorHAnsi" w:hAnsiTheme="minorHAnsi"/>
                <w:sz w:val="16"/>
              </w:rPr>
            </w:pPr>
          </w:p>
        </w:tc>
        <w:tc>
          <w:tcPr>
            <w:tcW w:w="1148" w:type="dxa"/>
          </w:tcPr>
          <w:p w14:paraId="2AE16622" w14:textId="77777777" w:rsidR="00E306DD" w:rsidRPr="00E56B0F" w:rsidRDefault="00E306DD" w:rsidP="00376A5C">
            <w:pPr>
              <w:rPr>
                <w:rFonts w:asciiTheme="minorHAnsi" w:hAnsiTheme="minorHAnsi"/>
                <w:sz w:val="16"/>
              </w:rPr>
            </w:pPr>
          </w:p>
        </w:tc>
        <w:tc>
          <w:tcPr>
            <w:tcW w:w="1134" w:type="dxa"/>
          </w:tcPr>
          <w:p w14:paraId="2417EEBC" w14:textId="77777777" w:rsidR="00E306DD" w:rsidRPr="00E56B0F" w:rsidRDefault="00E306DD" w:rsidP="00376A5C">
            <w:pPr>
              <w:rPr>
                <w:rFonts w:asciiTheme="minorHAnsi" w:hAnsiTheme="minorHAnsi"/>
                <w:sz w:val="16"/>
              </w:rPr>
            </w:pPr>
          </w:p>
        </w:tc>
      </w:tr>
      <w:tr w:rsidR="00E306DD" w:rsidRPr="00E56B0F" w14:paraId="7E0DBA08" w14:textId="77777777" w:rsidTr="00376A5C">
        <w:tc>
          <w:tcPr>
            <w:tcW w:w="1609" w:type="dxa"/>
          </w:tcPr>
          <w:p w14:paraId="20497FD3" w14:textId="77777777" w:rsidR="00E306DD" w:rsidRPr="00E56B0F" w:rsidRDefault="00E306DD" w:rsidP="00376A5C">
            <w:pPr>
              <w:rPr>
                <w:rFonts w:asciiTheme="minorHAnsi" w:hAnsiTheme="minorHAnsi"/>
                <w:sz w:val="16"/>
              </w:rPr>
            </w:pPr>
            <w:proofErr w:type="spellStart"/>
            <w:r w:rsidRPr="00E56B0F">
              <w:rPr>
                <w:rFonts w:asciiTheme="minorHAnsi" w:hAnsiTheme="minorHAnsi"/>
                <w:sz w:val="16"/>
              </w:rPr>
              <w:t>Photodeveloping</w:t>
            </w:r>
            <w:proofErr w:type="spellEnd"/>
            <w:r w:rsidRPr="00E56B0F">
              <w:rPr>
                <w:rFonts w:asciiTheme="minorHAnsi" w:hAnsiTheme="minorHAnsi"/>
                <w:sz w:val="16"/>
              </w:rPr>
              <w:t xml:space="preserve"> agent</w:t>
            </w:r>
          </w:p>
        </w:tc>
        <w:tc>
          <w:tcPr>
            <w:tcW w:w="1760" w:type="dxa"/>
          </w:tcPr>
          <w:p w14:paraId="3EB98550" w14:textId="77777777" w:rsidR="00E306DD" w:rsidRDefault="00E306DD" w:rsidP="00376A5C">
            <w:pPr>
              <w:rPr>
                <w:rFonts w:asciiTheme="minorHAnsi" w:hAnsiTheme="minorHAnsi"/>
                <w:sz w:val="16"/>
              </w:rPr>
            </w:pPr>
            <w:r>
              <w:rPr>
                <w:rFonts w:asciiTheme="minorHAnsi" w:hAnsiTheme="minorHAnsi"/>
                <w:sz w:val="16"/>
              </w:rPr>
              <w:t>Yes</w:t>
            </w:r>
            <w:r w:rsidRPr="00E56B0F">
              <w:rPr>
                <w:rFonts w:asciiTheme="minorHAnsi" w:hAnsiTheme="minorHAnsi"/>
                <w:sz w:val="16"/>
              </w:rPr>
              <w:t xml:space="preserve"> </w:t>
            </w:r>
          </w:p>
          <w:p w14:paraId="6E3C28B9" w14:textId="77777777" w:rsidR="00E306DD" w:rsidRPr="00E56B0F" w:rsidRDefault="00E306DD" w:rsidP="00376A5C">
            <w:pPr>
              <w:rPr>
                <w:rFonts w:asciiTheme="minorHAnsi" w:hAnsiTheme="minorHAnsi"/>
                <w:sz w:val="16"/>
              </w:rPr>
            </w:pPr>
            <w:r w:rsidRPr="00E56B0F">
              <w:rPr>
                <w:rFonts w:asciiTheme="minorHAnsi" w:hAnsiTheme="minorHAnsi"/>
                <w:sz w:val="16"/>
              </w:rPr>
              <w:t>Concern for risk for printers</w:t>
            </w:r>
          </w:p>
        </w:tc>
        <w:tc>
          <w:tcPr>
            <w:tcW w:w="1417" w:type="dxa"/>
          </w:tcPr>
          <w:p w14:paraId="14F3392C" w14:textId="77777777" w:rsidR="00E306DD" w:rsidRPr="00E56B0F" w:rsidRDefault="00E306DD" w:rsidP="00376A5C">
            <w:pPr>
              <w:rPr>
                <w:rFonts w:asciiTheme="minorHAnsi" w:hAnsiTheme="minorHAnsi"/>
                <w:sz w:val="16"/>
              </w:rPr>
            </w:pPr>
          </w:p>
        </w:tc>
        <w:tc>
          <w:tcPr>
            <w:tcW w:w="1404" w:type="dxa"/>
          </w:tcPr>
          <w:p w14:paraId="51E4F91E" w14:textId="77777777" w:rsidR="00E306DD" w:rsidRPr="00E56B0F" w:rsidRDefault="00E306DD" w:rsidP="00376A5C">
            <w:pPr>
              <w:rPr>
                <w:rFonts w:asciiTheme="minorHAnsi" w:hAnsiTheme="minorHAnsi"/>
                <w:sz w:val="16"/>
              </w:rPr>
            </w:pPr>
          </w:p>
        </w:tc>
        <w:tc>
          <w:tcPr>
            <w:tcW w:w="1148" w:type="dxa"/>
          </w:tcPr>
          <w:p w14:paraId="5835CD36" w14:textId="77777777" w:rsidR="00E306DD" w:rsidRPr="00E56B0F" w:rsidRDefault="00E306DD" w:rsidP="00376A5C">
            <w:pPr>
              <w:rPr>
                <w:rFonts w:asciiTheme="minorHAnsi" w:hAnsiTheme="minorHAnsi"/>
                <w:sz w:val="16"/>
              </w:rPr>
            </w:pPr>
          </w:p>
        </w:tc>
        <w:tc>
          <w:tcPr>
            <w:tcW w:w="1134" w:type="dxa"/>
          </w:tcPr>
          <w:p w14:paraId="230E7E3D" w14:textId="77777777" w:rsidR="00E306DD" w:rsidRPr="00E56B0F" w:rsidRDefault="00E306DD" w:rsidP="00376A5C">
            <w:pPr>
              <w:rPr>
                <w:rFonts w:asciiTheme="minorHAnsi" w:hAnsiTheme="minorHAnsi"/>
                <w:sz w:val="16"/>
              </w:rPr>
            </w:pPr>
          </w:p>
        </w:tc>
      </w:tr>
      <w:tr w:rsidR="00E306DD" w:rsidRPr="00E56B0F" w14:paraId="406F84E9" w14:textId="77777777" w:rsidTr="00376A5C">
        <w:tc>
          <w:tcPr>
            <w:tcW w:w="1609" w:type="dxa"/>
          </w:tcPr>
          <w:p w14:paraId="6FA6B6DF" w14:textId="77777777" w:rsidR="00E306DD" w:rsidRPr="00E56B0F" w:rsidRDefault="00E306DD" w:rsidP="00376A5C">
            <w:pPr>
              <w:rPr>
                <w:rFonts w:asciiTheme="minorHAnsi" w:hAnsiTheme="minorHAnsi"/>
                <w:sz w:val="16"/>
              </w:rPr>
            </w:pPr>
            <w:proofErr w:type="spellStart"/>
            <w:r w:rsidRPr="00E56B0F">
              <w:rPr>
                <w:rFonts w:asciiTheme="minorHAnsi" w:hAnsiTheme="minorHAnsi"/>
                <w:sz w:val="16"/>
              </w:rPr>
              <w:t>Vulcantization</w:t>
            </w:r>
            <w:proofErr w:type="spellEnd"/>
            <w:r w:rsidRPr="00E56B0F">
              <w:rPr>
                <w:rFonts w:asciiTheme="minorHAnsi" w:hAnsiTheme="minorHAnsi"/>
                <w:sz w:val="16"/>
              </w:rPr>
              <w:t xml:space="preserve"> accelerator and antioxidant in rubber compounds</w:t>
            </w:r>
          </w:p>
        </w:tc>
        <w:tc>
          <w:tcPr>
            <w:tcW w:w="1760" w:type="dxa"/>
          </w:tcPr>
          <w:p w14:paraId="69C26D7D" w14:textId="77777777" w:rsidR="00E306DD" w:rsidRPr="00E56B0F" w:rsidRDefault="00E306DD" w:rsidP="00376A5C">
            <w:pPr>
              <w:rPr>
                <w:rFonts w:asciiTheme="minorHAnsi" w:hAnsiTheme="minorHAnsi"/>
                <w:sz w:val="16"/>
              </w:rPr>
            </w:pPr>
            <w:r>
              <w:rPr>
                <w:rFonts w:asciiTheme="minorHAnsi" w:hAnsiTheme="minorHAnsi"/>
                <w:sz w:val="16"/>
              </w:rPr>
              <w:t>Yes</w:t>
            </w:r>
          </w:p>
        </w:tc>
        <w:tc>
          <w:tcPr>
            <w:tcW w:w="1417" w:type="dxa"/>
          </w:tcPr>
          <w:p w14:paraId="62EF4493" w14:textId="77777777" w:rsidR="00E306DD" w:rsidRPr="00E56B0F" w:rsidRDefault="00E306DD" w:rsidP="00376A5C">
            <w:pPr>
              <w:rPr>
                <w:rFonts w:asciiTheme="minorHAnsi" w:hAnsiTheme="minorHAnsi"/>
                <w:sz w:val="16"/>
              </w:rPr>
            </w:pPr>
          </w:p>
        </w:tc>
        <w:tc>
          <w:tcPr>
            <w:tcW w:w="1404" w:type="dxa"/>
          </w:tcPr>
          <w:p w14:paraId="1026B863" w14:textId="77777777" w:rsidR="00E306DD" w:rsidRPr="00E56B0F" w:rsidRDefault="00E306DD" w:rsidP="00376A5C">
            <w:pPr>
              <w:rPr>
                <w:rFonts w:asciiTheme="minorHAnsi" w:hAnsiTheme="minorHAnsi"/>
                <w:sz w:val="16"/>
              </w:rPr>
            </w:pPr>
          </w:p>
        </w:tc>
        <w:tc>
          <w:tcPr>
            <w:tcW w:w="1148" w:type="dxa"/>
          </w:tcPr>
          <w:p w14:paraId="387C608B" w14:textId="77777777" w:rsidR="00E306DD" w:rsidRPr="00E56B0F" w:rsidRDefault="00E306DD" w:rsidP="00376A5C">
            <w:pPr>
              <w:rPr>
                <w:rFonts w:asciiTheme="minorHAnsi" w:hAnsiTheme="minorHAnsi"/>
                <w:sz w:val="16"/>
              </w:rPr>
            </w:pPr>
          </w:p>
        </w:tc>
        <w:tc>
          <w:tcPr>
            <w:tcW w:w="1134" w:type="dxa"/>
          </w:tcPr>
          <w:p w14:paraId="16907F47" w14:textId="77777777" w:rsidR="00E306DD" w:rsidRPr="00E56B0F" w:rsidRDefault="00E306DD" w:rsidP="00376A5C">
            <w:pPr>
              <w:rPr>
                <w:rFonts w:asciiTheme="minorHAnsi" w:hAnsiTheme="minorHAnsi"/>
                <w:sz w:val="16"/>
              </w:rPr>
            </w:pPr>
          </w:p>
        </w:tc>
      </w:tr>
      <w:tr w:rsidR="00E306DD" w:rsidRPr="00E56B0F" w14:paraId="5C026B25" w14:textId="77777777" w:rsidTr="00376A5C">
        <w:tc>
          <w:tcPr>
            <w:tcW w:w="1609" w:type="dxa"/>
          </w:tcPr>
          <w:p w14:paraId="114AA861" w14:textId="77777777" w:rsidR="00E306DD" w:rsidRPr="00E56B0F" w:rsidRDefault="00E306DD" w:rsidP="00376A5C">
            <w:pPr>
              <w:rPr>
                <w:rFonts w:asciiTheme="minorHAnsi" w:hAnsiTheme="minorHAnsi"/>
                <w:sz w:val="16"/>
              </w:rPr>
            </w:pPr>
            <w:r w:rsidRPr="00E56B0F">
              <w:rPr>
                <w:rFonts w:asciiTheme="minorHAnsi" w:hAnsiTheme="minorHAnsi"/>
                <w:sz w:val="16"/>
              </w:rPr>
              <w:t>Monomer for PPTA polymer</w:t>
            </w:r>
          </w:p>
        </w:tc>
        <w:tc>
          <w:tcPr>
            <w:tcW w:w="1760" w:type="dxa"/>
          </w:tcPr>
          <w:p w14:paraId="782A3A85" w14:textId="77777777" w:rsidR="00E306DD" w:rsidRPr="00E56B0F" w:rsidRDefault="00E306DD" w:rsidP="00376A5C">
            <w:pPr>
              <w:rPr>
                <w:rFonts w:asciiTheme="minorHAnsi" w:hAnsiTheme="minorHAnsi"/>
                <w:sz w:val="16"/>
              </w:rPr>
            </w:pPr>
            <w:r>
              <w:rPr>
                <w:rFonts w:asciiTheme="minorHAnsi" w:hAnsiTheme="minorHAnsi"/>
                <w:sz w:val="16"/>
              </w:rPr>
              <w:t>Yes</w:t>
            </w:r>
          </w:p>
        </w:tc>
        <w:tc>
          <w:tcPr>
            <w:tcW w:w="1417" w:type="dxa"/>
          </w:tcPr>
          <w:p w14:paraId="071403BF" w14:textId="77777777" w:rsidR="00E306DD" w:rsidRPr="00E56B0F" w:rsidRDefault="00E306DD" w:rsidP="00376A5C">
            <w:pPr>
              <w:rPr>
                <w:rFonts w:asciiTheme="minorHAnsi" w:hAnsiTheme="minorHAnsi"/>
                <w:sz w:val="16"/>
              </w:rPr>
            </w:pPr>
          </w:p>
        </w:tc>
        <w:tc>
          <w:tcPr>
            <w:tcW w:w="1404" w:type="dxa"/>
          </w:tcPr>
          <w:p w14:paraId="25E05A6E" w14:textId="77777777" w:rsidR="00E306DD" w:rsidRPr="00E56B0F" w:rsidRDefault="00E306DD" w:rsidP="00376A5C">
            <w:pPr>
              <w:rPr>
                <w:rFonts w:asciiTheme="minorHAnsi" w:hAnsiTheme="minorHAnsi"/>
                <w:sz w:val="16"/>
              </w:rPr>
            </w:pPr>
          </w:p>
        </w:tc>
        <w:tc>
          <w:tcPr>
            <w:tcW w:w="1148" w:type="dxa"/>
          </w:tcPr>
          <w:p w14:paraId="2AF9EF9A" w14:textId="77777777" w:rsidR="00E306DD" w:rsidRPr="00E56B0F" w:rsidRDefault="00E306DD" w:rsidP="00376A5C">
            <w:pPr>
              <w:rPr>
                <w:rFonts w:asciiTheme="minorHAnsi" w:hAnsiTheme="minorHAnsi"/>
                <w:sz w:val="16"/>
              </w:rPr>
            </w:pPr>
          </w:p>
        </w:tc>
        <w:tc>
          <w:tcPr>
            <w:tcW w:w="1134" w:type="dxa"/>
          </w:tcPr>
          <w:p w14:paraId="51699EEA" w14:textId="77777777" w:rsidR="00E306DD" w:rsidRPr="00E56B0F" w:rsidRDefault="00E306DD" w:rsidP="00376A5C">
            <w:pPr>
              <w:rPr>
                <w:rFonts w:asciiTheme="minorHAnsi" w:hAnsiTheme="minorHAnsi"/>
                <w:sz w:val="16"/>
              </w:rPr>
            </w:pPr>
          </w:p>
        </w:tc>
      </w:tr>
      <w:tr w:rsidR="00E306DD" w:rsidRPr="00E56B0F" w14:paraId="3511DE38" w14:textId="77777777" w:rsidTr="00376A5C">
        <w:tc>
          <w:tcPr>
            <w:tcW w:w="1609" w:type="dxa"/>
          </w:tcPr>
          <w:p w14:paraId="63D5591C" w14:textId="77777777" w:rsidR="00E306DD" w:rsidRPr="00E56B0F" w:rsidRDefault="00E306DD" w:rsidP="00376A5C">
            <w:pPr>
              <w:rPr>
                <w:rFonts w:asciiTheme="minorHAnsi" w:hAnsiTheme="minorHAnsi"/>
                <w:sz w:val="16"/>
              </w:rPr>
            </w:pPr>
            <w:r w:rsidRPr="00E56B0F">
              <w:rPr>
                <w:rFonts w:asciiTheme="minorHAnsi" w:hAnsiTheme="minorHAnsi"/>
                <w:sz w:val="16"/>
              </w:rPr>
              <w:t>Intermediate</w:t>
            </w:r>
          </w:p>
        </w:tc>
        <w:tc>
          <w:tcPr>
            <w:tcW w:w="1760" w:type="dxa"/>
          </w:tcPr>
          <w:p w14:paraId="0AC86BE1" w14:textId="77777777" w:rsidR="00E306DD" w:rsidRPr="00E56B0F" w:rsidRDefault="00E306DD" w:rsidP="00376A5C">
            <w:pPr>
              <w:rPr>
                <w:rFonts w:asciiTheme="minorHAnsi" w:hAnsiTheme="minorHAnsi"/>
                <w:sz w:val="16"/>
              </w:rPr>
            </w:pPr>
            <w:r>
              <w:rPr>
                <w:rFonts w:asciiTheme="minorHAnsi" w:hAnsiTheme="minorHAnsi"/>
                <w:sz w:val="16"/>
              </w:rPr>
              <w:t>Yes</w:t>
            </w:r>
          </w:p>
        </w:tc>
        <w:tc>
          <w:tcPr>
            <w:tcW w:w="1417" w:type="dxa"/>
          </w:tcPr>
          <w:p w14:paraId="45DF4F02" w14:textId="77777777" w:rsidR="00E306DD" w:rsidRPr="00E56B0F" w:rsidRDefault="00E306DD" w:rsidP="00376A5C">
            <w:pPr>
              <w:rPr>
                <w:rFonts w:asciiTheme="minorHAnsi" w:hAnsiTheme="minorHAnsi"/>
                <w:sz w:val="16"/>
              </w:rPr>
            </w:pPr>
          </w:p>
        </w:tc>
        <w:tc>
          <w:tcPr>
            <w:tcW w:w="1404" w:type="dxa"/>
          </w:tcPr>
          <w:p w14:paraId="22E6E961" w14:textId="77777777" w:rsidR="00E306DD" w:rsidRPr="00E56B0F" w:rsidRDefault="00E306DD" w:rsidP="00376A5C">
            <w:pPr>
              <w:rPr>
                <w:rFonts w:asciiTheme="minorHAnsi" w:hAnsiTheme="minorHAnsi"/>
                <w:sz w:val="16"/>
              </w:rPr>
            </w:pPr>
          </w:p>
        </w:tc>
        <w:tc>
          <w:tcPr>
            <w:tcW w:w="1148" w:type="dxa"/>
          </w:tcPr>
          <w:p w14:paraId="0F93E610" w14:textId="77777777" w:rsidR="00E306DD" w:rsidRPr="00E56B0F" w:rsidRDefault="00E306DD" w:rsidP="00376A5C">
            <w:pPr>
              <w:rPr>
                <w:rFonts w:asciiTheme="minorHAnsi" w:hAnsiTheme="minorHAnsi"/>
                <w:sz w:val="16"/>
              </w:rPr>
            </w:pPr>
          </w:p>
        </w:tc>
        <w:tc>
          <w:tcPr>
            <w:tcW w:w="1134" w:type="dxa"/>
          </w:tcPr>
          <w:p w14:paraId="37EDB3A7" w14:textId="77777777" w:rsidR="00E306DD" w:rsidRPr="00E56B0F" w:rsidRDefault="00E306DD" w:rsidP="00376A5C">
            <w:pPr>
              <w:rPr>
                <w:rFonts w:asciiTheme="minorHAnsi" w:hAnsiTheme="minorHAnsi"/>
                <w:sz w:val="16"/>
              </w:rPr>
            </w:pPr>
          </w:p>
        </w:tc>
      </w:tr>
      <w:tr w:rsidR="00E306DD" w:rsidRPr="00E56B0F" w14:paraId="724186AD" w14:textId="77777777" w:rsidTr="00376A5C">
        <w:tc>
          <w:tcPr>
            <w:tcW w:w="1609" w:type="dxa"/>
          </w:tcPr>
          <w:p w14:paraId="0986C7F0" w14:textId="77777777" w:rsidR="00E306DD" w:rsidRPr="00E56B0F" w:rsidRDefault="00E306DD" w:rsidP="00376A5C">
            <w:pPr>
              <w:rPr>
                <w:rFonts w:asciiTheme="minorHAnsi" w:hAnsiTheme="minorHAnsi"/>
                <w:sz w:val="16"/>
              </w:rPr>
            </w:pPr>
            <w:r w:rsidRPr="00E56B0F">
              <w:rPr>
                <w:rFonts w:asciiTheme="minorHAnsi" w:hAnsiTheme="minorHAnsi"/>
                <w:sz w:val="16"/>
              </w:rPr>
              <w:t>Antioxidant in fuel -refinery</w:t>
            </w:r>
          </w:p>
        </w:tc>
        <w:tc>
          <w:tcPr>
            <w:tcW w:w="1760" w:type="dxa"/>
          </w:tcPr>
          <w:p w14:paraId="12B10181" w14:textId="77777777" w:rsidR="00E306DD" w:rsidRPr="00E56B0F" w:rsidRDefault="00E306DD" w:rsidP="00376A5C">
            <w:pPr>
              <w:rPr>
                <w:rFonts w:asciiTheme="minorHAnsi" w:hAnsiTheme="minorHAnsi"/>
                <w:sz w:val="16"/>
              </w:rPr>
            </w:pPr>
            <w:r>
              <w:rPr>
                <w:rFonts w:asciiTheme="minorHAnsi" w:hAnsiTheme="minorHAnsi"/>
                <w:sz w:val="16"/>
              </w:rPr>
              <w:t>Yes</w:t>
            </w:r>
          </w:p>
        </w:tc>
        <w:tc>
          <w:tcPr>
            <w:tcW w:w="1417" w:type="dxa"/>
          </w:tcPr>
          <w:p w14:paraId="2B9377FF" w14:textId="77777777" w:rsidR="00E306DD" w:rsidRPr="00E56B0F" w:rsidRDefault="00E306DD" w:rsidP="00376A5C">
            <w:pPr>
              <w:rPr>
                <w:rFonts w:asciiTheme="minorHAnsi" w:hAnsiTheme="minorHAnsi"/>
                <w:sz w:val="16"/>
              </w:rPr>
            </w:pPr>
          </w:p>
        </w:tc>
        <w:tc>
          <w:tcPr>
            <w:tcW w:w="1404" w:type="dxa"/>
          </w:tcPr>
          <w:p w14:paraId="536F4C13" w14:textId="77777777" w:rsidR="00E306DD" w:rsidRPr="00E56B0F" w:rsidRDefault="00E306DD" w:rsidP="00376A5C">
            <w:pPr>
              <w:rPr>
                <w:rFonts w:asciiTheme="minorHAnsi" w:hAnsiTheme="minorHAnsi"/>
                <w:sz w:val="16"/>
              </w:rPr>
            </w:pPr>
          </w:p>
        </w:tc>
        <w:tc>
          <w:tcPr>
            <w:tcW w:w="1148" w:type="dxa"/>
          </w:tcPr>
          <w:p w14:paraId="6FC657F4" w14:textId="77777777" w:rsidR="00E306DD" w:rsidRPr="00E56B0F" w:rsidRDefault="00E306DD" w:rsidP="00376A5C">
            <w:pPr>
              <w:rPr>
                <w:rFonts w:asciiTheme="minorHAnsi" w:hAnsiTheme="minorHAnsi"/>
                <w:sz w:val="16"/>
              </w:rPr>
            </w:pPr>
          </w:p>
        </w:tc>
        <w:tc>
          <w:tcPr>
            <w:tcW w:w="1134" w:type="dxa"/>
          </w:tcPr>
          <w:p w14:paraId="272930CA" w14:textId="77777777" w:rsidR="00E306DD" w:rsidRPr="00E56B0F" w:rsidRDefault="00E306DD" w:rsidP="00376A5C">
            <w:pPr>
              <w:rPr>
                <w:rFonts w:asciiTheme="minorHAnsi" w:hAnsiTheme="minorHAnsi"/>
                <w:sz w:val="16"/>
              </w:rPr>
            </w:pPr>
          </w:p>
        </w:tc>
      </w:tr>
    </w:tbl>
    <w:p w14:paraId="56D89E1F" w14:textId="77777777" w:rsidR="00E306DD" w:rsidRDefault="00E306DD" w:rsidP="00E306DD"/>
    <w:p w14:paraId="4F36EE17" w14:textId="77777777" w:rsidR="00E306DD" w:rsidRDefault="00E306DD" w:rsidP="00E306DD"/>
    <w:p w14:paraId="0958D89A" w14:textId="4F05D864" w:rsidR="00E306DD" w:rsidRDefault="00E306DD" w:rsidP="00E306DD">
      <w:r>
        <w:t xml:space="preserve">The various concerns identified </w:t>
      </w:r>
      <w:r>
        <w:t>for PPD</w:t>
      </w:r>
      <w:r>
        <w:t xml:space="preserve"> </w:t>
      </w:r>
      <w:proofErr w:type="gramStart"/>
      <w:r>
        <w:t>are summarized</w:t>
      </w:r>
      <w:proofErr w:type="gramEnd"/>
      <w:r>
        <w:t xml:space="preserve"> as follows:</w:t>
      </w:r>
    </w:p>
    <w:p w14:paraId="307A432B" w14:textId="77777777" w:rsidR="00E306DD" w:rsidRPr="009A3AC3" w:rsidRDefault="00E306DD" w:rsidP="00E306DD">
      <w:pPr>
        <w:pStyle w:val="ListParagraph"/>
        <w:widowControl/>
        <w:numPr>
          <w:ilvl w:val="0"/>
          <w:numId w:val="15"/>
        </w:numPr>
        <w:spacing w:after="180"/>
        <w:contextualSpacing/>
      </w:pPr>
      <w:proofErr w:type="gramStart"/>
      <w:r w:rsidRPr="00CE7181">
        <w:rPr>
          <w:lang w:val="en"/>
        </w:rPr>
        <w:t>p-</w:t>
      </w:r>
      <w:proofErr w:type="spellStart"/>
      <w:r w:rsidRPr="00CE7181">
        <w:rPr>
          <w:lang w:val="en"/>
        </w:rPr>
        <w:t>Phenylenediamine</w:t>
      </w:r>
      <w:proofErr w:type="spellEnd"/>
      <w:proofErr w:type="gramEnd"/>
      <w:r w:rsidRPr="00CE7181">
        <w:rPr>
          <w:lang w:val="en"/>
        </w:rPr>
        <w:t xml:space="preserve"> is used in dyes to </w:t>
      </w:r>
      <w:proofErr w:type="spellStart"/>
      <w:r w:rsidRPr="00CE7181">
        <w:rPr>
          <w:lang w:val="en"/>
        </w:rPr>
        <w:t>colour</w:t>
      </w:r>
      <w:proofErr w:type="spellEnd"/>
      <w:r w:rsidRPr="00CE7181">
        <w:rPr>
          <w:lang w:val="en"/>
        </w:rPr>
        <w:t xml:space="preserve"> hair, eyelashes, skin, textiles, </w:t>
      </w:r>
      <w:proofErr w:type="spellStart"/>
      <w:r w:rsidRPr="00CE7181">
        <w:rPr>
          <w:lang w:val="en"/>
        </w:rPr>
        <w:t>furr</w:t>
      </w:r>
      <w:proofErr w:type="spellEnd"/>
      <w:r w:rsidRPr="00CE7181">
        <w:rPr>
          <w:lang w:val="en"/>
        </w:rPr>
        <w:t xml:space="preserve"> and leather, in inks, as a </w:t>
      </w:r>
      <w:proofErr w:type="spellStart"/>
      <w:r w:rsidRPr="00CE7181">
        <w:rPr>
          <w:lang w:val="en"/>
        </w:rPr>
        <w:t>photodeveloper</w:t>
      </w:r>
      <w:proofErr w:type="spellEnd"/>
      <w:r w:rsidRPr="00CE7181">
        <w:rPr>
          <w:lang w:val="en"/>
        </w:rPr>
        <w:t xml:space="preserve"> and as a parent compound in vulcanization accelerators and in antioxidants for rubber industry.</w:t>
      </w:r>
      <w:r w:rsidRPr="00E21492">
        <w:t xml:space="preserve"> </w:t>
      </w:r>
      <w:r w:rsidRPr="00CE7181">
        <w:rPr>
          <w:lang w:val="en"/>
        </w:rPr>
        <w:t xml:space="preserve">It </w:t>
      </w:r>
      <w:proofErr w:type="gramStart"/>
      <w:r w:rsidRPr="00CE7181">
        <w:rPr>
          <w:lang w:val="en"/>
        </w:rPr>
        <w:t>is also used</w:t>
      </w:r>
      <w:proofErr w:type="gramEnd"/>
      <w:r w:rsidRPr="00CE7181">
        <w:rPr>
          <w:lang w:val="en"/>
        </w:rPr>
        <w:t xml:space="preserve"> in the production of dyes other than hair dyes.</w:t>
      </w:r>
    </w:p>
    <w:p w14:paraId="5D6F9D70" w14:textId="77777777" w:rsidR="00E306DD" w:rsidRDefault="00E306DD" w:rsidP="00E306DD">
      <w:pPr>
        <w:pStyle w:val="ListParagraph"/>
        <w:widowControl/>
        <w:numPr>
          <w:ilvl w:val="0"/>
          <w:numId w:val="15"/>
        </w:numPr>
        <w:spacing w:after="180"/>
        <w:contextualSpacing/>
      </w:pPr>
      <w:r w:rsidRPr="00931ED6">
        <w:t>Effects of p-</w:t>
      </w:r>
      <w:proofErr w:type="spellStart"/>
      <w:r w:rsidRPr="00931ED6">
        <w:t>phenylenediamine</w:t>
      </w:r>
      <w:proofErr w:type="spellEnd"/>
      <w:r w:rsidRPr="00931ED6">
        <w:t xml:space="preserve"> can be severe and </w:t>
      </w:r>
      <w:proofErr w:type="gramStart"/>
      <w:r w:rsidRPr="00931ED6">
        <w:t>long-lasting</w:t>
      </w:r>
      <w:proofErr w:type="gramEnd"/>
      <w:r w:rsidRPr="00931ED6">
        <w:t xml:space="preserve">. </w:t>
      </w:r>
      <w:r>
        <w:t>Especially after high dose exposure leading to elicitation.</w:t>
      </w:r>
    </w:p>
    <w:p w14:paraId="1DF7C335" w14:textId="77777777" w:rsidR="00E306DD" w:rsidRPr="00CE7181" w:rsidRDefault="00E306DD" w:rsidP="00E306DD">
      <w:pPr>
        <w:pStyle w:val="ListParagraph"/>
        <w:widowControl/>
        <w:numPr>
          <w:ilvl w:val="0"/>
          <w:numId w:val="15"/>
        </w:numPr>
        <w:spacing w:after="180"/>
        <w:contextualSpacing/>
      </w:pPr>
      <w:r w:rsidRPr="00CE7181">
        <w:rPr>
          <w:rFonts w:cs="TimesNewRoman"/>
          <w:lang w:eastAsia="en-GB"/>
        </w:rPr>
        <w:t xml:space="preserve">Positive findings from genotoxicity studies </w:t>
      </w:r>
      <w:r w:rsidRPr="00CE7181">
        <w:rPr>
          <w:iCs/>
          <w:lang w:eastAsia="en-GB"/>
        </w:rPr>
        <w:t xml:space="preserve">in vivo/in vitro </w:t>
      </w:r>
      <w:r w:rsidRPr="00CE7181">
        <w:rPr>
          <w:rFonts w:cs="TimesNewRoman"/>
          <w:lang w:eastAsia="en-GB"/>
        </w:rPr>
        <w:t>of PPD in combination with couplers</w:t>
      </w:r>
      <w:r>
        <w:rPr>
          <w:rStyle w:val="FootnoteReference"/>
          <w:rFonts w:cs="TimesNewRoman"/>
          <w:lang w:eastAsia="en-GB"/>
        </w:rPr>
        <w:footnoteReference w:id="4"/>
      </w:r>
      <w:r w:rsidRPr="00CE7181">
        <w:rPr>
          <w:rFonts w:cs="TimesNewRoman"/>
          <w:lang w:eastAsia="en-GB"/>
        </w:rPr>
        <w:t xml:space="preserve"> and /or hydrogen peroxide as well in a carcinogenicity study </w:t>
      </w:r>
      <w:proofErr w:type="gramStart"/>
      <w:r w:rsidRPr="00CE7181">
        <w:rPr>
          <w:rFonts w:cs="TimesNewRoman"/>
          <w:lang w:eastAsia="en-GB"/>
        </w:rPr>
        <w:t>were reported</w:t>
      </w:r>
      <w:proofErr w:type="gramEnd"/>
      <w:r w:rsidRPr="00CE7181">
        <w:rPr>
          <w:rFonts w:cs="TimesNewRoman"/>
          <w:lang w:eastAsia="en-GB"/>
        </w:rPr>
        <w:t xml:space="preserve">. The SCCP is of the opinion that the information submitted is insufficient to allow a final risk assessment to </w:t>
      </w:r>
      <w:proofErr w:type="gramStart"/>
      <w:r w:rsidRPr="00CE7181">
        <w:rPr>
          <w:rFonts w:cs="TimesNewRoman"/>
          <w:lang w:eastAsia="en-GB"/>
        </w:rPr>
        <w:t>be carried out</w:t>
      </w:r>
      <w:proofErr w:type="gramEnd"/>
      <w:r w:rsidRPr="00CE7181">
        <w:rPr>
          <w:rFonts w:cs="TimesNewRoman"/>
          <w:lang w:eastAsia="en-GB"/>
        </w:rPr>
        <w:t xml:space="preserve">. Before any further consideration, additional data would be required on in vivo genotoxicity and/or carcinogenicity of PPD in combination with hydrogen peroxide and couplers (to simulate consumer exposure). Further information </w:t>
      </w:r>
      <w:proofErr w:type="gramStart"/>
      <w:r w:rsidRPr="00CE7181">
        <w:rPr>
          <w:rFonts w:cs="TimesNewRoman"/>
          <w:lang w:eastAsia="en-GB"/>
        </w:rPr>
        <w:t>is needed</w:t>
      </w:r>
      <w:proofErr w:type="gramEnd"/>
      <w:r w:rsidRPr="00CE7181">
        <w:rPr>
          <w:rFonts w:cs="TimesNewRoman"/>
          <w:lang w:eastAsia="en-GB"/>
        </w:rPr>
        <w:t xml:space="preserve"> in supporting the applicant’s view that the </w:t>
      </w:r>
      <w:proofErr w:type="spellStart"/>
      <w:r w:rsidRPr="00CE7181">
        <w:rPr>
          <w:rFonts w:cs="TimesNewRoman"/>
          <w:lang w:eastAsia="en-GB"/>
        </w:rPr>
        <w:t>MoS</w:t>
      </w:r>
      <w:proofErr w:type="spellEnd"/>
      <w:r w:rsidRPr="00CE7181">
        <w:rPr>
          <w:rFonts w:cs="TimesNewRoman"/>
          <w:lang w:eastAsia="en-GB"/>
        </w:rPr>
        <w:t xml:space="preserve"> are sufficiently high.</w:t>
      </w:r>
    </w:p>
    <w:p w14:paraId="450882D9" w14:textId="77777777" w:rsidR="00E306DD" w:rsidRDefault="00E306DD" w:rsidP="00E306DD">
      <w:pPr>
        <w:pStyle w:val="ListParagraph"/>
        <w:widowControl/>
        <w:numPr>
          <w:ilvl w:val="0"/>
          <w:numId w:val="15"/>
        </w:numPr>
        <w:spacing w:after="180"/>
        <w:contextualSpacing/>
      </w:pPr>
      <w:r>
        <w:t xml:space="preserve">For workers, a known association between PPD sensitization cases and hairdressing/beauty occupation exists.  Other occupations for which indications for such a positive association </w:t>
      </w:r>
      <w:proofErr w:type="gramStart"/>
      <w:r>
        <w:t>are found</w:t>
      </w:r>
      <w:proofErr w:type="gramEnd"/>
      <w:r>
        <w:t xml:space="preserve"> in literature are bar maids/waiters, cleaners, bakers, household workers and printers.  </w:t>
      </w:r>
    </w:p>
    <w:p w14:paraId="72909A51" w14:textId="77777777" w:rsidR="00E306DD" w:rsidRDefault="00E306DD" w:rsidP="00E306DD">
      <w:pPr>
        <w:pStyle w:val="ListParagraph"/>
        <w:widowControl/>
        <w:numPr>
          <w:ilvl w:val="0"/>
          <w:numId w:val="15"/>
        </w:numPr>
        <w:spacing w:after="180"/>
        <w:contextualSpacing/>
      </w:pPr>
      <w:r>
        <w:t xml:space="preserve">For consumers, there is a special concern of exposure via black henna tattoos that may contain high concentrations of PPD. Other, </w:t>
      </w:r>
      <w:proofErr w:type="gramStart"/>
      <w:r>
        <w:t>more lower</w:t>
      </w:r>
      <w:proofErr w:type="gramEnd"/>
      <w:r>
        <w:t xml:space="preserve"> dose exposures through the use of hair dyes or from wearing textile containing PPD dyes may also be of concern.</w:t>
      </w:r>
    </w:p>
    <w:p w14:paraId="307D0D50" w14:textId="77777777" w:rsidR="00E306DD" w:rsidRPr="008F06DF" w:rsidRDefault="00E306DD" w:rsidP="00E306DD">
      <w:pPr>
        <w:pStyle w:val="ListParagraph"/>
        <w:widowControl/>
        <w:numPr>
          <w:ilvl w:val="0"/>
          <w:numId w:val="15"/>
        </w:numPr>
        <w:spacing w:after="180"/>
        <w:contextualSpacing/>
      </w:pPr>
      <w:r>
        <w:t>For consumers (and workers) there is concern with regard to self-tests for PPD allergy available on the market.</w:t>
      </w:r>
    </w:p>
    <w:p w14:paraId="48748184" w14:textId="77777777" w:rsidR="00E306DD" w:rsidRDefault="00E306DD" w:rsidP="00E306DD">
      <w:r>
        <w:t>C</w:t>
      </w:r>
      <w:r w:rsidRPr="00931ED6">
        <w:t>ross-</w:t>
      </w:r>
      <w:proofErr w:type="spellStart"/>
      <w:r w:rsidRPr="00931ED6">
        <w:t>sentisization</w:t>
      </w:r>
      <w:proofErr w:type="spellEnd"/>
      <w:r w:rsidRPr="00931ED6">
        <w:t xml:space="preserve"> </w:t>
      </w:r>
      <w:proofErr w:type="gramStart"/>
      <w:r>
        <w:t>has</w:t>
      </w:r>
      <w:r w:rsidRPr="00931ED6">
        <w:t xml:space="preserve"> been described</w:t>
      </w:r>
      <w:proofErr w:type="gramEnd"/>
      <w:r>
        <w:t>:</w:t>
      </w:r>
      <w:r w:rsidRPr="00EB0B7E">
        <w:t xml:space="preserve"> </w:t>
      </w:r>
    </w:p>
    <w:p w14:paraId="38997B6C" w14:textId="77777777" w:rsidR="00E306DD" w:rsidRDefault="00E306DD" w:rsidP="00E306DD">
      <w:pPr>
        <w:pStyle w:val="ListParagraph"/>
        <w:widowControl/>
        <w:numPr>
          <w:ilvl w:val="0"/>
          <w:numId w:val="16"/>
        </w:numPr>
        <w:spacing w:after="180"/>
        <w:contextualSpacing/>
      </w:pPr>
      <w:r w:rsidRPr="005252AC">
        <w:t>to other hair dyes</w:t>
      </w:r>
      <w:r>
        <w:t xml:space="preserve"> of which at least:</w:t>
      </w:r>
    </w:p>
    <w:p w14:paraId="7320A93C" w14:textId="77777777" w:rsidR="00E306DD" w:rsidRPr="00931ED6" w:rsidRDefault="00E306DD" w:rsidP="00E306DD">
      <w:pPr>
        <w:pStyle w:val="ListParagraph"/>
        <w:widowControl/>
        <w:numPr>
          <w:ilvl w:val="1"/>
          <w:numId w:val="16"/>
        </w:numPr>
        <w:spacing w:after="180"/>
        <w:contextualSpacing/>
      </w:pPr>
      <w:r w:rsidRPr="00931ED6">
        <w:t>toluene-2,5-diamine</w:t>
      </w:r>
      <w:r>
        <w:t xml:space="preserve"> (lower sensitization potency but used in higher tonnage, see </w:t>
      </w:r>
      <w:r>
        <w:fldChar w:fldCharType="begin"/>
      </w:r>
      <w:r>
        <w:instrText xml:space="preserve"> REF _Ref430764137 \h  \* MERGEFORMAT </w:instrText>
      </w:r>
      <w:r>
        <w:fldChar w:fldCharType="separate"/>
      </w:r>
      <w:r w:rsidRPr="00EB51D3">
        <w:t>Table 8</w:t>
      </w:r>
      <w:r>
        <w:fldChar w:fldCharType="end"/>
      </w:r>
      <w:r>
        <w:t>)</w:t>
      </w:r>
      <w:r w:rsidRPr="00931ED6">
        <w:t xml:space="preserve">, </w:t>
      </w:r>
    </w:p>
    <w:p w14:paraId="47095C2E" w14:textId="77777777" w:rsidR="00E306DD" w:rsidRPr="008F06DF" w:rsidRDefault="00E306DD" w:rsidP="00E306DD">
      <w:pPr>
        <w:pStyle w:val="ListParagraph"/>
        <w:widowControl/>
        <w:numPr>
          <w:ilvl w:val="1"/>
          <w:numId w:val="16"/>
        </w:numPr>
        <w:spacing w:after="180"/>
        <w:contextualSpacing/>
      </w:pPr>
      <w:r w:rsidRPr="00931ED6">
        <w:t>p-</w:t>
      </w:r>
      <w:r w:rsidRPr="008F06DF">
        <w:t xml:space="preserve">aminophenol (higher sensitization potency but used in lower tonnage, see </w:t>
      </w:r>
      <w:r w:rsidRPr="008F06DF">
        <w:fldChar w:fldCharType="begin"/>
      </w:r>
      <w:r w:rsidRPr="008F06DF">
        <w:instrText xml:space="preserve"> REF _Ref430764137 \h  \* MERGEFORMAT </w:instrText>
      </w:r>
      <w:r w:rsidRPr="008F06DF">
        <w:fldChar w:fldCharType="separate"/>
      </w:r>
      <w:r w:rsidRPr="00EB51D3">
        <w:t>Table 8</w:t>
      </w:r>
      <w:r w:rsidRPr="008F06DF">
        <w:fldChar w:fldCharType="end"/>
      </w:r>
      <w:r w:rsidRPr="008F06DF">
        <w:t xml:space="preserve">), </w:t>
      </w:r>
    </w:p>
    <w:p w14:paraId="4D223471" w14:textId="77777777" w:rsidR="00E306DD" w:rsidRPr="008F06DF" w:rsidRDefault="00E306DD" w:rsidP="00E306DD">
      <w:pPr>
        <w:pStyle w:val="ListParagraph"/>
        <w:widowControl/>
        <w:numPr>
          <w:ilvl w:val="1"/>
          <w:numId w:val="16"/>
        </w:numPr>
        <w:spacing w:after="180"/>
        <w:contextualSpacing/>
      </w:pPr>
      <w:r w:rsidRPr="008F06DF">
        <w:t>2-nitro-PPD (prohibited regulation Cosmetics)</w:t>
      </w:r>
    </w:p>
    <w:p w14:paraId="3442A3D3" w14:textId="77777777" w:rsidR="00E306DD" w:rsidRPr="008F06DF" w:rsidRDefault="00E306DD" w:rsidP="00E306DD">
      <w:pPr>
        <w:pStyle w:val="ListParagraph"/>
        <w:widowControl/>
        <w:numPr>
          <w:ilvl w:val="1"/>
          <w:numId w:val="16"/>
        </w:numPr>
        <w:spacing w:after="180"/>
        <w:contextualSpacing/>
      </w:pPr>
      <w:r w:rsidRPr="008F06DF">
        <w:t>disperse orange 3</w:t>
      </w:r>
    </w:p>
    <w:p w14:paraId="7B93A825" w14:textId="77777777" w:rsidR="00E306DD" w:rsidRPr="009A3AC3" w:rsidRDefault="00E306DD" w:rsidP="00E306DD">
      <w:pPr>
        <w:pStyle w:val="ListParagraph"/>
        <w:widowControl/>
        <w:numPr>
          <w:ilvl w:val="1"/>
          <w:numId w:val="16"/>
        </w:numPr>
        <w:spacing w:after="180"/>
        <w:contextualSpacing/>
      </w:pPr>
      <w:r w:rsidRPr="008F06DF">
        <w:t>to t</w:t>
      </w:r>
      <w:r>
        <w:t xml:space="preserve">he black rubber chemical family, </w:t>
      </w:r>
      <w:r w:rsidRPr="009A3AC3">
        <w:t>including IPPD (N-Isopropyl-N’-phenyl-p-</w:t>
      </w:r>
      <w:proofErr w:type="spellStart"/>
      <w:r w:rsidRPr="009A3AC3">
        <w:t>phenylenediamine</w:t>
      </w:r>
      <w:proofErr w:type="spellEnd"/>
      <w:r w:rsidRPr="009A3AC3">
        <w:t xml:space="preserve"> (</w:t>
      </w:r>
      <w:proofErr w:type="spellStart"/>
      <w:r w:rsidRPr="009A3AC3">
        <w:t>cas</w:t>
      </w:r>
      <w:proofErr w:type="spellEnd"/>
      <w:r w:rsidRPr="009A3AC3">
        <w:t xml:space="preserve"> 101-72-4) </w:t>
      </w:r>
      <w:r w:rsidRPr="00CE7181">
        <w:rPr>
          <w:lang w:val="en"/>
        </w:rPr>
        <w:t xml:space="preserve">antioxidant and </w:t>
      </w:r>
      <w:proofErr w:type="spellStart"/>
      <w:r w:rsidRPr="00CE7181">
        <w:rPr>
          <w:lang w:val="en"/>
        </w:rPr>
        <w:t>antiozonant</w:t>
      </w:r>
      <w:proofErr w:type="spellEnd"/>
      <w:r w:rsidRPr="00CE7181">
        <w:rPr>
          <w:lang w:val="en"/>
        </w:rPr>
        <w:t xml:space="preserve"> for natural and synthetic elastomers and as an </w:t>
      </w:r>
      <w:proofErr w:type="spellStart"/>
      <w:r w:rsidRPr="00CE7181">
        <w:rPr>
          <w:lang w:val="en"/>
        </w:rPr>
        <w:t>antiflex</w:t>
      </w:r>
      <w:proofErr w:type="spellEnd"/>
      <w:r w:rsidRPr="00CE7181">
        <w:rPr>
          <w:lang w:val="en"/>
        </w:rPr>
        <w:t xml:space="preserve"> agent for the protection against catalytic degradation by copper and other heavy metals. </w:t>
      </w:r>
    </w:p>
    <w:p w14:paraId="6AA6931E" w14:textId="77777777" w:rsidR="00E306DD" w:rsidRPr="009A3AC3" w:rsidRDefault="00E306DD" w:rsidP="00E306DD">
      <w:pPr>
        <w:pStyle w:val="ListParagraph"/>
        <w:widowControl/>
        <w:numPr>
          <w:ilvl w:val="1"/>
          <w:numId w:val="16"/>
        </w:numPr>
        <w:spacing w:after="180"/>
        <w:contextualSpacing/>
      </w:pPr>
      <w:r w:rsidRPr="008F06DF">
        <w:t xml:space="preserve">to substances in </w:t>
      </w:r>
      <w:r w:rsidRPr="00CE7181">
        <w:rPr>
          <w:rFonts w:cs="Verdana"/>
          <w:lang w:eastAsia="en-GB"/>
        </w:rPr>
        <w:t>textile dyes, leather dyes and fur dyes</w:t>
      </w:r>
    </w:p>
    <w:p w14:paraId="1366D386" w14:textId="77777777" w:rsidR="00E306DD" w:rsidRPr="009A3AC3" w:rsidRDefault="00E306DD" w:rsidP="00E306DD">
      <w:pPr>
        <w:pStyle w:val="ListParagraph"/>
        <w:widowControl/>
        <w:numPr>
          <w:ilvl w:val="1"/>
          <w:numId w:val="16"/>
        </w:numPr>
        <w:spacing w:after="180"/>
        <w:contextualSpacing/>
      </w:pPr>
      <w:r w:rsidRPr="009A3AC3">
        <w:rPr>
          <w:lang w:eastAsia="en-GB"/>
        </w:rPr>
        <w:t>4-methyl-m-phenylenediamine (2,4-TDA; high rate (67.5%) of cross sensitisation to 2,4-TDA)</w:t>
      </w:r>
    </w:p>
    <w:p w14:paraId="6ACD6530" w14:textId="77777777" w:rsidR="00E306DD" w:rsidRPr="009A3AC3" w:rsidRDefault="00E306DD" w:rsidP="00E306DD">
      <w:r w:rsidRPr="009A3AC3">
        <w:t xml:space="preserve">Cross-sensitization </w:t>
      </w:r>
      <w:proofErr w:type="gramStart"/>
      <w:r w:rsidRPr="009A3AC3">
        <w:t>to  other</w:t>
      </w:r>
      <w:proofErr w:type="gramEnd"/>
      <w:r w:rsidRPr="009A3AC3">
        <w:t xml:space="preserve"> hair dyes beyond the ones identified above is a largely unknown area.  For example: 4-amino-2-hydroxytoluene, 2-methyl-5-hydroxyethylaminophenol and 2-methylresorcinol, 4-amino-3-nitrophenol are predicted to be potential cross-sensitizing agents but are not used </w:t>
      </w:r>
      <w:proofErr w:type="gramStart"/>
      <w:r w:rsidRPr="009A3AC3">
        <w:t>for  patch</w:t>
      </w:r>
      <w:proofErr w:type="gramEnd"/>
      <w:r w:rsidRPr="009A3AC3">
        <w:t xml:space="preserve"> testing in patients, who have been exposed to hair dyes. </w:t>
      </w:r>
    </w:p>
    <w:p w14:paraId="64AFD467" w14:textId="77777777" w:rsidR="00E306DD" w:rsidRDefault="00E306DD" w:rsidP="00E306DD">
      <w:r>
        <w:t xml:space="preserve">With regard to the development of the prevalence of PPD contact allergy over </w:t>
      </w:r>
      <w:proofErr w:type="gramStart"/>
      <w:r>
        <w:t>time</w:t>
      </w:r>
      <w:proofErr w:type="gramEnd"/>
      <w:r>
        <w:t xml:space="preserve"> there are indications that the prevalence may be increasing Fall et al. (2015) show that the prevalence of PPD contact allergy has been increasing in Sweden over the period 1992-2009. As is summarized in section 3, the use of black henna tattoos </w:t>
      </w:r>
      <w:proofErr w:type="gramStart"/>
      <w:r>
        <w:t>is shown</w:t>
      </w:r>
      <w:proofErr w:type="gramEnd"/>
      <w:r>
        <w:t xml:space="preserve"> to be an important risk factor in the development of PPD contact allergy.</w:t>
      </w:r>
    </w:p>
    <w:p w14:paraId="487457E6" w14:textId="77777777" w:rsidR="00E306DD" w:rsidRPr="00BB610D" w:rsidRDefault="00E306DD" w:rsidP="00E306DD">
      <w:pPr>
        <w:jc w:val="both"/>
      </w:pPr>
    </w:p>
    <w:p w14:paraId="325CDC49" w14:textId="77777777" w:rsidR="00E306DD" w:rsidRPr="007D2EEF" w:rsidRDefault="00E306DD" w:rsidP="00E306DD">
      <w:pPr>
        <w:pStyle w:val="Caption"/>
        <w:rPr>
          <w:rFonts w:ascii="Verdana" w:hAnsi="Verdana"/>
          <w:b/>
          <w:sz w:val="20"/>
        </w:rPr>
      </w:pPr>
      <w:r>
        <w:lastRenderedPageBreak/>
        <w:t xml:space="preserve">Table </w:t>
      </w:r>
      <w:r>
        <w:fldChar w:fldCharType="begin"/>
      </w:r>
      <w:r>
        <w:instrText xml:space="preserve"> SEQ Table \* ARABIC </w:instrText>
      </w:r>
      <w:r>
        <w:fldChar w:fldCharType="separate"/>
      </w:r>
      <w:r>
        <w:rPr>
          <w:noProof/>
        </w:rPr>
        <w:t>2</w:t>
      </w:r>
      <w:r>
        <w:rPr>
          <w:noProof/>
        </w:rPr>
        <w:fldChar w:fldCharType="end"/>
      </w:r>
      <w:r w:rsidRPr="007D2EEF">
        <w:rPr>
          <w:rFonts w:ascii="Verdana" w:hAnsi="Verdana"/>
          <w:b/>
          <w:sz w:val="20"/>
        </w:rPr>
        <w:t>: SVHC Roadmap 2020 criteria</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3"/>
        <w:gridCol w:w="1537"/>
        <w:gridCol w:w="1259"/>
      </w:tblGrid>
      <w:tr w:rsidR="00E306DD" w:rsidRPr="00376715" w14:paraId="47590FD2" w14:textId="77777777" w:rsidTr="00376A5C">
        <w:tc>
          <w:tcPr>
            <w:tcW w:w="5313" w:type="dxa"/>
            <w:shd w:val="clear" w:color="auto" w:fill="auto"/>
          </w:tcPr>
          <w:p w14:paraId="2F7BAC2B" w14:textId="77777777" w:rsidR="00E306DD" w:rsidRPr="00376715" w:rsidRDefault="00E306DD" w:rsidP="00376A5C">
            <w:pPr>
              <w:pStyle w:val="ListParagraph"/>
              <w:ind w:left="360"/>
            </w:pPr>
          </w:p>
        </w:tc>
        <w:tc>
          <w:tcPr>
            <w:tcW w:w="1537" w:type="dxa"/>
            <w:shd w:val="clear" w:color="auto" w:fill="auto"/>
          </w:tcPr>
          <w:p w14:paraId="3688CAAF" w14:textId="77777777" w:rsidR="00E306DD" w:rsidRPr="00376715" w:rsidRDefault="00E306DD" w:rsidP="00376A5C">
            <w:pPr>
              <w:jc w:val="center"/>
            </w:pPr>
            <w:r w:rsidRPr="00376715">
              <w:t>Yes</w:t>
            </w:r>
          </w:p>
        </w:tc>
        <w:tc>
          <w:tcPr>
            <w:tcW w:w="1259" w:type="dxa"/>
            <w:shd w:val="clear" w:color="auto" w:fill="auto"/>
          </w:tcPr>
          <w:p w14:paraId="38D465FB" w14:textId="77777777" w:rsidR="00E306DD" w:rsidRPr="00376715" w:rsidRDefault="00E306DD" w:rsidP="00376A5C">
            <w:pPr>
              <w:jc w:val="center"/>
            </w:pPr>
            <w:r w:rsidRPr="00376715">
              <w:t>No</w:t>
            </w:r>
          </w:p>
        </w:tc>
      </w:tr>
      <w:tr w:rsidR="00E306DD" w:rsidRPr="00376715" w14:paraId="7DD88238" w14:textId="77777777" w:rsidTr="00376A5C">
        <w:tc>
          <w:tcPr>
            <w:tcW w:w="5313" w:type="dxa"/>
            <w:shd w:val="clear" w:color="auto" w:fill="auto"/>
          </w:tcPr>
          <w:p w14:paraId="3EC0C9A0" w14:textId="77777777" w:rsidR="00E306DD" w:rsidRPr="00376715" w:rsidRDefault="00E306DD" w:rsidP="00376A5C">
            <w:r w:rsidRPr="00376715">
              <w:t xml:space="preserve">a) Art 57 criteria </w:t>
            </w:r>
            <w:proofErr w:type="gramStart"/>
            <w:r w:rsidRPr="00376715">
              <w:t>fulfilled?</w:t>
            </w:r>
            <w:proofErr w:type="gramEnd"/>
          </w:p>
        </w:tc>
        <w:tc>
          <w:tcPr>
            <w:tcW w:w="2796" w:type="dxa"/>
            <w:gridSpan w:val="2"/>
            <w:shd w:val="clear" w:color="auto" w:fill="auto"/>
          </w:tcPr>
          <w:p w14:paraId="0503CCE8" w14:textId="77777777" w:rsidR="00E306DD" w:rsidRPr="00376715" w:rsidRDefault="00E306DD" w:rsidP="00376A5C">
            <w:r>
              <w:t>Uncertain: skin sensitization may meet 57(f)</w:t>
            </w:r>
          </w:p>
        </w:tc>
      </w:tr>
      <w:tr w:rsidR="00E306DD" w:rsidRPr="00376715" w14:paraId="7BD6019A" w14:textId="77777777" w:rsidTr="00376A5C">
        <w:tc>
          <w:tcPr>
            <w:tcW w:w="5313" w:type="dxa"/>
            <w:shd w:val="clear" w:color="auto" w:fill="auto"/>
          </w:tcPr>
          <w:p w14:paraId="7608A968" w14:textId="77777777" w:rsidR="00E306DD" w:rsidRPr="00376715" w:rsidRDefault="00E306DD" w:rsidP="00376A5C">
            <w:proofErr w:type="gramStart"/>
            <w:r w:rsidRPr="00376715">
              <w:t>b) Registrations in accordance with Article 10?</w:t>
            </w:r>
            <w:proofErr w:type="gramEnd"/>
          </w:p>
        </w:tc>
        <w:tc>
          <w:tcPr>
            <w:tcW w:w="1537" w:type="dxa"/>
            <w:shd w:val="clear" w:color="auto" w:fill="auto"/>
          </w:tcPr>
          <w:p w14:paraId="4557FFC7" w14:textId="77777777" w:rsidR="00E306DD" w:rsidRPr="00376715" w:rsidRDefault="00E306DD" w:rsidP="00376A5C">
            <w:r>
              <w:t>X</w:t>
            </w:r>
          </w:p>
        </w:tc>
        <w:tc>
          <w:tcPr>
            <w:tcW w:w="1259" w:type="dxa"/>
            <w:shd w:val="clear" w:color="auto" w:fill="auto"/>
          </w:tcPr>
          <w:p w14:paraId="5BFC5F04" w14:textId="77777777" w:rsidR="00E306DD" w:rsidRPr="00376715" w:rsidRDefault="00E306DD" w:rsidP="00376A5C"/>
        </w:tc>
      </w:tr>
      <w:tr w:rsidR="00E306DD" w:rsidRPr="00376715" w14:paraId="1E20018A" w14:textId="77777777" w:rsidTr="00376A5C">
        <w:tc>
          <w:tcPr>
            <w:tcW w:w="5313" w:type="dxa"/>
            <w:shd w:val="clear" w:color="auto" w:fill="auto"/>
          </w:tcPr>
          <w:p w14:paraId="5C087963" w14:textId="77777777" w:rsidR="00E306DD" w:rsidRPr="00376715" w:rsidRDefault="00E306DD" w:rsidP="00376A5C">
            <w:r w:rsidRPr="00376715">
              <w:t xml:space="preserve">c) Registrations include uses within scope of </w:t>
            </w:r>
            <w:proofErr w:type="gramStart"/>
            <w:r w:rsidRPr="00376715">
              <w:t>authorisation?</w:t>
            </w:r>
            <w:proofErr w:type="gramEnd"/>
          </w:p>
        </w:tc>
        <w:tc>
          <w:tcPr>
            <w:tcW w:w="1537" w:type="dxa"/>
            <w:shd w:val="clear" w:color="auto" w:fill="auto"/>
          </w:tcPr>
          <w:p w14:paraId="4C25C253" w14:textId="77777777" w:rsidR="00E306DD" w:rsidRPr="00376715" w:rsidRDefault="00E306DD" w:rsidP="00376A5C">
            <w:r>
              <w:t>X</w:t>
            </w:r>
          </w:p>
        </w:tc>
        <w:tc>
          <w:tcPr>
            <w:tcW w:w="1259" w:type="dxa"/>
            <w:shd w:val="clear" w:color="auto" w:fill="auto"/>
          </w:tcPr>
          <w:p w14:paraId="5F9CD18D" w14:textId="77777777" w:rsidR="00E306DD" w:rsidRPr="00376715" w:rsidRDefault="00E306DD" w:rsidP="00376A5C"/>
        </w:tc>
      </w:tr>
      <w:tr w:rsidR="00E306DD" w:rsidRPr="00376715" w14:paraId="22026802" w14:textId="77777777" w:rsidTr="00376A5C">
        <w:tc>
          <w:tcPr>
            <w:tcW w:w="5313" w:type="dxa"/>
            <w:shd w:val="clear" w:color="auto" w:fill="auto"/>
          </w:tcPr>
          <w:p w14:paraId="4CE7D383" w14:textId="77777777" w:rsidR="00E306DD" w:rsidRPr="00376715" w:rsidRDefault="00E306DD" w:rsidP="00376A5C">
            <w:proofErr w:type="gramStart"/>
            <w:r w:rsidRPr="00376715">
              <w:t xml:space="preserve">d) Known uses </w:t>
            </w:r>
            <w:r w:rsidRPr="00376715">
              <w:rPr>
                <w:u w:val="single"/>
              </w:rPr>
              <w:t>not</w:t>
            </w:r>
            <w:r w:rsidRPr="00376715">
              <w:t xml:space="preserve"> already regulated by specific EU legislation that provides a pressure for substitution?</w:t>
            </w:r>
            <w:proofErr w:type="gramEnd"/>
          </w:p>
        </w:tc>
        <w:tc>
          <w:tcPr>
            <w:tcW w:w="1537" w:type="dxa"/>
            <w:shd w:val="clear" w:color="auto" w:fill="auto"/>
          </w:tcPr>
          <w:p w14:paraId="74AA3442" w14:textId="77777777" w:rsidR="00E306DD" w:rsidRDefault="00E306DD" w:rsidP="00376A5C">
            <w:r>
              <w:t>X</w:t>
            </w:r>
          </w:p>
          <w:p w14:paraId="40A3C8DA" w14:textId="77777777" w:rsidR="00E306DD" w:rsidRPr="00376715" w:rsidRDefault="00E306DD" w:rsidP="00376A5C"/>
        </w:tc>
        <w:tc>
          <w:tcPr>
            <w:tcW w:w="1259" w:type="dxa"/>
            <w:shd w:val="clear" w:color="auto" w:fill="auto"/>
          </w:tcPr>
          <w:p w14:paraId="665D3D38" w14:textId="77777777" w:rsidR="00E306DD" w:rsidRPr="00376715" w:rsidRDefault="00E306DD" w:rsidP="00376A5C"/>
        </w:tc>
      </w:tr>
    </w:tbl>
    <w:p w14:paraId="515CE653" w14:textId="77777777" w:rsidR="00E306DD" w:rsidRDefault="00E306DD" w:rsidP="00E306DD">
      <w:pPr>
        <w:pStyle w:val="BodyText"/>
        <w:rPr>
          <w:lang w:val="en-US"/>
        </w:rPr>
      </w:pPr>
    </w:p>
    <w:p w14:paraId="73FCD092" w14:textId="77777777" w:rsidR="00E306DD" w:rsidRDefault="00E306DD" w:rsidP="00E306DD">
      <w:pPr>
        <w:pStyle w:val="Heading2"/>
        <w:keepLines w:val="0"/>
        <w:widowControl/>
        <w:numPr>
          <w:ilvl w:val="1"/>
          <w:numId w:val="0"/>
        </w:numPr>
        <w:tabs>
          <w:tab w:val="num" w:pos="540"/>
          <w:tab w:val="num" w:pos="1361"/>
        </w:tabs>
        <w:spacing w:before="240" w:after="200"/>
        <w:ind w:left="540" w:hanging="540"/>
        <w:jc w:val="both"/>
        <w:rPr>
          <w:szCs w:val="24"/>
        </w:rPr>
      </w:pPr>
      <w:r>
        <w:rPr>
          <w:szCs w:val="24"/>
        </w:rPr>
        <w:t>Identification and assessment of risk management options</w:t>
      </w:r>
    </w:p>
    <w:p w14:paraId="44DA69C0" w14:textId="77777777" w:rsidR="00E306DD" w:rsidRDefault="00E306DD" w:rsidP="00E306DD">
      <w:pPr>
        <w:pStyle w:val="Heading3"/>
        <w:keepLines w:val="0"/>
        <w:widowControl/>
        <w:numPr>
          <w:ilvl w:val="2"/>
          <w:numId w:val="0"/>
        </w:numPr>
        <w:tabs>
          <w:tab w:val="left" w:pos="839"/>
          <w:tab w:val="num" w:pos="1077"/>
        </w:tabs>
        <w:spacing w:before="360" w:after="200"/>
        <w:ind w:left="1077" w:hanging="1077"/>
      </w:pPr>
      <w:r>
        <w:t>Compliance check</w:t>
      </w:r>
    </w:p>
    <w:p w14:paraId="0A17B635" w14:textId="77777777" w:rsidR="00E306DD" w:rsidRPr="00E21492" w:rsidRDefault="00E306DD" w:rsidP="00E306DD">
      <w:pPr>
        <w:pStyle w:val="BodyText"/>
      </w:pPr>
      <w:r>
        <w:t xml:space="preserve">Several compliance issues </w:t>
      </w:r>
      <w:proofErr w:type="gramStart"/>
      <w:r>
        <w:t>are identified</w:t>
      </w:r>
      <w:proofErr w:type="gramEnd"/>
      <w:r>
        <w:t xml:space="preserve"> for PPD that relate to exposure and use information (see section 4). If a Substance Evaluation </w:t>
      </w:r>
      <w:proofErr w:type="gramStart"/>
      <w:r>
        <w:t>will be started</w:t>
      </w:r>
      <w:proofErr w:type="gramEnd"/>
      <w:r>
        <w:t xml:space="preserve"> to obtain further information on health hazards, a request for further information could be considered at the level of the compliance check. However, as a first step </w:t>
      </w:r>
      <w:proofErr w:type="gramStart"/>
      <w:r>
        <w:t>is suggested</w:t>
      </w:r>
      <w:proofErr w:type="gramEnd"/>
      <w:r>
        <w:t xml:space="preserve"> to obtain further insight in uses and exposure through direct and informal contact with the Registrant.</w:t>
      </w:r>
    </w:p>
    <w:p w14:paraId="4AB5BF5C" w14:textId="77777777" w:rsidR="00E306DD" w:rsidRDefault="00E306DD" w:rsidP="00E306DD">
      <w:pPr>
        <w:pStyle w:val="Heading3"/>
        <w:keepLines w:val="0"/>
        <w:widowControl/>
        <w:numPr>
          <w:ilvl w:val="2"/>
          <w:numId w:val="0"/>
        </w:numPr>
        <w:tabs>
          <w:tab w:val="left" w:pos="839"/>
          <w:tab w:val="num" w:pos="1077"/>
        </w:tabs>
        <w:spacing w:before="360" w:after="200"/>
        <w:ind w:left="1077" w:hanging="1077"/>
      </w:pPr>
      <w:r>
        <w:t>Occupational safety and health Directive</w:t>
      </w:r>
    </w:p>
    <w:p w14:paraId="397AF76D" w14:textId="77777777" w:rsidR="00E306DD" w:rsidRDefault="00E306DD" w:rsidP="00E306DD">
      <w:pPr>
        <w:pStyle w:val="BodyText"/>
      </w:pPr>
      <w:r>
        <w:t>W</w:t>
      </w:r>
      <w:r w:rsidRPr="00D0035C">
        <w:t xml:space="preserve">orker-groups for which concern </w:t>
      </w:r>
      <w:proofErr w:type="gramStart"/>
      <w:r w:rsidRPr="00D0035C">
        <w:t>was identified</w:t>
      </w:r>
      <w:proofErr w:type="gramEnd"/>
      <w:r w:rsidRPr="00D0035C">
        <w:t xml:space="preserve"> include </w:t>
      </w:r>
      <w:r>
        <w:t xml:space="preserve">hairdressers and beautyworkers, </w:t>
      </w:r>
      <w:r w:rsidRPr="00D0035C">
        <w:t>bar maids/waiters, cleaners, bakers, household workers and printers</w:t>
      </w:r>
      <w:r>
        <w:t>, and one case from the rubber industry (personal communication)</w:t>
      </w:r>
      <w:r w:rsidRPr="00D0035C">
        <w:t xml:space="preserve">. For printers, this potential for a positive association </w:t>
      </w:r>
      <w:proofErr w:type="gramStart"/>
      <w:r w:rsidRPr="00D0035C">
        <w:t>may be influenced</w:t>
      </w:r>
      <w:proofErr w:type="gramEnd"/>
      <w:r w:rsidRPr="00D0035C">
        <w:t xml:space="preserve"> by part of the group working with PPD containing inks. For the other </w:t>
      </w:r>
      <w:proofErr w:type="gramStart"/>
      <w:r w:rsidRPr="00D0035C">
        <w:t>worker-groups</w:t>
      </w:r>
      <w:proofErr w:type="gramEnd"/>
      <w:r w:rsidRPr="00D0035C">
        <w:t xml:space="preserve"> occupational exposure to PPD-containing products is less clear and sensitization may involve the use of PPD containing cosmetics by those worker-groups. </w:t>
      </w:r>
      <w:r>
        <w:t xml:space="preserve">The occupational safety and health Directive applies for all workplaces where PPD </w:t>
      </w:r>
      <w:proofErr w:type="gramStart"/>
      <w:r>
        <w:t>is produced, handled or used in mixtures, with the exception of handling cosmetic products</w:t>
      </w:r>
      <w:proofErr w:type="gramEnd"/>
      <w:r>
        <w:t xml:space="preserve">. The most appropriate regulatory framework to regulate safe working conditions for handling cosmetics products by workers is a topic of ongoing discussions. At present, safe working conditions for cosmetic products </w:t>
      </w:r>
      <w:proofErr w:type="gramStart"/>
      <w:r>
        <w:t>are dealt with</w:t>
      </w:r>
      <w:proofErr w:type="gramEnd"/>
      <w:r>
        <w:t xml:space="preserve"> under the Cosmetics Regulation (see section 5.2.3). </w:t>
      </w:r>
    </w:p>
    <w:p w14:paraId="3D72E39E" w14:textId="77777777" w:rsidR="00E306DD" w:rsidRDefault="00E306DD" w:rsidP="00E306DD">
      <w:pPr>
        <w:pStyle w:val="BodyText"/>
      </w:pPr>
      <w:r>
        <w:t>Under the OSH Directive, there are no specific requirements for working safely with (skin) sensitizers</w:t>
      </w:r>
      <w:r w:rsidRPr="00F83C30">
        <w:t xml:space="preserve"> </w:t>
      </w:r>
      <w:r>
        <w:t xml:space="preserve">(this is unlike carcinogens, mutagens or reproductive toxic substances). Also under OSH, no limit value for dermal exposure </w:t>
      </w:r>
      <w:proofErr w:type="gramStart"/>
      <w:r>
        <w:t>is derived</w:t>
      </w:r>
      <w:proofErr w:type="gramEnd"/>
      <w:r>
        <w:t xml:space="preserve">, and PPD has not been given a skin notation to signal its concern for </w:t>
      </w:r>
      <w:proofErr w:type="spellStart"/>
      <w:r>
        <w:t>demal</w:t>
      </w:r>
      <w:proofErr w:type="spellEnd"/>
      <w:r>
        <w:t xml:space="preserve"> exposure. Exposure reduction though, is central to OSH (via the occupational hygienic strategy). </w:t>
      </w:r>
      <w:proofErr w:type="gramStart"/>
      <w:r>
        <w:t xml:space="preserve">Whether the signals for the development of occupational health cases among </w:t>
      </w:r>
      <w:r w:rsidRPr="00CD7523">
        <w:t>bar maids/waiters, cleaner</w:t>
      </w:r>
      <w:r>
        <w:t>s, bakers, household workers, printers</w:t>
      </w:r>
      <w:r w:rsidRPr="00CD7523">
        <w:t xml:space="preserve"> and the rubber industry </w:t>
      </w:r>
      <w:proofErr w:type="spellStart"/>
      <w:r>
        <w:t>orginates</w:t>
      </w:r>
      <w:proofErr w:type="spellEnd"/>
      <w:r>
        <w:t xml:space="preserve"> from a consumer use of PPD containing products or is initiated by occupational exposure through accidental (high) exposure, because the measures implemented are not sufficient to organize a safe work </w:t>
      </w:r>
      <w:proofErr w:type="spellStart"/>
      <w:r>
        <w:t>envrionment</w:t>
      </w:r>
      <w:proofErr w:type="spellEnd"/>
      <w:r>
        <w:t xml:space="preserve">, or because the measures are not </w:t>
      </w:r>
      <w:proofErr w:type="spellStart"/>
      <w:r>
        <w:t>sufficienty</w:t>
      </w:r>
      <w:proofErr w:type="spellEnd"/>
      <w:r>
        <w:t xml:space="preserve"> enforced is unclear.</w:t>
      </w:r>
      <w:proofErr w:type="gramEnd"/>
      <w:r>
        <w:t xml:space="preserve"> </w:t>
      </w:r>
    </w:p>
    <w:p w14:paraId="7B930820" w14:textId="77777777" w:rsidR="00E306DD" w:rsidRDefault="00E306DD" w:rsidP="00E306DD">
      <w:pPr>
        <w:pStyle w:val="BodyText"/>
      </w:pPr>
      <w:r>
        <w:t xml:space="preserve">Development of Best available techniques (BAT) in the different sectors in which PPD </w:t>
      </w:r>
      <w:proofErr w:type="gramStart"/>
      <w:r>
        <w:t>is produced and used</w:t>
      </w:r>
      <w:proofErr w:type="gramEnd"/>
      <w:r>
        <w:t xml:space="preserve"> could be considered to reduce exposure as much as possible and manage possible risks from PPD under OSH.</w:t>
      </w:r>
    </w:p>
    <w:p w14:paraId="52ABAAC3" w14:textId="77777777" w:rsidR="00E306DD" w:rsidRDefault="00E306DD" w:rsidP="00E306DD">
      <w:pPr>
        <w:pStyle w:val="Heading3"/>
        <w:keepLines w:val="0"/>
        <w:widowControl/>
        <w:numPr>
          <w:ilvl w:val="2"/>
          <w:numId w:val="0"/>
        </w:numPr>
        <w:tabs>
          <w:tab w:val="left" w:pos="839"/>
          <w:tab w:val="num" w:pos="1077"/>
        </w:tabs>
        <w:spacing w:before="360" w:after="200"/>
        <w:ind w:left="1077" w:hanging="1077"/>
      </w:pPr>
      <w:r>
        <w:lastRenderedPageBreak/>
        <w:t>Cosmetics Regulation</w:t>
      </w:r>
    </w:p>
    <w:p w14:paraId="1EC2CD57" w14:textId="77777777" w:rsidR="00E306DD" w:rsidRDefault="00E306DD" w:rsidP="00E306DD">
      <w:pPr>
        <w:rPr>
          <w:lang w:eastAsia="en-GB"/>
        </w:rPr>
      </w:pPr>
      <w:r>
        <w:rPr>
          <w:lang w:eastAsia="en-GB"/>
        </w:rPr>
        <w:t xml:space="preserve">PPD is already restricted for its use in cosmetic products by Annex III, entry 8a and 8b of the Cosmetics Regulation. Through this entry, PPD is restricted to use in oxidative hair dye products for general and professional use and products intended for colouring eyelashes for professional use only. These uses where assessed as by the SCCS </w:t>
      </w:r>
      <w:r w:rsidRPr="00FD58A4">
        <w:rPr>
          <w:lang w:eastAsia="en-GB"/>
        </w:rPr>
        <w:t xml:space="preserve">(2006) </w:t>
      </w:r>
      <w:r>
        <w:rPr>
          <w:lang w:eastAsia="en-GB"/>
        </w:rPr>
        <w:t>concluding the following:</w:t>
      </w:r>
    </w:p>
    <w:p w14:paraId="324C358F" w14:textId="77777777" w:rsidR="00E306DD" w:rsidRPr="005D6496" w:rsidRDefault="00E306DD" w:rsidP="00E306DD">
      <w:pPr>
        <w:rPr>
          <w:i/>
          <w:lang w:eastAsia="en-GB"/>
        </w:rPr>
      </w:pPr>
      <w:proofErr w:type="gramStart"/>
      <w:r>
        <w:rPr>
          <w:i/>
          <w:lang w:eastAsia="en-GB"/>
        </w:rPr>
        <w:t xml:space="preserve">“ </w:t>
      </w:r>
      <w:r w:rsidRPr="005D6496">
        <w:rPr>
          <w:i/>
          <w:lang w:eastAsia="en-GB"/>
        </w:rPr>
        <w:t>For</w:t>
      </w:r>
      <w:proofErr w:type="gramEnd"/>
      <w:r w:rsidRPr="005D6496">
        <w:rPr>
          <w:i/>
          <w:lang w:eastAsia="en-GB"/>
        </w:rPr>
        <w:t xml:space="preserve"> the final safety assessment of PPD several aspects have to be taken into account:</w:t>
      </w:r>
    </w:p>
    <w:p w14:paraId="30AF7635" w14:textId="77777777" w:rsidR="00E306DD" w:rsidRPr="005D6496" w:rsidRDefault="00E306DD" w:rsidP="00E306DD">
      <w:pPr>
        <w:pStyle w:val="ListParagraph"/>
        <w:widowControl/>
        <w:numPr>
          <w:ilvl w:val="0"/>
          <w:numId w:val="16"/>
        </w:numPr>
        <w:spacing w:after="180"/>
        <w:contextualSpacing/>
        <w:rPr>
          <w:i/>
          <w:lang w:eastAsia="en-GB"/>
        </w:rPr>
      </w:pPr>
      <w:r w:rsidRPr="005D6496">
        <w:rPr>
          <w:i/>
          <w:lang w:eastAsia="en-GB"/>
        </w:rPr>
        <w:t xml:space="preserve">The SCCP considers PPD alone as being not genotoxic. </w:t>
      </w:r>
      <w:proofErr w:type="gramStart"/>
      <w:r w:rsidRPr="005D6496">
        <w:rPr>
          <w:i/>
          <w:lang w:eastAsia="en-GB"/>
        </w:rPr>
        <w:t>But</w:t>
      </w:r>
      <w:proofErr w:type="gramEnd"/>
      <w:r w:rsidRPr="005D6496">
        <w:rPr>
          <w:i/>
          <w:lang w:eastAsia="en-GB"/>
        </w:rPr>
        <w:t>, positive findings from genotoxicity studies in vivo/in vitro of PPD in combination with couplers and /or hydrogen peroxide as well in a carcinogenicity study were reported.</w:t>
      </w:r>
    </w:p>
    <w:p w14:paraId="56569F20" w14:textId="77777777" w:rsidR="00E306DD" w:rsidRPr="005D6496" w:rsidRDefault="00E306DD" w:rsidP="00E306DD">
      <w:pPr>
        <w:pStyle w:val="ListParagraph"/>
        <w:widowControl/>
        <w:numPr>
          <w:ilvl w:val="0"/>
          <w:numId w:val="16"/>
        </w:numPr>
        <w:spacing w:after="180"/>
        <w:contextualSpacing/>
        <w:rPr>
          <w:i/>
          <w:lang w:eastAsia="en-GB"/>
        </w:rPr>
      </w:pPr>
      <w:r w:rsidRPr="005D6496">
        <w:rPr>
          <w:i/>
          <w:lang w:eastAsia="en-GB"/>
        </w:rPr>
        <w:t xml:space="preserve">The generally accepted approach (MOS approach) according to the Notes of Guidance results in a </w:t>
      </w:r>
      <w:proofErr w:type="spellStart"/>
      <w:r w:rsidRPr="005D6496">
        <w:rPr>
          <w:i/>
          <w:lang w:eastAsia="en-GB"/>
        </w:rPr>
        <w:t>MoS</w:t>
      </w:r>
      <w:proofErr w:type="spellEnd"/>
      <w:r w:rsidRPr="005D6496">
        <w:rPr>
          <w:i/>
          <w:lang w:eastAsia="en-GB"/>
        </w:rPr>
        <w:t xml:space="preserve"> of 77. However, when </w:t>
      </w:r>
      <w:proofErr w:type="spellStart"/>
      <w:r w:rsidRPr="005D6496">
        <w:rPr>
          <w:i/>
          <w:lang w:eastAsia="en-GB"/>
        </w:rPr>
        <w:t>toxicokinetic</w:t>
      </w:r>
      <w:proofErr w:type="spellEnd"/>
      <w:r w:rsidRPr="005D6496">
        <w:rPr>
          <w:i/>
          <w:lang w:eastAsia="en-GB"/>
        </w:rPr>
        <w:t xml:space="preserve"> studies are considered, </w:t>
      </w:r>
      <w:proofErr w:type="gramStart"/>
      <w:r w:rsidRPr="005D6496">
        <w:rPr>
          <w:i/>
          <w:lang w:eastAsia="en-GB"/>
        </w:rPr>
        <w:t xml:space="preserve">a minimum </w:t>
      </w:r>
      <w:proofErr w:type="spellStart"/>
      <w:r w:rsidRPr="005D6496">
        <w:rPr>
          <w:i/>
          <w:lang w:eastAsia="en-GB"/>
        </w:rPr>
        <w:t>MoS</w:t>
      </w:r>
      <w:proofErr w:type="spellEnd"/>
      <w:proofErr w:type="gramEnd"/>
      <w:r w:rsidRPr="005D6496">
        <w:rPr>
          <w:i/>
          <w:lang w:eastAsia="en-GB"/>
        </w:rPr>
        <w:t xml:space="preserve"> of 25 can be set. A number of </w:t>
      </w:r>
      <w:proofErr w:type="spellStart"/>
      <w:r w:rsidRPr="005D6496">
        <w:rPr>
          <w:i/>
          <w:lang w:eastAsia="en-GB"/>
        </w:rPr>
        <w:t>toxicokinetic</w:t>
      </w:r>
      <w:proofErr w:type="spellEnd"/>
      <w:r w:rsidRPr="005D6496">
        <w:rPr>
          <w:i/>
          <w:lang w:eastAsia="en-GB"/>
        </w:rPr>
        <w:t xml:space="preserve"> studies </w:t>
      </w:r>
      <w:proofErr w:type="gramStart"/>
      <w:r w:rsidRPr="005D6496">
        <w:rPr>
          <w:i/>
          <w:lang w:eastAsia="en-GB"/>
        </w:rPr>
        <w:t>were performed</w:t>
      </w:r>
      <w:proofErr w:type="gramEnd"/>
      <w:r w:rsidRPr="005D6496">
        <w:rPr>
          <w:i/>
          <w:lang w:eastAsia="en-GB"/>
        </w:rPr>
        <w:t xml:space="preserve"> and the applicant proposed to base the safety on the comparison of AUCs (area under curve). In this approach, the AUC in rats following a </w:t>
      </w:r>
      <w:proofErr w:type="spellStart"/>
      <w:r w:rsidRPr="005D6496">
        <w:rPr>
          <w:i/>
          <w:lang w:eastAsia="en-GB"/>
        </w:rPr>
        <w:t>peroral</w:t>
      </w:r>
      <w:proofErr w:type="spellEnd"/>
      <w:r w:rsidRPr="005D6496">
        <w:rPr>
          <w:i/>
          <w:lang w:eastAsia="en-GB"/>
        </w:rPr>
        <w:t xml:space="preserve"> dosage of 4 mg/kg (corresponding to the NOAEL) </w:t>
      </w:r>
      <w:proofErr w:type="gramStart"/>
      <w:r w:rsidRPr="005D6496">
        <w:rPr>
          <w:i/>
          <w:lang w:eastAsia="en-GB"/>
        </w:rPr>
        <w:t>was compared</w:t>
      </w:r>
      <w:proofErr w:type="gramEnd"/>
      <w:r w:rsidRPr="005D6496">
        <w:rPr>
          <w:i/>
          <w:lang w:eastAsia="en-GB"/>
        </w:rPr>
        <w:t xml:space="preserve"> to the AUC in humans following application of a hair dye containing 14C-labeled PPD. In this </w:t>
      </w:r>
      <w:proofErr w:type="gramStart"/>
      <w:r w:rsidRPr="005D6496">
        <w:rPr>
          <w:i/>
          <w:lang w:eastAsia="en-GB"/>
        </w:rPr>
        <w:t>case</w:t>
      </w:r>
      <w:proofErr w:type="gramEnd"/>
      <w:r w:rsidRPr="005D6496">
        <w:rPr>
          <w:i/>
          <w:lang w:eastAsia="en-GB"/>
        </w:rPr>
        <w:t xml:space="preserve"> a safety margin of 16.3 was obtained which is not considered sufficient by the SCCP.</w:t>
      </w:r>
    </w:p>
    <w:p w14:paraId="54238097" w14:textId="77777777" w:rsidR="00E306DD" w:rsidRPr="005D6496" w:rsidRDefault="00E306DD" w:rsidP="00E306DD">
      <w:pPr>
        <w:pStyle w:val="ListParagraph"/>
        <w:widowControl/>
        <w:numPr>
          <w:ilvl w:val="0"/>
          <w:numId w:val="16"/>
        </w:numPr>
        <w:spacing w:after="180"/>
        <w:contextualSpacing/>
        <w:rPr>
          <w:i/>
          <w:lang w:eastAsia="en-GB"/>
        </w:rPr>
      </w:pPr>
      <w:r w:rsidRPr="005D6496">
        <w:rPr>
          <w:i/>
          <w:lang w:eastAsia="en-GB"/>
        </w:rPr>
        <w:t xml:space="preserve">On the other hand, experimental evidence was </w:t>
      </w:r>
      <w:proofErr w:type="gramStart"/>
      <w:r w:rsidRPr="005D6496">
        <w:rPr>
          <w:i/>
          <w:lang w:eastAsia="en-GB"/>
        </w:rPr>
        <w:t>provided that</w:t>
      </w:r>
      <w:proofErr w:type="gramEnd"/>
      <w:r w:rsidRPr="005D6496">
        <w:rPr>
          <w:i/>
          <w:lang w:eastAsia="en-GB"/>
        </w:rPr>
        <w:t xml:space="preserve"> PPD is metabolised in the skin to acetylated (i.e. detoxified) derivatives and, furthermore, that presumably activation of PPD (formation of </w:t>
      </w:r>
      <w:proofErr w:type="spellStart"/>
      <w:r w:rsidRPr="005D6496">
        <w:rPr>
          <w:i/>
          <w:lang w:eastAsia="en-GB"/>
        </w:rPr>
        <w:t>monoxygenated</w:t>
      </w:r>
      <w:proofErr w:type="spellEnd"/>
      <w:r w:rsidRPr="005D6496">
        <w:rPr>
          <w:i/>
          <w:lang w:eastAsia="en-GB"/>
        </w:rPr>
        <w:t xml:space="preserve"> derivatives) does not occur. </w:t>
      </w:r>
    </w:p>
    <w:p w14:paraId="71090542" w14:textId="77777777" w:rsidR="00E306DD" w:rsidRPr="005D6496" w:rsidRDefault="00E306DD" w:rsidP="00E306DD">
      <w:pPr>
        <w:rPr>
          <w:i/>
          <w:lang w:eastAsia="en-GB"/>
        </w:rPr>
      </w:pPr>
      <w:r w:rsidRPr="005D6496">
        <w:rPr>
          <w:i/>
          <w:lang w:eastAsia="en-GB"/>
        </w:rPr>
        <w:t xml:space="preserve">The SCCP is of the opinion that the information submitted </w:t>
      </w:r>
      <w:r w:rsidRPr="005D6496">
        <w:rPr>
          <w:b/>
          <w:i/>
          <w:lang w:eastAsia="en-GB"/>
        </w:rPr>
        <w:t>is insufficient to allow a final risk assessment</w:t>
      </w:r>
      <w:r w:rsidRPr="005D6496">
        <w:rPr>
          <w:i/>
          <w:lang w:eastAsia="en-GB"/>
        </w:rPr>
        <w:t xml:space="preserve"> to </w:t>
      </w:r>
      <w:proofErr w:type="gramStart"/>
      <w:r w:rsidRPr="005D6496">
        <w:rPr>
          <w:i/>
          <w:lang w:eastAsia="en-GB"/>
        </w:rPr>
        <w:t>be carried out</w:t>
      </w:r>
      <w:proofErr w:type="gramEnd"/>
      <w:r w:rsidRPr="005D6496">
        <w:rPr>
          <w:i/>
          <w:lang w:eastAsia="en-GB"/>
        </w:rPr>
        <w:t xml:space="preserve">. Before any further consideration, </w:t>
      </w:r>
      <w:r w:rsidRPr="005D6496">
        <w:rPr>
          <w:b/>
          <w:i/>
          <w:lang w:eastAsia="en-GB"/>
        </w:rPr>
        <w:t>additional data would be required on in vivo genotoxicity and/or carcinogenicity of PPD in combination with hydrogen peroxide and couplers</w:t>
      </w:r>
      <w:r w:rsidRPr="005D6496">
        <w:rPr>
          <w:i/>
          <w:lang w:eastAsia="en-GB"/>
        </w:rPr>
        <w:t xml:space="preserve"> (to simulate consumer exposure). </w:t>
      </w:r>
      <w:r w:rsidRPr="005D6496">
        <w:rPr>
          <w:b/>
          <w:i/>
          <w:lang w:eastAsia="en-GB"/>
        </w:rPr>
        <w:t xml:space="preserve">Further information is needed in supporting the applicant’s view that the </w:t>
      </w:r>
      <w:proofErr w:type="spellStart"/>
      <w:r w:rsidRPr="005D6496">
        <w:rPr>
          <w:b/>
          <w:i/>
          <w:lang w:eastAsia="en-GB"/>
        </w:rPr>
        <w:t>MoS</w:t>
      </w:r>
      <w:proofErr w:type="spellEnd"/>
      <w:r w:rsidRPr="005D6496">
        <w:rPr>
          <w:b/>
          <w:i/>
          <w:lang w:eastAsia="en-GB"/>
        </w:rPr>
        <w:t xml:space="preserve"> is sufficiently </w:t>
      </w:r>
      <w:proofErr w:type="spellStart"/>
      <w:r w:rsidRPr="005D6496">
        <w:rPr>
          <w:b/>
          <w:i/>
          <w:lang w:eastAsia="en-GB"/>
        </w:rPr>
        <w:t>high.</w:t>
      </w:r>
      <w:r w:rsidRPr="005D6496">
        <w:rPr>
          <w:i/>
          <w:lang w:eastAsia="en-GB"/>
        </w:rPr>
        <w:t>There</w:t>
      </w:r>
      <w:proofErr w:type="spellEnd"/>
      <w:r w:rsidRPr="005D6496">
        <w:rPr>
          <w:i/>
          <w:lang w:eastAsia="en-GB"/>
        </w:rPr>
        <w:t xml:space="preserve"> is an increasing use of hair dyes by young people and additional exposure to PPD-related substances from temporary tattoos and clothing textiles. </w:t>
      </w:r>
      <w:r w:rsidRPr="005D6496">
        <w:rPr>
          <w:b/>
          <w:i/>
          <w:lang w:eastAsia="en-GB"/>
        </w:rPr>
        <w:t xml:space="preserve">PPD is an extreme </w:t>
      </w:r>
      <w:proofErr w:type="spellStart"/>
      <w:r w:rsidRPr="005D6496">
        <w:rPr>
          <w:b/>
          <w:i/>
          <w:lang w:eastAsia="en-GB"/>
        </w:rPr>
        <w:t>sensitiser</w:t>
      </w:r>
      <w:proofErr w:type="spellEnd"/>
      <w:r w:rsidRPr="005D6496">
        <w:rPr>
          <w:b/>
          <w:i/>
          <w:lang w:eastAsia="en-GB"/>
        </w:rPr>
        <w:t xml:space="preserve"> and the risk of allergy occurring in the consumer should be realised</w:t>
      </w:r>
      <w:r w:rsidRPr="005D6496">
        <w:rPr>
          <w:i/>
          <w:lang w:eastAsia="en-GB"/>
        </w:rPr>
        <w:t>.</w:t>
      </w:r>
      <w:r>
        <w:rPr>
          <w:i/>
          <w:lang w:eastAsia="en-GB"/>
        </w:rPr>
        <w:t>”</w:t>
      </w:r>
    </w:p>
    <w:p w14:paraId="326D0A68" w14:textId="77777777" w:rsidR="00E306DD" w:rsidRDefault="00E306DD" w:rsidP="00E306DD">
      <w:pPr>
        <w:rPr>
          <w:lang w:eastAsia="en-GB"/>
        </w:rPr>
      </w:pPr>
    </w:p>
    <w:p w14:paraId="021B9E1B" w14:textId="77777777" w:rsidR="00E306DD" w:rsidRDefault="00E306DD" w:rsidP="00E306DD">
      <w:pPr>
        <w:rPr>
          <w:lang w:eastAsia="en-GB"/>
        </w:rPr>
      </w:pPr>
      <w:r>
        <w:rPr>
          <w:lang w:eastAsia="en-GB"/>
        </w:rPr>
        <w:t xml:space="preserve">The present analysis indicates that both worker and consumer cases continue to develop. Workers that are most </w:t>
      </w:r>
      <w:proofErr w:type="spellStart"/>
      <w:r>
        <w:rPr>
          <w:lang w:eastAsia="en-GB"/>
        </w:rPr>
        <w:t>effected</w:t>
      </w:r>
      <w:proofErr w:type="spellEnd"/>
      <w:r>
        <w:rPr>
          <w:lang w:eastAsia="en-GB"/>
        </w:rPr>
        <w:t xml:space="preserve"> include hairdressers and beauty workers. </w:t>
      </w:r>
    </w:p>
    <w:p w14:paraId="788D1F49" w14:textId="77777777" w:rsidR="00E306DD" w:rsidRDefault="00E306DD" w:rsidP="00E306DD">
      <w:pPr>
        <w:rPr>
          <w:lang w:eastAsia="en-GB"/>
        </w:rPr>
      </w:pPr>
      <w:proofErr w:type="spellStart"/>
      <w:r w:rsidRPr="00CD7523">
        <w:rPr>
          <w:lang w:eastAsia="en-GB"/>
        </w:rPr>
        <w:t>Takkouche</w:t>
      </w:r>
      <w:proofErr w:type="spellEnd"/>
      <w:r w:rsidRPr="00CD7523">
        <w:rPr>
          <w:lang w:eastAsia="en-GB"/>
        </w:rPr>
        <w:t xml:space="preserve"> et al (2009) noted that the absence of labelling information required for other chemicals is most often not required for products used by </w:t>
      </w:r>
      <w:proofErr w:type="spellStart"/>
      <w:r w:rsidRPr="00CD7523">
        <w:rPr>
          <w:lang w:eastAsia="en-GB"/>
        </w:rPr>
        <w:t>heardressers</w:t>
      </w:r>
      <w:proofErr w:type="spellEnd"/>
      <w:r w:rsidRPr="00CD7523">
        <w:rPr>
          <w:lang w:eastAsia="en-GB"/>
        </w:rPr>
        <w:t xml:space="preserve"> and </w:t>
      </w:r>
      <w:proofErr w:type="gramStart"/>
      <w:r w:rsidRPr="00CD7523">
        <w:rPr>
          <w:lang w:eastAsia="en-GB"/>
        </w:rPr>
        <w:t>beautyworkers which</w:t>
      </w:r>
      <w:proofErr w:type="gramEnd"/>
      <w:r w:rsidRPr="00CD7523">
        <w:rPr>
          <w:lang w:eastAsia="en-GB"/>
        </w:rPr>
        <w:t xml:space="preserve"> increases potential hazard in subjects frequently exposed to them. </w:t>
      </w:r>
      <w:proofErr w:type="gramStart"/>
      <w:r w:rsidRPr="00CD7523">
        <w:rPr>
          <w:lang w:eastAsia="en-GB"/>
        </w:rPr>
        <w:t>Further, this study notes that detection and prevention measures related to industrial hygiene were not instituted in hairdressing and nail care salons before approximately 10 years and were still no common practice as research suggests that little hairdresser salons have appropriate ventilation systems and only about one-third of hairdressers in Nordic countries may still use protective gloves while using hair dyes by the time of publication.</w:t>
      </w:r>
      <w:proofErr w:type="gramEnd"/>
      <w:r w:rsidRPr="00CD7523">
        <w:rPr>
          <w:lang w:eastAsia="en-GB"/>
        </w:rPr>
        <w:t xml:space="preserve"> Although this study dates from 2009, it is well likely that a similar situation </w:t>
      </w:r>
      <w:proofErr w:type="gramStart"/>
      <w:r w:rsidRPr="00CD7523">
        <w:rPr>
          <w:lang w:eastAsia="en-GB"/>
        </w:rPr>
        <w:t>is still found</w:t>
      </w:r>
      <w:proofErr w:type="gramEnd"/>
      <w:r w:rsidRPr="00CD7523">
        <w:rPr>
          <w:lang w:eastAsia="en-GB"/>
        </w:rPr>
        <w:t xml:space="preserve"> in many hairdresser and </w:t>
      </w:r>
      <w:proofErr w:type="spellStart"/>
      <w:r w:rsidRPr="00CD7523">
        <w:rPr>
          <w:lang w:eastAsia="en-GB"/>
        </w:rPr>
        <w:t>beautiworker</w:t>
      </w:r>
      <w:proofErr w:type="spellEnd"/>
      <w:r w:rsidRPr="00CD7523">
        <w:rPr>
          <w:lang w:eastAsia="en-GB"/>
        </w:rPr>
        <w:t xml:space="preserve"> workplaces.</w:t>
      </w:r>
      <w:r>
        <w:rPr>
          <w:lang w:eastAsia="en-GB"/>
        </w:rPr>
        <w:t xml:space="preserve"> </w:t>
      </w:r>
    </w:p>
    <w:p w14:paraId="58F63D8A" w14:textId="77777777" w:rsidR="00E306DD" w:rsidRPr="00CD7523" w:rsidRDefault="00E306DD" w:rsidP="00E306DD">
      <w:pPr>
        <w:rPr>
          <w:lang w:eastAsia="en-GB"/>
        </w:rPr>
      </w:pPr>
      <w:r>
        <w:rPr>
          <w:lang w:eastAsia="en-GB"/>
        </w:rPr>
        <w:t xml:space="preserve">Comments received at the </w:t>
      </w:r>
      <w:proofErr w:type="spellStart"/>
      <w:r>
        <w:rPr>
          <w:lang w:eastAsia="en-GB"/>
        </w:rPr>
        <w:t>RiME</w:t>
      </w:r>
      <w:proofErr w:type="spellEnd"/>
      <w:r>
        <w:rPr>
          <w:lang w:eastAsia="en-GB"/>
        </w:rPr>
        <w:t xml:space="preserve">-II 2017 meeting suggest that wearing protective gloves has become standard over the last years. It should nevertheless be noted that exposure of hairdressers and beauty workers may take place at various moments in the process of using </w:t>
      </w:r>
      <w:proofErr w:type="spellStart"/>
      <w:r>
        <w:rPr>
          <w:lang w:eastAsia="en-GB"/>
        </w:rPr>
        <w:t>hairdyes</w:t>
      </w:r>
      <w:proofErr w:type="spellEnd"/>
      <w:r>
        <w:rPr>
          <w:lang w:eastAsia="en-GB"/>
        </w:rPr>
        <w:t xml:space="preserve"> or dyes for eyelashes, i.e. during preparation, application, rinsing of the treated hair/lashes, cleaning of the uses tools…. It was suggested at the </w:t>
      </w:r>
      <w:proofErr w:type="spellStart"/>
      <w:r>
        <w:rPr>
          <w:lang w:eastAsia="en-GB"/>
        </w:rPr>
        <w:t>RiME</w:t>
      </w:r>
      <w:proofErr w:type="spellEnd"/>
      <w:r>
        <w:rPr>
          <w:lang w:eastAsia="en-GB"/>
        </w:rPr>
        <w:t>-II 2017 meeting that exposure reducing measures like wearing gloves might be implemented during preparation and application, but no longer during e.g. rinsing and cleaning activities.</w:t>
      </w:r>
    </w:p>
    <w:p w14:paraId="79A3B7DD" w14:textId="77777777" w:rsidR="00E306DD" w:rsidRDefault="00E306DD" w:rsidP="00E306DD">
      <w:pPr>
        <w:jc w:val="both"/>
        <w:rPr>
          <w:i/>
        </w:rPr>
      </w:pPr>
      <w:proofErr w:type="gramStart"/>
      <w:r>
        <w:rPr>
          <w:i/>
        </w:rPr>
        <w:t xml:space="preserve">Based on the remaining occurrence of work related health cases and, to a lesser extend also consumer cases, it is questioned if the current restriction for use under the </w:t>
      </w:r>
      <w:r>
        <w:rPr>
          <w:i/>
        </w:rPr>
        <w:lastRenderedPageBreak/>
        <w:t xml:space="preserve">Cosmetics Regulation is sufficiently protective (= 2% maximum concentration before mixing with an oxidative agent; warning not to </w:t>
      </w:r>
      <w:proofErr w:type="spellStart"/>
      <w:r>
        <w:rPr>
          <w:i/>
        </w:rPr>
        <w:t>exposre</w:t>
      </w:r>
      <w:proofErr w:type="spellEnd"/>
      <w:r>
        <w:rPr>
          <w:i/>
        </w:rPr>
        <w:t xml:space="preserve"> oneself when a reaction is observed previously after using a hair dye or black henna tattoo, or when the skin is sensitive or may not be fully intact).</w:t>
      </w:r>
      <w:proofErr w:type="gramEnd"/>
      <w:r>
        <w:rPr>
          <w:i/>
        </w:rPr>
        <w:t xml:space="preserve"> </w:t>
      </w:r>
      <w:proofErr w:type="gramStart"/>
      <w:r>
        <w:rPr>
          <w:i/>
        </w:rPr>
        <w:t>Or</w:t>
      </w:r>
      <w:proofErr w:type="gramEnd"/>
      <w:r>
        <w:rPr>
          <w:i/>
        </w:rPr>
        <w:t xml:space="preserve">, if enforcement of safe work practices, intended use by consumers and product composition is sufficient.  </w:t>
      </w:r>
    </w:p>
    <w:p w14:paraId="18D1863C" w14:textId="77777777" w:rsidR="00E306DD" w:rsidRDefault="00E306DD" w:rsidP="00E306DD">
      <w:pPr>
        <w:rPr>
          <w:lang w:eastAsia="en-GB"/>
        </w:rPr>
      </w:pPr>
      <w:r w:rsidRPr="00CD7523">
        <w:rPr>
          <w:lang w:eastAsia="en-GB"/>
        </w:rPr>
        <w:t xml:space="preserve">Possible activities that may strengthen the implementation of safe </w:t>
      </w:r>
      <w:proofErr w:type="spellStart"/>
      <w:r w:rsidRPr="00CD7523">
        <w:rPr>
          <w:lang w:eastAsia="en-GB"/>
        </w:rPr>
        <w:t>workpractices</w:t>
      </w:r>
      <w:proofErr w:type="spellEnd"/>
      <w:r w:rsidRPr="00CD7523">
        <w:rPr>
          <w:lang w:eastAsia="en-GB"/>
        </w:rPr>
        <w:t xml:space="preserve"> could be the development of sector specific Best Available Techniques or Best practices development via the channels of the European Social Dialogue. Whether or not developments in these directions could be suited </w:t>
      </w:r>
      <w:proofErr w:type="gramStart"/>
      <w:r w:rsidRPr="00CD7523">
        <w:rPr>
          <w:lang w:eastAsia="en-GB"/>
        </w:rPr>
        <w:t>to further improve</w:t>
      </w:r>
      <w:proofErr w:type="gramEnd"/>
      <w:r w:rsidRPr="00CD7523">
        <w:rPr>
          <w:lang w:eastAsia="en-GB"/>
        </w:rPr>
        <w:t xml:space="preserve"> the current situation should be evaluated in direct contact with the sector in particular for hairdressers and beauty workers.</w:t>
      </w:r>
      <w:r w:rsidRPr="00406AE1">
        <w:rPr>
          <w:lang w:eastAsia="en-GB"/>
        </w:rPr>
        <w:t xml:space="preserve"> </w:t>
      </w:r>
    </w:p>
    <w:p w14:paraId="39176352" w14:textId="77777777" w:rsidR="00E306DD" w:rsidRPr="00B41CF6" w:rsidRDefault="00E306DD" w:rsidP="00E306DD">
      <w:pPr>
        <w:rPr>
          <w:lang w:eastAsia="en-GB"/>
        </w:rPr>
      </w:pPr>
      <w:proofErr w:type="gramStart"/>
      <w:r>
        <w:rPr>
          <w:lang w:eastAsia="en-GB"/>
        </w:rPr>
        <w:t>As the most recent SCCS opinion on PPD stems from 2006 and as concern for safe use was flagged in this opinion, one may consider addressing this issue by informing the Secretariat of the Cosmetics Directive at DG Grow about the continuous concern for safe use of this substance for workers and consumers (at the presently allowed 2% concentration level) being an extreme skin sensitizer and a possible carcinogenic in combination with hydrogen peroxide and couplers.</w:t>
      </w:r>
      <w:proofErr w:type="gramEnd"/>
      <w:r>
        <w:rPr>
          <w:lang w:eastAsia="en-GB"/>
        </w:rPr>
        <w:t xml:space="preserve"> In a follow-up step, the Commission can then demand from the industry to update their dossier for safe use of PPD for workers and consumers, which </w:t>
      </w:r>
      <w:proofErr w:type="gramStart"/>
      <w:r>
        <w:rPr>
          <w:lang w:eastAsia="en-GB"/>
        </w:rPr>
        <w:t>will be re-evaluated</w:t>
      </w:r>
      <w:proofErr w:type="gramEnd"/>
      <w:r>
        <w:rPr>
          <w:lang w:eastAsia="en-GB"/>
        </w:rPr>
        <w:t xml:space="preserve"> by the SCCS to come to an updated opinion. One limitation of this route is that any information to </w:t>
      </w:r>
      <w:proofErr w:type="gramStart"/>
      <w:r>
        <w:rPr>
          <w:lang w:eastAsia="en-GB"/>
        </w:rPr>
        <w:t>be newly generated</w:t>
      </w:r>
      <w:proofErr w:type="gramEnd"/>
      <w:r>
        <w:rPr>
          <w:lang w:eastAsia="en-GB"/>
        </w:rPr>
        <w:t xml:space="preserve"> will be confined to non-animal testing. In an updated opinion, further attention </w:t>
      </w:r>
      <w:proofErr w:type="gramStart"/>
      <w:r>
        <w:rPr>
          <w:lang w:eastAsia="en-GB"/>
        </w:rPr>
        <w:t>could be given</w:t>
      </w:r>
      <w:proofErr w:type="gramEnd"/>
      <w:r>
        <w:rPr>
          <w:lang w:eastAsia="en-GB"/>
        </w:rPr>
        <w:t xml:space="preserve"> to the possibility by workers and consumers to identify PPD containing products (e.g. through labelling) and to using the appropriate protective measures (e.g. by supplying gloves in the packaging).</w:t>
      </w:r>
    </w:p>
    <w:p w14:paraId="514A0B1E" w14:textId="77777777" w:rsidR="00E306DD" w:rsidRDefault="00E306DD" w:rsidP="00E306DD">
      <w:pPr>
        <w:rPr>
          <w:lang w:eastAsia="en-GB"/>
        </w:rPr>
      </w:pPr>
      <w:r>
        <w:rPr>
          <w:lang w:eastAsia="en-GB"/>
        </w:rPr>
        <w:t xml:space="preserve">In addition, over the last years, black henna tattoos </w:t>
      </w:r>
      <w:proofErr w:type="gramStart"/>
      <w:r>
        <w:rPr>
          <w:lang w:eastAsia="en-GB"/>
        </w:rPr>
        <w:t xml:space="preserve">are </w:t>
      </w:r>
      <w:proofErr w:type="spellStart"/>
      <w:r>
        <w:rPr>
          <w:lang w:eastAsia="en-GB"/>
        </w:rPr>
        <w:t>signaled</w:t>
      </w:r>
      <w:proofErr w:type="spellEnd"/>
      <w:proofErr w:type="gramEnd"/>
      <w:r>
        <w:rPr>
          <w:lang w:eastAsia="en-GB"/>
        </w:rPr>
        <w:t xml:space="preserve"> as a potentially important source of concern that calls for further regulation, especially for consumers developing a PPD allergy. </w:t>
      </w:r>
      <w:proofErr w:type="gramStart"/>
      <w:r>
        <w:rPr>
          <w:lang w:eastAsia="en-GB"/>
        </w:rPr>
        <w:t xml:space="preserve">It is </w:t>
      </w:r>
      <w:proofErr w:type="spellStart"/>
      <w:r>
        <w:rPr>
          <w:lang w:eastAsia="en-GB"/>
        </w:rPr>
        <w:t>flaged</w:t>
      </w:r>
      <w:proofErr w:type="spellEnd"/>
      <w:r>
        <w:rPr>
          <w:lang w:eastAsia="en-GB"/>
        </w:rPr>
        <w:t xml:space="preserve"> that the combined exposure to oxidative hair dyes</w:t>
      </w:r>
      <w:proofErr w:type="gramEnd"/>
      <w:r>
        <w:rPr>
          <w:lang w:eastAsia="en-GB"/>
        </w:rPr>
        <w:t xml:space="preserve"> and black henna tattoos may alarmingly increase the chance to become sensitized, already upon a single application such tattoo. </w:t>
      </w:r>
    </w:p>
    <w:p w14:paraId="20995EEF" w14:textId="77777777" w:rsidR="00E306DD" w:rsidRDefault="00E306DD" w:rsidP="00E306DD">
      <w:pPr>
        <w:rPr>
          <w:lang w:eastAsia="en-GB"/>
        </w:rPr>
      </w:pPr>
      <w:r>
        <w:rPr>
          <w:lang w:eastAsia="en-GB"/>
        </w:rPr>
        <w:t xml:space="preserve">The use of PPD is already restricted for use in cosmetic products by Annex III, entry 8a and 8b of the Cosmetics Regulation. Being not injected subcutaneously, Black henna tattoos are considered a cosmetic product as they meet the definition according to article 2(1a) of the Regulation. Annex III entry 8 thereby implies that the use of PPD in Black henna tattoos </w:t>
      </w:r>
      <w:proofErr w:type="gramStart"/>
      <w:r>
        <w:rPr>
          <w:lang w:eastAsia="en-GB"/>
        </w:rPr>
        <w:t>is prohibited</w:t>
      </w:r>
      <w:proofErr w:type="gramEnd"/>
      <w:r>
        <w:rPr>
          <w:lang w:eastAsia="en-GB"/>
        </w:rPr>
        <w:t xml:space="preserve"> via the Cosmetics Directive. Consequently, occurrence of PPD in black henna tattoos and concern for consequent health effects is to </w:t>
      </w:r>
      <w:proofErr w:type="gramStart"/>
      <w:r>
        <w:rPr>
          <w:lang w:eastAsia="en-GB"/>
        </w:rPr>
        <w:t>be addressed</w:t>
      </w:r>
      <w:proofErr w:type="gramEnd"/>
      <w:r>
        <w:rPr>
          <w:lang w:eastAsia="en-GB"/>
        </w:rPr>
        <w:t xml:space="preserve"> through enforcement of the Cosmetics Regulation. However, no Commission decision on whether or not to identify henna tattoos as cosmetic product as specified under (8) of the Regulation could be found and it may be desirable to have such decision to facilitate enforcement. </w:t>
      </w:r>
    </w:p>
    <w:p w14:paraId="36DBB2EB" w14:textId="77777777" w:rsidR="00E306DD" w:rsidRDefault="00E306DD" w:rsidP="00E306DD">
      <w:pPr>
        <w:rPr>
          <w:lang w:eastAsia="en-GB"/>
        </w:rPr>
      </w:pPr>
      <w:r>
        <w:rPr>
          <w:lang w:eastAsia="en-GB"/>
        </w:rPr>
        <w:t>Information from the Netherlands and Norway on consumer cases suggests that consumer exposure to PPD through application of Black henna tattoos seems primarily a ‘holiday concern’. It is uncertain to what extent this ‘holiday concern’ is located within the EU or relates solely to holiday destinations outside Europe.</w:t>
      </w:r>
    </w:p>
    <w:p w14:paraId="256BAEC6" w14:textId="77777777" w:rsidR="00E306DD" w:rsidRDefault="00E306DD" w:rsidP="00E306DD">
      <w:pPr>
        <w:pStyle w:val="Heading3"/>
        <w:keepLines w:val="0"/>
        <w:widowControl/>
        <w:numPr>
          <w:ilvl w:val="2"/>
          <w:numId w:val="0"/>
        </w:numPr>
        <w:tabs>
          <w:tab w:val="left" w:pos="839"/>
          <w:tab w:val="num" w:pos="1077"/>
        </w:tabs>
        <w:spacing w:before="360" w:after="200"/>
        <w:ind w:left="1077" w:hanging="1077"/>
      </w:pPr>
      <w:r>
        <w:t>Substance evaluation</w:t>
      </w:r>
    </w:p>
    <w:p w14:paraId="2F1CADC2" w14:textId="77777777" w:rsidR="00E306DD" w:rsidRDefault="00E306DD" w:rsidP="00E306DD">
      <w:r>
        <w:t xml:space="preserve">PPD may have carcinogenic effects when exposure occurs in combination with a coupler and/or an oxidative agent. This </w:t>
      </w:r>
      <w:proofErr w:type="gramStart"/>
      <w:r>
        <w:t>is suggested</w:t>
      </w:r>
      <w:proofErr w:type="gramEnd"/>
      <w:r>
        <w:t xml:space="preserve"> by p</w:t>
      </w:r>
      <w:r w:rsidRPr="009A3AC3">
        <w:t xml:space="preserve">ositive </w:t>
      </w:r>
      <w:r>
        <w:t xml:space="preserve">results reported </w:t>
      </w:r>
      <w:r w:rsidRPr="009A3AC3">
        <w:t>from genotoxicity studies in vivo/in vitro of P</w:t>
      </w:r>
      <w:r>
        <w:t>PD in combination with couplers</w:t>
      </w:r>
      <w:r w:rsidRPr="009A3AC3">
        <w:t xml:space="preserve"> and /or hydrogen peroxide as well in a carcinogenicity study. The SCCP is of the opinion that the information </w:t>
      </w:r>
      <w:r>
        <w:t xml:space="preserve">that </w:t>
      </w:r>
      <w:proofErr w:type="gramStart"/>
      <w:r>
        <w:t xml:space="preserve">was </w:t>
      </w:r>
      <w:r w:rsidRPr="009A3AC3">
        <w:t>submitted</w:t>
      </w:r>
      <w:proofErr w:type="gramEnd"/>
      <w:r w:rsidRPr="009A3AC3">
        <w:t xml:space="preserve"> </w:t>
      </w:r>
      <w:r>
        <w:t xml:space="preserve">at the time of the PPD assessment (in 2006) </w:t>
      </w:r>
      <w:r w:rsidRPr="009A3AC3">
        <w:t xml:space="preserve">is insufficient to allow a final risk assessment </w:t>
      </w:r>
      <w:r>
        <w:t xml:space="preserve">on carcinogenicity </w:t>
      </w:r>
      <w:r w:rsidRPr="009A3AC3">
        <w:t xml:space="preserve">to be carried out. Before any further consideration, additional data would be required on in vivo genotoxicity and/or carcinogenicity of PPD in combination with hydrogen peroxide and couplers (to simulate consumer exposure). </w:t>
      </w:r>
      <w:r>
        <w:t xml:space="preserve">To date, this information </w:t>
      </w:r>
      <w:proofErr w:type="gramStart"/>
      <w:r>
        <w:t>has not been generated</w:t>
      </w:r>
      <w:proofErr w:type="gramEnd"/>
      <w:r>
        <w:t xml:space="preserve"> and f</w:t>
      </w:r>
      <w:r w:rsidRPr="009A3AC3">
        <w:t xml:space="preserve">urther information is needed </w:t>
      </w:r>
      <w:r>
        <w:t>to</w:t>
      </w:r>
      <w:r w:rsidRPr="009A3AC3">
        <w:t xml:space="preserve"> support the applicant’s view that the </w:t>
      </w:r>
      <w:proofErr w:type="spellStart"/>
      <w:r w:rsidRPr="009A3AC3">
        <w:t>MoS</w:t>
      </w:r>
      <w:proofErr w:type="spellEnd"/>
      <w:r w:rsidRPr="009A3AC3">
        <w:t xml:space="preserve"> are sufficiently high. </w:t>
      </w:r>
      <w:r>
        <w:t xml:space="preserve">It is unlikely that this information will be generated in the context of the </w:t>
      </w:r>
      <w:r>
        <w:lastRenderedPageBreak/>
        <w:t xml:space="preserve">Cosmetics </w:t>
      </w:r>
      <w:proofErr w:type="gramStart"/>
      <w:r>
        <w:t>Directive</w:t>
      </w:r>
      <w:proofErr w:type="gramEnd"/>
      <w:r>
        <w:t xml:space="preserve"> as this Directive does no longer allow animal testing.</w:t>
      </w:r>
    </w:p>
    <w:p w14:paraId="7A42BE6B" w14:textId="77777777" w:rsidR="00E306DD" w:rsidRDefault="00E306DD" w:rsidP="00E306DD">
      <w:proofErr w:type="spellStart"/>
      <w:r>
        <w:t>Takkouche</w:t>
      </w:r>
      <w:proofErr w:type="spellEnd"/>
      <w:r>
        <w:t xml:space="preserve"> et al (2009) performed a meta-analysis of cancer incidences in hairdressers, beautyworkers and related occupations and found a significant increased relative risk in these worker populations in the US and EU in several anatomic sites: 62% for multiple myeloma, 52% for larynx, 30% for bladder and 27% for lung cancer. The analysis was not set up to attribute this increased risk to exposure to specific chemicals, but does suggest that exposure to chemicals at the </w:t>
      </w:r>
      <w:proofErr w:type="spellStart"/>
      <w:r>
        <w:t>workfloor</w:t>
      </w:r>
      <w:proofErr w:type="spellEnd"/>
      <w:r>
        <w:t xml:space="preserve">, including </w:t>
      </w:r>
      <w:proofErr w:type="spellStart"/>
      <w:r>
        <w:t>hairdye</w:t>
      </w:r>
      <w:proofErr w:type="spellEnd"/>
      <w:r>
        <w:t xml:space="preserve"> products, nitrosamine, acetone, formaldehyde and </w:t>
      </w:r>
      <w:proofErr w:type="spellStart"/>
      <w:r>
        <w:t>methacrylates</w:t>
      </w:r>
      <w:proofErr w:type="spellEnd"/>
      <w:r>
        <w:t xml:space="preserve"> is a likely cause of the observed increased relative risk.</w:t>
      </w:r>
    </w:p>
    <w:p w14:paraId="6D9011FE" w14:textId="77777777" w:rsidR="00E306DD" w:rsidRPr="00E21492" w:rsidRDefault="00E306DD" w:rsidP="00E306DD">
      <w:pPr>
        <w:rPr>
          <w:sz w:val="17"/>
          <w:szCs w:val="17"/>
          <w:lang w:eastAsia="en-GB"/>
        </w:rPr>
      </w:pPr>
      <w:r>
        <w:t xml:space="preserve">Further information </w:t>
      </w:r>
      <w:proofErr w:type="gramStart"/>
      <w:r>
        <w:t>could be requested</w:t>
      </w:r>
      <w:proofErr w:type="gramEnd"/>
      <w:r>
        <w:t xml:space="preserve"> through the REACH process of Substance Evaluation. When more information </w:t>
      </w:r>
      <w:proofErr w:type="gramStart"/>
      <w:r>
        <w:t>is requested</w:t>
      </w:r>
      <w:proofErr w:type="gramEnd"/>
      <w:r>
        <w:t xml:space="preserve"> through Substance Evaluation, an additional request with regard to use and exposure could be considered also. However, as the available studies that show negative results on carcinogenicity </w:t>
      </w:r>
      <w:proofErr w:type="gramStart"/>
      <w:r>
        <w:t>are judged</w:t>
      </w:r>
      <w:proofErr w:type="gramEnd"/>
      <w:r>
        <w:t xml:space="preserve"> of good quality, it is questionable if new data will provide further insight. If any, further data generation </w:t>
      </w:r>
      <w:proofErr w:type="gramStart"/>
      <w:r>
        <w:t>is suggested</w:t>
      </w:r>
      <w:proofErr w:type="gramEnd"/>
      <w:r>
        <w:t xml:space="preserve"> to focus on the potential incoherence of available test data.</w:t>
      </w:r>
    </w:p>
    <w:p w14:paraId="4B0F3888" w14:textId="77777777" w:rsidR="00E306DD" w:rsidRDefault="00E306DD" w:rsidP="00E306DD">
      <w:pPr>
        <w:pStyle w:val="Heading3"/>
        <w:keepLines w:val="0"/>
        <w:widowControl/>
        <w:numPr>
          <w:ilvl w:val="2"/>
          <w:numId w:val="0"/>
        </w:numPr>
        <w:tabs>
          <w:tab w:val="left" w:pos="839"/>
          <w:tab w:val="num" w:pos="1077"/>
        </w:tabs>
        <w:spacing w:before="360" w:after="200"/>
        <w:ind w:left="1077" w:hanging="1077"/>
      </w:pPr>
      <w:r>
        <w:t>Classification and Labelling (CLP)</w:t>
      </w:r>
    </w:p>
    <w:p w14:paraId="21F88B9B" w14:textId="77777777" w:rsidR="00E306DD" w:rsidRDefault="00E306DD" w:rsidP="00E306DD">
      <w:pPr>
        <w:pStyle w:val="BodyText"/>
      </w:pPr>
      <w:r>
        <w:t xml:space="preserve">PPD has a harmonized classification for Skin </w:t>
      </w:r>
      <w:proofErr w:type="spellStart"/>
      <w:r>
        <w:t>Sensensitization</w:t>
      </w:r>
      <w:proofErr w:type="spellEnd"/>
      <w:r>
        <w:t xml:space="preserve"> Cat.1. The CSR bases its risk assessment on an LLNA study with an EC3 of</w:t>
      </w:r>
      <w:r w:rsidRPr="00294672">
        <w:t xml:space="preserve"> 0.06%. </w:t>
      </w:r>
      <w:r>
        <w:t xml:space="preserve">This suggests that PPD may meet the criteria for classification as Skin Sens 1A (CLP upper limit boundary for Cat.1A classification is set at an EC3 of 2%). Once PPD </w:t>
      </w:r>
      <w:proofErr w:type="gramStart"/>
      <w:r>
        <w:t>would be classified</w:t>
      </w:r>
      <w:proofErr w:type="gramEnd"/>
      <w:r>
        <w:t xml:space="preserve"> as Skin Sens 1A, the indication of its presence in mixtures will shift from 0.1% (Cat.1) to 0.01% (Cat.1A). Furthermore, the available information on sensitizing effects of PPD may further motivate the derivation of a Specific concentration limit. This change in classification would not directly </w:t>
      </w:r>
      <w:proofErr w:type="gramStart"/>
      <w:r>
        <w:t>impact</w:t>
      </w:r>
      <w:proofErr w:type="gramEnd"/>
      <w:r>
        <w:t xml:space="preserve"> measures under the Cosmetics Regulation, but is expected to impact the communication on hazards of PPD to consumers and workers for the other uses. </w:t>
      </w:r>
    </w:p>
    <w:p w14:paraId="571076C0" w14:textId="77777777" w:rsidR="00E306DD" w:rsidRDefault="00E306DD" w:rsidP="00E306DD">
      <w:pPr>
        <w:pStyle w:val="BodyText"/>
      </w:pPr>
      <w:r>
        <w:t xml:space="preserve">Setting a more stringent classification will not </w:t>
      </w:r>
      <w:proofErr w:type="gramStart"/>
      <w:r>
        <w:t>impact</w:t>
      </w:r>
      <w:proofErr w:type="gramEnd"/>
      <w:r>
        <w:t xml:space="preserve"> cosmetic uses as these are exempted from the Classification and </w:t>
      </w:r>
      <w:proofErr w:type="spellStart"/>
      <w:r>
        <w:t>Labeling</w:t>
      </w:r>
      <w:proofErr w:type="spellEnd"/>
      <w:r>
        <w:t xml:space="preserve"> requirements under CLP. It may however </w:t>
      </w:r>
      <w:proofErr w:type="gramStart"/>
      <w:r>
        <w:t>impact</w:t>
      </w:r>
      <w:proofErr w:type="gramEnd"/>
      <w:r>
        <w:t xml:space="preserve"> worker safety at those workplaces where formulation of cosmetics takes place. For use in cosmetics, the maximum concentration limit is set at 2% (before mixing with an oxidative agent). It </w:t>
      </w:r>
      <w:proofErr w:type="gramStart"/>
      <w:r>
        <w:t>could therefore be anticipated</w:t>
      </w:r>
      <w:proofErr w:type="gramEnd"/>
      <w:r>
        <w:t xml:space="preserve"> that the current limit of identification of PPD in mixtures of 0.1% may already be sufficiently low to communicate on PPD containing mixtures at the </w:t>
      </w:r>
      <w:proofErr w:type="spellStart"/>
      <w:r>
        <w:t>workfloor</w:t>
      </w:r>
      <w:proofErr w:type="spellEnd"/>
      <w:r>
        <w:t xml:space="preserve">. However, actual concentrations handled at the </w:t>
      </w:r>
      <w:proofErr w:type="spellStart"/>
      <w:r>
        <w:t>workfloor</w:t>
      </w:r>
      <w:proofErr w:type="spellEnd"/>
      <w:r>
        <w:t xml:space="preserve"> are unknown. For the other sectors like the rubber, ink and textile industry, PPD concentrations handled at the </w:t>
      </w:r>
      <w:proofErr w:type="spellStart"/>
      <w:r>
        <w:t>workfloor</w:t>
      </w:r>
      <w:proofErr w:type="spellEnd"/>
      <w:r>
        <w:t xml:space="preserve"> are uncertain too. It is therefore not known if lowering the GCL/SCL for PPD will </w:t>
      </w:r>
      <w:proofErr w:type="gramStart"/>
      <w:r>
        <w:t>impact</w:t>
      </w:r>
      <w:proofErr w:type="gramEnd"/>
      <w:r>
        <w:t xml:space="preserve"> the information flow to workers about mixtures containing this substance. </w:t>
      </w:r>
      <w:proofErr w:type="gramStart"/>
      <w:r>
        <w:t xml:space="preserve">However, even when concentrations of PPD in mixtures at the </w:t>
      </w:r>
      <w:proofErr w:type="spellStart"/>
      <w:r>
        <w:t>workfloor</w:t>
      </w:r>
      <w:proofErr w:type="spellEnd"/>
      <w:r>
        <w:t xml:space="preserve"> already exceed the current GCL or SCL due to the CLH as Skin Sens 1, there may still be added value in communicating concentrations based on an even lower GCL/SCL when it would not only communicate the presence of PPD but also communicate a sense of urgency to take exposure preventing measures.</w:t>
      </w:r>
      <w:proofErr w:type="gramEnd"/>
      <w:r>
        <w:t xml:space="preserve"> Contact with the different industrial sectors and the </w:t>
      </w:r>
      <w:proofErr w:type="spellStart"/>
      <w:r>
        <w:t>labor</w:t>
      </w:r>
      <w:proofErr w:type="spellEnd"/>
      <w:r>
        <w:t xml:space="preserve"> inspectorate could be pursued to obtain a better understanding of the </w:t>
      </w:r>
      <w:proofErr w:type="gramStart"/>
      <w:r>
        <w:t>added value</w:t>
      </w:r>
      <w:proofErr w:type="gramEnd"/>
      <w:r>
        <w:t xml:space="preserve"> of a more stringent classification for this particular case of PPD. </w:t>
      </w:r>
    </w:p>
    <w:p w14:paraId="2DA87B7E" w14:textId="77777777" w:rsidR="00E306DD" w:rsidRPr="00294672" w:rsidRDefault="00E306DD" w:rsidP="00E306DD">
      <w:pPr>
        <w:pStyle w:val="BodyText"/>
      </w:pPr>
      <w:r>
        <w:t xml:space="preserve">When an Annex VI dossier for harmonised classification will be taken </w:t>
      </w:r>
      <w:proofErr w:type="gramStart"/>
      <w:r>
        <w:t>up</w:t>
      </w:r>
      <w:proofErr w:type="gramEnd"/>
      <w:r>
        <w:t xml:space="preserve"> it is suggested to also include updating the classification for Acute toxicity. Information on possible carcinogenicity properties of PPD in combination with a coupler or an oxidative agent that may result from a Substance Evaluation is not expected to </w:t>
      </w:r>
      <w:proofErr w:type="gramStart"/>
      <w:r>
        <w:t>impact</w:t>
      </w:r>
      <w:proofErr w:type="gramEnd"/>
      <w:r>
        <w:t xml:space="preserve"> the harmonised classification of PPD as this information concerns combined toxicity of a mixture.</w:t>
      </w:r>
    </w:p>
    <w:p w14:paraId="33965F26" w14:textId="77777777" w:rsidR="00E306DD" w:rsidRDefault="00E306DD" w:rsidP="00E306DD">
      <w:pPr>
        <w:pStyle w:val="Heading3"/>
        <w:keepLines w:val="0"/>
        <w:widowControl/>
        <w:numPr>
          <w:ilvl w:val="2"/>
          <w:numId w:val="0"/>
        </w:numPr>
        <w:tabs>
          <w:tab w:val="left" w:pos="839"/>
          <w:tab w:val="num" w:pos="1077"/>
        </w:tabs>
        <w:spacing w:before="360" w:after="200"/>
        <w:ind w:left="1077" w:hanging="1077"/>
      </w:pPr>
      <w:r>
        <w:t>Restriction</w:t>
      </w:r>
    </w:p>
    <w:p w14:paraId="2ACD0E7F" w14:textId="77777777" w:rsidR="00E306DD" w:rsidRDefault="00E306DD" w:rsidP="00E306DD">
      <w:pPr>
        <w:rPr>
          <w:lang w:eastAsia="en-GB"/>
        </w:rPr>
      </w:pPr>
      <w:r w:rsidRPr="00D81A17">
        <w:rPr>
          <w:lang w:eastAsia="en-GB"/>
        </w:rPr>
        <w:t xml:space="preserve">Exposure to PPD leads to very severe </w:t>
      </w:r>
      <w:proofErr w:type="spellStart"/>
      <w:r w:rsidRPr="00D81A17">
        <w:rPr>
          <w:lang w:eastAsia="en-GB"/>
        </w:rPr>
        <w:t>alleric</w:t>
      </w:r>
      <w:proofErr w:type="spellEnd"/>
      <w:r w:rsidRPr="00D81A17">
        <w:rPr>
          <w:lang w:eastAsia="en-GB"/>
        </w:rPr>
        <w:t xml:space="preserve"> </w:t>
      </w:r>
      <w:r>
        <w:rPr>
          <w:lang w:eastAsia="en-GB"/>
        </w:rPr>
        <w:t xml:space="preserve">skin </w:t>
      </w:r>
      <w:r w:rsidRPr="00D81A17">
        <w:rPr>
          <w:lang w:eastAsia="en-GB"/>
        </w:rPr>
        <w:t>reactions</w:t>
      </w:r>
      <w:r>
        <w:rPr>
          <w:lang w:eastAsia="en-GB"/>
        </w:rPr>
        <w:t xml:space="preserve"> in workers and consumers. </w:t>
      </w:r>
      <w:r>
        <w:rPr>
          <w:lang w:eastAsia="en-GB"/>
        </w:rPr>
        <w:lastRenderedPageBreak/>
        <w:t xml:space="preserve">Causes within the scope of the Cosmetics Regulation that involve risks to human health </w:t>
      </w:r>
      <w:proofErr w:type="gramStart"/>
      <w:r>
        <w:rPr>
          <w:lang w:eastAsia="en-GB"/>
        </w:rPr>
        <w:t>are excluded</w:t>
      </w:r>
      <w:proofErr w:type="gramEnd"/>
      <w:r>
        <w:rPr>
          <w:lang w:eastAsia="en-GB"/>
        </w:rPr>
        <w:t xml:space="preserve"> from restriction under REACH (art. 67.2). </w:t>
      </w:r>
    </w:p>
    <w:p w14:paraId="17B1E1E0" w14:textId="77777777" w:rsidR="00E306DD" w:rsidRDefault="00E306DD" w:rsidP="00E306DD">
      <w:pPr>
        <w:rPr>
          <w:lang w:eastAsia="en-GB"/>
        </w:rPr>
      </w:pPr>
      <w:r>
        <w:rPr>
          <w:lang w:eastAsia="en-GB"/>
        </w:rPr>
        <w:t xml:space="preserve">ECHA is currently working on a restriction proposal on CMR and Sensitizing substances in tattoos and permanent make-up. If not already included, it </w:t>
      </w:r>
      <w:proofErr w:type="gramStart"/>
      <w:r>
        <w:rPr>
          <w:lang w:eastAsia="en-GB"/>
        </w:rPr>
        <w:t>may be considered</w:t>
      </w:r>
      <w:proofErr w:type="gramEnd"/>
      <w:r>
        <w:rPr>
          <w:lang w:eastAsia="en-GB"/>
        </w:rPr>
        <w:t xml:space="preserve"> by ECHA to further explore the possibility to include PPD in the proposal and define the scope of the restriction proposal such that it covers all tattoo-like or temporary tattoo-like applications that are not within the scope of the Cosmetics Directive. This proposal </w:t>
      </w:r>
      <w:proofErr w:type="gramStart"/>
      <w:r>
        <w:rPr>
          <w:lang w:eastAsia="en-GB"/>
        </w:rPr>
        <w:t>is expected to be submitted</w:t>
      </w:r>
      <w:proofErr w:type="gramEnd"/>
      <w:r>
        <w:rPr>
          <w:lang w:eastAsia="en-GB"/>
        </w:rPr>
        <w:t xml:space="preserve"> for public consultation in the second half of 2017. </w:t>
      </w:r>
    </w:p>
    <w:p w14:paraId="1E3309A5" w14:textId="77777777" w:rsidR="00E306DD" w:rsidRDefault="00E306DD" w:rsidP="00E306DD">
      <w:pPr>
        <w:rPr>
          <w:lang w:eastAsia="en-GB"/>
        </w:rPr>
      </w:pPr>
      <w:r>
        <w:rPr>
          <w:lang w:eastAsia="en-GB"/>
        </w:rPr>
        <w:t xml:space="preserve">Further, </w:t>
      </w:r>
      <w:proofErr w:type="gramStart"/>
      <w:r>
        <w:rPr>
          <w:lang w:eastAsia="en-GB"/>
        </w:rPr>
        <w:t>there are several other uses for which a restriction could be considered</w:t>
      </w:r>
      <w:proofErr w:type="gramEnd"/>
      <w:r>
        <w:rPr>
          <w:lang w:eastAsia="en-GB"/>
        </w:rPr>
        <w:t xml:space="preserve">. The </w:t>
      </w:r>
      <w:proofErr w:type="spellStart"/>
      <w:r>
        <w:rPr>
          <w:lang w:eastAsia="en-GB"/>
        </w:rPr>
        <w:t>Swedisch</w:t>
      </w:r>
      <w:proofErr w:type="spellEnd"/>
      <w:r>
        <w:rPr>
          <w:lang w:eastAsia="en-GB"/>
        </w:rPr>
        <w:t xml:space="preserve"> Competent Authority on REACH is currently developing a restriction on skin sensitizers in textiles. With its harmonized classification as Skin </w:t>
      </w:r>
      <w:proofErr w:type="spellStart"/>
      <w:r>
        <w:rPr>
          <w:lang w:eastAsia="en-GB"/>
        </w:rPr>
        <w:t>Sensitiser</w:t>
      </w:r>
      <w:proofErr w:type="spellEnd"/>
      <w:r>
        <w:rPr>
          <w:lang w:eastAsia="en-GB"/>
        </w:rPr>
        <w:t xml:space="preserve">, PPD will fall within the scope currently foreseen for that restriction proposal. To cover possible risks of PPD for consumers, a broad scope including textiles, fur and leather </w:t>
      </w:r>
      <w:proofErr w:type="gramStart"/>
      <w:r>
        <w:rPr>
          <w:lang w:eastAsia="en-GB"/>
        </w:rPr>
        <w:t>should be considered</w:t>
      </w:r>
      <w:proofErr w:type="gramEnd"/>
      <w:r>
        <w:rPr>
          <w:lang w:eastAsia="en-GB"/>
        </w:rPr>
        <w:t xml:space="preserve">. The current scope focusses on risks for consumers. Worker risks may not be covered. </w:t>
      </w:r>
    </w:p>
    <w:p w14:paraId="2705CC6B" w14:textId="77777777" w:rsidR="00E306DD" w:rsidRPr="007E3894" w:rsidRDefault="00E306DD" w:rsidP="00E306DD">
      <w:pPr>
        <w:rPr>
          <w:lang w:eastAsia="en-GB"/>
        </w:rPr>
      </w:pPr>
      <w:r>
        <w:rPr>
          <w:lang w:eastAsia="en-GB"/>
        </w:rPr>
        <w:t xml:space="preserve">Other uses of </w:t>
      </w:r>
      <w:r w:rsidRPr="007E3894">
        <w:rPr>
          <w:lang w:eastAsia="en-GB"/>
        </w:rPr>
        <w:t>p-</w:t>
      </w:r>
      <w:proofErr w:type="spellStart"/>
      <w:r w:rsidRPr="007E3894">
        <w:rPr>
          <w:lang w:eastAsia="en-GB"/>
        </w:rPr>
        <w:t>Phenylenediamine</w:t>
      </w:r>
      <w:proofErr w:type="spellEnd"/>
      <w:r w:rsidRPr="007E3894">
        <w:rPr>
          <w:lang w:eastAsia="en-GB"/>
        </w:rPr>
        <w:t xml:space="preserve"> </w:t>
      </w:r>
      <w:r>
        <w:rPr>
          <w:lang w:eastAsia="en-GB"/>
        </w:rPr>
        <w:t xml:space="preserve">are </w:t>
      </w:r>
      <w:r w:rsidRPr="007E3894">
        <w:rPr>
          <w:lang w:eastAsia="en-GB"/>
        </w:rPr>
        <w:t xml:space="preserve">in inks, as a </w:t>
      </w:r>
      <w:proofErr w:type="spellStart"/>
      <w:r w:rsidRPr="007E3894">
        <w:rPr>
          <w:lang w:eastAsia="en-GB"/>
        </w:rPr>
        <w:t>photodeveloper</w:t>
      </w:r>
      <w:proofErr w:type="spellEnd"/>
      <w:r w:rsidRPr="007E3894">
        <w:rPr>
          <w:lang w:eastAsia="en-GB"/>
        </w:rPr>
        <w:t xml:space="preserve"> and as a parent compound in vulcanization accelerators and in antioxidants for </w:t>
      </w:r>
      <w:r>
        <w:rPr>
          <w:lang w:eastAsia="en-GB"/>
        </w:rPr>
        <w:t xml:space="preserve">the </w:t>
      </w:r>
      <w:r w:rsidRPr="007E3894">
        <w:rPr>
          <w:lang w:eastAsia="en-GB"/>
        </w:rPr>
        <w:t>rubber industry.</w:t>
      </w:r>
      <w:r>
        <w:rPr>
          <w:lang w:eastAsia="en-GB"/>
        </w:rPr>
        <w:t xml:space="preserve"> These uses could involve risks for workers and consumers. However, only for printers, an indication of a positive association between PPD exposure and the development of a PPD allergy </w:t>
      </w:r>
      <w:proofErr w:type="gramStart"/>
      <w:r>
        <w:rPr>
          <w:lang w:eastAsia="en-GB"/>
        </w:rPr>
        <w:t>is found</w:t>
      </w:r>
      <w:proofErr w:type="gramEnd"/>
      <w:r>
        <w:rPr>
          <w:lang w:eastAsia="en-GB"/>
        </w:rPr>
        <w:t xml:space="preserve"> in literature. It is therefore uncertain if there is sufficient information available to develop an effective proposal for restriction (e.g. in terms of specific worker conditions or maximum concentration levels in consumer products) and to motivate proportionality of this proposal. </w:t>
      </w:r>
      <w:r w:rsidRPr="005B1BFC">
        <w:rPr>
          <w:lang w:eastAsia="en-GB"/>
        </w:rPr>
        <w:t xml:space="preserve">Developing a targeted restriction to effectively protect workers may be </w:t>
      </w:r>
      <w:proofErr w:type="gramStart"/>
      <w:r w:rsidRPr="005B1BFC">
        <w:rPr>
          <w:lang w:eastAsia="en-GB"/>
        </w:rPr>
        <w:t>challenging and required further insight in the different work practices in the sectors involved</w:t>
      </w:r>
      <w:proofErr w:type="gramEnd"/>
      <w:r w:rsidRPr="005B1BFC">
        <w:rPr>
          <w:lang w:eastAsia="en-GB"/>
        </w:rPr>
        <w:t xml:space="preserve"> and in the effectiveness of the protective measures that are already in place.</w:t>
      </w:r>
      <w:r>
        <w:rPr>
          <w:lang w:eastAsia="en-GB"/>
        </w:rPr>
        <w:t xml:space="preserve"> Further study of the actual work practices and possibilities for exposure reduction in the different sectors of use </w:t>
      </w:r>
      <w:proofErr w:type="gramStart"/>
      <w:r>
        <w:rPr>
          <w:lang w:eastAsia="en-GB"/>
        </w:rPr>
        <w:t>may also be needed</w:t>
      </w:r>
      <w:proofErr w:type="gramEnd"/>
      <w:r>
        <w:rPr>
          <w:lang w:eastAsia="en-GB"/>
        </w:rPr>
        <w:t xml:space="preserve"> when a more broad restriction would be considered covering all uses of possible concern. </w:t>
      </w:r>
    </w:p>
    <w:p w14:paraId="247FF7AB" w14:textId="77777777" w:rsidR="00E306DD" w:rsidRDefault="00E306DD" w:rsidP="00E306DD">
      <w:r>
        <w:t xml:space="preserve">Current data on possible causes for the development of a PPD allergy point at a possible risk due to aggregated exposure from different sources. Consequently, restricting the use of PPD in cosmetics via the Cosmetics Regulation, textiles, </w:t>
      </w:r>
      <w:proofErr w:type="gramStart"/>
      <w:r>
        <w:t>tattoo’s</w:t>
      </w:r>
      <w:proofErr w:type="gramEnd"/>
      <w:r>
        <w:t xml:space="preserve"> and possibly also printing inks by focussing on the risk of each use in isolation may not be sufficiently protective. It </w:t>
      </w:r>
      <w:proofErr w:type="gramStart"/>
      <w:r>
        <w:t>could therefore be considered</w:t>
      </w:r>
      <w:proofErr w:type="gramEnd"/>
      <w:r>
        <w:t xml:space="preserve"> to expand the scope of the risk assessment of these targeted restrictions to correct for the possible combined exposure to PPD from uses that are not the subject of the restriction. At the </w:t>
      </w:r>
      <w:proofErr w:type="spellStart"/>
      <w:r>
        <w:t>RiME</w:t>
      </w:r>
      <w:proofErr w:type="spellEnd"/>
      <w:r>
        <w:t xml:space="preserve">-II 2017 meeting, there seemed no support for restricting the use of PPD without a clear indication for risk. In other words: extrapolating the concern for occupational exposure observed for hairdressers and beautyworkers to other occupations like printers, </w:t>
      </w:r>
      <w:proofErr w:type="spellStart"/>
      <w:r>
        <w:t>photodevelopers</w:t>
      </w:r>
      <w:proofErr w:type="spellEnd"/>
      <w:r>
        <w:t xml:space="preserve"> and workers from the rubber and fuel industry was generally suggested to be difficult and possibly inappropriate in the absence of a clear indication of risk in those other sectors.</w:t>
      </w:r>
    </w:p>
    <w:p w14:paraId="5C4D29F2" w14:textId="77777777" w:rsidR="00E306DD" w:rsidRPr="00A262BC" w:rsidRDefault="00E306DD" w:rsidP="00E306DD">
      <w:r>
        <w:t xml:space="preserve">Another concern that </w:t>
      </w:r>
      <w:proofErr w:type="gramStart"/>
      <w:r>
        <w:t>was recently flagged</w:t>
      </w:r>
      <w:proofErr w:type="gramEnd"/>
      <w:r>
        <w:t xml:space="preserve"> relates to </w:t>
      </w:r>
      <w:proofErr w:type="spellStart"/>
      <w:r>
        <w:t>selftests</w:t>
      </w:r>
      <w:proofErr w:type="spellEnd"/>
      <w:r>
        <w:t xml:space="preserve"> for sensitization. </w:t>
      </w:r>
      <w:proofErr w:type="gramStart"/>
      <w:r>
        <w:t>Recently (March 2017), The Horizon 2020 COST Action TD 1206 “</w:t>
      </w:r>
      <w:proofErr w:type="spellStart"/>
      <w:r>
        <w:t>StanDerm</w:t>
      </w:r>
      <w:proofErr w:type="spellEnd"/>
      <w:r>
        <w:t>” (Development and Implementation of European Standards on Prevention of Occupational Skin Diseases) send a letter to the EU Commission on</w:t>
      </w:r>
      <w:r w:rsidRPr="0040651C">
        <w:t xml:space="preserve"> </w:t>
      </w:r>
      <w:r>
        <w:t>Internal Market, Industry, Entrepreneurship and SMEs to draw attention to a great concern with regard to self-testing for contact sensitization to hair dyes with the request to communicate this concern to the members of the sub-group “skin allergens” and the Working group on Cosmetic Products.</w:t>
      </w:r>
      <w:proofErr w:type="gramEnd"/>
      <w:r>
        <w:t xml:space="preserve"> Use of self-tests may constitute a risk for consumers and workers as the concentration of the allergen is typically higher and the conditions of use are typically less well controlled than is the case for allergen-testing by professionals. Concern for risk includes a concern for PPD because of its extreme potency but may equally involve other strong skin sensitizing agents. Further regulation of this type of uses is addressed in the context of the regulation on medicinal products </w:t>
      </w:r>
      <w:r w:rsidRPr="00510797">
        <w:t>primarily laid down in Directive 2001/83/EC and in Regulation (EC) No 726/2004</w:t>
      </w:r>
      <w:r>
        <w:t xml:space="preserve">, and hence is outside the scope of a possible REACH Restriction. </w:t>
      </w:r>
    </w:p>
    <w:p w14:paraId="174F060E" w14:textId="77777777" w:rsidR="00E306DD" w:rsidRDefault="00E306DD" w:rsidP="00E306DD">
      <w:pPr>
        <w:pStyle w:val="Heading3"/>
        <w:keepLines w:val="0"/>
        <w:widowControl/>
        <w:numPr>
          <w:ilvl w:val="2"/>
          <w:numId w:val="0"/>
        </w:numPr>
        <w:tabs>
          <w:tab w:val="left" w:pos="839"/>
          <w:tab w:val="num" w:pos="1077"/>
        </w:tabs>
        <w:spacing w:before="360" w:after="200"/>
        <w:ind w:left="1077" w:hanging="1077"/>
      </w:pPr>
      <w:r>
        <w:lastRenderedPageBreak/>
        <w:t>Authorization</w:t>
      </w:r>
    </w:p>
    <w:p w14:paraId="4DA7F218" w14:textId="77777777" w:rsidR="00E306DD" w:rsidRDefault="00E306DD" w:rsidP="00E306DD">
      <w:pPr>
        <w:pStyle w:val="BodyText"/>
      </w:pPr>
      <w:r>
        <w:t xml:space="preserve">For PPD, the high potency for sensitization and the high occurrence of human health cases described for workers from different sectors and consumers, together with the severity of effects, the delay in onset of effects and the potential for cross sensitization with other substances could suggest that PPD might be of equivalent level of concern to CMR substances. Hence, PPD might meet the criteria for art. </w:t>
      </w:r>
      <w:proofErr w:type="gramStart"/>
      <w:r>
        <w:t>57(f) of the REACH regulation.</w:t>
      </w:r>
      <w:proofErr w:type="gramEnd"/>
      <w:r>
        <w:t xml:space="preserve"> However, in view of the recent SVHC proposal on HDDA, and even though the profile of human cases for PPD is very different from HDDA, there is a good chance that a proposal for SVHC identification of PPD will not be accepted. On this, </w:t>
      </w:r>
      <w:proofErr w:type="spellStart"/>
      <w:r>
        <w:t>RiME</w:t>
      </w:r>
      <w:proofErr w:type="spellEnd"/>
      <w:r>
        <w:t xml:space="preserve">-II 2017 suggests that the severity of effects </w:t>
      </w:r>
      <w:proofErr w:type="gramStart"/>
      <w:r>
        <w:t>may be contested</w:t>
      </w:r>
      <w:proofErr w:type="gramEnd"/>
      <w:r>
        <w:t xml:space="preserve"> in the absence of cases leading to hospitalisation. It </w:t>
      </w:r>
      <w:proofErr w:type="gramStart"/>
      <w:r>
        <w:t>was nevertheless supported</w:t>
      </w:r>
      <w:proofErr w:type="gramEnd"/>
      <w:r>
        <w:t xml:space="preserve"> that equivalency of concern compared to 57(a)-(c) should be further assessed when authorisation would be concluded as possible most appropriate risk management measure. </w:t>
      </w:r>
    </w:p>
    <w:p w14:paraId="3EFF6699" w14:textId="77777777" w:rsidR="00E306DD" w:rsidRDefault="00E306DD" w:rsidP="00E306DD">
      <w:pPr>
        <w:pStyle w:val="BodyText"/>
      </w:pPr>
      <w:r>
        <w:t>Use of cosmetic products (</w:t>
      </w:r>
      <w:proofErr w:type="gramStart"/>
      <w:r>
        <w:t>both by workers and consumers</w:t>
      </w:r>
      <w:proofErr w:type="gramEnd"/>
      <w:r>
        <w:t xml:space="preserve">) is outside the scope of Authorisation. The current restriction of PPD under the Cosmetics Regulation and the proposals for restriction under development by ECHA and the Swedish Competent Authority on REACH all focus on reducing risks for consumers. Besides cosmetics, </w:t>
      </w:r>
      <w:proofErr w:type="gramStart"/>
      <w:r>
        <w:t>PPD is used by workers under strongly variable conditions</w:t>
      </w:r>
      <w:proofErr w:type="gramEnd"/>
      <w:r>
        <w:t xml:space="preserve">. In the absence of information on risks for these uses, authorization of PPD may be an effective instrument to address the concern for this substance in an appropriate manner. Moreover, authorization would leave individual companies a high flexibility in their application for authorization in their detailed description of safe work place specific work practices. </w:t>
      </w:r>
      <w:proofErr w:type="gramStart"/>
      <w:r>
        <w:t>Though</w:t>
      </w:r>
      <w:proofErr w:type="gramEnd"/>
      <w:r>
        <w:t xml:space="preserve"> outside the scope of authorization, candidate listing of PPD might indirectly create an incentive for substitution at the workplace in the production of cosmetics and consequently may lead to a reduction of consumer risks. </w:t>
      </w:r>
    </w:p>
    <w:p w14:paraId="670FDA4A" w14:textId="77777777" w:rsidR="00E306DD" w:rsidRDefault="00E306DD" w:rsidP="00E306DD">
      <w:pPr>
        <w:pStyle w:val="BodyText"/>
      </w:pPr>
      <w:r>
        <w:t xml:space="preserve">The overview of different hair dye ingredients (Table 5) suggests that PPD is </w:t>
      </w:r>
      <w:proofErr w:type="gramStart"/>
      <w:r>
        <w:t>not</w:t>
      </w:r>
      <w:proofErr w:type="gramEnd"/>
      <w:r>
        <w:t xml:space="preserve"> the </w:t>
      </w:r>
      <w:proofErr w:type="gramStart"/>
      <w:r>
        <w:t>most potent</w:t>
      </w:r>
      <w:proofErr w:type="gramEnd"/>
      <w:r>
        <w:t xml:space="preserve"> ingredient that may be brought onto the market, but also that less potent alternatives may be available. Substitution for less hazardous substances may therefore be possible. It should be noted though, that substitution of PPD </w:t>
      </w:r>
      <w:proofErr w:type="gramStart"/>
      <w:r>
        <w:t>may</w:t>
      </w:r>
      <w:proofErr w:type="gramEnd"/>
      <w:r>
        <w:t xml:space="preserve"> not necessarily lead to improved product safety. The technical specifications for use of PPD require an amine moiety or some chemical group that is reactive towards binding peptides. It is therefore questionable that a chemical alternative exists that is not a skin sensitizing agent. </w:t>
      </w:r>
      <w:proofErr w:type="gramStart"/>
      <w:r>
        <w:t>And</w:t>
      </w:r>
      <w:proofErr w:type="gramEnd"/>
      <w:r>
        <w:t xml:space="preserve"> introducing a new sensitizing agent may again lead to new, and potentially larger, health effects in similar or new populations. In addition to these, PPD </w:t>
      </w:r>
      <w:proofErr w:type="gramStart"/>
      <w:r>
        <w:t>is said</w:t>
      </w:r>
      <w:proofErr w:type="gramEnd"/>
      <w:r>
        <w:t xml:space="preserve"> to be most efficient </w:t>
      </w:r>
      <w:proofErr w:type="spellStart"/>
      <w:r>
        <w:t>hairdye</w:t>
      </w:r>
      <w:proofErr w:type="spellEnd"/>
      <w:r>
        <w:t xml:space="preserve"> colorant ingredient to help </w:t>
      </w:r>
      <w:proofErr w:type="spellStart"/>
      <w:r>
        <w:t>coloring</w:t>
      </w:r>
      <w:proofErr w:type="spellEnd"/>
      <w:r>
        <w:t xml:space="preserve"> grey hair. Consequently, substitution of the substance for these </w:t>
      </w:r>
      <w:proofErr w:type="gramStart"/>
      <w:r>
        <w:t>type</w:t>
      </w:r>
      <w:proofErr w:type="gramEnd"/>
      <w:r>
        <w:t xml:space="preserve"> of products on a voluntary basis may be unlikely as it suggests that the possible alternatives may be technically inferior.  </w:t>
      </w:r>
    </w:p>
    <w:p w14:paraId="6636397F" w14:textId="77777777" w:rsidR="00E306DD" w:rsidRPr="00B72BD6" w:rsidRDefault="00E306DD" w:rsidP="00E306DD">
      <w:pPr>
        <w:pStyle w:val="BodyText"/>
      </w:pPr>
      <w:r>
        <w:t xml:space="preserve">Authorization </w:t>
      </w:r>
      <w:proofErr w:type="gramStart"/>
      <w:r>
        <w:t>could be considered</w:t>
      </w:r>
      <w:proofErr w:type="gramEnd"/>
      <w:r>
        <w:t xml:space="preserve"> in addition to the ongoing restriction proposals targeted to protect consumer from EU wide risks of PPD exposure. </w:t>
      </w:r>
    </w:p>
    <w:p w14:paraId="4948BD90" w14:textId="77777777" w:rsidR="00E306DD" w:rsidRDefault="00E306DD" w:rsidP="00E306DD">
      <w:pPr>
        <w:pStyle w:val="Heading2"/>
        <w:keepLines w:val="0"/>
        <w:widowControl/>
        <w:numPr>
          <w:ilvl w:val="1"/>
          <w:numId w:val="0"/>
        </w:numPr>
        <w:tabs>
          <w:tab w:val="num" w:pos="540"/>
          <w:tab w:val="num" w:pos="1361"/>
        </w:tabs>
        <w:spacing w:before="240" w:after="200"/>
        <w:ind w:left="540" w:hanging="540"/>
        <w:jc w:val="both"/>
        <w:rPr>
          <w:szCs w:val="24"/>
        </w:rPr>
      </w:pPr>
      <w:r>
        <w:rPr>
          <w:szCs w:val="24"/>
        </w:rPr>
        <w:t>Conclusions on the most appropriate (combination of) risk management options</w:t>
      </w:r>
    </w:p>
    <w:p w14:paraId="069D23E5" w14:textId="77777777" w:rsidR="00E306DD" w:rsidRDefault="00E306DD" w:rsidP="00E306DD">
      <w:pPr>
        <w:pStyle w:val="BodyText"/>
        <w:rPr>
          <w:lang w:val="en-US"/>
        </w:rPr>
      </w:pPr>
      <w:r>
        <w:rPr>
          <w:lang w:val="en-US"/>
        </w:rPr>
        <w:t xml:space="preserve">An overview of the different risk management measures to </w:t>
      </w:r>
      <w:proofErr w:type="gramStart"/>
      <w:r>
        <w:rPr>
          <w:lang w:val="en-US"/>
        </w:rPr>
        <w:t>be considered</w:t>
      </w:r>
      <w:proofErr w:type="gramEnd"/>
      <w:r>
        <w:rPr>
          <w:lang w:val="en-US"/>
        </w:rPr>
        <w:t xml:space="preserve"> for PPD in addition to what has already been organized (</w:t>
      </w:r>
      <w:r>
        <w:rPr>
          <w:lang w:val="en-US"/>
        </w:rPr>
        <w:fldChar w:fldCharType="begin"/>
      </w:r>
      <w:r>
        <w:rPr>
          <w:lang w:val="en-US"/>
        </w:rPr>
        <w:instrText xml:space="preserve"> REF _Ref478375359 \h </w:instrText>
      </w:r>
      <w:r>
        <w:rPr>
          <w:lang w:val="en-US"/>
        </w:rPr>
      </w:r>
      <w:r>
        <w:rPr>
          <w:lang w:val="en-US"/>
        </w:rPr>
        <w:fldChar w:fldCharType="separate"/>
      </w:r>
      <w:r>
        <w:t xml:space="preserve">Table </w:t>
      </w:r>
      <w:r>
        <w:rPr>
          <w:noProof/>
        </w:rPr>
        <w:t>13</w:t>
      </w:r>
      <w:r>
        <w:rPr>
          <w:lang w:val="en-US"/>
        </w:rPr>
        <w:fldChar w:fldCharType="end"/>
      </w:r>
      <w:r>
        <w:rPr>
          <w:lang w:val="en-US"/>
        </w:rPr>
        <w:t xml:space="preserve">) is shown in </w:t>
      </w:r>
      <w:r>
        <w:rPr>
          <w:lang w:val="en-US"/>
        </w:rPr>
        <w:fldChar w:fldCharType="begin"/>
      </w:r>
      <w:r>
        <w:rPr>
          <w:lang w:val="en-US"/>
        </w:rPr>
        <w:instrText xml:space="preserve"> REF _Ref478375219 \h </w:instrText>
      </w:r>
      <w:r>
        <w:rPr>
          <w:lang w:val="en-US"/>
        </w:rPr>
      </w:r>
      <w:r>
        <w:rPr>
          <w:lang w:val="en-US"/>
        </w:rPr>
        <w:fldChar w:fldCharType="separate"/>
      </w:r>
      <w:r>
        <w:t xml:space="preserve">Table </w:t>
      </w:r>
      <w:r>
        <w:rPr>
          <w:noProof/>
        </w:rPr>
        <w:t>15</w:t>
      </w:r>
      <w:r>
        <w:rPr>
          <w:lang w:val="en-US"/>
        </w:rPr>
        <w:fldChar w:fldCharType="end"/>
      </w:r>
      <w:r>
        <w:rPr>
          <w:lang w:val="en-US"/>
        </w:rPr>
        <w:t>.</w:t>
      </w:r>
    </w:p>
    <w:p w14:paraId="5576AEDA" w14:textId="77777777" w:rsidR="00E306DD" w:rsidRDefault="00E306DD" w:rsidP="00E306DD">
      <w:pPr>
        <w:pStyle w:val="Caption"/>
      </w:pPr>
      <w:bookmarkStart w:id="3" w:name="_Ref478375219"/>
      <w:r>
        <w:t xml:space="preserve">Table </w:t>
      </w:r>
      <w:r>
        <w:fldChar w:fldCharType="begin"/>
      </w:r>
      <w:r>
        <w:instrText xml:space="preserve"> SEQ Table \* ARABIC </w:instrText>
      </w:r>
      <w:r>
        <w:fldChar w:fldCharType="separate"/>
      </w:r>
      <w:r>
        <w:rPr>
          <w:noProof/>
        </w:rPr>
        <w:t>3</w:t>
      </w:r>
      <w:r>
        <w:rPr>
          <w:noProof/>
        </w:rPr>
        <w:fldChar w:fldCharType="end"/>
      </w:r>
      <w:bookmarkEnd w:id="3"/>
      <w:r>
        <w:t xml:space="preserve"> Overview of possible risk management measures for PPD to </w:t>
      </w:r>
      <w:proofErr w:type="gramStart"/>
      <w:r>
        <w:t>be considered</w:t>
      </w:r>
      <w:proofErr w:type="gramEnd"/>
      <w:r>
        <w:t xml:space="preserve"> in addition to already implemented measures</w:t>
      </w:r>
    </w:p>
    <w:tbl>
      <w:tblPr>
        <w:tblStyle w:val="TableGrid"/>
        <w:tblW w:w="8755" w:type="dxa"/>
        <w:tblLayout w:type="fixed"/>
        <w:tblLook w:val="04A0" w:firstRow="1" w:lastRow="0" w:firstColumn="1" w:lastColumn="0" w:noHBand="0" w:noVBand="1"/>
      </w:tblPr>
      <w:tblGrid>
        <w:gridCol w:w="1478"/>
        <w:gridCol w:w="1324"/>
        <w:gridCol w:w="1134"/>
        <w:gridCol w:w="1050"/>
        <w:gridCol w:w="1217"/>
        <w:gridCol w:w="1135"/>
        <w:gridCol w:w="1417"/>
      </w:tblGrid>
      <w:tr w:rsidR="00E306DD" w:rsidRPr="00E56B0F" w14:paraId="0974938B" w14:textId="77777777" w:rsidTr="00376A5C">
        <w:tc>
          <w:tcPr>
            <w:tcW w:w="1478" w:type="dxa"/>
            <w:shd w:val="clear" w:color="auto" w:fill="F2F2F2" w:themeFill="background1" w:themeFillShade="F2"/>
          </w:tcPr>
          <w:p w14:paraId="451ED6E8" w14:textId="77777777" w:rsidR="00E306DD" w:rsidRPr="00E56B0F" w:rsidRDefault="00E306DD" w:rsidP="00376A5C">
            <w:pPr>
              <w:rPr>
                <w:rFonts w:asciiTheme="minorHAnsi" w:hAnsiTheme="minorHAnsi"/>
                <w:b/>
                <w:sz w:val="16"/>
              </w:rPr>
            </w:pPr>
          </w:p>
        </w:tc>
        <w:tc>
          <w:tcPr>
            <w:tcW w:w="1324" w:type="dxa"/>
            <w:shd w:val="clear" w:color="auto" w:fill="F2F2F2" w:themeFill="background1" w:themeFillShade="F2"/>
          </w:tcPr>
          <w:p w14:paraId="4B2769D5" w14:textId="77777777" w:rsidR="00E306DD" w:rsidRPr="00E56B0F" w:rsidRDefault="00E306DD" w:rsidP="00376A5C">
            <w:pPr>
              <w:rPr>
                <w:rFonts w:asciiTheme="minorHAnsi" w:hAnsiTheme="minorHAnsi"/>
                <w:b/>
                <w:sz w:val="16"/>
              </w:rPr>
            </w:pPr>
            <w:r w:rsidRPr="00E56B0F">
              <w:rPr>
                <w:rFonts w:asciiTheme="minorHAnsi" w:hAnsiTheme="minorHAnsi"/>
                <w:b/>
                <w:sz w:val="16"/>
              </w:rPr>
              <w:t>OSH</w:t>
            </w:r>
          </w:p>
        </w:tc>
        <w:tc>
          <w:tcPr>
            <w:tcW w:w="1134" w:type="dxa"/>
            <w:shd w:val="clear" w:color="auto" w:fill="F2F2F2" w:themeFill="background1" w:themeFillShade="F2"/>
          </w:tcPr>
          <w:p w14:paraId="4213EB44" w14:textId="77777777" w:rsidR="00E306DD" w:rsidRPr="00E56B0F" w:rsidRDefault="00E306DD" w:rsidP="00376A5C">
            <w:pPr>
              <w:rPr>
                <w:rFonts w:asciiTheme="minorHAnsi" w:hAnsiTheme="minorHAnsi"/>
                <w:b/>
                <w:sz w:val="16"/>
              </w:rPr>
            </w:pPr>
            <w:r w:rsidRPr="00E56B0F">
              <w:rPr>
                <w:rFonts w:asciiTheme="minorHAnsi" w:hAnsiTheme="minorHAnsi"/>
                <w:b/>
                <w:sz w:val="16"/>
              </w:rPr>
              <w:t>Cosmetics Regulation</w:t>
            </w:r>
          </w:p>
        </w:tc>
        <w:tc>
          <w:tcPr>
            <w:tcW w:w="1050" w:type="dxa"/>
            <w:shd w:val="clear" w:color="auto" w:fill="F2F2F2" w:themeFill="background1" w:themeFillShade="F2"/>
          </w:tcPr>
          <w:p w14:paraId="11357635" w14:textId="77777777" w:rsidR="00E306DD" w:rsidRPr="00E56B0F" w:rsidRDefault="00E306DD" w:rsidP="00376A5C">
            <w:pPr>
              <w:rPr>
                <w:rFonts w:asciiTheme="minorHAnsi" w:hAnsiTheme="minorHAnsi"/>
                <w:b/>
                <w:sz w:val="16"/>
              </w:rPr>
            </w:pPr>
            <w:r w:rsidRPr="00E56B0F">
              <w:rPr>
                <w:rFonts w:asciiTheme="minorHAnsi" w:hAnsiTheme="minorHAnsi"/>
                <w:b/>
                <w:sz w:val="16"/>
              </w:rPr>
              <w:t>Restriction</w:t>
            </w:r>
          </w:p>
        </w:tc>
        <w:tc>
          <w:tcPr>
            <w:tcW w:w="1217" w:type="dxa"/>
            <w:shd w:val="clear" w:color="auto" w:fill="F2F2F2" w:themeFill="background1" w:themeFillShade="F2"/>
          </w:tcPr>
          <w:p w14:paraId="4B049550" w14:textId="77777777" w:rsidR="00E306DD" w:rsidRPr="00E56B0F" w:rsidRDefault="00E306DD" w:rsidP="00376A5C">
            <w:pPr>
              <w:rPr>
                <w:rFonts w:asciiTheme="minorHAnsi" w:hAnsiTheme="minorHAnsi"/>
                <w:b/>
                <w:sz w:val="16"/>
              </w:rPr>
            </w:pPr>
            <w:r w:rsidRPr="00E56B0F">
              <w:rPr>
                <w:rFonts w:asciiTheme="minorHAnsi" w:hAnsiTheme="minorHAnsi"/>
                <w:b/>
                <w:sz w:val="16"/>
              </w:rPr>
              <w:t>Authorization</w:t>
            </w:r>
          </w:p>
        </w:tc>
        <w:tc>
          <w:tcPr>
            <w:tcW w:w="1135" w:type="dxa"/>
            <w:shd w:val="clear" w:color="auto" w:fill="F2F2F2" w:themeFill="background1" w:themeFillShade="F2"/>
          </w:tcPr>
          <w:p w14:paraId="09E0F189" w14:textId="77777777" w:rsidR="00E306DD" w:rsidRPr="00E56B0F" w:rsidRDefault="00E306DD" w:rsidP="00376A5C">
            <w:pPr>
              <w:rPr>
                <w:rFonts w:asciiTheme="minorHAnsi" w:hAnsiTheme="minorHAnsi"/>
                <w:b/>
                <w:sz w:val="16"/>
              </w:rPr>
            </w:pPr>
            <w:proofErr w:type="spellStart"/>
            <w:r w:rsidRPr="00E56B0F">
              <w:rPr>
                <w:rFonts w:asciiTheme="minorHAnsi" w:hAnsiTheme="minorHAnsi"/>
                <w:b/>
                <w:sz w:val="16"/>
              </w:rPr>
              <w:t>SEv</w:t>
            </w:r>
            <w:proofErr w:type="spellEnd"/>
          </w:p>
        </w:tc>
        <w:tc>
          <w:tcPr>
            <w:tcW w:w="1417" w:type="dxa"/>
            <w:shd w:val="clear" w:color="auto" w:fill="F2F2F2" w:themeFill="background1" w:themeFillShade="F2"/>
          </w:tcPr>
          <w:p w14:paraId="159ED596" w14:textId="77777777" w:rsidR="00E306DD" w:rsidRPr="00E56B0F" w:rsidRDefault="00E306DD" w:rsidP="00376A5C">
            <w:pPr>
              <w:rPr>
                <w:rFonts w:asciiTheme="minorHAnsi" w:hAnsiTheme="minorHAnsi"/>
                <w:b/>
                <w:sz w:val="16"/>
              </w:rPr>
            </w:pPr>
            <w:r w:rsidRPr="00E56B0F">
              <w:rPr>
                <w:rFonts w:asciiTheme="minorHAnsi" w:hAnsiTheme="minorHAnsi"/>
                <w:b/>
                <w:sz w:val="16"/>
              </w:rPr>
              <w:t>CLP</w:t>
            </w:r>
          </w:p>
        </w:tc>
      </w:tr>
      <w:tr w:rsidR="00E306DD" w:rsidRPr="00E56B0F" w14:paraId="263F6CF9" w14:textId="77777777" w:rsidTr="00376A5C">
        <w:trPr>
          <w:trHeight w:val="337"/>
        </w:trPr>
        <w:tc>
          <w:tcPr>
            <w:tcW w:w="1478" w:type="dxa"/>
          </w:tcPr>
          <w:p w14:paraId="584CE9E0" w14:textId="77777777" w:rsidR="00E306DD" w:rsidRPr="00E56B0F" w:rsidRDefault="00E306DD" w:rsidP="00376A5C">
            <w:pPr>
              <w:rPr>
                <w:rFonts w:asciiTheme="minorHAnsi" w:hAnsiTheme="minorHAnsi"/>
                <w:sz w:val="16"/>
              </w:rPr>
            </w:pPr>
            <w:r w:rsidRPr="00E56B0F">
              <w:rPr>
                <w:rFonts w:asciiTheme="minorHAnsi" w:hAnsiTheme="minorHAnsi"/>
                <w:sz w:val="16"/>
              </w:rPr>
              <w:t xml:space="preserve">Cosmetics products (overall) </w:t>
            </w:r>
          </w:p>
        </w:tc>
        <w:tc>
          <w:tcPr>
            <w:tcW w:w="1324" w:type="dxa"/>
          </w:tcPr>
          <w:p w14:paraId="19B520ED" w14:textId="77777777" w:rsidR="00E306DD" w:rsidRPr="00E56B0F" w:rsidRDefault="00E306DD" w:rsidP="00376A5C">
            <w:pPr>
              <w:rPr>
                <w:rFonts w:asciiTheme="minorHAnsi" w:hAnsiTheme="minorHAnsi"/>
                <w:sz w:val="16"/>
              </w:rPr>
            </w:pPr>
          </w:p>
        </w:tc>
        <w:tc>
          <w:tcPr>
            <w:tcW w:w="1134" w:type="dxa"/>
          </w:tcPr>
          <w:p w14:paraId="54BCE2D0" w14:textId="77777777" w:rsidR="00E306DD" w:rsidRPr="00E56B0F" w:rsidRDefault="00E306DD" w:rsidP="00376A5C">
            <w:pPr>
              <w:rPr>
                <w:rFonts w:asciiTheme="minorHAnsi" w:hAnsiTheme="minorHAnsi"/>
                <w:sz w:val="16"/>
              </w:rPr>
            </w:pPr>
          </w:p>
        </w:tc>
        <w:tc>
          <w:tcPr>
            <w:tcW w:w="1050" w:type="dxa"/>
          </w:tcPr>
          <w:p w14:paraId="6D5620AC" w14:textId="77777777" w:rsidR="00E306DD" w:rsidRPr="00E56B0F" w:rsidRDefault="00E306DD" w:rsidP="00376A5C">
            <w:pPr>
              <w:rPr>
                <w:rFonts w:asciiTheme="minorHAnsi" w:hAnsiTheme="minorHAnsi"/>
                <w:sz w:val="16"/>
              </w:rPr>
            </w:pPr>
          </w:p>
        </w:tc>
        <w:tc>
          <w:tcPr>
            <w:tcW w:w="1217" w:type="dxa"/>
          </w:tcPr>
          <w:p w14:paraId="1C3061E5" w14:textId="77777777" w:rsidR="00E306DD" w:rsidRPr="00E56B0F" w:rsidRDefault="00E306DD" w:rsidP="00376A5C">
            <w:pPr>
              <w:rPr>
                <w:rFonts w:asciiTheme="minorHAnsi" w:hAnsiTheme="minorHAnsi"/>
                <w:sz w:val="16"/>
              </w:rPr>
            </w:pPr>
          </w:p>
        </w:tc>
        <w:tc>
          <w:tcPr>
            <w:tcW w:w="1135" w:type="dxa"/>
          </w:tcPr>
          <w:p w14:paraId="072847F7" w14:textId="77777777" w:rsidR="00E306DD" w:rsidRPr="00E56B0F" w:rsidRDefault="00E306DD" w:rsidP="00376A5C">
            <w:pPr>
              <w:rPr>
                <w:rFonts w:asciiTheme="minorHAnsi" w:hAnsiTheme="minorHAnsi"/>
                <w:sz w:val="16"/>
              </w:rPr>
            </w:pPr>
          </w:p>
        </w:tc>
        <w:tc>
          <w:tcPr>
            <w:tcW w:w="1417" w:type="dxa"/>
            <w:vMerge w:val="restart"/>
            <w:vAlign w:val="center"/>
          </w:tcPr>
          <w:p w14:paraId="2F5D83EE" w14:textId="77777777" w:rsidR="00E306DD" w:rsidRPr="00E56B0F" w:rsidRDefault="00E306DD" w:rsidP="00376A5C">
            <w:pPr>
              <w:rPr>
                <w:rFonts w:asciiTheme="minorHAnsi" w:hAnsiTheme="minorHAnsi"/>
                <w:sz w:val="16"/>
              </w:rPr>
            </w:pPr>
            <w:r w:rsidRPr="00E56B0F">
              <w:rPr>
                <w:rFonts w:asciiTheme="minorHAnsi" w:hAnsiTheme="minorHAnsi"/>
                <w:sz w:val="16"/>
              </w:rPr>
              <w:t xml:space="preserve">Skin Sens 1A </w:t>
            </w:r>
            <w:r>
              <w:rPr>
                <w:rFonts w:asciiTheme="minorHAnsi" w:hAnsiTheme="minorHAnsi"/>
                <w:sz w:val="16"/>
              </w:rPr>
              <w:t xml:space="preserve">and Acute </w:t>
            </w:r>
            <w:proofErr w:type="spellStart"/>
            <w:r>
              <w:rPr>
                <w:rFonts w:asciiTheme="minorHAnsi" w:hAnsiTheme="minorHAnsi"/>
                <w:sz w:val="16"/>
              </w:rPr>
              <w:t>tox</w:t>
            </w:r>
            <w:proofErr w:type="spellEnd"/>
            <w:r>
              <w:rPr>
                <w:rFonts w:asciiTheme="minorHAnsi" w:hAnsiTheme="minorHAnsi"/>
                <w:sz w:val="16"/>
              </w:rPr>
              <w:t xml:space="preserve"> </w:t>
            </w:r>
            <w:r w:rsidRPr="00E56B0F">
              <w:rPr>
                <w:rFonts w:asciiTheme="minorHAnsi" w:hAnsiTheme="minorHAnsi"/>
                <w:sz w:val="16"/>
              </w:rPr>
              <w:t xml:space="preserve">to improve transparency and communication </w:t>
            </w:r>
            <w:r>
              <w:rPr>
                <w:rFonts w:asciiTheme="minorHAnsi" w:hAnsiTheme="minorHAnsi"/>
                <w:sz w:val="16"/>
              </w:rPr>
              <w:t xml:space="preserve">on hazards </w:t>
            </w:r>
            <w:r w:rsidRPr="00E56B0F">
              <w:rPr>
                <w:rFonts w:asciiTheme="minorHAnsi" w:hAnsiTheme="minorHAnsi"/>
                <w:sz w:val="16"/>
              </w:rPr>
              <w:t xml:space="preserve">and </w:t>
            </w:r>
            <w:r w:rsidRPr="00E56B0F">
              <w:rPr>
                <w:rFonts w:asciiTheme="minorHAnsi" w:hAnsiTheme="minorHAnsi"/>
                <w:sz w:val="16"/>
              </w:rPr>
              <w:lastRenderedPageBreak/>
              <w:t>reduce workplace exposure by lowering the generic concentration limit in mixtures</w:t>
            </w:r>
          </w:p>
          <w:p w14:paraId="319B19F4" w14:textId="77777777" w:rsidR="00E306DD" w:rsidRPr="00E56B0F" w:rsidRDefault="00E306DD" w:rsidP="00376A5C">
            <w:pPr>
              <w:rPr>
                <w:rFonts w:asciiTheme="minorHAnsi" w:hAnsiTheme="minorHAnsi"/>
                <w:sz w:val="16"/>
              </w:rPr>
            </w:pPr>
          </w:p>
        </w:tc>
      </w:tr>
      <w:tr w:rsidR="00E306DD" w:rsidRPr="00E56B0F" w14:paraId="44AB00CB" w14:textId="77777777" w:rsidTr="00376A5C">
        <w:trPr>
          <w:trHeight w:val="694"/>
        </w:trPr>
        <w:tc>
          <w:tcPr>
            <w:tcW w:w="1478" w:type="dxa"/>
          </w:tcPr>
          <w:p w14:paraId="6A44634C" w14:textId="77777777" w:rsidR="00E306DD" w:rsidRPr="00E56B0F" w:rsidRDefault="00E306DD" w:rsidP="00376A5C">
            <w:pPr>
              <w:rPr>
                <w:rFonts w:asciiTheme="minorHAnsi" w:hAnsiTheme="minorHAnsi"/>
                <w:sz w:val="16"/>
              </w:rPr>
            </w:pPr>
            <w:r w:rsidRPr="00E56B0F">
              <w:rPr>
                <w:rFonts w:asciiTheme="minorHAnsi" w:hAnsiTheme="minorHAnsi"/>
                <w:sz w:val="16"/>
              </w:rPr>
              <w:t>Hair dye and eyelashes colouring ingredients</w:t>
            </w:r>
          </w:p>
        </w:tc>
        <w:tc>
          <w:tcPr>
            <w:tcW w:w="1324" w:type="dxa"/>
          </w:tcPr>
          <w:p w14:paraId="5CA24874" w14:textId="77777777" w:rsidR="00E306DD" w:rsidRPr="00E56B0F" w:rsidRDefault="00E306DD" w:rsidP="00376A5C">
            <w:pPr>
              <w:rPr>
                <w:rFonts w:asciiTheme="minorHAnsi" w:hAnsiTheme="minorHAnsi"/>
                <w:sz w:val="16"/>
              </w:rPr>
            </w:pPr>
          </w:p>
        </w:tc>
        <w:tc>
          <w:tcPr>
            <w:tcW w:w="1134" w:type="dxa"/>
          </w:tcPr>
          <w:p w14:paraId="58C26EEB" w14:textId="77777777" w:rsidR="00E306DD" w:rsidRPr="00E56B0F" w:rsidRDefault="00E306DD" w:rsidP="00376A5C">
            <w:pPr>
              <w:rPr>
                <w:rFonts w:asciiTheme="minorHAnsi" w:hAnsiTheme="minorHAnsi"/>
                <w:sz w:val="16"/>
              </w:rPr>
            </w:pPr>
            <w:r w:rsidRPr="00E56B0F">
              <w:rPr>
                <w:rFonts w:asciiTheme="minorHAnsi" w:hAnsiTheme="minorHAnsi"/>
                <w:sz w:val="16"/>
              </w:rPr>
              <w:t>Revisiting of safe use workers and consumers</w:t>
            </w:r>
            <w:r>
              <w:rPr>
                <w:rFonts w:asciiTheme="minorHAnsi" w:hAnsiTheme="minorHAnsi"/>
                <w:sz w:val="16"/>
              </w:rPr>
              <w:t xml:space="preserve">; </w:t>
            </w:r>
            <w:r>
              <w:rPr>
                <w:rFonts w:asciiTheme="minorHAnsi" w:hAnsiTheme="minorHAnsi"/>
                <w:sz w:val="16"/>
              </w:rPr>
              <w:lastRenderedPageBreak/>
              <w:t>request to IND for further info on safe use</w:t>
            </w:r>
          </w:p>
        </w:tc>
        <w:tc>
          <w:tcPr>
            <w:tcW w:w="1050" w:type="dxa"/>
          </w:tcPr>
          <w:p w14:paraId="362612FA" w14:textId="77777777" w:rsidR="00E306DD" w:rsidRPr="00E56B0F" w:rsidRDefault="00E306DD" w:rsidP="00376A5C">
            <w:pPr>
              <w:rPr>
                <w:rFonts w:asciiTheme="minorHAnsi" w:hAnsiTheme="minorHAnsi"/>
                <w:sz w:val="16"/>
              </w:rPr>
            </w:pPr>
          </w:p>
        </w:tc>
        <w:tc>
          <w:tcPr>
            <w:tcW w:w="1217" w:type="dxa"/>
          </w:tcPr>
          <w:p w14:paraId="6DB2BFFB" w14:textId="77777777" w:rsidR="00E306DD" w:rsidRPr="00E56B0F" w:rsidRDefault="00E306DD" w:rsidP="00376A5C">
            <w:pPr>
              <w:rPr>
                <w:rFonts w:asciiTheme="minorHAnsi" w:hAnsiTheme="minorHAnsi"/>
                <w:sz w:val="16"/>
              </w:rPr>
            </w:pPr>
          </w:p>
        </w:tc>
        <w:tc>
          <w:tcPr>
            <w:tcW w:w="1135" w:type="dxa"/>
          </w:tcPr>
          <w:p w14:paraId="7D7C051A" w14:textId="77777777" w:rsidR="00E306DD" w:rsidRPr="00E56B0F" w:rsidRDefault="00E306DD" w:rsidP="00376A5C">
            <w:pPr>
              <w:rPr>
                <w:rFonts w:asciiTheme="minorHAnsi" w:hAnsiTheme="minorHAnsi"/>
                <w:sz w:val="16"/>
              </w:rPr>
            </w:pPr>
            <w:proofErr w:type="gramStart"/>
            <w:r w:rsidRPr="00E56B0F">
              <w:rPr>
                <w:rFonts w:asciiTheme="minorHAnsi" w:hAnsiTheme="minorHAnsi"/>
                <w:sz w:val="16"/>
              </w:rPr>
              <w:t xml:space="preserve">Further info on </w:t>
            </w:r>
            <w:proofErr w:type="spellStart"/>
            <w:r w:rsidRPr="00E56B0F">
              <w:rPr>
                <w:rFonts w:asciiTheme="minorHAnsi" w:hAnsiTheme="minorHAnsi"/>
                <w:sz w:val="16"/>
              </w:rPr>
              <w:t>carc</w:t>
            </w:r>
            <w:proofErr w:type="spellEnd"/>
            <w:r w:rsidRPr="00E56B0F">
              <w:rPr>
                <w:rFonts w:asciiTheme="minorHAnsi" w:hAnsiTheme="minorHAnsi"/>
                <w:sz w:val="16"/>
              </w:rPr>
              <w:t>.</w:t>
            </w:r>
            <w:proofErr w:type="gramEnd"/>
            <w:r w:rsidRPr="00E56B0F">
              <w:rPr>
                <w:rFonts w:asciiTheme="minorHAnsi" w:hAnsiTheme="minorHAnsi"/>
                <w:sz w:val="16"/>
              </w:rPr>
              <w:t xml:space="preserve"> Properties</w:t>
            </w:r>
            <w:r>
              <w:rPr>
                <w:rFonts w:asciiTheme="minorHAnsi" w:hAnsiTheme="minorHAnsi"/>
                <w:sz w:val="16"/>
              </w:rPr>
              <w:t xml:space="preserve"> depending on </w:t>
            </w:r>
            <w:r>
              <w:rPr>
                <w:rFonts w:asciiTheme="minorHAnsi" w:hAnsiTheme="minorHAnsi"/>
                <w:sz w:val="16"/>
              </w:rPr>
              <w:lastRenderedPageBreak/>
              <w:t>the outcome of further actions under the Cosmetics Regulation</w:t>
            </w:r>
          </w:p>
        </w:tc>
        <w:tc>
          <w:tcPr>
            <w:tcW w:w="1417" w:type="dxa"/>
            <w:vMerge/>
          </w:tcPr>
          <w:p w14:paraId="19DCBF7E" w14:textId="77777777" w:rsidR="00E306DD" w:rsidRPr="00E56B0F" w:rsidRDefault="00E306DD" w:rsidP="00376A5C">
            <w:pPr>
              <w:rPr>
                <w:rFonts w:asciiTheme="minorHAnsi" w:hAnsiTheme="minorHAnsi"/>
                <w:sz w:val="16"/>
              </w:rPr>
            </w:pPr>
          </w:p>
        </w:tc>
      </w:tr>
      <w:tr w:rsidR="00E306DD" w:rsidRPr="00E56B0F" w14:paraId="0F0B7C89" w14:textId="77777777" w:rsidTr="00376A5C">
        <w:tc>
          <w:tcPr>
            <w:tcW w:w="1478" w:type="dxa"/>
          </w:tcPr>
          <w:p w14:paraId="6F4A322D" w14:textId="77777777" w:rsidR="00E306DD" w:rsidRPr="00E56B0F" w:rsidRDefault="00E306DD" w:rsidP="00376A5C">
            <w:pPr>
              <w:rPr>
                <w:rFonts w:asciiTheme="minorHAnsi" w:hAnsiTheme="minorHAnsi"/>
                <w:sz w:val="16"/>
              </w:rPr>
            </w:pPr>
            <w:r w:rsidRPr="00E56B0F">
              <w:rPr>
                <w:rFonts w:asciiTheme="minorHAnsi" w:hAnsiTheme="minorHAnsi"/>
                <w:sz w:val="16"/>
              </w:rPr>
              <w:lastRenderedPageBreak/>
              <w:t>Black henna tattoos</w:t>
            </w:r>
          </w:p>
        </w:tc>
        <w:tc>
          <w:tcPr>
            <w:tcW w:w="1324" w:type="dxa"/>
          </w:tcPr>
          <w:p w14:paraId="0C73DEAA" w14:textId="77777777" w:rsidR="00E306DD" w:rsidRPr="00E56B0F" w:rsidRDefault="00E306DD" w:rsidP="00376A5C">
            <w:pPr>
              <w:rPr>
                <w:rFonts w:asciiTheme="minorHAnsi" w:hAnsiTheme="minorHAnsi"/>
                <w:sz w:val="16"/>
              </w:rPr>
            </w:pPr>
          </w:p>
        </w:tc>
        <w:tc>
          <w:tcPr>
            <w:tcW w:w="1134" w:type="dxa"/>
          </w:tcPr>
          <w:p w14:paraId="5431CC0A" w14:textId="77777777" w:rsidR="00E306DD" w:rsidRPr="00E56B0F" w:rsidRDefault="00E306DD" w:rsidP="00376A5C">
            <w:pPr>
              <w:rPr>
                <w:rFonts w:asciiTheme="minorHAnsi" w:hAnsiTheme="minorHAnsi"/>
                <w:sz w:val="16"/>
              </w:rPr>
            </w:pPr>
            <w:r w:rsidRPr="00E56B0F">
              <w:rPr>
                <w:rFonts w:asciiTheme="minorHAnsi" w:hAnsiTheme="minorHAnsi"/>
                <w:sz w:val="16"/>
              </w:rPr>
              <w:t xml:space="preserve">Enforcement of the prohibition </w:t>
            </w:r>
          </w:p>
        </w:tc>
        <w:tc>
          <w:tcPr>
            <w:tcW w:w="1050" w:type="dxa"/>
          </w:tcPr>
          <w:p w14:paraId="156D82E3" w14:textId="77777777" w:rsidR="00E306DD" w:rsidRPr="00E56B0F" w:rsidRDefault="00E306DD" w:rsidP="00376A5C">
            <w:pPr>
              <w:rPr>
                <w:rFonts w:asciiTheme="minorHAnsi" w:hAnsiTheme="minorHAnsi"/>
                <w:sz w:val="16"/>
              </w:rPr>
            </w:pPr>
            <w:r w:rsidRPr="00E56B0F">
              <w:rPr>
                <w:rFonts w:asciiTheme="minorHAnsi" w:hAnsiTheme="minorHAnsi"/>
                <w:sz w:val="16"/>
              </w:rPr>
              <w:t xml:space="preserve">Evaluate scope of ongoing restriction </w:t>
            </w:r>
          </w:p>
        </w:tc>
        <w:tc>
          <w:tcPr>
            <w:tcW w:w="1217" w:type="dxa"/>
          </w:tcPr>
          <w:p w14:paraId="2542FD7B" w14:textId="77777777" w:rsidR="00E306DD" w:rsidRPr="00E56B0F" w:rsidRDefault="00E306DD" w:rsidP="00376A5C">
            <w:pPr>
              <w:rPr>
                <w:rFonts w:asciiTheme="minorHAnsi" w:hAnsiTheme="minorHAnsi"/>
                <w:sz w:val="16"/>
              </w:rPr>
            </w:pPr>
          </w:p>
        </w:tc>
        <w:tc>
          <w:tcPr>
            <w:tcW w:w="1135" w:type="dxa"/>
          </w:tcPr>
          <w:p w14:paraId="1603284F" w14:textId="77777777" w:rsidR="00E306DD" w:rsidRPr="00E56B0F" w:rsidRDefault="00E306DD" w:rsidP="00376A5C">
            <w:pPr>
              <w:rPr>
                <w:rFonts w:asciiTheme="minorHAnsi" w:hAnsiTheme="minorHAnsi"/>
                <w:sz w:val="16"/>
              </w:rPr>
            </w:pPr>
          </w:p>
        </w:tc>
        <w:tc>
          <w:tcPr>
            <w:tcW w:w="1417" w:type="dxa"/>
            <w:vMerge/>
          </w:tcPr>
          <w:p w14:paraId="122E2343" w14:textId="77777777" w:rsidR="00E306DD" w:rsidRPr="00E56B0F" w:rsidRDefault="00E306DD" w:rsidP="00376A5C">
            <w:pPr>
              <w:rPr>
                <w:rFonts w:asciiTheme="minorHAnsi" w:hAnsiTheme="minorHAnsi"/>
                <w:sz w:val="16"/>
              </w:rPr>
            </w:pPr>
          </w:p>
        </w:tc>
      </w:tr>
      <w:tr w:rsidR="00E306DD" w:rsidRPr="00E56B0F" w14:paraId="47D9090B" w14:textId="77777777" w:rsidTr="00376A5C">
        <w:tc>
          <w:tcPr>
            <w:tcW w:w="1478" w:type="dxa"/>
          </w:tcPr>
          <w:p w14:paraId="46B55A47" w14:textId="77777777" w:rsidR="00E306DD" w:rsidRPr="00E56B0F" w:rsidRDefault="00E306DD" w:rsidP="00376A5C">
            <w:pPr>
              <w:rPr>
                <w:rFonts w:asciiTheme="minorHAnsi" w:hAnsiTheme="minorHAnsi"/>
                <w:sz w:val="16"/>
              </w:rPr>
            </w:pPr>
            <w:r w:rsidRPr="00E56B0F">
              <w:rPr>
                <w:rFonts w:asciiTheme="minorHAnsi" w:hAnsiTheme="minorHAnsi"/>
                <w:sz w:val="16"/>
              </w:rPr>
              <w:t>Dye ingredient in textiles, furs and leather</w:t>
            </w:r>
          </w:p>
        </w:tc>
        <w:tc>
          <w:tcPr>
            <w:tcW w:w="1324" w:type="dxa"/>
          </w:tcPr>
          <w:p w14:paraId="36552CB6" w14:textId="77777777" w:rsidR="00E306DD" w:rsidRPr="00E56B0F" w:rsidRDefault="00E306DD" w:rsidP="00376A5C">
            <w:pPr>
              <w:rPr>
                <w:rFonts w:asciiTheme="minorHAnsi" w:hAnsiTheme="minorHAnsi"/>
                <w:sz w:val="16"/>
              </w:rPr>
            </w:pPr>
          </w:p>
        </w:tc>
        <w:tc>
          <w:tcPr>
            <w:tcW w:w="1134" w:type="dxa"/>
          </w:tcPr>
          <w:p w14:paraId="7CA11090" w14:textId="77777777" w:rsidR="00E306DD" w:rsidRPr="00E56B0F" w:rsidRDefault="00E306DD" w:rsidP="00376A5C">
            <w:pPr>
              <w:rPr>
                <w:rFonts w:asciiTheme="minorHAnsi" w:hAnsiTheme="minorHAnsi"/>
                <w:sz w:val="16"/>
              </w:rPr>
            </w:pPr>
          </w:p>
        </w:tc>
        <w:tc>
          <w:tcPr>
            <w:tcW w:w="1050" w:type="dxa"/>
          </w:tcPr>
          <w:p w14:paraId="4A056B55" w14:textId="77777777" w:rsidR="00E306DD" w:rsidRPr="00E56B0F" w:rsidRDefault="00E306DD" w:rsidP="00376A5C">
            <w:pPr>
              <w:rPr>
                <w:rFonts w:asciiTheme="minorHAnsi" w:hAnsiTheme="minorHAnsi"/>
                <w:sz w:val="16"/>
              </w:rPr>
            </w:pPr>
            <w:r w:rsidRPr="00E56B0F">
              <w:rPr>
                <w:rFonts w:asciiTheme="minorHAnsi" w:hAnsiTheme="minorHAnsi"/>
                <w:sz w:val="16"/>
              </w:rPr>
              <w:t>Evaluate scope of ongoing restriction</w:t>
            </w:r>
          </w:p>
        </w:tc>
        <w:tc>
          <w:tcPr>
            <w:tcW w:w="1217" w:type="dxa"/>
          </w:tcPr>
          <w:p w14:paraId="4CF381DB" w14:textId="77777777" w:rsidR="00E306DD" w:rsidRPr="00E56B0F" w:rsidRDefault="00E306DD" w:rsidP="00376A5C">
            <w:pPr>
              <w:rPr>
                <w:rFonts w:asciiTheme="minorHAnsi" w:hAnsiTheme="minorHAnsi"/>
                <w:sz w:val="16"/>
              </w:rPr>
            </w:pPr>
          </w:p>
        </w:tc>
        <w:tc>
          <w:tcPr>
            <w:tcW w:w="1135" w:type="dxa"/>
          </w:tcPr>
          <w:p w14:paraId="34C99091" w14:textId="77777777" w:rsidR="00E306DD" w:rsidRPr="00E56B0F" w:rsidRDefault="00E306DD" w:rsidP="00376A5C">
            <w:pPr>
              <w:rPr>
                <w:rFonts w:asciiTheme="minorHAnsi" w:hAnsiTheme="minorHAnsi"/>
                <w:sz w:val="16"/>
              </w:rPr>
            </w:pPr>
          </w:p>
        </w:tc>
        <w:tc>
          <w:tcPr>
            <w:tcW w:w="1417" w:type="dxa"/>
            <w:vMerge/>
          </w:tcPr>
          <w:p w14:paraId="33BBD4A2" w14:textId="77777777" w:rsidR="00E306DD" w:rsidRPr="00E56B0F" w:rsidRDefault="00E306DD" w:rsidP="00376A5C">
            <w:pPr>
              <w:rPr>
                <w:rFonts w:asciiTheme="minorHAnsi" w:hAnsiTheme="minorHAnsi"/>
                <w:sz w:val="16"/>
              </w:rPr>
            </w:pPr>
          </w:p>
        </w:tc>
      </w:tr>
      <w:tr w:rsidR="00E306DD" w:rsidRPr="00E56B0F" w14:paraId="6DD2CBB5" w14:textId="77777777" w:rsidTr="00376A5C">
        <w:tc>
          <w:tcPr>
            <w:tcW w:w="1478" w:type="dxa"/>
          </w:tcPr>
          <w:p w14:paraId="6C3CBBB1" w14:textId="77777777" w:rsidR="00E306DD" w:rsidRPr="00E56B0F" w:rsidRDefault="00E306DD" w:rsidP="00376A5C">
            <w:pPr>
              <w:rPr>
                <w:rFonts w:asciiTheme="minorHAnsi" w:hAnsiTheme="minorHAnsi"/>
                <w:sz w:val="16"/>
              </w:rPr>
            </w:pPr>
            <w:r w:rsidRPr="00E56B0F">
              <w:rPr>
                <w:rFonts w:asciiTheme="minorHAnsi" w:hAnsiTheme="minorHAnsi"/>
                <w:sz w:val="16"/>
              </w:rPr>
              <w:t xml:space="preserve">Ink </w:t>
            </w:r>
          </w:p>
        </w:tc>
        <w:tc>
          <w:tcPr>
            <w:tcW w:w="1324" w:type="dxa"/>
          </w:tcPr>
          <w:p w14:paraId="70F96730" w14:textId="77777777" w:rsidR="00E306DD" w:rsidRPr="00E56B0F" w:rsidRDefault="00E306DD" w:rsidP="00376A5C">
            <w:pPr>
              <w:rPr>
                <w:rFonts w:asciiTheme="minorHAnsi" w:hAnsiTheme="minorHAnsi"/>
                <w:sz w:val="16"/>
              </w:rPr>
            </w:pPr>
            <w:r w:rsidRPr="00E56B0F">
              <w:rPr>
                <w:rFonts w:asciiTheme="minorHAnsi" w:hAnsiTheme="minorHAnsi"/>
                <w:sz w:val="16"/>
              </w:rPr>
              <w:t>Enforcement of safe use, BAT, sector agreements</w:t>
            </w:r>
          </w:p>
        </w:tc>
        <w:tc>
          <w:tcPr>
            <w:tcW w:w="1134" w:type="dxa"/>
          </w:tcPr>
          <w:p w14:paraId="2AF8A03D" w14:textId="77777777" w:rsidR="00E306DD" w:rsidRPr="00E56B0F" w:rsidRDefault="00E306DD" w:rsidP="00376A5C">
            <w:pPr>
              <w:rPr>
                <w:rFonts w:asciiTheme="minorHAnsi" w:hAnsiTheme="minorHAnsi"/>
                <w:sz w:val="16"/>
              </w:rPr>
            </w:pPr>
          </w:p>
        </w:tc>
        <w:tc>
          <w:tcPr>
            <w:tcW w:w="1050" w:type="dxa"/>
          </w:tcPr>
          <w:p w14:paraId="1F280B1F" w14:textId="77777777" w:rsidR="00E306DD" w:rsidRPr="00E56B0F" w:rsidRDefault="00E306DD" w:rsidP="00376A5C">
            <w:pPr>
              <w:rPr>
                <w:rFonts w:asciiTheme="minorHAnsi" w:hAnsiTheme="minorHAnsi"/>
                <w:sz w:val="16"/>
              </w:rPr>
            </w:pPr>
            <w:r w:rsidRPr="00E56B0F">
              <w:rPr>
                <w:rFonts w:asciiTheme="minorHAnsi" w:hAnsiTheme="minorHAnsi"/>
                <w:sz w:val="16"/>
              </w:rPr>
              <w:t>Maybe</w:t>
            </w:r>
            <w:r>
              <w:rPr>
                <w:rFonts w:asciiTheme="minorHAnsi" w:hAnsiTheme="minorHAnsi"/>
                <w:sz w:val="16"/>
              </w:rPr>
              <w:t>; quantifying risk is challenging</w:t>
            </w:r>
          </w:p>
        </w:tc>
        <w:tc>
          <w:tcPr>
            <w:tcW w:w="1217" w:type="dxa"/>
          </w:tcPr>
          <w:p w14:paraId="5E3F5843" w14:textId="77777777" w:rsidR="00E306DD" w:rsidRPr="00E56B0F" w:rsidRDefault="00E306DD" w:rsidP="00376A5C">
            <w:pPr>
              <w:rPr>
                <w:rFonts w:asciiTheme="minorHAnsi" w:hAnsiTheme="minorHAnsi"/>
                <w:sz w:val="16"/>
              </w:rPr>
            </w:pPr>
            <w:r w:rsidRPr="00E56B0F">
              <w:rPr>
                <w:rFonts w:asciiTheme="minorHAnsi" w:hAnsiTheme="minorHAnsi"/>
                <w:sz w:val="16"/>
              </w:rPr>
              <w:t>Possible</w:t>
            </w:r>
          </w:p>
        </w:tc>
        <w:tc>
          <w:tcPr>
            <w:tcW w:w="1135" w:type="dxa"/>
          </w:tcPr>
          <w:p w14:paraId="3F29DE6D" w14:textId="77777777" w:rsidR="00E306DD" w:rsidRPr="00E56B0F" w:rsidRDefault="00E306DD" w:rsidP="00376A5C">
            <w:pPr>
              <w:rPr>
                <w:rFonts w:asciiTheme="minorHAnsi" w:hAnsiTheme="minorHAnsi"/>
                <w:sz w:val="16"/>
              </w:rPr>
            </w:pPr>
          </w:p>
        </w:tc>
        <w:tc>
          <w:tcPr>
            <w:tcW w:w="1417" w:type="dxa"/>
            <w:vMerge/>
          </w:tcPr>
          <w:p w14:paraId="4446DE81" w14:textId="77777777" w:rsidR="00E306DD" w:rsidRPr="00E56B0F" w:rsidRDefault="00E306DD" w:rsidP="00376A5C">
            <w:pPr>
              <w:rPr>
                <w:rFonts w:asciiTheme="minorHAnsi" w:hAnsiTheme="minorHAnsi"/>
                <w:sz w:val="16"/>
              </w:rPr>
            </w:pPr>
          </w:p>
        </w:tc>
      </w:tr>
      <w:tr w:rsidR="00E306DD" w:rsidRPr="00E56B0F" w14:paraId="3622B1E4" w14:textId="77777777" w:rsidTr="00376A5C">
        <w:tc>
          <w:tcPr>
            <w:tcW w:w="1478" w:type="dxa"/>
          </w:tcPr>
          <w:p w14:paraId="4ADDDE95" w14:textId="77777777" w:rsidR="00E306DD" w:rsidRPr="00E56B0F" w:rsidRDefault="00E306DD" w:rsidP="00376A5C">
            <w:pPr>
              <w:rPr>
                <w:rFonts w:asciiTheme="minorHAnsi" w:hAnsiTheme="minorHAnsi"/>
                <w:sz w:val="16"/>
              </w:rPr>
            </w:pPr>
            <w:proofErr w:type="spellStart"/>
            <w:r w:rsidRPr="00E56B0F">
              <w:rPr>
                <w:rFonts w:asciiTheme="minorHAnsi" w:hAnsiTheme="minorHAnsi"/>
                <w:sz w:val="16"/>
              </w:rPr>
              <w:t>Photodeveloping</w:t>
            </w:r>
            <w:proofErr w:type="spellEnd"/>
            <w:r w:rsidRPr="00E56B0F">
              <w:rPr>
                <w:rFonts w:asciiTheme="minorHAnsi" w:hAnsiTheme="minorHAnsi"/>
                <w:sz w:val="16"/>
              </w:rPr>
              <w:t xml:space="preserve"> agent</w:t>
            </w:r>
          </w:p>
        </w:tc>
        <w:tc>
          <w:tcPr>
            <w:tcW w:w="1324" w:type="dxa"/>
          </w:tcPr>
          <w:p w14:paraId="3CB0CF53" w14:textId="77777777" w:rsidR="00E306DD" w:rsidRPr="00E56B0F" w:rsidRDefault="00E306DD" w:rsidP="00376A5C">
            <w:pPr>
              <w:rPr>
                <w:rFonts w:asciiTheme="minorHAnsi" w:hAnsiTheme="minorHAnsi"/>
                <w:sz w:val="16"/>
              </w:rPr>
            </w:pPr>
            <w:r w:rsidRPr="00E56B0F">
              <w:rPr>
                <w:rFonts w:asciiTheme="minorHAnsi" w:hAnsiTheme="minorHAnsi"/>
                <w:sz w:val="16"/>
              </w:rPr>
              <w:t>Enforcement of safe use, BAT, sector agreements</w:t>
            </w:r>
          </w:p>
        </w:tc>
        <w:tc>
          <w:tcPr>
            <w:tcW w:w="1134" w:type="dxa"/>
          </w:tcPr>
          <w:p w14:paraId="660E6AC8" w14:textId="77777777" w:rsidR="00E306DD" w:rsidRPr="00E56B0F" w:rsidRDefault="00E306DD" w:rsidP="00376A5C">
            <w:pPr>
              <w:rPr>
                <w:rFonts w:asciiTheme="minorHAnsi" w:hAnsiTheme="minorHAnsi"/>
                <w:sz w:val="16"/>
              </w:rPr>
            </w:pPr>
          </w:p>
        </w:tc>
        <w:tc>
          <w:tcPr>
            <w:tcW w:w="1050" w:type="dxa"/>
          </w:tcPr>
          <w:p w14:paraId="52236D5F" w14:textId="77777777" w:rsidR="00E306DD" w:rsidRPr="00E56B0F" w:rsidRDefault="00E306DD" w:rsidP="00376A5C">
            <w:pPr>
              <w:rPr>
                <w:rFonts w:asciiTheme="minorHAnsi" w:hAnsiTheme="minorHAnsi"/>
                <w:sz w:val="16"/>
              </w:rPr>
            </w:pPr>
            <w:r w:rsidRPr="00E56B0F">
              <w:rPr>
                <w:rFonts w:asciiTheme="minorHAnsi" w:hAnsiTheme="minorHAnsi"/>
                <w:sz w:val="16"/>
              </w:rPr>
              <w:t>Maybe</w:t>
            </w:r>
            <w:r>
              <w:rPr>
                <w:rFonts w:asciiTheme="minorHAnsi" w:hAnsiTheme="minorHAnsi"/>
                <w:sz w:val="16"/>
              </w:rPr>
              <w:t>; quantifying risk is challenging</w:t>
            </w:r>
          </w:p>
        </w:tc>
        <w:tc>
          <w:tcPr>
            <w:tcW w:w="1217" w:type="dxa"/>
          </w:tcPr>
          <w:p w14:paraId="3427B2E0" w14:textId="77777777" w:rsidR="00E306DD" w:rsidRPr="00E56B0F" w:rsidRDefault="00E306DD" w:rsidP="00376A5C">
            <w:pPr>
              <w:rPr>
                <w:rFonts w:asciiTheme="minorHAnsi" w:hAnsiTheme="minorHAnsi"/>
                <w:sz w:val="16"/>
              </w:rPr>
            </w:pPr>
            <w:r w:rsidRPr="00E56B0F">
              <w:rPr>
                <w:rFonts w:asciiTheme="minorHAnsi" w:hAnsiTheme="minorHAnsi"/>
                <w:sz w:val="16"/>
              </w:rPr>
              <w:t>Possible</w:t>
            </w:r>
          </w:p>
        </w:tc>
        <w:tc>
          <w:tcPr>
            <w:tcW w:w="1135" w:type="dxa"/>
          </w:tcPr>
          <w:p w14:paraId="7205FB49" w14:textId="77777777" w:rsidR="00E306DD" w:rsidRPr="00E56B0F" w:rsidRDefault="00E306DD" w:rsidP="00376A5C">
            <w:pPr>
              <w:rPr>
                <w:rFonts w:asciiTheme="minorHAnsi" w:hAnsiTheme="minorHAnsi"/>
                <w:sz w:val="16"/>
              </w:rPr>
            </w:pPr>
          </w:p>
        </w:tc>
        <w:tc>
          <w:tcPr>
            <w:tcW w:w="1417" w:type="dxa"/>
            <w:vMerge/>
          </w:tcPr>
          <w:p w14:paraId="6A861D66" w14:textId="77777777" w:rsidR="00E306DD" w:rsidRPr="00E56B0F" w:rsidRDefault="00E306DD" w:rsidP="00376A5C">
            <w:pPr>
              <w:rPr>
                <w:rFonts w:asciiTheme="minorHAnsi" w:hAnsiTheme="minorHAnsi"/>
                <w:sz w:val="16"/>
              </w:rPr>
            </w:pPr>
          </w:p>
        </w:tc>
      </w:tr>
      <w:tr w:rsidR="00E306DD" w:rsidRPr="00E56B0F" w14:paraId="1DED2A2E" w14:textId="77777777" w:rsidTr="00376A5C">
        <w:tc>
          <w:tcPr>
            <w:tcW w:w="1478" w:type="dxa"/>
          </w:tcPr>
          <w:p w14:paraId="6C0F3784" w14:textId="77777777" w:rsidR="00E306DD" w:rsidRPr="00E56B0F" w:rsidRDefault="00E306DD" w:rsidP="00376A5C">
            <w:pPr>
              <w:rPr>
                <w:rFonts w:asciiTheme="minorHAnsi" w:hAnsiTheme="minorHAnsi"/>
                <w:sz w:val="16"/>
              </w:rPr>
            </w:pPr>
            <w:proofErr w:type="spellStart"/>
            <w:r w:rsidRPr="00E56B0F">
              <w:rPr>
                <w:rFonts w:asciiTheme="minorHAnsi" w:hAnsiTheme="minorHAnsi"/>
                <w:sz w:val="16"/>
              </w:rPr>
              <w:t>Vulcantization</w:t>
            </w:r>
            <w:proofErr w:type="spellEnd"/>
            <w:r w:rsidRPr="00E56B0F">
              <w:rPr>
                <w:rFonts w:asciiTheme="minorHAnsi" w:hAnsiTheme="minorHAnsi"/>
                <w:sz w:val="16"/>
              </w:rPr>
              <w:t xml:space="preserve"> accelerator and antioxidant in rubber compounds</w:t>
            </w:r>
          </w:p>
        </w:tc>
        <w:tc>
          <w:tcPr>
            <w:tcW w:w="1324" w:type="dxa"/>
          </w:tcPr>
          <w:p w14:paraId="1ED1ABEE" w14:textId="77777777" w:rsidR="00E306DD" w:rsidRPr="00E56B0F" w:rsidRDefault="00E306DD" w:rsidP="00376A5C">
            <w:pPr>
              <w:rPr>
                <w:rFonts w:asciiTheme="minorHAnsi" w:hAnsiTheme="minorHAnsi"/>
                <w:sz w:val="16"/>
              </w:rPr>
            </w:pPr>
          </w:p>
        </w:tc>
        <w:tc>
          <w:tcPr>
            <w:tcW w:w="1134" w:type="dxa"/>
          </w:tcPr>
          <w:p w14:paraId="6CBD8F5E" w14:textId="77777777" w:rsidR="00E306DD" w:rsidRPr="00E56B0F" w:rsidRDefault="00E306DD" w:rsidP="00376A5C">
            <w:pPr>
              <w:rPr>
                <w:rFonts w:asciiTheme="minorHAnsi" w:hAnsiTheme="minorHAnsi"/>
                <w:sz w:val="16"/>
              </w:rPr>
            </w:pPr>
          </w:p>
        </w:tc>
        <w:tc>
          <w:tcPr>
            <w:tcW w:w="1050" w:type="dxa"/>
          </w:tcPr>
          <w:p w14:paraId="3F31F50C" w14:textId="77777777" w:rsidR="00E306DD" w:rsidRPr="00E56B0F" w:rsidRDefault="00E306DD" w:rsidP="00376A5C">
            <w:pPr>
              <w:rPr>
                <w:rFonts w:asciiTheme="minorHAnsi" w:hAnsiTheme="minorHAnsi"/>
                <w:sz w:val="16"/>
              </w:rPr>
            </w:pPr>
            <w:r>
              <w:rPr>
                <w:rFonts w:asciiTheme="minorHAnsi" w:hAnsiTheme="minorHAnsi"/>
                <w:sz w:val="16"/>
              </w:rPr>
              <w:t>Most likely not possible</w:t>
            </w:r>
          </w:p>
        </w:tc>
        <w:tc>
          <w:tcPr>
            <w:tcW w:w="1217" w:type="dxa"/>
          </w:tcPr>
          <w:p w14:paraId="7A929669" w14:textId="77777777" w:rsidR="00E306DD" w:rsidRPr="00E56B0F" w:rsidRDefault="00E306DD" w:rsidP="00376A5C">
            <w:pPr>
              <w:rPr>
                <w:rFonts w:asciiTheme="minorHAnsi" w:hAnsiTheme="minorHAnsi"/>
                <w:sz w:val="16"/>
              </w:rPr>
            </w:pPr>
            <w:r w:rsidRPr="00E56B0F">
              <w:rPr>
                <w:rFonts w:asciiTheme="minorHAnsi" w:hAnsiTheme="minorHAnsi"/>
                <w:sz w:val="16"/>
              </w:rPr>
              <w:t>Possible</w:t>
            </w:r>
          </w:p>
        </w:tc>
        <w:tc>
          <w:tcPr>
            <w:tcW w:w="1135" w:type="dxa"/>
          </w:tcPr>
          <w:p w14:paraId="64A13E2B" w14:textId="77777777" w:rsidR="00E306DD" w:rsidRPr="00E56B0F" w:rsidRDefault="00E306DD" w:rsidP="00376A5C">
            <w:pPr>
              <w:rPr>
                <w:rFonts w:asciiTheme="minorHAnsi" w:hAnsiTheme="minorHAnsi"/>
                <w:sz w:val="16"/>
              </w:rPr>
            </w:pPr>
            <w:proofErr w:type="gramStart"/>
            <w:r w:rsidRPr="00E56B0F">
              <w:rPr>
                <w:rFonts w:asciiTheme="minorHAnsi" w:hAnsiTheme="minorHAnsi"/>
                <w:sz w:val="16"/>
              </w:rPr>
              <w:t xml:space="preserve">Further info on </w:t>
            </w:r>
            <w:proofErr w:type="spellStart"/>
            <w:r w:rsidRPr="00E56B0F">
              <w:rPr>
                <w:rFonts w:asciiTheme="minorHAnsi" w:hAnsiTheme="minorHAnsi"/>
                <w:sz w:val="16"/>
              </w:rPr>
              <w:t>carc</w:t>
            </w:r>
            <w:proofErr w:type="spellEnd"/>
            <w:r w:rsidRPr="00E56B0F">
              <w:rPr>
                <w:rFonts w:asciiTheme="minorHAnsi" w:hAnsiTheme="minorHAnsi"/>
                <w:sz w:val="16"/>
              </w:rPr>
              <w:t>.</w:t>
            </w:r>
            <w:proofErr w:type="gramEnd"/>
            <w:r w:rsidRPr="00E56B0F">
              <w:rPr>
                <w:rFonts w:asciiTheme="minorHAnsi" w:hAnsiTheme="minorHAnsi"/>
                <w:sz w:val="16"/>
              </w:rPr>
              <w:t xml:space="preserve"> properties</w:t>
            </w:r>
          </w:p>
        </w:tc>
        <w:tc>
          <w:tcPr>
            <w:tcW w:w="1417" w:type="dxa"/>
            <w:vMerge/>
          </w:tcPr>
          <w:p w14:paraId="18DAD369" w14:textId="77777777" w:rsidR="00E306DD" w:rsidRPr="00E56B0F" w:rsidRDefault="00E306DD" w:rsidP="00376A5C">
            <w:pPr>
              <w:rPr>
                <w:rFonts w:asciiTheme="minorHAnsi" w:hAnsiTheme="minorHAnsi"/>
                <w:sz w:val="16"/>
              </w:rPr>
            </w:pPr>
          </w:p>
        </w:tc>
      </w:tr>
      <w:tr w:rsidR="00E306DD" w:rsidRPr="00E56B0F" w14:paraId="40396FA7" w14:textId="77777777" w:rsidTr="00376A5C">
        <w:tc>
          <w:tcPr>
            <w:tcW w:w="1478" w:type="dxa"/>
          </w:tcPr>
          <w:p w14:paraId="2E77E1AE" w14:textId="77777777" w:rsidR="00E306DD" w:rsidRPr="00E56B0F" w:rsidRDefault="00E306DD" w:rsidP="00376A5C">
            <w:pPr>
              <w:rPr>
                <w:rFonts w:asciiTheme="minorHAnsi" w:hAnsiTheme="minorHAnsi"/>
                <w:sz w:val="16"/>
              </w:rPr>
            </w:pPr>
            <w:r w:rsidRPr="00E56B0F">
              <w:rPr>
                <w:rFonts w:asciiTheme="minorHAnsi" w:hAnsiTheme="minorHAnsi"/>
                <w:sz w:val="16"/>
              </w:rPr>
              <w:t>Monomer for PPTA polymer</w:t>
            </w:r>
          </w:p>
        </w:tc>
        <w:tc>
          <w:tcPr>
            <w:tcW w:w="1324" w:type="dxa"/>
          </w:tcPr>
          <w:p w14:paraId="4819A82D" w14:textId="77777777" w:rsidR="00E306DD" w:rsidRPr="00E56B0F" w:rsidRDefault="00E306DD" w:rsidP="00376A5C">
            <w:pPr>
              <w:rPr>
                <w:rFonts w:asciiTheme="minorHAnsi" w:hAnsiTheme="minorHAnsi"/>
                <w:sz w:val="16"/>
              </w:rPr>
            </w:pPr>
          </w:p>
        </w:tc>
        <w:tc>
          <w:tcPr>
            <w:tcW w:w="1134" w:type="dxa"/>
          </w:tcPr>
          <w:p w14:paraId="1B55A9A1" w14:textId="77777777" w:rsidR="00E306DD" w:rsidRPr="00E56B0F" w:rsidRDefault="00E306DD" w:rsidP="00376A5C">
            <w:pPr>
              <w:rPr>
                <w:rFonts w:asciiTheme="minorHAnsi" w:hAnsiTheme="minorHAnsi"/>
                <w:sz w:val="16"/>
              </w:rPr>
            </w:pPr>
          </w:p>
        </w:tc>
        <w:tc>
          <w:tcPr>
            <w:tcW w:w="1050" w:type="dxa"/>
          </w:tcPr>
          <w:p w14:paraId="405952D1" w14:textId="77777777" w:rsidR="00E306DD" w:rsidRPr="00E56B0F" w:rsidRDefault="00E306DD" w:rsidP="00376A5C">
            <w:pPr>
              <w:rPr>
                <w:rFonts w:asciiTheme="minorHAnsi" w:hAnsiTheme="minorHAnsi"/>
                <w:sz w:val="16"/>
              </w:rPr>
            </w:pPr>
            <w:r>
              <w:rPr>
                <w:rFonts w:asciiTheme="minorHAnsi" w:hAnsiTheme="minorHAnsi"/>
                <w:sz w:val="16"/>
              </w:rPr>
              <w:t>Most likely not possible</w:t>
            </w:r>
          </w:p>
        </w:tc>
        <w:tc>
          <w:tcPr>
            <w:tcW w:w="1217" w:type="dxa"/>
          </w:tcPr>
          <w:p w14:paraId="3DCAE0C9" w14:textId="77777777" w:rsidR="00E306DD" w:rsidRPr="00E56B0F" w:rsidRDefault="00E306DD" w:rsidP="00376A5C">
            <w:pPr>
              <w:rPr>
                <w:rFonts w:asciiTheme="minorHAnsi" w:hAnsiTheme="minorHAnsi"/>
                <w:sz w:val="16"/>
              </w:rPr>
            </w:pPr>
            <w:r w:rsidRPr="00E56B0F">
              <w:rPr>
                <w:rFonts w:asciiTheme="minorHAnsi" w:hAnsiTheme="minorHAnsi"/>
                <w:sz w:val="16"/>
              </w:rPr>
              <w:t>Possible</w:t>
            </w:r>
          </w:p>
        </w:tc>
        <w:tc>
          <w:tcPr>
            <w:tcW w:w="1135" w:type="dxa"/>
          </w:tcPr>
          <w:p w14:paraId="2B1E5616" w14:textId="77777777" w:rsidR="00E306DD" w:rsidRPr="00E56B0F" w:rsidRDefault="00E306DD" w:rsidP="00376A5C">
            <w:pPr>
              <w:rPr>
                <w:rFonts w:asciiTheme="minorHAnsi" w:hAnsiTheme="minorHAnsi"/>
                <w:sz w:val="16"/>
              </w:rPr>
            </w:pPr>
          </w:p>
        </w:tc>
        <w:tc>
          <w:tcPr>
            <w:tcW w:w="1417" w:type="dxa"/>
            <w:vMerge/>
          </w:tcPr>
          <w:p w14:paraId="45D96661" w14:textId="77777777" w:rsidR="00E306DD" w:rsidRPr="00E56B0F" w:rsidRDefault="00E306DD" w:rsidP="00376A5C">
            <w:pPr>
              <w:rPr>
                <w:rFonts w:asciiTheme="minorHAnsi" w:hAnsiTheme="minorHAnsi"/>
                <w:sz w:val="16"/>
              </w:rPr>
            </w:pPr>
          </w:p>
        </w:tc>
      </w:tr>
      <w:tr w:rsidR="00E306DD" w:rsidRPr="00E56B0F" w14:paraId="36A2B3D8" w14:textId="77777777" w:rsidTr="00376A5C">
        <w:tc>
          <w:tcPr>
            <w:tcW w:w="1478" w:type="dxa"/>
          </w:tcPr>
          <w:p w14:paraId="767D4064" w14:textId="77777777" w:rsidR="00E306DD" w:rsidRPr="00E56B0F" w:rsidRDefault="00E306DD" w:rsidP="00376A5C">
            <w:pPr>
              <w:rPr>
                <w:rFonts w:asciiTheme="minorHAnsi" w:hAnsiTheme="minorHAnsi"/>
                <w:sz w:val="16"/>
              </w:rPr>
            </w:pPr>
            <w:r w:rsidRPr="00E56B0F">
              <w:rPr>
                <w:rFonts w:asciiTheme="minorHAnsi" w:hAnsiTheme="minorHAnsi"/>
                <w:sz w:val="16"/>
              </w:rPr>
              <w:t>Intermediate</w:t>
            </w:r>
          </w:p>
        </w:tc>
        <w:tc>
          <w:tcPr>
            <w:tcW w:w="1324" w:type="dxa"/>
          </w:tcPr>
          <w:p w14:paraId="3E1C3DA8" w14:textId="77777777" w:rsidR="00E306DD" w:rsidRPr="00E56B0F" w:rsidRDefault="00E306DD" w:rsidP="00376A5C">
            <w:pPr>
              <w:rPr>
                <w:rFonts w:asciiTheme="minorHAnsi" w:hAnsiTheme="minorHAnsi"/>
                <w:sz w:val="16"/>
              </w:rPr>
            </w:pPr>
          </w:p>
        </w:tc>
        <w:tc>
          <w:tcPr>
            <w:tcW w:w="1134" w:type="dxa"/>
          </w:tcPr>
          <w:p w14:paraId="5C761D23" w14:textId="77777777" w:rsidR="00E306DD" w:rsidRPr="00E56B0F" w:rsidRDefault="00E306DD" w:rsidP="00376A5C">
            <w:pPr>
              <w:rPr>
                <w:rFonts w:asciiTheme="minorHAnsi" w:hAnsiTheme="minorHAnsi"/>
                <w:sz w:val="16"/>
              </w:rPr>
            </w:pPr>
          </w:p>
        </w:tc>
        <w:tc>
          <w:tcPr>
            <w:tcW w:w="1050" w:type="dxa"/>
          </w:tcPr>
          <w:p w14:paraId="3A48B004" w14:textId="77777777" w:rsidR="00E306DD" w:rsidRPr="00E56B0F" w:rsidRDefault="00E306DD" w:rsidP="00376A5C">
            <w:pPr>
              <w:rPr>
                <w:rFonts w:asciiTheme="minorHAnsi" w:hAnsiTheme="minorHAnsi"/>
                <w:sz w:val="16"/>
              </w:rPr>
            </w:pPr>
            <w:r>
              <w:rPr>
                <w:rFonts w:asciiTheme="minorHAnsi" w:hAnsiTheme="minorHAnsi"/>
                <w:sz w:val="16"/>
              </w:rPr>
              <w:t>Most likely not possible</w:t>
            </w:r>
          </w:p>
        </w:tc>
        <w:tc>
          <w:tcPr>
            <w:tcW w:w="1217" w:type="dxa"/>
          </w:tcPr>
          <w:p w14:paraId="11955D4D" w14:textId="77777777" w:rsidR="00E306DD" w:rsidRPr="00E56B0F" w:rsidRDefault="00E306DD" w:rsidP="00376A5C">
            <w:pPr>
              <w:rPr>
                <w:rFonts w:asciiTheme="minorHAnsi" w:hAnsiTheme="minorHAnsi"/>
                <w:sz w:val="16"/>
              </w:rPr>
            </w:pPr>
            <w:r w:rsidRPr="00E56B0F">
              <w:rPr>
                <w:rFonts w:asciiTheme="minorHAnsi" w:hAnsiTheme="minorHAnsi"/>
                <w:sz w:val="16"/>
              </w:rPr>
              <w:t>Possible</w:t>
            </w:r>
          </w:p>
        </w:tc>
        <w:tc>
          <w:tcPr>
            <w:tcW w:w="1135" w:type="dxa"/>
          </w:tcPr>
          <w:p w14:paraId="2A291044" w14:textId="77777777" w:rsidR="00E306DD" w:rsidRPr="00E56B0F" w:rsidRDefault="00E306DD" w:rsidP="00376A5C">
            <w:pPr>
              <w:rPr>
                <w:rFonts w:asciiTheme="minorHAnsi" w:hAnsiTheme="minorHAnsi"/>
                <w:sz w:val="16"/>
              </w:rPr>
            </w:pPr>
          </w:p>
        </w:tc>
        <w:tc>
          <w:tcPr>
            <w:tcW w:w="1417" w:type="dxa"/>
            <w:vMerge/>
          </w:tcPr>
          <w:p w14:paraId="0461CA83" w14:textId="77777777" w:rsidR="00E306DD" w:rsidRPr="00E56B0F" w:rsidRDefault="00E306DD" w:rsidP="00376A5C">
            <w:pPr>
              <w:rPr>
                <w:rFonts w:asciiTheme="minorHAnsi" w:hAnsiTheme="minorHAnsi"/>
                <w:sz w:val="16"/>
              </w:rPr>
            </w:pPr>
          </w:p>
        </w:tc>
      </w:tr>
      <w:tr w:rsidR="00E306DD" w:rsidRPr="00E56B0F" w14:paraId="3124A4CF" w14:textId="77777777" w:rsidTr="00376A5C">
        <w:tc>
          <w:tcPr>
            <w:tcW w:w="1478" w:type="dxa"/>
          </w:tcPr>
          <w:p w14:paraId="1ADA3E69" w14:textId="77777777" w:rsidR="00E306DD" w:rsidRPr="00E56B0F" w:rsidRDefault="00E306DD" w:rsidP="00376A5C">
            <w:pPr>
              <w:rPr>
                <w:rFonts w:asciiTheme="minorHAnsi" w:hAnsiTheme="minorHAnsi"/>
                <w:sz w:val="16"/>
              </w:rPr>
            </w:pPr>
            <w:r w:rsidRPr="00E56B0F">
              <w:rPr>
                <w:rFonts w:asciiTheme="minorHAnsi" w:hAnsiTheme="minorHAnsi"/>
                <w:sz w:val="16"/>
              </w:rPr>
              <w:t>Antioxidant in fuel -refinery</w:t>
            </w:r>
          </w:p>
        </w:tc>
        <w:tc>
          <w:tcPr>
            <w:tcW w:w="1324" w:type="dxa"/>
          </w:tcPr>
          <w:p w14:paraId="41990CEC" w14:textId="77777777" w:rsidR="00E306DD" w:rsidRPr="00E56B0F" w:rsidRDefault="00E306DD" w:rsidP="00376A5C">
            <w:pPr>
              <w:rPr>
                <w:rFonts w:asciiTheme="minorHAnsi" w:hAnsiTheme="minorHAnsi"/>
                <w:sz w:val="16"/>
              </w:rPr>
            </w:pPr>
          </w:p>
        </w:tc>
        <w:tc>
          <w:tcPr>
            <w:tcW w:w="1134" w:type="dxa"/>
          </w:tcPr>
          <w:p w14:paraId="27919E37" w14:textId="77777777" w:rsidR="00E306DD" w:rsidRPr="00E56B0F" w:rsidRDefault="00E306DD" w:rsidP="00376A5C">
            <w:pPr>
              <w:rPr>
                <w:rFonts w:asciiTheme="minorHAnsi" w:hAnsiTheme="minorHAnsi"/>
                <w:sz w:val="16"/>
              </w:rPr>
            </w:pPr>
          </w:p>
        </w:tc>
        <w:tc>
          <w:tcPr>
            <w:tcW w:w="1050" w:type="dxa"/>
          </w:tcPr>
          <w:p w14:paraId="186F6DB6" w14:textId="77777777" w:rsidR="00E306DD" w:rsidRPr="00E56B0F" w:rsidRDefault="00E306DD" w:rsidP="00376A5C">
            <w:pPr>
              <w:rPr>
                <w:rFonts w:asciiTheme="minorHAnsi" w:hAnsiTheme="minorHAnsi"/>
                <w:sz w:val="16"/>
              </w:rPr>
            </w:pPr>
            <w:r>
              <w:rPr>
                <w:rFonts w:asciiTheme="minorHAnsi" w:hAnsiTheme="minorHAnsi"/>
                <w:sz w:val="16"/>
              </w:rPr>
              <w:t>Most likely not possible</w:t>
            </w:r>
          </w:p>
        </w:tc>
        <w:tc>
          <w:tcPr>
            <w:tcW w:w="1217" w:type="dxa"/>
          </w:tcPr>
          <w:p w14:paraId="05D0AEC5" w14:textId="77777777" w:rsidR="00E306DD" w:rsidRPr="00E56B0F" w:rsidRDefault="00E306DD" w:rsidP="00376A5C">
            <w:pPr>
              <w:rPr>
                <w:rFonts w:asciiTheme="minorHAnsi" w:hAnsiTheme="minorHAnsi"/>
                <w:sz w:val="16"/>
              </w:rPr>
            </w:pPr>
            <w:r w:rsidRPr="00E56B0F">
              <w:rPr>
                <w:rFonts w:asciiTheme="minorHAnsi" w:hAnsiTheme="minorHAnsi"/>
                <w:sz w:val="16"/>
              </w:rPr>
              <w:t>Possible</w:t>
            </w:r>
          </w:p>
        </w:tc>
        <w:tc>
          <w:tcPr>
            <w:tcW w:w="1135" w:type="dxa"/>
          </w:tcPr>
          <w:p w14:paraId="31CD7244" w14:textId="77777777" w:rsidR="00E306DD" w:rsidRPr="00E56B0F" w:rsidRDefault="00E306DD" w:rsidP="00376A5C">
            <w:pPr>
              <w:rPr>
                <w:rFonts w:asciiTheme="minorHAnsi" w:hAnsiTheme="minorHAnsi"/>
                <w:sz w:val="16"/>
              </w:rPr>
            </w:pPr>
            <w:proofErr w:type="gramStart"/>
            <w:r w:rsidRPr="00E56B0F">
              <w:rPr>
                <w:rFonts w:asciiTheme="minorHAnsi" w:hAnsiTheme="minorHAnsi"/>
                <w:sz w:val="16"/>
              </w:rPr>
              <w:t xml:space="preserve">Further info on </w:t>
            </w:r>
            <w:proofErr w:type="spellStart"/>
            <w:r w:rsidRPr="00E56B0F">
              <w:rPr>
                <w:rFonts w:asciiTheme="minorHAnsi" w:hAnsiTheme="minorHAnsi"/>
                <w:sz w:val="16"/>
              </w:rPr>
              <w:t>carc</w:t>
            </w:r>
            <w:proofErr w:type="spellEnd"/>
            <w:r w:rsidRPr="00E56B0F">
              <w:rPr>
                <w:rFonts w:asciiTheme="minorHAnsi" w:hAnsiTheme="minorHAnsi"/>
                <w:sz w:val="16"/>
              </w:rPr>
              <w:t>.</w:t>
            </w:r>
            <w:proofErr w:type="gramEnd"/>
            <w:r w:rsidRPr="00E56B0F">
              <w:rPr>
                <w:rFonts w:asciiTheme="minorHAnsi" w:hAnsiTheme="minorHAnsi"/>
                <w:sz w:val="16"/>
              </w:rPr>
              <w:t xml:space="preserve"> properties</w:t>
            </w:r>
          </w:p>
        </w:tc>
        <w:tc>
          <w:tcPr>
            <w:tcW w:w="1417" w:type="dxa"/>
            <w:vMerge/>
          </w:tcPr>
          <w:p w14:paraId="31A5651C" w14:textId="77777777" w:rsidR="00E306DD" w:rsidRPr="00E56B0F" w:rsidRDefault="00E306DD" w:rsidP="00376A5C">
            <w:pPr>
              <w:rPr>
                <w:rFonts w:asciiTheme="minorHAnsi" w:hAnsiTheme="minorHAnsi"/>
                <w:sz w:val="16"/>
              </w:rPr>
            </w:pPr>
          </w:p>
        </w:tc>
      </w:tr>
    </w:tbl>
    <w:p w14:paraId="65D37788" w14:textId="77777777" w:rsidR="00E306DD" w:rsidRDefault="00E306DD" w:rsidP="00E306DD">
      <w:pPr>
        <w:pStyle w:val="BodyText"/>
        <w:rPr>
          <w:lang w:val="en-US"/>
        </w:rPr>
      </w:pPr>
    </w:p>
    <w:p w14:paraId="7C9D908B" w14:textId="77777777" w:rsidR="00E306DD" w:rsidRDefault="00E306DD" w:rsidP="00E306DD">
      <w:pPr>
        <w:pStyle w:val="BodyText"/>
        <w:rPr>
          <w:lang w:val="en-US"/>
        </w:rPr>
      </w:pPr>
      <w:r w:rsidRPr="00837ACC">
        <w:rPr>
          <w:lang w:val="en-US"/>
        </w:rPr>
        <w:t>PP</w:t>
      </w:r>
      <w:r>
        <w:rPr>
          <w:lang w:val="en-US"/>
        </w:rPr>
        <w:t xml:space="preserve">D is widely used in many different sectors ranging from rubber manufacturing to ink to dyes for hair, skin and textiles. PPD is regulated for Cosmetics use and two different proposals for restriction under REACH are under development for use in textiles and use in tattoos and permanent make-up that may </w:t>
      </w:r>
      <w:proofErr w:type="gramStart"/>
      <w:r>
        <w:rPr>
          <w:lang w:val="en-US"/>
        </w:rPr>
        <w:t>impact</w:t>
      </w:r>
      <w:proofErr w:type="gramEnd"/>
      <w:r>
        <w:rPr>
          <w:lang w:val="en-US"/>
        </w:rPr>
        <w:t xml:space="preserve"> the safe use of PPD with a focus on risks for consumers. Depending on the eventual scope of these restrictions, the main consumer concerns for PPD </w:t>
      </w:r>
      <w:proofErr w:type="gramStart"/>
      <w:r>
        <w:rPr>
          <w:lang w:val="en-US"/>
        </w:rPr>
        <w:t>may be sufficiently addressed</w:t>
      </w:r>
      <w:proofErr w:type="gramEnd"/>
      <w:r>
        <w:rPr>
          <w:lang w:val="en-US"/>
        </w:rPr>
        <w:t xml:space="preserve"> there. </w:t>
      </w:r>
    </w:p>
    <w:p w14:paraId="43BF132A" w14:textId="77777777" w:rsidR="00E306DD" w:rsidRDefault="00E306DD" w:rsidP="00E306DD">
      <w:pPr>
        <w:pStyle w:val="BodyText"/>
        <w:rPr>
          <w:lang w:val="en-US"/>
        </w:rPr>
      </w:pPr>
      <w:r>
        <w:rPr>
          <w:lang w:val="en-US"/>
        </w:rPr>
        <w:t xml:space="preserve">For workers, additional regulatory measures </w:t>
      </w:r>
      <w:proofErr w:type="gramStart"/>
      <w:r>
        <w:rPr>
          <w:lang w:val="en-US"/>
        </w:rPr>
        <w:t>may be considered</w:t>
      </w:r>
      <w:proofErr w:type="gramEnd"/>
      <w:r>
        <w:rPr>
          <w:lang w:val="en-US"/>
        </w:rPr>
        <w:t xml:space="preserve">. Developing an Annex VI dossier to change the harmonized classification from Skin Sens.1 to Skin Sens. 1A would be a first step that may lead to further exposure reducing measures at the workplace. Furthermore, it </w:t>
      </w:r>
      <w:proofErr w:type="gramStart"/>
      <w:r>
        <w:rPr>
          <w:lang w:val="en-US"/>
        </w:rPr>
        <w:t>is suggested</w:t>
      </w:r>
      <w:proofErr w:type="gramEnd"/>
      <w:r>
        <w:rPr>
          <w:lang w:val="en-US"/>
        </w:rPr>
        <w:t xml:space="preserve"> to ask the SCCS to revisit their opinion of safe use of PPD in cosmetics by workers, in particular for hairdressers and beauty workers, as cases of sensitization continue to appear. The SCCS opinion should in that case preferably also include further details regarding conditions for safe use such as e.g. labelling of the product used by hairdressers and beauty workers, the supply of gloves with the packaging and instructions for cleaning and disposal of used tools. In addition to these, Authorization may be effective to stimulate substitution and promote the drafting of more detailed workplace safety instruction for non-cosmetic uses, which may be more difficult to achieve and </w:t>
      </w:r>
      <w:proofErr w:type="gramStart"/>
      <w:r>
        <w:rPr>
          <w:lang w:val="en-US"/>
        </w:rPr>
        <w:t>may be more rigidly reached</w:t>
      </w:r>
      <w:proofErr w:type="gramEnd"/>
      <w:r>
        <w:rPr>
          <w:lang w:val="en-US"/>
        </w:rPr>
        <w:t xml:space="preserve"> through the route of Restriction. Authorization would </w:t>
      </w:r>
      <w:proofErr w:type="gramStart"/>
      <w:r>
        <w:rPr>
          <w:lang w:val="en-US"/>
        </w:rPr>
        <w:t>impact</w:t>
      </w:r>
      <w:proofErr w:type="gramEnd"/>
      <w:r>
        <w:rPr>
          <w:lang w:val="en-US"/>
        </w:rPr>
        <w:t xml:space="preserve"> those uses for which an EU wide risk may not be </w:t>
      </w:r>
      <w:proofErr w:type="spellStart"/>
      <w:r>
        <w:rPr>
          <w:lang w:val="en-US"/>
        </w:rPr>
        <w:t>identifyable</w:t>
      </w:r>
      <w:proofErr w:type="spellEnd"/>
      <w:r>
        <w:rPr>
          <w:lang w:val="en-US"/>
        </w:rPr>
        <w:t xml:space="preserve"> but which may add to the overall risk of becoming sensitized to PPD for workers and consumers. This </w:t>
      </w:r>
      <w:proofErr w:type="gramStart"/>
      <w:r>
        <w:rPr>
          <w:lang w:val="en-US"/>
        </w:rPr>
        <w:t>may already be facilitated</w:t>
      </w:r>
      <w:proofErr w:type="gramEnd"/>
      <w:r>
        <w:rPr>
          <w:lang w:val="en-US"/>
        </w:rPr>
        <w:t xml:space="preserve"> by identifying PPD as SVHC through Candidate listing.  </w:t>
      </w:r>
    </w:p>
    <w:p w14:paraId="144F170A" w14:textId="77777777" w:rsidR="00E306DD" w:rsidRDefault="00E306DD" w:rsidP="00E306DD">
      <w:pPr>
        <w:pStyle w:val="BodyText"/>
        <w:rPr>
          <w:lang w:val="en-US"/>
        </w:rPr>
      </w:pPr>
      <w:r>
        <w:rPr>
          <w:lang w:val="en-US"/>
        </w:rPr>
        <w:t xml:space="preserve">However, it is highly uncertain </w:t>
      </w:r>
      <w:proofErr w:type="spellStart"/>
      <w:r>
        <w:rPr>
          <w:lang w:val="en-US"/>
        </w:rPr>
        <w:t>wether</w:t>
      </w:r>
      <w:proofErr w:type="spellEnd"/>
      <w:r>
        <w:rPr>
          <w:lang w:val="en-US"/>
        </w:rPr>
        <w:t xml:space="preserve"> MSC would be of the opinion that PPD meets the 57(f) criteria for being of Equivalent level of concern. </w:t>
      </w:r>
      <w:proofErr w:type="gramStart"/>
      <w:r>
        <w:rPr>
          <w:lang w:val="en-US"/>
        </w:rPr>
        <w:t>And</w:t>
      </w:r>
      <w:proofErr w:type="gramEnd"/>
      <w:r>
        <w:rPr>
          <w:lang w:val="en-US"/>
        </w:rPr>
        <w:t xml:space="preserve"> under the assumption that PPD could meet </w:t>
      </w:r>
      <w:proofErr w:type="spellStart"/>
      <w:r>
        <w:rPr>
          <w:lang w:val="en-US"/>
        </w:rPr>
        <w:t>te</w:t>
      </w:r>
      <w:proofErr w:type="spellEnd"/>
      <w:r>
        <w:rPr>
          <w:lang w:val="en-US"/>
        </w:rPr>
        <w:t xml:space="preserve"> criteria of 57(f), it is still debatable that Authorization is an appropriate tool to address concerns for uses for which no clear consumer or worker cases of severe skin sensitization have been identified to date. Primary question here is if those cases are not there and exposure is not sufficiently significant to contribute to a </w:t>
      </w:r>
      <w:r>
        <w:rPr>
          <w:lang w:val="en-US"/>
        </w:rPr>
        <w:lastRenderedPageBreak/>
        <w:t xml:space="preserve">rise in PPD allergy for those people involved, or if cases are not there because these </w:t>
      </w:r>
      <w:proofErr w:type="gramStart"/>
      <w:r>
        <w:rPr>
          <w:lang w:val="en-US"/>
        </w:rPr>
        <w:t>are not identified</w:t>
      </w:r>
      <w:proofErr w:type="gramEnd"/>
      <w:r>
        <w:rPr>
          <w:lang w:val="en-US"/>
        </w:rPr>
        <w:t xml:space="preserve">. It may also be questioned if Authorization is a preferred route, given that substitution of PPD at the </w:t>
      </w:r>
      <w:proofErr w:type="spellStart"/>
      <w:r>
        <w:rPr>
          <w:lang w:val="en-US"/>
        </w:rPr>
        <w:t>workfloor</w:t>
      </w:r>
      <w:proofErr w:type="spellEnd"/>
      <w:r>
        <w:rPr>
          <w:lang w:val="en-US"/>
        </w:rPr>
        <w:t xml:space="preserve"> may possibly lead to the introduction of other skin sensitizing substances (also in cosmetic products) giving rise to other, possibly more hazardous effects on workers and consumers. Furthermore, Authorization will not be able to tackle use of PPD in imported articles and will not address the possible important issue of concern from aggregated exposure through multiple sources containing PPD.  </w:t>
      </w:r>
      <w:proofErr w:type="gramStart"/>
      <w:r>
        <w:rPr>
          <w:lang w:val="en-US"/>
        </w:rPr>
        <w:t>Consequently, it may be more effective to further assess current underlying reasons of continuing appearance of new worker cases to better understand possible ways to further prevent the development of ever new cases, either in a more voluntary approach with industry and sector organizations, or via a targeted restriction describing best practices for those sectors where EU-wide risks for workers are identified.</w:t>
      </w:r>
      <w:proofErr w:type="gramEnd"/>
      <w:r>
        <w:rPr>
          <w:lang w:val="en-US"/>
        </w:rPr>
        <w:t xml:space="preserve"> </w:t>
      </w:r>
    </w:p>
    <w:p w14:paraId="393399DF" w14:textId="77777777" w:rsidR="00E306DD" w:rsidRDefault="00E306DD" w:rsidP="00E306DD">
      <w:pPr>
        <w:pStyle w:val="BodyText"/>
        <w:rPr>
          <w:lang w:val="en-US"/>
        </w:rPr>
      </w:pPr>
      <w:r>
        <w:rPr>
          <w:lang w:val="en-US"/>
        </w:rPr>
        <w:t xml:space="preserve">In addition to the hazard concern for Skin Sensitization, which is the focus of most current risk management measures, there is a suspicion for carcinogenicity when exposure of PPD coincides with exposure to a coupler or an oxidative agent. If this combined exposure would indeed lead to an increased risk for carcinogenicity, this may </w:t>
      </w:r>
      <w:proofErr w:type="gramStart"/>
      <w:r>
        <w:rPr>
          <w:lang w:val="en-US"/>
        </w:rPr>
        <w:t>impact</w:t>
      </w:r>
      <w:proofErr w:type="gramEnd"/>
      <w:r>
        <w:rPr>
          <w:lang w:val="en-US"/>
        </w:rPr>
        <w:t xml:space="preserve"> the risk management measures that are put in place and are under development at this moment. It </w:t>
      </w:r>
      <w:proofErr w:type="gramStart"/>
      <w:r>
        <w:rPr>
          <w:lang w:val="en-US"/>
        </w:rPr>
        <w:t>is therefore concluded</w:t>
      </w:r>
      <w:proofErr w:type="gramEnd"/>
      <w:r>
        <w:rPr>
          <w:lang w:val="en-US"/>
        </w:rPr>
        <w:t xml:space="preserve"> that this possible combined effect is further evaluated. Given the mandate of the Cosmetics Regulation, revisiting of the safe use by the SCCS would be a most appropriate first step. Depending on the outcome of this work, further information </w:t>
      </w:r>
      <w:proofErr w:type="gramStart"/>
      <w:r>
        <w:rPr>
          <w:lang w:val="en-US"/>
        </w:rPr>
        <w:t>could be requested</w:t>
      </w:r>
      <w:proofErr w:type="gramEnd"/>
      <w:r>
        <w:rPr>
          <w:lang w:val="en-US"/>
        </w:rPr>
        <w:t xml:space="preserve"> through the process of Substance Evaluation. </w:t>
      </w:r>
      <w:r>
        <w:t xml:space="preserve">The currently available studies that show negative results on carcinogenicity seem of good quality and it is questionable if new data will provide further insight. Further data generation </w:t>
      </w:r>
      <w:proofErr w:type="gramStart"/>
      <w:r>
        <w:t>is therefore suggested</w:t>
      </w:r>
      <w:proofErr w:type="gramEnd"/>
      <w:r>
        <w:t xml:space="preserve"> to focus on the potential incoherence of available test data.</w:t>
      </w:r>
      <w:r>
        <w:rPr>
          <w:lang w:val="en-US"/>
        </w:rPr>
        <w:t xml:space="preserve"> However, as PPD has already been extensively studied by the SCCS, one may argue that providing the SCCS with again a mandate to assess the safe application and use of PPD containing products may be of little added value. In their previous conclusions, the SCCS did point to the possible </w:t>
      </w:r>
      <w:proofErr w:type="spellStart"/>
      <w:r>
        <w:rPr>
          <w:lang w:val="en-US"/>
        </w:rPr>
        <w:t>carcinogenictity</w:t>
      </w:r>
      <w:proofErr w:type="spellEnd"/>
      <w:r>
        <w:rPr>
          <w:lang w:val="en-US"/>
        </w:rPr>
        <w:t xml:space="preserve"> of combined uses with oxidative agents on which the industry did not react with further information. When Substance Evaluation </w:t>
      </w:r>
      <w:proofErr w:type="gramStart"/>
      <w:r>
        <w:rPr>
          <w:lang w:val="en-US"/>
        </w:rPr>
        <w:t>will be taken up,</w:t>
      </w:r>
      <w:proofErr w:type="gramEnd"/>
      <w:r>
        <w:rPr>
          <w:lang w:val="en-US"/>
        </w:rPr>
        <w:t xml:space="preserve"> it is suggested to add an information request on use and exposure.</w:t>
      </w:r>
    </w:p>
    <w:p w14:paraId="0BA2E58B" w14:textId="77777777" w:rsidR="00E306DD" w:rsidRDefault="00E306DD" w:rsidP="00E306DD">
      <w:pPr>
        <w:pStyle w:val="BodyText"/>
        <w:rPr>
          <w:lang w:val="en-US"/>
        </w:rPr>
      </w:pPr>
      <w:r>
        <w:rPr>
          <w:lang w:val="en-US"/>
        </w:rPr>
        <w:t xml:space="preserve">To summarize, the following combination of risk management options </w:t>
      </w:r>
      <w:proofErr w:type="gramStart"/>
      <w:r>
        <w:rPr>
          <w:lang w:val="en-US"/>
        </w:rPr>
        <w:t>is suggested</w:t>
      </w:r>
      <w:proofErr w:type="gramEnd"/>
      <w:r>
        <w:rPr>
          <w:lang w:val="en-US"/>
        </w:rPr>
        <w:t>:</w:t>
      </w:r>
    </w:p>
    <w:p w14:paraId="034CBDB2" w14:textId="77777777" w:rsidR="00E306DD" w:rsidRDefault="00E306DD" w:rsidP="00E306DD">
      <w:pPr>
        <w:pStyle w:val="BodyText"/>
        <w:widowControl/>
        <w:numPr>
          <w:ilvl w:val="0"/>
          <w:numId w:val="17"/>
        </w:numPr>
        <w:spacing w:after="180"/>
        <w:jc w:val="both"/>
        <w:rPr>
          <w:lang w:val="en-US"/>
        </w:rPr>
      </w:pPr>
      <w:r>
        <w:rPr>
          <w:lang w:val="en-US"/>
        </w:rPr>
        <w:t>CLH for Skin Sens.1A and Acute Aquatic Toxicity;</w:t>
      </w:r>
    </w:p>
    <w:p w14:paraId="321611FC" w14:textId="77777777" w:rsidR="00E306DD" w:rsidRPr="00005D06" w:rsidRDefault="00E306DD" w:rsidP="00E306DD">
      <w:pPr>
        <w:pStyle w:val="BodyText"/>
        <w:widowControl/>
        <w:numPr>
          <w:ilvl w:val="0"/>
          <w:numId w:val="17"/>
        </w:numPr>
        <w:spacing w:after="180"/>
        <w:jc w:val="both"/>
        <w:rPr>
          <w:lang w:val="en-US"/>
        </w:rPr>
      </w:pPr>
      <w:proofErr w:type="spellStart"/>
      <w:r w:rsidRPr="00005D06">
        <w:rPr>
          <w:lang w:val="en-US"/>
        </w:rPr>
        <w:t>SEv</w:t>
      </w:r>
      <w:proofErr w:type="spellEnd"/>
      <w:r>
        <w:rPr>
          <w:lang w:val="en-US"/>
        </w:rPr>
        <w:t xml:space="preserve"> to follow-up on the assessment of the SCCS </w:t>
      </w:r>
      <w:r w:rsidRPr="00005D06">
        <w:rPr>
          <w:lang w:val="en-US"/>
        </w:rPr>
        <w:t>to obtain more info on combined toxicity of PPD with a coupler or oxidative agent, use and exposure;</w:t>
      </w:r>
    </w:p>
    <w:p w14:paraId="4832343E" w14:textId="6D24A8CF" w:rsidR="00E306DD" w:rsidRPr="00E306DD" w:rsidRDefault="00E306DD" w:rsidP="00E306DD">
      <w:pPr>
        <w:pStyle w:val="BodyText"/>
        <w:widowControl/>
        <w:numPr>
          <w:ilvl w:val="0"/>
          <w:numId w:val="17"/>
        </w:numPr>
        <w:spacing w:after="180"/>
        <w:jc w:val="both"/>
        <w:rPr>
          <w:lang w:val="en-US"/>
        </w:rPr>
      </w:pPr>
      <w:r>
        <w:rPr>
          <w:lang w:val="en-US"/>
        </w:rPr>
        <w:t>Evaluate PPD in the context of the Restriction of Skin Sensitizers in textiles (and maybe fur and leather; Restriction proposal ongoing by SE) and for CMR and Sensitizing substances in tattoo’s and permanent make-up (Restriction proposal ongoing by ECHA);</w:t>
      </w:r>
    </w:p>
    <w:p w14:paraId="490AF987" w14:textId="77777777" w:rsidR="00E306DD" w:rsidRDefault="00E306DD" w:rsidP="00E306DD">
      <w:pPr>
        <w:pStyle w:val="Heading2"/>
        <w:keepLines w:val="0"/>
        <w:widowControl/>
        <w:numPr>
          <w:ilvl w:val="1"/>
          <w:numId w:val="0"/>
        </w:numPr>
        <w:tabs>
          <w:tab w:val="num" w:pos="540"/>
          <w:tab w:val="num" w:pos="1361"/>
        </w:tabs>
        <w:spacing w:before="240" w:after="200"/>
        <w:ind w:left="540" w:hanging="540"/>
        <w:jc w:val="both"/>
        <w:rPr>
          <w:szCs w:val="24"/>
        </w:rPr>
      </w:pPr>
      <w:r>
        <w:rPr>
          <w:szCs w:val="24"/>
        </w:rPr>
        <w:t>References</w:t>
      </w:r>
    </w:p>
    <w:p w14:paraId="45138310" w14:textId="77777777" w:rsidR="00E306DD" w:rsidRPr="00C15F63" w:rsidRDefault="00E306DD" w:rsidP="00E306DD">
      <w:pPr>
        <w:pStyle w:val="ListParagraph"/>
        <w:numPr>
          <w:ilvl w:val="0"/>
          <w:numId w:val="18"/>
        </w:numPr>
        <w:rPr>
          <w:lang w:eastAsia="en-GB"/>
        </w:rPr>
      </w:pPr>
      <w:proofErr w:type="gramStart"/>
      <w:r w:rsidRPr="00C15F63">
        <w:rPr>
          <w:lang w:eastAsia="en-GB"/>
        </w:rPr>
        <w:t>Chemical Safety Report p-</w:t>
      </w:r>
      <w:proofErr w:type="spellStart"/>
      <w:r w:rsidRPr="00C15F63">
        <w:rPr>
          <w:lang w:eastAsia="en-GB"/>
        </w:rPr>
        <w:t>phenylenediamine</w:t>
      </w:r>
      <w:proofErr w:type="spellEnd"/>
      <w:r w:rsidRPr="00C15F63">
        <w:rPr>
          <w:lang w:eastAsia="en-GB"/>
        </w:rPr>
        <w:t>.</w:t>
      </w:r>
      <w:proofErr w:type="gramEnd"/>
      <w:r w:rsidRPr="00C15F63">
        <w:rPr>
          <w:lang w:eastAsia="en-GB"/>
        </w:rPr>
        <w:t xml:space="preserve"> Teijin Aramid BV.</w:t>
      </w:r>
    </w:p>
    <w:p w14:paraId="1897E08B" w14:textId="77777777" w:rsidR="00E306DD" w:rsidRPr="00273251" w:rsidRDefault="00E306DD" w:rsidP="00E306DD">
      <w:pPr>
        <w:pStyle w:val="ListParagraph"/>
        <w:numPr>
          <w:ilvl w:val="0"/>
          <w:numId w:val="18"/>
        </w:numPr>
        <w:rPr>
          <w:lang w:eastAsia="en-GB"/>
        </w:rPr>
      </w:pPr>
      <w:r w:rsidRPr="00C15F63">
        <w:rPr>
          <w:lang w:eastAsia="en-GB"/>
        </w:rPr>
        <w:t xml:space="preserve">DEPARTMENT OF HEALTH AND HUMAN SERVICES </w:t>
      </w:r>
      <w:proofErr w:type="spellStart"/>
      <w:r w:rsidRPr="00C15F63">
        <w:rPr>
          <w:lang w:eastAsia="en-GB"/>
        </w:rPr>
        <w:t>Centers</w:t>
      </w:r>
      <w:proofErr w:type="spellEnd"/>
      <w:r w:rsidRPr="00C15F63">
        <w:rPr>
          <w:lang w:eastAsia="en-GB"/>
        </w:rPr>
        <w:t xml:space="preserve"> for Disease Control and </w:t>
      </w:r>
      <w:proofErr w:type="spellStart"/>
      <w:r w:rsidRPr="00C15F63">
        <w:rPr>
          <w:lang w:eastAsia="en-GB"/>
        </w:rPr>
        <w:t>PreventionNational</w:t>
      </w:r>
      <w:proofErr w:type="spellEnd"/>
      <w:r w:rsidRPr="00C15F63">
        <w:rPr>
          <w:lang w:eastAsia="en-GB"/>
        </w:rPr>
        <w:t xml:space="preserve"> Institute for Occupational Safety and Health. </w:t>
      </w:r>
      <w:proofErr w:type="gramStart"/>
      <w:r w:rsidRPr="00C15F63">
        <w:rPr>
          <w:lang w:eastAsia="en-GB"/>
        </w:rPr>
        <w:t>NIOSH Skin Notation Profiles.</w:t>
      </w:r>
      <w:proofErr w:type="gramEnd"/>
      <w:r w:rsidRPr="00C15F63">
        <w:rPr>
          <w:lang w:eastAsia="en-GB"/>
        </w:rPr>
        <w:t xml:space="preserve"> </w:t>
      </w:r>
      <w:proofErr w:type="gramStart"/>
      <w:r w:rsidRPr="00273251">
        <w:rPr>
          <w:lang w:eastAsia="en-GB"/>
        </w:rPr>
        <w:t>P-</w:t>
      </w:r>
      <w:proofErr w:type="spellStart"/>
      <w:r w:rsidRPr="00273251">
        <w:rPr>
          <w:lang w:eastAsia="en-GB"/>
        </w:rPr>
        <w:t>Phenylene</w:t>
      </w:r>
      <w:proofErr w:type="spellEnd"/>
      <w:r w:rsidRPr="00273251">
        <w:rPr>
          <w:lang w:eastAsia="en-GB"/>
        </w:rPr>
        <w:t xml:space="preserve"> Diamine (PPD).</w:t>
      </w:r>
      <w:proofErr w:type="gramEnd"/>
    </w:p>
    <w:p w14:paraId="158E0546" w14:textId="77777777" w:rsidR="00E306DD" w:rsidRDefault="00E306DD" w:rsidP="00E306DD">
      <w:pPr>
        <w:pStyle w:val="ListParagraph"/>
        <w:numPr>
          <w:ilvl w:val="0"/>
          <w:numId w:val="18"/>
        </w:numPr>
        <w:rPr>
          <w:lang w:eastAsia="en-GB"/>
        </w:rPr>
      </w:pPr>
      <w:proofErr w:type="spellStart"/>
      <w:r w:rsidRPr="007C0179">
        <w:rPr>
          <w:lang w:eastAsia="en-GB"/>
        </w:rPr>
        <w:t>Diepgen</w:t>
      </w:r>
      <w:proofErr w:type="spellEnd"/>
      <w:r w:rsidRPr="007C0179">
        <w:rPr>
          <w:lang w:eastAsia="en-GB"/>
        </w:rPr>
        <w:t xml:space="preserve">, T.L., </w:t>
      </w:r>
      <w:proofErr w:type="spellStart"/>
      <w:r w:rsidRPr="007C0179">
        <w:rPr>
          <w:lang w:eastAsia="en-GB"/>
        </w:rPr>
        <w:t>Naldi</w:t>
      </w:r>
      <w:proofErr w:type="spellEnd"/>
      <w:r w:rsidRPr="007C0179">
        <w:rPr>
          <w:lang w:eastAsia="en-GB"/>
        </w:rPr>
        <w:t xml:space="preserve">, L., </w:t>
      </w:r>
      <w:proofErr w:type="spellStart"/>
      <w:r w:rsidRPr="007C0179">
        <w:rPr>
          <w:lang w:eastAsia="en-GB"/>
        </w:rPr>
        <w:t>Bruze</w:t>
      </w:r>
      <w:proofErr w:type="spellEnd"/>
      <w:r w:rsidRPr="007C0179">
        <w:rPr>
          <w:lang w:eastAsia="en-GB"/>
        </w:rPr>
        <w:t xml:space="preserve">, M., </w:t>
      </w:r>
      <w:proofErr w:type="spellStart"/>
      <w:r w:rsidRPr="007C0179">
        <w:rPr>
          <w:lang w:eastAsia="en-GB"/>
        </w:rPr>
        <w:t>Cazzaniga</w:t>
      </w:r>
      <w:proofErr w:type="spellEnd"/>
      <w:r w:rsidRPr="007C0179">
        <w:rPr>
          <w:lang w:eastAsia="en-GB"/>
        </w:rPr>
        <w:t xml:space="preserve">, S., </w:t>
      </w:r>
      <w:proofErr w:type="spellStart"/>
      <w:r w:rsidRPr="007C0179">
        <w:rPr>
          <w:lang w:eastAsia="en-GB"/>
        </w:rPr>
        <w:t>Schuttelaar</w:t>
      </w:r>
      <w:proofErr w:type="spellEnd"/>
      <w:r w:rsidRPr="007C0179">
        <w:rPr>
          <w:lang w:eastAsia="en-GB"/>
        </w:rPr>
        <w:t xml:space="preserve">, M-L, </w:t>
      </w:r>
      <w:proofErr w:type="spellStart"/>
      <w:r w:rsidRPr="007C0179">
        <w:rPr>
          <w:lang w:eastAsia="en-GB"/>
        </w:rPr>
        <w:t>Elsner</w:t>
      </w:r>
      <w:proofErr w:type="spellEnd"/>
      <w:r w:rsidRPr="007C0179">
        <w:rPr>
          <w:lang w:eastAsia="en-GB"/>
        </w:rPr>
        <w:t xml:space="preserve">, P., Goncalo, M., </w:t>
      </w:r>
      <w:proofErr w:type="spellStart"/>
      <w:r w:rsidRPr="007C0179">
        <w:rPr>
          <w:lang w:eastAsia="en-GB"/>
        </w:rPr>
        <w:t>Ofenloch</w:t>
      </w:r>
      <w:proofErr w:type="spellEnd"/>
      <w:r w:rsidRPr="007C0179">
        <w:rPr>
          <w:lang w:eastAsia="en-GB"/>
        </w:rPr>
        <w:t xml:space="preserve">, R. and </w:t>
      </w:r>
      <w:proofErr w:type="spellStart"/>
      <w:r w:rsidRPr="007C0179">
        <w:rPr>
          <w:lang w:eastAsia="en-GB"/>
        </w:rPr>
        <w:t>Svensson</w:t>
      </w:r>
      <w:proofErr w:type="spellEnd"/>
      <w:r w:rsidRPr="007C0179">
        <w:rPr>
          <w:lang w:eastAsia="en-GB"/>
        </w:rPr>
        <w:t>, A. (2016) Prevalence of Contact Allergy to p-</w:t>
      </w:r>
      <w:proofErr w:type="spellStart"/>
      <w:r w:rsidRPr="007C0179">
        <w:rPr>
          <w:lang w:eastAsia="en-GB"/>
        </w:rPr>
        <w:t>Phenylenediamine</w:t>
      </w:r>
      <w:proofErr w:type="spellEnd"/>
      <w:r w:rsidRPr="007C0179">
        <w:rPr>
          <w:lang w:eastAsia="en-GB"/>
        </w:rPr>
        <w:t xml:space="preserve"> in the European</w:t>
      </w:r>
      <w:r>
        <w:rPr>
          <w:lang w:eastAsia="en-GB"/>
        </w:rPr>
        <w:t xml:space="preserve"> </w:t>
      </w:r>
      <w:r w:rsidRPr="007C0179">
        <w:rPr>
          <w:lang w:eastAsia="en-GB"/>
        </w:rPr>
        <w:t>General Population</w:t>
      </w:r>
      <w:r>
        <w:rPr>
          <w:lang w:eastAsia="en-GB"/>
        </w:rPr>
        <w:t xml:space="preserve">, </w:t>
      </w:r>
      <w:r w:rsidRPr="007C0179">
        <w:rPr>
          <w:lang w:eastAsia="en-GB"/>
        </w:rPr>
        <w:t xml:space="preserve">Journal of </w:t>
      </w:r>
      <w:r>
        <w:rPr>
          <w:lang w:eastAsia="en-GB"/>
        </w:rPr>
        <w:t>Investigative Dermatology</w:t>
      </w:r>
      <w:r w:rsidRPr="007C0179">
        <w:rPr>
          <w:lang w:eastAsia="en-GB"/>
        </w:rPr>
        <w:t xml:space="preserve"> 136, 409e415; doi:10.1016/j.jid.2015.10.064</w:t>
      </w:r>
    </w:p>
    <w:p w14:paraId="046CFA91" w14:textId="77777777" w:rsidR="00E306DD" w:rsidRPr="00C15F63" w:rsidRDefault="00E306DD" w:rsidP="00E306DD">
      <w:pPr>
        <w:pStyle w:val="ListParagraph"/>
        <w:numPr>
          <w:ilvl w:val="0"/>
          <w:numId w:val="18"/>
        </w:numPr>
        <w:rPr>
          <w:lang w:eastAsia="en-GB"/>
        </w:rPr>
      </w:pPr>
      <w:proofErr w:type="spellStart"/>
      <w:proofErr w:type="gramStart"/>
      <w:r w:rsidRPr="00C15F63">
        <w:rPr>
          <w:lang w:eastAsia="en-GB"/>
        </w:rPr>
        <w:t>Fautz</w:t>
      </w:r>
      <w:proofErr w:type="spellEnd"/>
      <w:r w:rsidRPr="00C15F63">
        <w:rPr>
          <w:lang w:eastAsia="en-GB"/>
        </w:rPr>
        <w:t xml:space="preserve"> R, Fuchs A, van der </w:t>
      </w:r>
      <w:proofErr w:type="spellStart"/>
      <w:r w:rsidRPr="00C15F63">
        <w:rPr>
          <w:lang w:eastAsia="en-GB"/>
        </w:rPr>
        <w:t>Walle</w:t>
      </w:r>
      <w:proofErr w:type="spellEnd"/>
      <w:r w:rsidRPr="00C15F63">
        <w:rPr>
          <w:lang w:eastAsia="en-GB"/>
        </w:rPr>
        <w:t xml:space="preserve"> H B, Henny V, Smits L. (2002).</w:t>
      </w:r>
      <w:proofErr w:type="gramEnd"/>
      <w:r w:rsidRPr="00C15F63">
        <w:rPr>
          <w:lang w:eastAsia="en-GB"/>
        </w:rPr>
        <w:t xml:space="preserve"> Hair dye-sensitized hairdressers: the cross-reaction pattern with new generation hair dyes. Contact Dermatitis 46: 319–324.</w:t>
      </w:r>
    </w:p>
    <w:p w14:paraId="63D53FA0" w14:textId="77777777" w:rsidR="00E306DD" w:rsidRPr="00C15F63" w:rsidRDefault="00E306DD" w:rsidP="00E306DD">
      <w:pPr>
        <w:pStyle w:val="ListParagraph"/>
        <w:numPr>
          <w:ilvl w:val="0"/>
          <w:numId w:val="18"/>
        </w:numPr>
        <w:rPr>
          <w:lang w:eastAsia="en-GB"/>
        </w:rPr>
      </w:pPr>
      <w:r w:rsidRPr="00C15F63">
        <w:rPr>
          <w:lang w:eastAsia="en-GB"/>
        </w:rPr>
        <w:t xml:space="preserve">Goon A T, Gilmour N J, </w:t>
      </w:r>
      <w:proofErr w:type="spellStart"/>
      <w:r w:rsidRPr="00C15F63">
        <w:rPr>
          <w:lang w:eastAsia="en-GB"/>
        </w:rPr>
        <w:t>Basketter</w:t>
      </w:r>
      <w:proofErr w:type="spellEnd"/>
      <w:r w:rsidRPr="00C15F63">
        <w:rPr>
          <w:lang w:eastAsia="en-GB"/>
        </w:rPr>
        <w:t xml:space="preserve"> D A, White I R, Rycroft R J, McFadden J P. </w:t>
      </w:r>
      <w:r w:rsidRPr="00C15F63">
        <w:rPr>
          <w:lang w:eastAsia="en-GB"/>
        </w:rPr>
        <w:lastRenderedPageBreak/>
        <w:t xml:space="preserve">(2003). </w:t>
      </w:r>
      <w:proofErr w:type="gramStart"/>
      <w:r w:rsidRPr="00C15F63">
        <w:rPr>
          <w:lang w:eastAsia="en-GB"/>
        </w:rPr>
        <w:t>High frequency of simultaneous sensitivity to Disperse Orange 3 in patients with positive patch tests to para-</w:t>
      </w:r>
      <w:proofErr w:type="spellStart"/>
      <w:r w:rsidRPr="00C15F63">
        <w:rPr>
          <w:lang w:eastAsia="en-GB"/>
        </w:rPr>
        <w:t>phenylenediamine</w:t>
      </w:r>
      <w:proofErr w:type="spellEnd"/>
      <w:r w:rsidRPr="00C15F63">
        <w:rPr>
          <w:lang w:eastAsia="en-GB"/>
        </w:rPr>
        <w:t>.</w:t>
      </w:r>
      <w:proofErr w:type="gramEnd"/>
      <w:r w:rsidRPr="00C15F63">
        <w:rPr>
          <w:lang w:eastAsia="en-GB"/>
        </w:rPr>
        <w:t xml:space="preserve"> </w:t>
      </w:r>
      <w:proofErr w:type="gramStart"/>
      <w:r w:rsidRPr="00C15F63">
        <w:rPr>
          <w:lang w:eastAsia="en-GB"/>
        </w:rPr>
        <w:t>Contact Dermatitis: 48: 248–250.</w:t>
      </w:r>
      <w:proofErr w:type="gramEnd"/>
    </w:p>
    <w:p w14:paraId="06F6CAC0" w14:textId="77777777" w:rsidR="00E306DD" w:rsidRDefault="00E306DD" w:rsidP="00E306DD">
      <w:pPr>
        <w:pStyle w:val="ListParagraph"/>
        <w:numPr>
          <w:ilvl w:val="0"/>
          <w:numId w:val="18"/>
        </w:numPr>
        <w:rPr>
          <w:lang w:eastAsia="en-GB"/>
        </w:rPr>
      </w:pPr>
      <w:proofErr w:type="spellStart"/>
      <w:r w:rsidRPr="00C15F63">
        <w:rPr>
          <w:lang w:eastAsia="en-GB"/>
        </w:rPr>
        <w:t>Herve-Bazin</w:t>
      </w:r>
      <w:proofErr w:type="spellEnd"/>
      <w:r w:rsidRPr="00C15F63">
        <w:rPr>
          <w:lang w:eastAsia="en-GB"/>
        </w:rPr>
        <w:t xml:space="preserve"> B, </w:t>
      </w:r>
      <w:proofErr w:type="spellStart"/>
      <w:r w:rsidRPr="00C15F63">
        <w:rPr>
          <w:lang w:eastAsia="en-GB"/>
        </w:rPr>
        <w:t>Gradiski</w:t>
      </w:r>
      <w:proofErr w:type="spellEnd"/>
      <w:r w:rsidRPr="00C15F63">
        <w:rPr>
          <w:lang w:eastAsia="en-GB"/>
        </w:rPr>
        <w:t xml:space="preserve"> D, </w:t>
      </w:r>
      <w:proofErr w:type="spellStart"/>
      <w:r w:rsidRPr="00C15F63">
        <w:rPr>
          <w:lang w:eastAsia="en-GB"/>
        </w:rPr>
        <w:t>Duprat</w:t>
      </w:r>
      <w:proofErr w:type="spellEnd"/>
      <w:r w:rsidRPr="00C15F63">
        <w:rPr>
          <w:lang w:eastAsia="en-GB"/>
        </w:rPr>
        <w:t xml:space="preserve"> P, </w:t>
      </w:r>
      <w:proofErr w:type="spellStart"/>
      <w:r w:rsidRPr="00C15F63">
        <w:rPr>
          <w:lang w:eastAsia="en-GB"/>
        </w:rPr>
        <w:t>Marignac</w:t>
      </w:r>
      <w:proofErr w:type="spellEnd"/>
      <w:r w:rsidRPr="00C15F63">
        <w:rPr>
          <w:lang w:eastAsia="en-GB"/>
        </w:rPr>
        <w:t xml:space="preserve"> B, </w:t>
      </w:r>
      <w:proofErr w:type="spellStart"/>
      <w:r w:rsidRPr="00C15F63">
        <w:rPr>
          <w:lang w:eastAsia="en-GB"/>
        </w:rPr>
        <w:t>Foussereau</w:t>
      </w:r>
      <w:proofErr w:type="spellEnd"/>
      <w:r w:rsidRPr="00C15F63">
        <w:rPr>
          <w:lang w:eastAsia="en-GB"/>
        </w:rPr>
        <w:t xml:space="preserve"> J, </w:t>
      </w:r>
      <w:proofErr w:type="spellStart"/>
      <w:r w:rsidRPr="00C15F63">
        <w:rPr>
          <w:lang w:eastAsia="en-GB"/>
        </w:rPr>
        <w:t>Cavelier</w:t>
      </w:r>
      <w:proofErr w:type="spellEnd"/>
      <w:r w:rsidRPr="00C15F63">
        <w:rPr>
          <w:lang w:eastAsia="en-GB"/>
        </w:rPr>
        <w:t xml:space="preserve"> C, Bieber P. (1977). Occupational eczema from N-isopropyl-N´-</w:t>
      </w:r>
      <w:proofErr w:type="spellStart"/>
      <w:r w:rsidRPr="00C15F63">
        <w:rPr>
          <w:lang w:eastAsia="en-GB"/>
        </w:rPr>
        <w:t>phenylparaphenylenediamine</w:t>
      </w:r>
      <w:proofErr w:type="spellEnd"/>
      <w:r w:rsidRPr="00C15F63">
        <w:rPr>
          <w:lang w:eastAsia="en-GB"/>
        </w:rPr>
        <w:t xml:space="preserve"> (IPPD) and N-dimethy-1</w:t>
      </w:r>
      <w:proofErr w:type="gramStart"/>
      <w:r w:rsidRPr="00C15F63">
        <w:rPr>
          <w:lang w:eastAsia="en-GB"/>
        </w:rPr>
        <w:t>,3</w:t>
      </w:r>
      <w:proofErr w:type="gramEnd"/>
      <w:r w:rsidRPr="00C15F63">
        <w:rPr>
          <w:lang w:eastAsia="en-GB"/>
        </w:rPr>
        <w:t xml:space="preserve"> butyl-N´-</w:t>
      </w:r>
      <w:proofErr w:type="spellStart"/>
      <w:r w:rsidRPr="00C15F63">
        <w:rPr>
          <w:lang w:eastAsia="en-GB"/>
        </w:rPr>
        <w:t>phenylparaphenylenediamine</w:t>
      </w:r>
      <w:proofErr w:type="spellEnd"/>
      <w:r w:rsidRPr="00C15F63">
        <w:rPr>
          <w:lang w:eastAsia="en-GB"/>
        </w:rPr>
        <w:t xml:space="preserve"> (DMPPD) in tyres. Contact Dermatitis 1977: 3: 1–15.</w:t>
      </w:r>
    </w:p>
    <w:p w14:paraId="44CCD143" w14:textId="77777777" w:rsidR="00E306DD" w:rsidRPr="00C15F63" w:rsidRDefault="00E306DD" w:rsidP="00E306DD">
      <w:pPr>
        <w:pStyle w:val="ListParagraph"/>
        <w:numPr>
          <w:ilvl w:val="0"/>
          <w:numId w:val="18"/>
        </w:numPr>
        <w:rPr>
          <w:lang w:eastAsia="en-GB"/>
        </w:rPr>
      </w:pPr>
      <w:r w:rsidRPr="00813519">
        <w:rPr>
          <w:lang w:eastAsia="en-GB"/>
        </w:rPr>
        <w:t>Kind</w:t>
      </w:r>
      <w:r>
        <w:rPr>
          <w:lang w:eastAsia="en-GB"/>
        </w:rPr>
        <w:t>, F.</w:t>
      </w:r>
      <w:r w:rsidRPr="00813519">
        <w:rPr>
          <w:lang w:eastAsia="en-GB"/>
        </w:rPr>
        <w:t>, Scherer</w:t>
      </w:r>
      <w:r>
        <w:rPr>
          <w:lang w:eastAsia="en-GB"/>
        </w:rPr>
        <w:t>, K.</w:t>
      </w:r>
      <w:r w:rsidRPr="00813519">
        <w:rPr>
          <w:lang w:eastAsia="en-GB"/>
        </w:rPr>
        <w:t xml:space="preserve">, </w:t>
      </w:r>
      <w:proofErr w:type="spellStart"/>
      <w:r w:rsidRPr="00813519">
        <w:rPr>
          <w:lang w:eastAsia="en-GB"/>
        </w:rPr>
        <w:t>Bircher</w:t>
      </w:r>
      <w:proofErr w:type="spellEnd"/>
      <w:r>
        <w:rPr>
          <w:lang w:eastAsia="en-GB"/>
        </w:rPr>
        <w:t xml:space="preserve">, A.J. (2011) </w:t>
      </w:r>
      <w:r w:rsidRPr="00813519">
        <w:rPr>
          <w:lang w:eastAsia="en-GB"/>
        </w:rPr>
        <w:t>Contact dermatitis to para-</w:t>
      </w:r>
      <w:proofErr w:type="spellStart"/>
      <w:r w:rsidRPr="00813519">
        <w:rPr>
          <w:lang w:eastAsia="en-GB"/>
        </w:rPr>
        <w:t>phenylenediamine</w:t>
      </w:r>
      <w:proofErr w:type="spellEnd"/>
      <w:r w:rsidRPr="00813519">
        <w:rPr>
          <w:lang w:eastAsia="en-GB"/>
        </w:rPr>
        <w:t xml:space="preserve"> in</w:t>
      </w:r>
      <w:r>
        <w:rPr>
          <w:lang w:eastAsia="en-GB"/>
        </w:rPr>
        <w:t xml:space="preserve"> </w:t>
      </w:r>
      <w:r w:rsidRPr="00813519">
        <w:rPr>
          <w:lang w:eastAsia="en-GB"/>
        </w:rPr>
        <w:t>hair dye following sensitization to black henna</w:t>
      </w:r>
      <w:r>
        <w:rPr>
          <w:lang w:eastAsia="en-GB"/>
        </w:rPr>
        <w:t xml:space="preserve"> </w:t>
      </w:r>
      <w:r w:rsidRPr="00813519">
        <w:rPr>
          <w:lang w:eastAsia="en-GB"/>
        </w:rPr>
        <w:t>tattoos – an ongoing problem</w:t>
      </w:r>
      <w:r>
        <w:rPr>
          <w:lang w:eastAsia="en-GB"/>
        </w:rPr>
        <w:t xml:space="preserve">, Journal of the German Society of Dermatology, </w:t>
      </w:r>
      <w:r w:rsidRPr="00813519">
        <w:rPr>
          <w:lang w:eastAsia="en-GB"/>
        </w:rPr>
        <w:t>DOI: 10.1111/j.1610-0387.2012.07882.x</w:t>
      </w:r>
    </w:p>
    <w:p w14:paraId="0084C2F2" w14:textId="77777777" w:rsidR="00E306DD" w:rsidRPr="00C15F63" w:rsidRDefault="00E306DD" w:rsidP="00E306DD">
      <w:pPr>
        <w:pStyle w:val="ListParagraph"/>
        <w:numPr>
          <w:ilvl w:val="0"/>
          <w:numId w:val="18"/>
        </w:numPr>
      </w:pPr>
      <w:proofErr w:type="spellStart"/>
      <w:r w:rsidRPr="00C15F63">
        <w:t>Malvestio</w:t>
      </w:r>
      <w:proofErr w:type="spellEnd"/>
      <w:r w:rsidRPr="00C15F63">
        <w:t xml:space="preserve"> A, </w:t>
      </w:r>
      <w:proofErr w:type="spellStart"/>
      <w:r w:rsidRPr="00C15F63">
        <w:t>Bovenzi</w:t>
      </w:r>
      <w:proofErr w:type="spellEnd"/>
      <w:r w:rsidRPr="00C15F63">
        <w:t xml:space="preserve"> M, </w:t>
      </w:r>
      <w:proofErr w:type="spellStart"/>
      <w:r w:rsidRPr="00C15F63">
        <w:t>Hoteit</w:t>
      </w:r>
      <w:proofErr w:type="spellEnd"/>
      <w:r w:rsidRPr="00C15F63">
        <w:t xml:space="preserve"> M, </w:t>
      </w:r>
      <w:proofErr w:type="spellStart"/>
      <w:r w:rsidRPr="00C15F63">
        <w:t>Belloni</w:t>
      </w:r>
      <w:proofErr w:type="spellEnd"/>
      <w:r w:rsidRPr="00C15F63">
        <w:t xml:space="preserve"> </w:t>
      </w:r>
      <w:proofErr w:type="spellStart"/>
      <w:r w:rsidRPr="00C15F63">
        <w:t>Fortina</w:t>
      </w:r>
      <w:proofErr w:type="spellEnd"/>
      <w:r w:rsidRPr="00C15F63">
        <w:t xml:space="preserve"> A, </w:t>
      </w:r>
      <w:proofErr w:type="spellStart"/>
      <w:r w:rsidRPr="00C15F63">
        <w:t>Peserico</w:t>
      </w:r>
      <w:proofErr w:type="spellEnd"/>
      <w:r w:rsidRPr="00C15F63">
        <w:t xml:space="preserve"> A, Teresa </w:t>
      </w:r>
      <w:proofErr w:type="spellStart"/>
      <w:r w:rsidRPr="00C15F63">
        <w:t>Corradin</w:t>
      </w:r>
      <w:proofErr w:type="spellEnd"/>
      <w:r w:rsidRPr="00C15F63">
        <w:t xml:space="preserve"> M, </w:t>
      </w:r>
      <w:proofErr w:type="spellStart"/>
      <w:r w:rsidRPr="00C15F63">
        <w:t>Larese</w:t>
      </w:r>
      <w:proofErr w:type="spellEnd"/>
      <w:r w:rsidRPr="00C15F63">
        <w:t xml:space="preserve"> </w:t>
      </w:r>
      <w:proofErr w:type="spellStart"/>
      <w:r w:rsidRPr="00C15F63">
        <w:t>Filon</w:t>
      </w:r>
      <w:proofErr w:type="spellEnd"/>
      <w:r w:rsidRPr="00C15F63">
        <w:t xml:space="preserve"> F. 2011. </w:t>
      </w:r>
      <w:proofErr w:type="gramStart"/>
      <w:r w:rsidRPr="00C15F63">
        <w:t>p-</w:t>
      </w:r>
      <w:proofErr w:type="spellStart"/>
      <w:r w:rsidRPr="00C15F63">
        <w:t>Phenylenediamine</w:t>
      </w:r>
      <w:proofErr w:type="spellEnd"/>
      <w:proofErr w:type="gramEnd"/>
      <w:r w:rsidRPr="00C15F63">
        <w:t xml:space="preserve"> sensitization and occupation. </w:t>
      </w:r>
      <w:proofErr w:type="gramStart"/>
      <w:r w:rsidRPr="00C15F63">
        <w:t>Contact Dermatitis.</w:t>
      </w:r>
      <w:proofErr w:type="gramEnd"/>
      <w:r w:rsidRPr="00C15F63">
        <w:t xml:space="preserve"> </w:t>
      </w:r>
      <w:proofErr w:type="gramStart"/>
      <w:r w:rsidRPr="00C15F63">
        <w:t>64</w:t>
      </w:r>
      <w:proofErr w:type="gramEnd"/>
      <w:r w:rsidRPr="00C15F63">
        <w:t>: 37-42.</w:t>
      </w:r>
    </w:p>
    <w:p w14:paraId="00377BF5" w14:textId="77777777" w:rsidR="00E306DD" w:rsidRPr="00C15F63" w:rsidRDefault="00E306DD" w:rsidP="00E306DD">
      <w:pPr>
        <w:pStyle w:val="ListParagraph"/>
        <w:numPr>
          <w:ilvl w:val="0"/>
          <w:numId w:val="18"/>
        </w:numPr>
      </w:pPr>
      <w:proofErr w:type="spellStart"/>
      <w:proofErr w:type="gramStart"/>
      <w:r w:rsidRPr="00C15F63">
        <w:t>Marzulli</w:t>
      </w:r>
      <w:proofErr w:type="spellEnd"/>
      <w:r w:rsidRPr="00C15F63">
        <w:t xml:space="preserve"> FN, Carson TR, and </w:t>
      </w:r>
      <w:proofErr w:type="spellStart"/>
      <w:r w:rsidRPr="00C15F63">
        <w:t>Maibach</w:t>
      </w:r>
      <w:proofErr w:type="spellEnd"/>
      <w:r w:rsidRPr="00C15F63">
        <w:t xml:space="preserve"> HI (1968b).</w:t>
      </w:r>
      <w:proofErr w:type="gramEnd"/>
      <w:r w:rsidRPr="00C15F63">
        <w:t xml:space="preserve"> Delayed contact hypersensitivity studies in man and animals. </w:t>
      </w:r>
      <w:proofErr w:type="gramStart"/>
      <w:r w:rsidRPr="00C15F63">
        <w:t xml:space="preserve">Proc. Joint Conference </w:t>
      </w:r>
      <w:proofErr w:type="spellStart"/>
      <w:r w:rsidRPr="00C15F63">
        <w:t>Cosmet</w:t>
      </w:r>
      <w:proofErr w:type="spellEnd"/>
      <w:r w:rsidRPr="00C15F63">
        <w:t>.</w:t>
      </w:r>
      <w:proofErr w:type="gramEnd"/>
      <w:r w:rsidRPr="00C15F63">
        <w:t xml:space="preserve"> Sci., April 21-23.</w:t>
      </w:r>
    </w:p>
    <w:p w14:paraId="6B9B28C4" w14:textId="77777777" w:rsidR="00E306DD" w:rsidRPr="00C15F63" w:rsidRDefault="00E306DD" w:rsidP="00E306DD">
      <w:pPr>
        <w:pStyle w:val="ListParagraph"/>
        <w:numPr>
          <w:ilvl w:val="0"/>
          <w:numId w:val="18"/>
        </w:numPr>
        <w:rPr>
          <w:lang w:eastAsia="en-GB"/>
        </w:rPr>
      </w:pPr>
      <w:proofErr w:type="gramStart"/>
      <w:r w:rsidRPr="00C15F63">
        <w:t>The Scientific Committee on Consumer produc</w:t>
      </w:r>
      <w:r>
        <w:t>ts (SCCP</w:t>
      </w:r>
      <w:r w:rsidRPr="00C15F63">
        <w:t>) (2006).</w:t>
      </w:r>
      <w:proofErr w:type="gramEnd"/>
      <w:r w:rsidRPr="00C15F63">
        <w:t xml:space="preserve"> Opinion on p-</w:t>
      </w:r>
      <w:proofErr w:type="spellStart"/>
      <w:proofErr w:type="gramStart"/>
      <w:r w:rsidRPr="00C15F63">
        <w:t>phenylenediamine</w:t>
      </w:r>
      <w:proofErr w:type="spellEnd"/>
      <w:r w:rsidRPr="00C15F63">
        <w:t xml:space="preserve">  (</w:t>
      </w:r>
      <w:proofErr w:type="gramEnd"/>
      <w:r w:rsidRPr="00C15F63">
        <w:t xml:space="preserve">COLIPPA </w:t>
      </w:r>
      <w:proofErr w:type="spellStart"/>
      <w:r w:rsidRPr="00C15F63">
        <w:t>nr</w:t>
      </w:r>
      <w:proofErr w:type="spellEnd"/>
      <w:r w:rsidRPr="00C15F63">
        <w:t>. A7; SCCP/0989/06)) (http://ec.europa.eu/health/ph_risk/committees/04_sccp/docs/sccp_o_069.pdf</w:t>
      </w:r>
    </w:p>
    <w:p w14:paraId="3A77C679" w14:textId="77777777" w:rsidR="00E306DD" w:rsidRPr="00C15F63" w:rsidRDefault="00E306DD" w:rsidP="00E306DD">
      <w:pPr>
        <w:pStyle w:val="ListParagraph"/>
        <w:numPr>
          <w:ilvl w:val="0"/>
          <w:numId w:val="18"/>
        </w:numPr>
        <w:rPr>
          <w:lang w:eastAsia="en-GB"/>
        </w:rPr>
      </w:pPr>
      <w:proofErr w:type="gramStart"/>
      <w:r w:rsidRPr="00C15F63">
        <w:rPr>
          <w:lang w:eastAsia="en-GB"/>
        </w:rPr>
        <w:t>SCCS/1443/11.</w:t>
      </w:r>
      <w:proofErr w:type="gramEnd"/>
      <w:r w:rsidRPr="00C15F63">
        <w:rPr>
          <w:lang w:eastAsia="en-GB"/>
        </w:rPr>
        <w:t xml:space="preserve"> </w:t>
      </w:r>
      <w:proofErr w:type="gramStart"/>
      <w:r w:rsidRPr="00C15F63">
        <w:rPr>
          <w:lang w:eastAsia="en-GB"/>
        </w:rPr>
        <w:t>Scientific Committee on Consumer Safety.</w:t>
      </w:r>
      <w:proofErr w:type="gramEnd"/>
      <w:r w:rsidRPr="00C15F63">
        <w:rPr>
          <w:lang w:eastAsia="en-GB"/>
        </w:rPr>
        <w:t xml:space="preserve"> </w:t>
      </w:r>
      <w:proofErr w:type="gramStart"/>
      <w:r w:rsidRPr="00C15F63">
        <w:rPr>
          <w:lang w:eastAsia="en-GB"/>
        </w:rPr>
        <w:t>Opinion on p-</w:t>
      </w:r>
      <w:proofErr w:type="spellStart"/>
      <w:r w:rsidRPr="00C15F63">
        <w:rPr>
          <w:lang w:eastAsia="en-GB"/>
        </w:rPr>
        <w:t>Phenylenediamine</w:t>
      </w:r>
      <w:proofErr w:type="spellEnd"/>
      <w:r w:rsidRPr="00C15F63">
        <w:rPr>
          <w:lang w:eastAsia="en-GB"/>
        </w:rPr>
        <w:t>.</w:t>
      </w:r>
      <w:proofErr w:type="gramEnd"/>
      <w:r w:rsidRPr="00C15F63">
        <w:rPr>
          <w:lang w:eastAsia="en-GB"/>
        </w:rPr>
        <w:t xml:space="preserve"> </w:t>
      </w:r>
      <w:proofErr w:type="gramStart"/>
      <w:r w:rsidRPr="00C15F63">
        <w:rPr>
          <w:lang w:eastAsia="en-GB"/>
        </w:rPr>
        <w:t>COLIPA no A7.</w:t>
      </w:r>
      <w:proofErr w:type="gramEnd"/>
      <w:r w:rsidRPr="00C15F63">
        <w:rPr>
          <w:lang w:eastAsia="en-GB"/>
        </w:rPr>
        <w:t xml:space="preserve"> Revision of 18 September 2012.</w:t>
      </w:r>
    </w:p>
    <w:p w14:paraId="2005E71A" w14:textId="77777777" w:rsidR="00E306DD" w:rsidRPr="00C15F63" w:rsidRDefault="00E306DD" w:rsidP="00E306DD">
      <w:pPr>
        <w:pStyle w:val="ListParagraph"/>
        <w:numPr>
          <w:ilvl w:val="0"/>
          <w:numId w:val="18"/>
        </w:numPr>
        <w:rPr>
          <w:lang w:eastAsia="en-GB"/>
        </w:rPr>
      </w:pPr>
      <w:proofErr w:type="spellStart"/>
      <w:r w:rsidRPr="00C15F63">
        <w:rPr>
          <w:lang w:eastAsia="en-GB"/>
        </w:rPr>
        <w:t>Søsted</w:t>
      </w:r>
      <w:proofErr w:type="spellEnd"/>
      <w:r w:rsidRPr="00C15F63">
        <w:rPr>
          <w:lang w:eastAsia="en-GB"/>
        </w:rPr>
        <w:t xml:space="preserve"> H, </w:t>
      </w:r>
      <w:proofErr w:type="spellStart"/>
      <w:r w:rsidRPr="00C15F63">
        <w:rPr>
          <w:lang w:eastAsia="en-GB"/>
        </w:rPr>
        <w:t>Basketter</w:t>
      </w:r>
      <w:proofErr w:type="spellEnd"/>
      <w:r w:rsidRPr="00C15F63">
        <w:rPr>
          <w:lang w:eastAsia="en-GB"/>
        </w:rPr>
        <w:t xml:space="preserve"> D, Estrada E, Johansen J, </w:t>
      </w:r>
      <w:proofErr w:type="spellStart"/>
      <w:r w:rsidRPr="00C15F63">
        <w:rPr>
          <w:lang w:eastAsia="en-GB"/>
        </w:rPr>
        <w:t>Patlewicz</w:t>
      </w:r>
      <w:proofErr w:type="spellEnd"/>
      <w:r w:rsidRPr="00C15F63">
        <w:rPr>
          <w:lang w:eastAsia="en-GB"/>
        </w:rPr>
        <w:t xml:space="preserve"> G. 2004. Ranking of hair dye substances according to predicted sensitization potency: quantitative structure–activity relationships. </w:t>
      </w:r>
      <w:proofErr w:type="gramStart"/>
      <w:r w:rsidRPr="00C15F63">
        <w:rPr>
          <w:lang w:eastAsia="en-GB"/>
        </w:rPr>
        <w:t>Contact Dermatitis.</w:t>
      </w:r>
      <w:proofErr w:type="gramEnd"/>
      <w:r w:rsidRPr="00C15F63">
        <w:rPr>
          <w:lang w:eastAsia="en-GB"/>
        </w:rPr>
        <w:t xml:space="preserve"> 51: 241-254</w:t>
      </w:r>
    </w:p>
    <w:p w14:paraId="1D7F8D70" w14:textId="77777777" w:rsidR="00E306DD" w:rsidRPr="00C15F63" w:rsidRDefault="00E306DD" w:rsidP="00E306DD">
      <w:pPr>
        <w:pStyle w:val="ListParagraph"/>
        <w:numPr>
          <w:ilvl w:val="0"/>
          <w:numId w:val="18"/>
        </w:numPr>
        <w:rPr>
          <w:lang w:eastAsia="en-GB"/>
        </w:rPr>
      </w:pPr>
      <w:proofErr w:type="spellStart"/>
      <w:proofErr w:type="gramStart"/>
      <w:r w:rsidRPr="00C15F63">
        <w:rPr>
          <w:lang w:eastAsia="en-GB"/>
        </w:rPr>
        <w:t>Søsted</w:t>
      </w:r>
      <w:proofErr w:type="spellEnd"/>
      <w:r w:rsidRPr="00C15F63">
        <w:rPr>
          <w:lang w:eastAsia="en-GB"/>
        </w:rPr>
        <w:t xml:space="preserve">, H. </w:t>
      </w:r>
      <w:proofErr w:type="spellStart"/>
      <w:r w:rsidRPr="00C15F63">
        <w:rPr>
          <w:lang w:eastAsia="en-GB"/>
        </w:rPr>
        <w:t>Johanssen</w:t>
      </w:r>
      <w:proofErr w:type="spellEnd"/>
      <w:r w:rsidRPr="00C15F63">
        <w:rPr>
          <w:lang w:eastAsia="en-GB"/>
        </w:rPr>
        <w:t xml:space="preserve">, J.D., Andersen, K.E. and </w:t>
      </w:r>
      <w:proofErr w:type="spellStart"/>
      <w:r w:rsidRPr="00C15F63">
        <w:rPr>
          <w:lang w:eastAsia="en-GB"/>
        </w:rPr>
        <w:t>Menne</w:t>
      </w:r>
      <w:proofErr w:type="spellEnd"/>
      <w:r w:rsidRPr="00C15F63">
        <w:rPr>
          <w:lang w:eastAsia="en-GB"/>
        </w:rPr>
        <w:t>, T. (2006).</w:t>
      </w:r>
      <w:proofErr w:type="gramEnd"/>
      <w:r w:rsidRPr="00C15F63">
        <w:rPr>
          <w:lang w:eastAsia="en-GB"/>
        </w:rPr>
        <w:t xml:space="preserve"> Severe allergic hair dye reactions in </w:t>
      </w:r>
      <w:proofErr w:type="gramStart"/>
      <w:r w:rsidRPr="00C15F63">
        <w:rPr>
          <w:lang w:eastAsia="en-GB"/>
        </w:rPr>
        <w:t>8</w:t>
      </w:r>
      <w:proofErr w:type="gramEnd"/>
      <w:r w:rsidRPr="00C15F63">
        <w:rPr>
          <w:lang w:eastAsia="en-GB"/>
        </w:rPr>
        <w:t xml:space="preserve"> children. Contact Dermatitis 54: 87-91.</w:t>
      </w:r>
    </w:p>
    <w:p w14:paraId="4161D5FB" w14:textId="77777777" w:rsidR="00E306DD" w:rsidRPr="00C15F63" w:rsidRDefault="00E306DD" w:rsidP="00E306DD">
      <w:pPr>
        <w:pStyle w:val="ListParagraph"/>
        <w:numPr>
          <w:ilvl w:val="0"/>
          <w:numId w:val="18"/>
        </w:numPr>
        <w:rPr>
          <w:lang w:eastAsia="en-GB"/>
        </w:rPr>
      </w:pPr>
      <w:proofErr w:type="spellStart"/>
      <w:proofErr w:type="gramStart"/>
      <w:r w:rsidRPr="00C15F63">
        <w:rPr>
          <w:lang w:eastAsia="en-GB"/>
        </w:rPr>
        <w:t>Thijssen</w:t>
      </w:r>
      <w:proofErr w:type="spellEnd"/>
      <w:r w:rsidRPr="00C15F63">
        <w:rPr>
          <w:lang w:eastAsia="en-GB"/>
        </w:rPr>
        <w:t>, J.P., White, J.M.L. and European Society of Contact Dermatitis (2008).</w:t>
      </w:r>
      <w:proofErr w:type="gramEnd"/>
      <w:r w:rsidRPr="00C15F63">
        <w:rPr>
          <w:lang w:eastAsia="en-GB"/>
        </w:rPr>
        <w:t xml:space="preserve"> </w:t>
      </w:r>
      <w:proofErr w:type="gramStart"/>
      <w:r w:rsidRPr="00C15F63">
        <w:rPr>
          <w:lang w:eastAsia="en-GB"/>
        </w:rPr>
        <w:t>Epidemiological data on consumer allergy to p-</w:t>
      </w:r>
      <w:proofErr w:type="spellStart"/>
      <w:r w:rsidRPr="00C15F63">
        <w:rPr>
          <w:lang w:eastAsia="en-GB"/>
        </w:rPr>
        <w:t>phenylenediamine</w:t>
      </w:r>
      <w:proofErr w:type="spellEnd"/>
      <w:r w:rsidRPr="00C15F63">
        <w:rPr>
          <w:lang w:eastAsia="en-GB"/>
        </w:rPr>
        <w:t>.</w:t>
      </w:r>
      <w:proofErr w:type="gramEnd"/>
      <w:r w:rsidRPr="00C15F63">
        <w:rPr>
          <w:lang w:eastAsia="en-GB"/>
        </w:rPr>
        <w:t xml:space="preserve"> </w:t>
      </w:r>
      <w:proofErr w:type="gramStart"/>
      <w:r w:rsidRPr="00C15F63">
        <w:rPr>
          <w:lang w:eastAsia="en-GB"/>
        </w:rPr>
        <w:t>Contact dermatitis, volume 59 (6), 327-343.</w:t>
      </w:r>
      <w:proofErr w:type="gramEnd"/>
    </w:p>
    <w:p w14:paraId="615AE549" w14:textId="77777777" w:rsidR="00E306DD" w:rsidRPr="00C15F63" w:rsidRDefault="00E306DD" w:rsidP="00E306DD">
      <w:pPr>
        <w:pStyle w:val="ListParagraph"/>
        <w:numPr>
          <w:ilvl w:val="0"/>
          <w:numId w:val="18"/>
        </w:numPr>
        <w:rPr>
          <w:lang w:eastAsia="en-GB"/>
        </w:rPr>
      </w:pPr>
      <w:proofErr w:type="spellStart"/>
      <w:r w:rsidRPr="00C15F63">
        <w:rPr>
          <w:lang w:eastAsia="en-GB"/>
        </w:rPr>
        <w:t>Sosted</w:t>
      </w:r>
      <w:proofErr w:type="spellEnd"/>
      <w:r w:rsidRPr="00C15F63">
        <w:rPr>
          <w:lang w:eastAsia="en-GB"/>
        </w:rPr>
        <w:t xml:space="preserve"> H, </w:t>
      </w:r>
      <w:proofErr w:type="spellStart"/>
      <w:r w:rsidRPr="00C15F63">
        <w:rPr>
          <w:lang w:eastAsia="en-GB"/>
        </w:rPr>
        <w:t>Menne</w:t>
      </w:r>
      <w:proofErr w:type="spellEnd"/>
      <w:r w:rsidRPr="00C15F63">
        <w:rPr>
          <w:lang w:eastAsia="en-GB"/>
        </w:rPr>
        <w:t xml:space="preserve"> T, Johansen JD (2006). </w:t>
      </w:r>
      <w:proofErr w:type="gramStart"/>
      <w:r w:rsidRPr="00C15F63">
        <w:rPr>
          <w:lang w:eastAsia="en-GB"/>
        </w:rPr>
        <w:t>Patch test dose-response study of p-</w:t>
      </w:r>
      <w:proofErr w:type="spellStart"/>
      <w:r w:rsidRPr="00C15F63">
        <w:rPr>
          <w:lang w:eastAsia="en-GB"/>
        </w:rPr>
        <w:t>phenylenediamine</w:t>
      </w:r>
      <w:proofErr w:type="spellEnd"/>
      <w:r w:rsidRPr="00C15F63">
        <w:rPr>
          <w:lang w:eastAsia="en-GB"/>
        </w:rPr>
        <w:t>: thresholds and anatomical regional differences.</w:t>
      </w:r>
      <w:proofErr w:type="gramEnd"/>
      <w:r w:rsidRPr="00C15F63">
        <w:rPr>
          <w:lang w:eastAsia="en-GB"/>
        </w:rPr>
        <w:t xml:space="preserve"> Contact Dermatitis 54: 145-149.</w:t>
      </w:r>
    </w:p>
    <w:p w14:paraId="771AF8F5" w14:textId="77777777" w:rsidR="00E306DD" w:rsidRDefault="00E306DD" w:rsidP="00E306DD">
      <w:pPr>
        <w:pStyle w:val="ListParagraph"/>
        <w:numPr>
          <w:ilvl w:val="0"/>
          <w:numId w:val="18"/>
        </w:numPr>
      </w:pPr>
      <w:r w:rsidRPr="00E306DD">
        <w:rPr>
          <w:color w:val="151515"/>
          <w:lang w:val="en"/>
        </w:rPr>
        <w:t xml:space="preserve">U.S. Environmental Protection Agency. </w:t>
      </w:r>
      <w:proofErr w:type="gramStart"/>
      <w:r w:rsidRPr="00E306DD">
        <w:rPr>
          <w:i/>
          <w:iCs/>
          <w:color w:val="151515"/>
          <w:lang w:val="en"/>
        </w:rPr>
        <w:t>p</w:t>
      </w:r>
      <w:r w:rsidRPr="00E306DD">
        <w:rPr>
          <w:color w:val="151515"/>
          <w:lang w:val="en"/>
        </w:rPr>
        <w:t>-</w:t>
      </w:r>
      <w:proofErr w:type="spellStart"/>
      <w:r w:rsidRPr="00E306DD">
        <w:rPr>
          <w:color w:val="151515"/>
          <w:lang w:val="en"/>
        </w:rPr>
        <w:t>Phenylenediamine</w:t>
      </w:r>
      <w:proofErr w:type="spellEnd"/>
      <w:proofErr w:type="gramEnd"/>
      <w:r w:rsidRPr="00E306DD">
        <w:rPr>
          <w:color w:val="151515"/>
          <w:lang w:val="en"/>
        </w:rPr>
        <w:t xml:space="preserve">. Hazard Summary-Created in April 1992; Revised in January 2000 </w:t>
      </w:r>
      <w:r w:rsidRPr="00C15F63">
        <w:t>(</w:t>
      </w:r>
      <w:hyperlink r:id="rId16" w:history="1">
        <w:r w:rsidRPr="00C15F63">
          <w:rPr>
            <w:rStyle w:val="Hyperlink"/>
          </w:rPr>
          <w:t>http://www.epa.gov/ttnatw01/hlthef/phenylen.html</w:t>
        </w:r>
      </w:hyperlink>
      <w:r w:rsidRPr="00C15F63">
        <w:t>) (last accessed September 2, 2015)</w:t>
      </w:r>
    </w:p>
    <w:p w14:paraId="60CDCE3B" w14:textId="77777777" w:rsidR="00E306DD" w:rsidRPr="00252503" w:rsidRDefault="00E306DD" w:rsidP="00E306DD">
      <w:pPr>
        <w:pStyle w:val="ListParagraph"/>
        <w:numPr>
          <w:ilvl w:val="0"/>
          <w:numId w:val="18"/>
        </w:numPr>
      </w:pPr>
      <w:r w:rsidRPr="00252503">
        <w:t xml:space="preserve">Vogel, T.A., </w:t>
      </w:r>
      <w:proofErr w:type="spellStart"/>
      <w:r w:rsidRPr="00252503">
        <w:t>Coenraads</w:t>
      </w:r>
      <w:proofErr w:type="spellEnd"/>
      <w:r w:rsidRPr="00252503">
        <w:t xml:space="preserve">, P-J., </w:t>
      </w:r>
      <w:proofErr w:type="spellStart"/>
      <w:r w:rsidRPr="00252503">
        <w:t>Bijkersma</w:t>
      </w:r>
      <w:proofErr w:type="spellEnd"/>
      <w:r w:rsidRPr="00252503">
        <w:t xml:space="preserve">, L.M., </w:t>
      </w:r>
      <w:proofErr w:type="spellStart"/>
      <w:r w:rsidRPr="00252503">
        <w:t>Vermeulen</w:t>
      </w:r>
      <w:proofErr w:type="spellEnd"/>
      <w:r w:rsidRPr="00252503">
        <w:t xml:space="preserve">, K.M. and </w:t>
      </w:r>
      <w:proofErr w:type="spellStart"/>
      <w:r>
        <w:t>Schuttelaar</w:t>
      </w:r>
      <w:proofErr w:type="spellEnd"/>
      <w:r>
        <w:t>, M-L.A.</w:t>
      </w:r>
      <w:r w:rsidRPr="00252503">
        <w:t xml:space="preserve"> on behalf of the EDEN Fragrance Study Group</w:t>
      </w:r>
      <w:r>
        <w:t xml:space="preserve"> (2015)  </w:t>
      </w:r>
      <w:r w:rsidRPr="00252503">
        <w:t>p-</w:t>
      </w:r>
      <w:proofErr w:type="spellStart"/>
      <w:r w:rsidRPr="00252503">
        <w:t>Phenylenediamine</w:t>
      </w:r>
      <w:proofErr w:type="spellEnd"/>
      <w:r w:rsidRPr="00252503">
        <w:t xml:space="preserve"> exposure in real life – a case–control study</w:t>
      </w:r>
      <w:r>
        <w:t xml:space="preserve"> </w:t>
      </w:r>
      <w:r w:rsidRPr="00252503">
        <w:t>on sensitization rate, mode and elicitation reactions in the northern</w:t>
      </w:r>
      <w:r>
        <w:t xml:space="preserve"> </w:t>
      </w:r>
      <w:r w:rsidRPr="00252503">
        <w:t>Netherlands</w:t>
      </w:r>
      <w:r>
        <w:t xml:space="preserve">, </w:t>
      </w:r>
      <w:r w:rsidRPr="00252503">
        <w:t>Contact Dermatitis, 72, 355–361</w:t>
      </w:r>
    </w:p>
    <w:p w14:paraId="526D979B" w14:textId="77777777" w:rsidR="00E306DD" w:rsidRPr="00E306DD" w:rsidRDefault="00E306DD" w:rsidP="00E306DD">
      <w:pPr>
        <w:pStyle w:val="ListParagraph"/>
        <w:numPr>
          <w:ilvl w:val="0"/>
          <w:numId w:val="18"/>
        </w:numPr>
        <w:rPr>
          <w:lang w:val="en" w:eastAsia="en-GB"/>
        </w:rPr>
      </w:pPr>
      <w:proofErr w:type="gramStart"/>
      <w:r w:rsidRPr="00E306DD">
        <w:rPr>
          <w:lang w:val="en" w:eastAsia="en-GB"/>
        </w:rPr>
        <w:t xml:space="preserve">White, J.M.L., </w:t>
      </w:r>
      <w:proofErr w:type="spellStart"/>
      <w:r w:rsidRPr="00E306DD">
        <w:rPr>
          <w:lang w:val="en" w:eastAsia="en-GB"/>
        </w:rPr>
        <w:t>Kullavanijaya</w:t>
      </w:r>
      <w:proofErr w:type="spellEnd"/>
      <w:r w:rsidRPr="00E306DD">
        <w:rPr>
          <w:lang w:val="en" w:eastAsia="en-GB"/>
        </w:rPr>
        <w:t xml:space="preserve">, P., </w:t>
      </w:r>
      <w:proofErr w:type="spellStart"/>
      <w:r w:rsidRPr="00E306DD">
        <w:rPr>
          <w:lang w:val="en" w:eastAsia="en-GB"/>
        </w:rPr>
        <w:t>Duangdeeden</w:t>
      </w:r>
      <w:proofErr w:type="spellEnd"/>
      <w:r w:rsidRPr="00E306DD">
        <w:rPr>
          <w:lang w:val="en" w:eastAsia="en-GB"/>
        </w:rPr>
        <w:t xml:space="preserve">, I., </w:t>
      </w:r>
      <w:proofErr w:type="spellStart"/>
      <w:r w:rsidRPr="00E306DD">
        <w:rPr>
          <w:lang w:val="en" w:eastAsia="en-GB"/>
        </w:rPr>
        <w:t>Zazzeroni</w:t>
      </w:r>
      <w:proofErr w:type="spellEnd"/>
      <w:r w:rsidRPr="00E306DD">
        <w:rPr>
          <w:lang w:val="en" w:eastAsia="en-GB"/>
        </w:rPr>
        <w:t xml:space="preserve">, R., Gilmour, N.J., </w:t>
      </w:r>
      <w:proofErr w:type="spellStart"/>
      <w:r w:rsidRPr="00E306DD">
        <w:rPr>
          <w:lang w:val="en" w:eastAsia="en-GB"/>
        </w:rPr>
        <w:t>Basketter</w:t>
      </w:r>
      <w:proofErr w:type="spellEnd"/>
      <w:r w:rsidRPr="00E306DD">
        <w:rPr>
          <w:lang w:val="en" w:eastAsia="en-GB"/>
        </w:rPr>
        <w:t>, D.A. and McFadden, J.P. (2006).</w:t>
      </w:r>
      <w:proofErr w:type="gramEnd"/>
      <w:r w:rsidRPr="00E306DD">
        <w:rPr>
          <w:lang w:val="en" w:eastAsia="en-GB"/>
        </w:rPr>
        <w:t xml:space="preserve"> </w:t>
      </w:r>
      <w:proofErr w:type="gramStart"/>
      <w:r w:rsidRPr="00E306DD">
        <w:rPr>
          <w:lang w:val="en" w:eastAsia="en-GB"/>
        </w:rPr>
        <w:t>P-</w:t>
      </w:r>
      <w:proofErr w:type="spellStart"/>
      <w:r w:rsidRPr="00E306DD">
        <w:rPr>
          <w:lang w:val="en" w:eastAsia="en-GB"/>
        </w:rPr>
        <w:t>Phenylenediamine</w:t>
      </w:r>
      <w:proofErr w:type="spellEnd"/>
      <w:r w:rsidRPr="00E306DD">
        <w:rPr>
          <w:lang w:val="en" w:eastAsia="en-GB"/>
        </w:rPr>
        <w:t xml:space="preserve"> allergy: the role of </w:t>
      </w:r>
      <w:proofErr w:type="spellStart"/>
      <w:r w:rsidRPr="00E306DD">
        <w:rPr>
          <w:lang w:val="en" w:eastAsia="en-GB"/>
        </w:rPr>
        <w:t>Bandrowski’s</w:t>
      </w:r>
      <w:proofErr w:type="spellEnd"/>
      <w:r w:rsidRPr="00E306DD">
        <w:rPr>
          <w:lang w:val="en" w:eastAsia="en-GB"/>
        </w:rPr>
        <w:t xml:space="preserve"> base.</w:t>
      </w:r>
      <w:proofErr w:type="gramEnd"/>
      <w:r w:rsidRPr="00E306DD">
        <w:rPr>
          <w:lang w:val="en" w:eastAsia="en-GB"/>
        </w:rPr>
        <w:t xml:space="preserve"> Clinical &amp; Experimental Allergy 36 (10), 1289-1293.</w:t>
      </w:r>
    </w:p>
    <w:p w14:paraId="1DE29D00" w14:textId="77777777" w:rsidR="00E306DD" w:rsidRPr="00C15F63" w:rsidRDefault="00E306DD" w:rsidP="00E306DD">
      <w:pPr>
        <w:rPr>
          <w:lang w:val="en" w:eastAsia="en-GB"/>
        </w:rPr>
      </w:pPr>
    </w:p>
    <w:p w14:paraId="68353A59" w14:textId="77777777" w:rsidR="00997177" w:rsidRDefault="000F2C4F">
      <w:bookmarkStart w:id="4" w:name="_GoBack"/>
      <w:bookmarkEnd w:id="4"/>
    </w:p>
    <w:sectPr w:rsidR="00997177">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C7190B" w14:textId="77777777" w:rsidR="00F145F2" w:rsidRDefault="00F145F2" w:rsidP="00471457">
      <w:r>
        <w:separator/>
      </w:r>
    </w:p>
  </w:endnote>
  <w:endnote w:type="continuationSeparator" w:id="0">
    <w:p w14:paraId="5DBE71B0" w14:textId="77777777" w:rsidR="00F145F2" w:rsidRDefault="00F145F2" w:rsidP="00471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53A63" w14:textId="77777777" w:rsidR="007A39FF" w:rsidRPr="00926DC2" w:rsidRDefault="007A39FF" w:rsidP="007A39FF">
    <w:pPr>
      <w:pStyle w:val="Footer"/>
      <w:rPr>
        <w:sz w:val="18"/>
        <w:szCs w:val="18"/>
      </w:rPr>
    </w:pPr>
    <w:r w:rsidRPr="00926DC2">
      <w:rPr>
        <w:sz w:val="18"/>
        <w:szCs w:val="18"/>
      </w:rPr>
      <w:t>Version 2.</w:t>
    </w:r>
    <w:r>
      <w:rPr>
        <w:sz w:val="18"/>
        <w:szCs w:val="18"/>
      </w:rPr>
      <w:t>1</w:t>
    </w:r>
  </w:p>
  <w:p w14:paraId="68353A64" w14:textId="0B76E564" w:rsidR="007A39FF" w:rsidRPr="00926DC2" w:rsidRDefault="001C1F13" w:rsidP="007A39FF">
    <w:pPr>
      <w:pStyle w:val="Footer"/>
      <w:rPr>
        <w:sz w:val="18"/>
        <w:szCs w:val="18"/>
      </w:rPr>
    </w:pPr>
    <w:r>
      <w:rPr>
        <w:sz w:val="18"/>
        <w:szCs w:val="18"/>
      </w:rPr>
      <w:t>October</w:t>
    </w:r>
    <w:r w:rsidR="007A39FF">
      <w:rPr>
        <w:sz w:val="18"/>
        <w:szCs w:val="18"/>
      </w:rPr>
      <w:t xml:space="preserve"> 2015</w:t>
    </w:r>
  </w:p>
  <w:p w14:paraId="68353A67" w14:textId="77777777" w:rsidR="002E4026" w:rsidRDefault="002E40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53A68" w14:textId="039F364B" w:rsidR="002E4026" w:rsidRPr="00B66083" w:rsidRDefault="00E86372" w:rsidP="002E4026">
    <w:pPr>
      <w:pStyle w:val="Footer"/>
      <w:jc w:val="center"/>
    </w:pPr>
    <w:r w:rsidRPr="009A61C8">
      <w:rPr>
        <w:sz w:val="18"/>
        <w:szCs w:val="18"/>
      </w:rPr>
      <w:t xml:space="preserve">EC no </w:t>
    </w:r>
    <w:r w:rsidR="00E306DD" w:rsidRPr="00E306DD">
      <w:t>203-404-7</w:t>
    </w:r>
    <w:r w:rsidRPr="009A61C8">
      <w:rPr>
        <w:sz w:val="18"/>
        <w:szCs w:val="18"/>
      </w:rPr>
      <w:tab/>
      <w:t xml:space="preserve">MSCA - </w:t>
    </w:r>
    <w:r w:rsidR="00E306DD">
      <w:rPr>
        <w:sz w:val="18"/>
        <w:szCs w:val="18"/>
      </w:rPr>
      <w:t>NL</w:t>
    </w:r>
    <w:r>
      <w:rPr>
        <w:sz w:val="18"/>
        <w:szCs w:val="18"/>
      </w:rPr>
      <w:tab/>
    </w:r>
    <w:r w:rsidR="002E4026" w:rsidRPr="009320DD">
      <w:rPr>
        <w:sz w:val="18"/>
        <w:szCs w:val="18"/>
      </w:rPr>
      <w:t xml:space="preserve">Page </w:t>
    </w:r>
    <w:r w:rsidR="002E4026" w:rsidRPr="009320DD">
      <w:rPr>
        <w:sz w:val="18"/>
        <w:szCs w:val="18"/>
      </w:rPr>
      <w:fldChar w:fldCharType="begin"/>
    </w:r>
    <w:r w:rsidR="002E4026" w:rsidRPr="009320DD">
      <w:rPr>
        <w:sz w:val="18"/>
        <w:szCs w:val="18"/>
      </w:rPr>
      <w:instrText xml:space="preserve"> PAGE </w:instrText>
    </w:r>
    <w:r w:rsidR="002E4026" w:rsidRPr="009320DD">
      <w:rPr>
        <w:sz w:val="18"/>
        <w:szCs w:val="18"/>
      </w:rPr>
      <w:fldChar w:fldCharType="separate"/>
    </w:r>
    <w:r w:rsidR="005A1528">
      <w:rPr>
        <w:noProof/>
        <w:sz w:val="18"/>
        <w:szCs w:val="18"/>
      </w:rPr>
      <w:t>3</w:t>
    </w:r>
    <w:r w:rsidR="002E4026" w:rsidRPr="009320DD">
      <w:rPr>
        <w:sz w:val="18"/>
        <w:szCs w:val="18"/>
      </w:rPr>
      <w:fldChar w:fldCharType="end"/>
    </w:r>
    <w:r w:rsidR="002E4026" w:rsidRPr="009320DD">
      <w:rPr>
        <w:sz w:val="18"/>
        <w:szCs w:val="18"/>
      </w:rPr>
      <w:t xml:space="preserve"> of </w:t>
    </w:r>
    <w:r w:rsidR="002E4026" w:rsidRPr="009320DD">
      <w:rPr>
        <w:sz w:val="18"/>
        <w:szCs w:val="18"/>
      </w:rPr>
      <w:fldChar w:fldCharType="begin"/>
    </w:r>
    <w:r w:rsidR="002E4026" w:rsidRPr="009320DD">
      <w:rPr>
        <w:sz w:val="18"/>
        <w:szCs w:val="18"/>
      </w:rPr>
      <w:instrText xml:space="preserve"> NUMPAGES </w:instrText>
    </w:r>
    <w:r w:rsidR="002E4026" w:rsidRPr="009320DD">
      <w:rPr>
        <w:sz w:val="18"/>
        <w:szCs w:val="18"/>
      </w:rPr>
      <w:fldChar w:fldCharType="separate"/>
    </w:r>
    <w:r w:rsidR="005A1528">
      <w:rPr>
        <w:noProof/>
        <w:sz w:val="18"/>
        <w:szCs w:val="18"/>
      </w:rPr>
      <w:t>18</w:t>
    </w:r>
    <w:r w:rsidR="002E4026" w:rsidRPr="009320DD">
      <w:rPr>
        <w:sz w:val="18"/>
        <w:szCs w:val="18"/>
      </w:rPr>
      <w:fldChar w:fldCharType="end"/>
    </w:r>
  </w:p>
  <w:p w14:paraId="68353A69" w14:textId="77777777" w:rsidR="002E4026" w:rsidRDefault="002E40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53A6A" w14:textId="45CFE4B3" w:rsidR="00C0335E" w:rsidRPr="00B66083" w:rsidRDefault="00E86372" w:rsidP="00B66083">
    <w:pPr>
      <w:pStyle w:val="Footer"/>
      <w:jc w:val="center"/>
    </w:pPr>
    <w:r w:rsidRPr="009A61C8">
      <w:rPr>
        <w:sz w:val="18"/>
        <w:szCs w:val="18"/>
      </w:rPr>
      <w:t xml:space="preserve">EC no </w:t>
    </w:r>
    <w:r w:rsidR="005A1528" w:rsidRPr="005A1528">
      <w:t>203-404-7</w:t>
    </w:r>
    <w:r w:rsidRPr="009A61C8">
      <w:rPr>
        <w:sz w:val="18"/>
        <w:szCs w:val="18"/>
      </w:rPr>
      <w:tab/>
      <w:t xml:space="preserve">MSCA - </w:t>
    </w:r>
    <w:r w:rsidR="005A1528">
      <w:rPr>
        <w:sz w:val="18"/>
        <w:szCs w:val="18"/>
      </w:rPr>
      <w:t>NL</w:t>
    </w:r>
    <w:r>
      <w:rPr>
        <w:sz w:val="18"/>
        <w:szCs w:val="18"/>
      </w:rPr>
      <w:tab/>
    </w:r>
    <w:r w:rsidR="00B66083" w:rsidRPr="009320DD">
      <w:rPr>
        <w:sz w:val="18"/>
        <w:szCs w:val="18"/>
      </w:rPr>
      <w:t xml:space="preserve">Page </w:t>
    </w:r>
    <w:r w:rsidR="00B66083" w:rsidRPr="009320DD">
      <w:rPr>
        <w:sz w:val="18"/>
        <w:szCs w:val="18"/>
      </w:rPr>
      <w:fldChar w:fldCharType="begin"/>
    </w:r>
    <w:r w:rsidR="00B66083" w:rsidRPr="009320DD">
      <w:rPr>
        <w:sz w:val="18"/>
        <w:szCs w:val="18"/>
      </w:rPr>
      <w:instrText xml:space="preserve"> PAGE </w:instrText>
    </w:r>
    <w:r w:rsidR="00B66083" w:rsidRPr="009320DD">
      <w:rPr>
        <w:sz w:val="18"/>
        <w:szCs w:val="18"/>
      </w:rPr>
      <w:fldChar w:fldCharType="separate"/>
    </w:r>
    <w:r w:rsidR="000F2C4F">
      <w:rPr>
        <w:noProof/>
        <w:sz w:val="18"/>
        <w:szCs w:val="18"/>
      </w:rPr>
      <w:t>17</w:t>
    </w:r>
    <w:r w:rsidR="00B66083" w:rsidRPr="009320DD">
      <w:rPr>
        <w:sz w:val="18"/>
        <w:szCs w:val="18"/>
      </w:rPr>
      <w:fldChar w:fldCharType="end"/>
    </w:r>
    <w:r w:rsidR="00B66083" w:rsidRPr="009320DD">
      <w:rPr>
        <w:sz w:val="18"/>
        <w:szCs w:val="18"/>
      </w:rPr>
      <w:t xml:space="preserve"> of </w:t>
    </w:r>
    <w:r w:rsidR="00B66083" w:rsidRPr="009320DD">
      <w:rPr>
        <w:sz w:val="18"/>
        <w:szCs w:val="18"/>
      </w:rPr>
      <w:fldChar w:fldCharType="begin"/>
    </w:r>
    <w:r w:rsidR="00B66083" w:rsidRPr="009320DD">
      <w:rPr>
        <w:sz w:val="18"/>
        <w:szCs w:val="18"/>
      </w:rPr>
      <w:instrText xml:space="preserve"> NUMPAGES </w:instrText>
    </w:r>
    <w:r w:rsidR="00B66083" w:rsidRPr="009320DD">
      <w:rPr>
        <w:sz w:val="18"/>
        <w:szCs w:val="18"/>
      </w:rPr>
      <w:fldChar w:fldCharType="separate"/>
    </w:r>
    <w:r w:rsidR="000F2C4F">
      <w:rPr>
        <w:noProof/>
        <w:sz w:val="18"/>
        <w:szCs w:val="18"/>
      </w:rPr>
      <w:t>17</w:t>
    </w:r>
    <w:r w:rsidR="00B66083" w:rsidRPr="009320DD">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B6F7A7" w14:textId="77777777" w:rsidR="00F145F2" w:rsidRDefault="00F145F2" w:rsidP="00471457">
      <w:r>
        <w:separator/>
      </w:r>
    </w:p>
  </w:footnote>
  <w:footnote w:type="continuationSeparator" w:id="0">
    <w:p w14:paraId="57466B0B" w14:textId="77777777" w:rsidR="00F145F2" w:rsidRDefault="00F145F2" w:rsidP="00471457">
      <w:r>
        <w:continuationSeparator/>
      </w:r>
    </w:p>
  </w:footnote>
  <w:footnote w:id="1">
    <w:p w14:paraId="0782CAD9" w14:textId="4C3B98EB" w:rsidR="001C1F13" w:rsidRDefault="001C1F13" w:rsidP="001C1F13">
      <w:pPr>
        <w:pStyle w:val="FootnoteText"/>
      </w:pPr>
      <w:r>
        <w:rPr>
          <w:rStyle w:val="FootnoteReference"/>
        </w:rPr>
        <w:footnoteRef/>
      </w:r>
      <w:r>
        <w:t xml:space="preserve"> For more information on the SVHC Roadmap: </w:t>
      </w:r>
      <w:hyperlink r:id="rId1" w:history="1">
        <w:r w:rsidR="00A03E87" w:rsidRPr="0022686E">
          <w:rPr>
            <w:rStyle w:val="Hyperlink"/>
          </w:rPr>
          <w:t>http://echa.europa.eu/addressing-chemicals-of-concern/substances-of-potential-concern/svhc-roadmap-to-2020-implementation</w:t>
        </w:r>
      </w:hyperlink>
    </w:p>
  </w:footnote>
  <w:footnote w:id="2">
    <w:p w14:paraId="4E62C192" w14:textId="77777777" w:rsidR="00E306DD" w:rsidRPr="00487D13" w:rsidRDefault="00E306DD" w:rsidP="00E306DD">
      <w:pPr>
        <w:pStyle w:val="FootnoteText"/>
        <w:rPr>
          <w:sz w:val="16"/>
          <w:szCs w:val="16"/>
        </w:rPr>
      </w:pPr>
      <w:r w:rsidRPr="00487D13">
        <w:rPr>
          <w:rStyle w:val="FootnoteReference"/>
          <w:sz w:val="16"/>
          <w:szCs w:val="16"/>
        </w:rPr>
        <w:footnoteRef/>
      </w:r>
      <w:r>
        <w:rPr>
          <w:sz w:val="16"/>
          <w:szCs w:val="16"/>
        </w:rPr>
        <w:t xml:space="preserve"> Please specify the relevant entry. </w:t>
      </w:r>
    </w:p>
  </w:footnote>
  <w:footnote w:id="3">
    <w:p w14:paraId="6B491CFE" w14:textId="77777777" w:rsidR="00E306DD" w:rsidRPr="00852A07" w:rsidRDefault="00E306DD" w:rsidP="00E306DD">
      <w:pPr>
        <w:pStyle w:val="FootnoteText"/>
      </w:pPr>
      <w:r>
        <w:rPr>
          <w:rStyle w:val="FootnoteReference"/>
        </w:rPr>
        <w:footnoteRef/>
      </w:r>
      <w:r>
        <w:t xml:space="preserve"> MANUAL OF THE WORKING GROUP ON COSMETIC PRODUCTS (SUB-GROUP ON BORDERLINE PRODUCTS) ON THE SCOPE OF APPLICATION OF THE COSMETICS, REGULATION (EC) NO 1223/2009 (ART. 2(1)(A)), VERSION 2.1 (FEBRUARY 2016)</w:t>
      </w:r>
    </w:p>
  </w:footnote>
  <w:footnote w:id="4">
    <w:p w14:paraId="515DFDE8" w14:textId="77777777" w:rsidR="00E306DD" w:rsidRPr="00E52918" w:rsidRDefault="00E306DD" w:rsidP="00E306DD">
      <w:pPr>
        <w:pStyle w:val="FootnoteText"/>
      </w:pPr>
      <w:r>
        <w:rPr>
          <w:rStyle w:val="FootnoteReference"/>
        </w:rPr>
        <w:footnoteRef/>
      </w:r>
      <w:r>
        <w:t xml:space="preserve"> </w:t>
      </w:r>
      <w:r w:rsidRPr="00CE7181">
        <w:rPr>
          <w:sz w:val="16"/>
        </w:rPr>
        <w:t xml:space="preserve">Permanent hair dyes </w:t>
      </w:r>
      <w:proofErr w:type="gramStart"/>
      <w:r w:rsidRPr="00CE7181">
        <w:rPr>
          <w:sz w:val="16"/>
        </w:rPr>
        <w:t>are formed</w:t>
      </w:r>
      <w:proofErr w:type="gramEnd"/>
      <w:r w:rsidRPr="00CE7181">
        <w:rPr>
          <w:sz w:val="16"/>
        </w:rPr>
        <w:t xml:space="preserve"> by mixing three classes of chemicals: primary intermediates, couplers, and an oxidant, usually hydrogen peroxide. When mixed, these chemicals undergo oxidation and coupling reactions to form coloured material inside the hair shaft. The colours </w:t>
      </w:r>
      <w:proofErr w:type="gramStart"/>
      <w:r w:rsidRPr="00CE7181">
        <w:rPr>
          <w:sz w:val="16"/>
        </w:rPr>
        <w:t>are not removed</w:t>
      </w:r>
      <w:proofErr w:type="gramEnd"/>
      <w:r w:rsidRPr="00CE7181">
        <w:rPr>
          <w:sz w:val="16"/>
        </w:rPr>
        <w:t xml:space="preserve"> by shampooing.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53A61" w14:textId="77777777" w:rsidR="00E86372" w:rsidRPr="00375712" w:rsidRDefault="00A41F93" w:rsidP="00E86372">
    <w:pPr>
      <w:ind w:right="26"/>
      <w:rPr>
        <w:lang w:eastAsia="en-GB"/>
      </w:rPr>
    </w:pPr>
    <w:r w:rsidRPr="00A41F93">
      <w:rPr>
        <w:lang w:val="fr-FR"/>
      </w:rPr>
      <w:t>RMOA CONCLUSION DOCUMENT</w:t>
    </w:r>
    <w:r>
      <w:ptab w:relativeTo="margin" w:alignment="center" w:leader="none"/>
    </w:r>
    <w:r>
      <w:ptab w:relativeTo="margin" w:alignment="right" w:leader="none"/>
    </w:r>
    <w:r w:rsidR="00E86372">
      <w:rPr>
        <w:lang w:eastAsia="en-GB"/>
      </w:rPr>
      <w:t xml:space="preserve"> _________________________________________________________________</w:t>
    </w:r>
  </w:p>
  <w:p w14:paraId="68353A62" w14:textId="77777777" w:rsidR="00A41F93" w:rsidRPr="00A41F93" w:rsidRDefault="00A41F93">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0CC1"/>
    <w:multiLevelType w:val="hybridMultilevel"/>
    <w:tmpl w:val="E4F065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5B21B0B"/>
    <w:multiLevelType w:val="hybridMultilevel"/>
    <w:tmpl w:val="575A81B2"/>
    <w:lvl w:ilvl="0" w:tplc="BE3A2FA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881F60"/>
    <w:multiLevelType w:val="hybridMultilevel"/>
    <w:tmpl w:val="4D422D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F5635B"/>
    <w:multiLevelType w:val="hybridMultilevel"/>
    <w:tmpl w:val="0026E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4C572C"/>
    <w:multiLevelType w:val="hybridMultilevel"/>
    <w:tmpl w:val="F2B0E742"/>
    <w:lvl w:ilvl="0" w:tplc="35CE9C12">
      <w:start w:val="4"/>
      <w:numFmt w:val="bullet"/>
      <w:lvlText w:val="•"/>
      <w:lvlJc w:val="left"/>
      <w:pPr>
        <w:ind w:left="780" w:hanging="720"/>
      </w:pPr>
      <w:rPr>
        <w:rFonts w:ascii="Times New Roman" w:eastAsia="Times New Roman" w:hAnsi="Times New Roman" w:cs="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166C61DB"/>
    <w:multiLevelType w:val="hybridMultilevel"/>
    <w:tmpl w:val="CC7EA86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23B6B2F"/>
    <w:multiLevelType w:val="hybridMultilevel"/>
    <w:tmpl w:val="E3F81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FB73AA"/>
    <w:multiLevelType w:val="hybridMultilevel"/>
    <w:tmpl w:val="378C4214"/>
    <w:lvl w:ilvl="0" w:tplc="95B48F64">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nsid w:val="2A1701CB"/>
    <w:multiLevelType w:val="multilevel"/>
    <w:tmpl w:val="D03413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nsid w:val="34BF4DEE"/>
    <w:multiLevelType w:val="hybridMultilevel"/>
    <w:tmpl w:val="BD1AFFCA"/>
    <w:lvl w:ilvl="0" w:tplc="853CCEA8">
      <w:numFmt w:val="bullet"/>
      <w:lvlText w:val="-"/>
      <w:lvlJc w:val="left"/>
      <w:pPr>
        <w:ind w:left="435" w:hanging="360"/>
      </w:pPr>
      <w:rPr>
        <w:rFonts w:ascii="Verdana" w:eastAsiaTheme="minorHAnsi" w:hAnsi="Verdana" w:cstheme="minorBidi"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10">
    <w:nsid w:val="444666FB"/>
    <w:multiLevelType w:val="multilevel"/>
    <w:tmpl w:val="607AC490"/>
    <w:lvl w:ilvl="0">
      <w:start w:val="1"/>
      <w:numFmt w:val="decimal"/>
      <w:suff w:val="space"/>
      <w:lvlText w:val="%1."/>
      <w:lvlJc w:val="left"/>
      <w:pPr>
        <w:ind w:left="0" w:firstLine="0"/>
      </w:pPr>
      <w:rPr>
        <w:rFonts w:ascii="Verdana" w:hAnsi="Verdana" w:hint="default"/>
        <w:b/>
        <w:i w:val="0"/>
        <w:color w:val="0046AD"/>
        <w:sz w:val="28"/>
      </w:rPr>
    </w:lvl>
    <w:lvl w:ilvl="1">
      <w:start w:val="1"/>
      <w:numFmt w:val="decimal"/>
      <w:suff w:val="space"/>
      <w:lvlText w:val="%1.%2."/>
      <w:lvlJc w:val="left"/>
      <w:pPr>
        <w:ind w:left="0" w:firstLine="0"/>
      </w:pPr>
      <w:rPr>
        <w:rFonts w:ascii="Verdana" w:hAnsi="Verdana" w:hint="default"/>
        <w:b/>
        <w:i w:val="0"/>
        <w:color w:val="0046AD"/>
        <w:sz w:val="24"/>
      </w:rPr>
    </w:lvl>
    <w:lvl w:ilvl="2">
      <w:start w:val="1"/>
      <w:numFmt w:val="decimal"/>
      <w:suff w:val="space"/>
      <w:lvlText w:val="%1.%2.%3."/>
      <w:lvlJc w:val="left"/>
      <w:pPr>
        <w:ind w:left="0" w:firstLine="0"/>
      </w:pPr>
      <w:rPr>
        <w:rFonts w:ascii="Verdana" w:hAnsi="Verdana" w:hint="default"/>
        <w:b/>
        <w:i w:val="0"/>
        <w:color w:val="auto"/>
        <w:sz w:val="22"/>
      </w:rPr>
    </w:lvl>
    <w:lvl w:ilvl="3">
      <w:start w:val="1"/>
      <w:numFmt w:val="decimal"/>
      <w:suff w:val="space"/>
      <w:lvlText w:val="%1.%2.%3.%4."/>
      <w:lvlJc w:val="left"/>
      <w:pPr>
        <w:ind w:left="0" w:firstLine="0"/>
      </w:pPr>
      <w:rPr>
        <w:rFonts w:ascii="Verdana" w:hAnsi="Verdana" w:hint="default"/>
        <w:b/>
        <w:i w:val="0"/>
        <w:sz w:val="22"/>
      </w:rPr>
    </w:lvl>
    <w:lvl w:ilvl="4">
      <w:start w:val="1"/>
      <w:numFmt w:val="decimal"/>
      <w:suff w:val="space"/>
      <w:lvlText w:val="%1.%2.%3.%4.%5."/>
      <w:lvlJc w:val="left"/>
      <w:pPr>
        <w:ind w:left="0" w:firstLine="0"/>
      </w:pPr>
      <w:rPr>
        <w:rFonts w:ascii="Verdana" w:hAnsi="Verdana" w:hint="default"/>
        <w:b/>
        <w:i w:val="0"/>
        <w:color w:val="auto"/>
        <w:sz w:val="20"/>
      </w:rPr>
    </w:lvl>
    <w:lvl w:ilvl="5">
      <w:start w:val="1"/>
      <w:numFmt w:val="decimal"/>
      <w:suff w:val="space"/>
      <w:lvlText w:val="%1.%2.%3.%4.%5.%6."/>
      <w:lvlJc w:val="left"/>
      <w:pPr>
        <w:ind w:left="0" w:firstLine="0"/>
      </w:pPr>
      <w:rPr>
        <w:rFonts w:ascii="Verdana" w:hAnsi="Verdana" w:hint="default"/>
        <w:b/>
        <w:i w:val="0"/>
        <w:color w:val="auto"/>
        <w:sz w:val="20"/>
      </w:rPr>
    </w:lvl>
    <w:lvl w:ilvl="6">
      <w:start w:val="1"/>
      <w:numFmt w:val="decimal"/>
      <w:suff w:val="space"/>
      <w:lvlText w:val="%1.%2.%3.%4.%5.%6.%7."/>
      <w:lvlJc w:val="left"/>
      <w:pPr>
        <w:ind w:left="0" w:firstLine="0"/>
      </w:pPr>
      <w:rPr>
        <w:rFonts w:ascii="Verdana" w:hAnsi="Verdana" w:hint="default"/>
        <w:b/>
        <w:i w:val="0"/>
        <w:color w:val="auto"/>
        <w:sz w:val="20"/>
      </w:rPr>
    </w:lvl>
    <w:lvl w:ilvl="7">
      <w:start w:val="1"/>
      <w:numFmt w:val="decimal"/>
      <w:suff w:val="space"/>
      <w:lvlText w:val="%1.%2.%3.%4.%5.%6.%7.%8."/>
      <w:lvlJc w:val="left"/>
      <w:pPr>
        <w:ind w:left="0" w:firstLine="0"/>
      </w:pPr>
      <w:rPr>
        <w:rFonts w:ascii="Verdana" w:hAnsi="Verdana" w:hint="default"/>
        <w:b/>
        <w:i w:val="0"/>
        <w:sz w:val="20"/>
      </w:rPr>
    </w:lvl>
    <w:lvl w:ilvl="8">
      <w:start w:val="1"/>
      <w:numFmt w:val="decimal"/>
      <w:suff w:val="space"/>
      <w:lvlText w:val="%1.%2.%3.%4.%5.%6.%7.%8.%9."/>
      <w:lvlJc w:val="left"/>
      <w:pPr>
        <w:ind w:left="0" w:firstLine="0"/>
      </w:pPr>
      <w:rPr>
        <w:rFonts w:ascii="Verdana" w:hAnsi="Verdana" w:hint="default"/>
        <w:b/>
        <w:i w:val="0"/>
        <w:sz w:val="20"/>
      </w:rPr>
    </w:lvl>
  </w:abstractNum>
  <w:abstractNum w:abstractNumId="11">
    <w:nsid w:val="447925E3"/>
    <w:multiLevelType w:val="multilevel"/>
    <w:tmpl w:val="17265C0A"/>
    <w:styleLink w:val="ECHABulletlist"/>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55D3458"/>
    <w:multiLevelType w:val="multilevel"/>
    <w:tmpl w:val="D03413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nsid w:val="4E0A1E25"/>
    <w:multiLevelType w:val="multilevel"/>
    <w:tmpl w:val="48AA0558"/>
    <w:styleLink w:val="ECHANumberlist"/>
    <w:lvl w:ilvl="0">
      <w:start w:val="1"/>
      <w:numFmt w:val="decimal"/>
      <w:lvlText w:val="%1."/>
      <w:lvlJc w:val="left"/>
      <w:pPr>
        <w:tabs>
          <w:tab w:val="num" w:pos="720"/>
        </w:tabs>
        <w:ind w:left="720" w:hanging="360"/>
      </w:pPr>
      <w:rPr>
        <w:rFonts w:ascii="Verdana" w:hAnsi="Verdana"/>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A303A0C"/>
    <w:multiLevelType w:val="hybridMultilevel"/>
    <w:tmpl w:val="3BB020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83E5807"/>
    <w:multiLevelType w:val="multilevel"/>
    <w:tmpl w:val="D03413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nsid w:val="69010AF6"/>
    <w:multiLevelType w:val="hybridMultilevel"/>
    <w:tmpl w:val="501008F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6E614FC2"/>
    <w:multiLevelType w:val="multilevel"/>
    <w:tmpl w:val="D03413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13"/>
  </w:num>
  <w:num w:numId="3">
    <w:abstractNumId w:val="7"/>
  </w:num>
  <w:num w:numId="4">
    <w:abstractNumId w:val="0"/>
  </w:num>
  <w:num w:numId="5">
    <w:abstractNumId w:val="5"/>
  </w:num>
  <w:num w:numId="6">
    <w:abstractNumId w:val="17"/>
  </w:num>
  <w:num w:numId="7">
    <w:abstractNumId w:val="2"/>
  </w:num>
  <w:num w:numId="8">
    <w:abstractNumId w:val="3"/>
  </w:num>
  <w:num w:numId="9">
    <w:abstractNumId w:val="9"/>
  </w:num>
  <w:num w:numId="10">
    <w:abstractNumId w:val="10"/>
  </w:num>
  <w:num w:numId="11">
    <w:abstractNumId w:val="12"/>
  </w:num>
  <w:num w:numId="12">
    <w:abstractNumId w:val="8"/>
  </w:num>
  <w:num w:numId="13">
    <w:abstractNumId w:val="15"/>
  </w:num>
  <w:num w:numId="14">
    <w:abstractNumId w:val="16"/>
  </w:num>
  <w:num w:numId="15">
    <w:abstractNumId w:val="6"/>
  </w:num>
  <w:num w:numId="16">
    <w:abstractNumId w:val="14"/>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457"/>
    <w:rsid w:val="00002586"/>
    <w:rsid w:val="000042FA"/>
    <w:rsid w:val="0000560B"/>
    <w:rsid w:val="000122ED"/>
    <w:rsid w:val="0001476D"/>
    <w:rsid w:val="000204C4"/>
    <w:rsid w:val="00024D48"/>
    <w:rsid w:val="00037F48"/>
    <w:rsid w:val="00047BEE"/>
    <w:rsid w:val="00054356"/>
    <w:rsid w:val="000633BF"/>
    <w:rsid w:val="000711F7"/>
    <w:rsid w:val="00077E65"/>
    <w:rsid w:val="0009452D"/>
    <w:rsid w:val="000A3AEB"/>
    <w:rsid w:val="000D5B93"/>
    <w:rsid w:val="000E2FC2"/>
    <w:rsid w:val="000E4E5B"/>
    <w:rsid w:val="000E7032"/>
    <w:rsid w:val="000F2C4F"/>
    <w:rsid w:val="00112815"/>
    <w:rsid w:val="0011467E"/>
    <w:rsid w:val="001259BB"/>
    <w:rsid w:val="0012634F"/>
    <w:rsid w:val="00126494"/>
    <w:rsid w:val="00141098"/>
    <w:rsid w:val="001448AF"/>
    <w:rsid w:val="00144FCA"/>
    <w:rsid w:val="00166209"/>
    <w:rsid w:val="00183C4B"/>
    <w:rsid w:val="001915C8"/>
    <w:rsid w:val="001C1F13"/>
    <w:rsid w:val="001C61F7"/>
    <w:rsid w:val="001E6C1A"/>
    <w:rsid w:val="00201A44"/>
    <w:rsid w:val="00202966"/>
    <w:rsid w:val="00205775"/>
    <w:rsid w:val="002163CF"/>
    <w:rsid w:val="00220442"/>
    <w:rsid w:val="00227B7E"/>
    <w:rsid w:val="002460BF"/>
    <w:rsid w:val="00256417"/>
    <w:rsid w:val="00262180"/>
    <w:rsid w:val="002650FC"/>
    <w:rsid w:val="00270FFE"/>
    <w:rsid w:val="0027431B"/>
    <w:rsid w:val="002920AC"/>
    <w:rsid w:val="00294316"/>
    <w:rsid w:val="002C515C"/>
    <w:rsid w:val="002C6ADA"/>
    <w:rsid w:val="002D0A2E"/>
    <w:rsid w:val="002D7699"/>
    <w:rsid w:val="002E3562"/>
    <w:rsid w:val="002E4026"/>
    <w:rsid w:val="002E4672"/>
    <w:rsid w:val="002F261C"/>
    <w:rsid w:val="003065EE"/>
    <w:rsid w:val="0032297A"/>
    <w:rsid w:val="00326F57"/>
    <w:rsid w:val="00332FF4"/>
    <w:rsid w:val="00363833"/>
    <w:rsid w:val="0036659A"/>
    <w:rsid w:val="003746D1"/>
    <w:rsid w:val="003B32BD"/>
    <w:rsid w:val="003C1375"/>
    <w:rsid w:val="003C2E00"/>
    <w:rsid w:val="003C3793"/>
    <w:rsid w:val="003D4597"/>
    <w:rsid w:val="003E1455"/>
    <w:rsid w:val="003E7258"/>
    <w:rsid w:val="00412208"/>
    <w:rsid w:val="00415B10"/>
    <w:rsid w:val="0042483F"/>
    <w:rsid w:val="004364C9"/>
    <w:rsid w:val="00436C19"/>
    <w:rsid w:val="00441EE7"/>
    <w:rsid w:val="0044304E"/>
    <w:rsid w:val="00444011"/>
    <w:rsid w:val="00452825"/>
    <w:rsid w:val="00463240"/>
    <w:rsid w:val="0046464F"/>
    <w:rsid w:val="00467561"/>
    <w:rsid w:val="00467619"/>
    <w:rsid w:val="00471457"/>
    <w:rsid w:val="00483960"/>
    <w:rsid w:val="00490007"/>
    <w:rsid w:val="00492518"/>
    <w:rsid w:val="004A5B50"/>
    <w:rsid w:val="004B10B4"/>
    <w:rsid w:val="004B48E4"/>
    <w:rsid w:val="004B63F1"/>
    <w:rsid w:val="004B7059"/>
    <w:rsid w:val="004C7EF4"/>
    <w:rsid w:val="004D24E8"/>
    <w:rsid w:val="004E0601"/>
    <w:rsid w:val="004E385D"/>
    <w:rsid w:val="004E7788"/>
    <w:rsid w:val="004F0B91"/>
    <w:rsid w:val="004F51B6"/>
    <w:rsid w:val="004F6831"/>
    <w:rsid w:val="00501202"/>
    <w:rsid w:val="00502ADE"/>
    <w:rsid w:val="00510C24"/>
    <w:rsid w:val="00513808"/>
    <w:rsid w:val="00515C08"/>
    <w:rsid w:val="00523442"/>
    <w:rsid w:val="00531303"/>
    <w:rsid w:val="005401E5"/>
    <w:rsid w:val="005437BE"/>
    <w:rsid w:val="005575E6"/>
    <w:rsid w:val="00586832"/>
    <w:rsid w:val="00594EC4"/>
    <w:rsid w:val="00596A10"/>
    <w:rsid w:val="005A1528"/>
    <w:rsid w:val="005A2AD2"/>
    <w:rsid w:val="005C3710"/>
    <w:rsid w:val="005F2482"/>
    <w:rsid w:val="005F45D1"/>
    <w:rsid w:val="005F79AE"/>
    <w:rsid w:val="00600A04"/>
    <w:rsid w:val="00610621"/>
    <w:rsid w:val="00610DF1"/>
    <w:rsid w:val="00621CAC"/>
    <w:rsid w:val="00623882"/>
    <w:rsid w:val="006305CD"/>
    <w:rsid w:val="00647E06"/>
    <w:rsid w:val="006617E0"/>
    <w:rsid w:val="00676DCA"/>
    <w:rsid w:val="00680C20"/>
    <w:rsid w:val="00690F3B"/>
    <w:rsid w:val="006941E7"/>
    <w:rsid w:val="006A4ADE"/>
    <w:rsid w:val="006D39F4"/>
    <w:rsid w:val="006E2B7B"/>
    <w:rsid w:val="006E6B1A"/>
    <w:rsid w:val="006F6AE3"/>
    <w:rsid w:val="00705350"/>
    <w:rsid w:val="00713266"/>
    <w:rsid w:val="00741D90"/>
    <w:rsid w:val="00751518"/>
    <w:rsid w:val="00753065"/>
    <w:rsid w:val="00755D9F"/>
    <w:rsid w:val="00774DE9"/>
    <w:rsid w:val="00781EA6"/>
    <w:rsid w:val="00784A7F"/>
    <w:rsid w:val="0078730A"/>
    <w:rsid w:val="00791E13"/>
    <w:rsid w:val="007957E4"/>
    <w:rsid w:val="007A2C1C"/>
    <w:rsid w:val="007A39FF"/>
    <w:rsid w:val="007A3BA7"/>
    <w:rsid w:val="007B0208"/>
    <w:rsid w:val="007C0E6B"/>
    <w:rsid w:val="007C392B"/>
    <w:rsid w:val="007D3667"/>
    <w:rsid w:val="007D3F6A"/>
    <w:rsid w:val="007E6C05"/>
    <w:rsid w:val="007F0D03"/>
    <w:rsid w:val="00801152"/>
    <w:rsid w:val="0080484C"/>
    <w:rsid w:val="00817B80"/>
    <w:rsid w:val="00821610"/>
    <w:rsid w:val="00835373"/>
    <w:rsid w:val="00835C68"/>
    <w:rsid w:val="00840BD5"/>
    <w:rsid w:val="00853E7D"/>
    <w:rsid w:val="00860FBA"/>
    <w:rsid w:val="00883931"/>
    <w:rsid w:val="008A1880"/>
    <w:rsid w:val="008C0CC7"/>
    <w:rsid w:val="00920032"/>
    <w:rsid w:val="00922BBA"/>
    <w:rsid w:val="00930C01"/>
    <w:rsid w:val="00933335"/>
    <w:rsid w:val="00933AC5"/>
    <w:rsid w:val="009369B2"/>
    <w:rsid w:val="00955691"/>
    <w:rsid w:val="00955D7A"/>
    <w:rsid w:val="00962549"/>
    <w:rsid w:val="00980AC4"/>
    <w:rsid w:val="00983286"/>
    <w:rsid w:val="00983FBD"/>
    <w:rsid w:val="00985B7B"/>
    <w:rsid w:val="00986A52"/>
    <w:rsid w:val="009A4F2F"/>
    <w:rsid w:val="009B0296"/>
    <w:rsid w:val="009B4D5D"/>
    <w:rsid w:val="009C2172"/>
    <w:rsid w:val="009C590C"/>
    <w:rsid w:val="009C5A06"/>
    <w:rsid w:val="009D3C1E"/>
    <w:rsid w:val="009E696B"/>
    <w:rsid w:val="009F191D"/>
    <w:rsid w:val="00A03E87"/>
    <w:rsid w:val="00A14C19"/>
    <w:rsid w:val="00A14EC1"/>
    <w:rsid w:val="00A2487E"/>
    <w:rsid w:val="00A263C9"/>
    <w:rsid w:val="00A41F93"/>
    <w:rsid w:val="00A429E9"/>
    <w:rsid w:val="00A4316B"/>
    <w:rsid w:val="00A436BB"/>
    <w:rsid w:val="00A446BC"/>
    <w:rsid w:val="00A45B6C"/>
    <w:rsid w:val="00A54C28"/>
    <w:rsid w:val="00A75ACF"/>
    <w:rsid w:val="00A80DBE"/>
    <w:rsid w:val="00AB0322"/>
    <w:rsid w:val="00AB1228"/>
    <w:rsid w:val="00AC5ED0"/>
    <w:rsid w:val="00AC7509"/>
    <w:rsid w:val="00AC79ED"/>
    <w:rsid w:val="00AD40AE"/>
    <w:rsid w:val="00AE2396"/>
    <w:rsid w:val="00AF5158"/>
    <w:rsid w:val="00AF63F4"/>
    <w:rsid w:val="00AF6E00"/>
    <w:rsid w:val="00AF77F1"/>
    <w:rsid w:val="00B03339"/>
    <w:rsid w:val="00B2524D"/>
    <w:rsid w:val="00B32C2E"/>
    <w:rsid w:val="00B37A42"/>
    <w:rsid w:val="00B66083"/>
    <w:rsid w:val="00B92E74"/>
    <w:rsid w:val="00BB0CE8"/>
    <w:rsid w:val="00BC35A3"/>
    <w:rsid w:val="00BC5A7C"/>
    <w:rsid w:val="00BE1CEB"/>
    <w:rsid w:val="00BE5AF4"/>
    <w:rsid w:val="00BF5819"/>
    <w:rsid w:val="00BF63C3"/>
    <w:rsid w:val="00C0335E"/>
    <w:rsid w:val="00C0431D"/>
    <w:rsid w:val="00C0654A"/>
    <w:rsid w:val="00C32CBD"/>
    <w:rsid w:val="00C411EC"/>
    <w:rsid w:val="00C42DBF"/>
    <w:rsid w:val="00C52D40"/>
    <w:rsid w:val="00C54EBC"/>
    <w:rsid w:val="00C55123"/>
    <w:rsid w:val="00C629E5"/>
    <w:rsid w:val="00C70B2B"/>
    <w:rsid w:val="00C74112"/>
    <w:rsid w:val="00CB1FBE"/>
    <w:rsid w:val="00CB730C"/>
    <w:rsid w:val="00CC7A9E"/>
    <w:rsid w:val="00CE07AB"/>
    <w:rsid w:val="00CE2CAA"/>
    <w:rsid w:val="00CE5346"/>
    <w:rsid w:val="00D00E35"/>
    <w:rsid w:val="00D03326"/>
    <w:rsid w:val="00D11FC2"/>
    <w:rsid w:val="00D37806"/>
    <w:rsid w:val="00D462BD"/>
    <w:rsid w:val="00D5375D"/>
    <w:rsid w:val="00D53A3D"/>
    <w:rsid w:val="00D61F8B"/>
    <w:rsid w:val="00D70C76"/>
    <w:rsid w:val="00DA5A25"/>
    <w:rsid w:val="00DA6B85"/>
    <w:rsid w:val="00DB0024"/>
    <w:rsid w:val="00DC1F12"/>
    <w:rsid w:val="00DD1882"/>
    <w:rsid w:val="00E14856"/>
    <w:rsid w:val="00E306DD"/>
    <w:rsid w:val="00E36635"/>
    <w:rsid w:val="00E464B0"/>
    <w:rsid w:val="00E55E07"/>
    <w:rsid w:val="00E702C1"/>
    <w:rsid w:val="00E85A6B"/>
    <w:rsid w:val="00E86372"/>
    <w:rsid w:val="00EA326C"/>
    <w:rsid w:val="00EA6BD2"/>
    <w:rsid w:val="00EA7CF9"/>
    <w:rsid w:val="00EB3299"/>
    <w:rsid w:val="00ED048E"/>
    <w:rsid w:val="00ED10AD"/>
    <w:rsid w:val="00ED55A6"/>
    <w:rsid w:val="00ED5761"/>
    <w:rsid w:val="00EE475E"/>
    <w:rsid w:val="00F145F2"/>
    <w:rsid w:val="00F154FB"/>
    <w:rsid w:val="00F4442B"/>
    <w:rsid w:val="00F503E3"/>
    <w:rsid w:val="00F545EA"/>
    <w:rsid w:val="00F57736"/>
    <w:rsid w:val="00F67BB5"/>
    <w:rsid w:val="00F826BC"/>
    <w:rsid w:val="00F92D91"/>
    <w:rsid w:val="00FA4598"/>
    <w:rsid w:val="00FB30A3"/>
    <w:rsid w:val="00FB4C3F"/>
    <w:rsid w:val="00FC3640"/>
    <w:rsid w:val="00FE0975"/>
    <w:rsid w:val="00FE25D1"/>
    <w:rsid w:val="00FE37D9"/>
    <w:rsid w:val="00FF45DE"/>
    <w:rsid w:val="00FF7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353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457"/>
    <w:pPr>
      <w:widowControl w:val="0"/>
      <w:spacing w:after="0" w:line="240" w:lineRule="auto"/>
    </w:pPr>
    <w:rPr>
      <w:rFonts w:ascii="Verdana" w:eastAsia="Times New Roman" w:hAnsi="Verdana" w:cs="Times New Roman"/>
      <w:snapToGrid w:val="0"/>
      <w:sz w:val="20"/>
      <w:szCs w:val="20"/>
      <w:lang w:eastAsia="fi-FI"/>
    </w:rPr>
  </w:style>
  <w:style w:type="paragraph" w:styleId="Heading1">
    <w:name w:val="heading 1"/>
    <w:aliases w:val="ECHA Heading 1"/>
    <w:basedOn w:val="Normal"/>
    <w:next w:val="BodyText"/>
    <w:link w:val="Heading1Char"/>
    <w:uiPriority w:val="9"/>
    <w:qFormat/>
    <w:rsid w:val="00EA7CF9"/>
    <w:pPr>
      <w:keepNext/>
      <w:keepLines/>
      <w:spacing w:after="240"/>
      <w:outlineLvl w:val="0"/>
    </w:pPr>
    <w:rPr>
      <w:b/>
      <w:snapToGrid/>
      <w:color w:val="0046AD"/>
      <w:sz w:val="28"/>
      <w:szCs w:val="24"/>
    </w:rPr>
  </w:style>
  <w:style w:type="paragraph" w:styleId="Heading2">
    <w:name w:val="heading 2"/>
    <w:aliases w:val="ECHA Heading 2"/>
    <w:basedOn w:val="Heading1"/>
    <w:next w:val="BodyText"/>
    <w:link w:val="Heading2Char"/>
    <w:qFormat/>
    <w:rsid w:val="00EA7CF9"/>
    <w:pPr>
      <w:outlineLvl w:val="1"/>
    </w:pPr>
    <w:rPr>
      <w:rFonts w:cs="Arial"/>
      <w:sz w:val="24"/>
      <w:szCs w:val="22"/>
    </w:rPr>
  </w:style>
  <w:style w:type="paragraph" w:styleId="Heading3">
    <w:name w:val="heading 3"/>
    <w:aliases w:val="ECHA Heading 3"/>
    <w:basedOn w:val="Heading2"/>
    <w:next w:val="BodyText"/>
    <w:link w:val="Heading3Char"/>
    <w:uiPriority w:val="9"/>
    <w:qFormat/>
    <w:rsid w:val="00EA7CF9"/>
    <w:pPr>
      <w:outlineLvl w:val="2"/>
    </w:pPr>
    <w:rPr>
      <w:bCs/>
      <w:color w:val="000000"/>
      <w:sz w:val="22"/>
    </w:rPr>
  </w:style>
  <w:style w:type="paragraph" w:styleId="Heading4">
    <w:name w:val="heading 4"/>
    <w:aliases w:val="ECHA Heading 4"/>
    <w:basedOn w:val="Heading3"/>
    <w:next w:val="BodyText"/>
    <w:link w:val="Heading4Char"/>
    <w:qFormat/>
    <w:rsid w:val="00EA7CF9"/>
    <w:pPr>
      <w:outlineLvl w:val="3"/>
    </w:pPr>
    <w:rPr>
      <w:b w:val="0"/>
      <w:bCs w:val="0"/>
      <w:szCs w:val="28"/>
    </w:rPr>
  </w:style>
  <w:style w:type="paragraph" w:styleId="Heading5">
    <w:name w:val="heading 5"/>
    <w:aliases w:val="ECHA Heading 5"/>
    <w:basedOn w:val="Heading3"/>
    <w:next w:val="BodyText"/>
    <w:link w:val="Heading5Char"/>
    <w:qFormat/>
    <w:rsid w:val="00EA7CF9"/>
    <w:pPr>
      <w:outlineLvl w:val="4"/>
    </w:pPr>
    <w:rPr>
      <w:bCs w:val="0"/>
      <w:iCs/>
      <w:sz w:val="20"/>
      <w:szCs w:val="26"/>
    </w:rPr>
  </w:style>
  <w:style w:type="paragraph" w:styleId="Heading6">
    <w:name w:val="heading 6"/>
    <w:aliases w:val="ECHA Heading 6"/>
    <w:basedOn w:val="Heading5"/>
    <w:next w:val="BodyText"/>
    <w:link w:val="Heading6Char"/>
    <w:qFormat/>
    <w:rsid w:val="00EA7CF9"/>
    <w:pPr>
      <w:outlineLvl w:val="5"/>
    </w:pPr>
    <w:rPr>
      <w:bCs/>
      <w:szCs w:val="22"/>
    </w:rPr>
  </w:style>
  <w:style w:type="paragraph" w:styleId="Heading7">
    <w:name w:val="heading 7"/>
    <w:aliases w:val="ECHA Heading 7"/>
    <w:basedOn w:val="Heading5"/>
    <w:next w:val="BodyText"/>
    <w:link w:val="Heading7Char"/>
    <w:qFormat/>
    <w:rsid w:val="00EA7CF9"/>
    <w:pPr>
      <w:outlineLvl w:val="6"/>
    </w:pPr>
    <w:rPr>
      <w:szCs w:val="24"/>
    </w:rPr>
  </w:style>
  <w:style w:type="paragraph" w:styleId="Heading8">
    <w:name w:val="heading 8"/>
    <w:aliases w:val="ECHA Heading 8"/>
    <w:basedOn w:val="Heading5"/>
    <w:next w:val="BodyText"/>
    <w:link w:val="Heading8Char"/>
    <w:qFormat/>
    <w:rsid w:val="00EA7CF9"/>
    <w:pPr>
      <w:outlineLvl w:val="7"/>
    </w:pPr>
    <w:rPr>
      <w:iCs w:val="0"/>
      <w:szCs w:val="24"/>
    </w:rPr>
  </w:style>
  <w:style w:type="paragraph" w:styleId="Heading9">
    <w:name w:val="heading 9"/>
    <w:aliases w:val="ECHA Heading 9"/>
    <w:basedOn w:val="Heading5"/>
    <w:next w:val="BodyText"/>
    <w:link w:val="Heading9Char"/>
    <w:qFormat/>
    <w:rsid w:val="00EA7CF9"/>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HA Heading 1 Char"/>
    <w:basedOn w:val="DefaultParagraphFont"/>
    <w:link w:val="Heading1"/>
    <w:rsid w:val="00EA7CF9"/>
    <w:rPr>
      <w:rFonts w:ascii="Verdana" w:eastAsia="Times New Roman" w:hAnsi="Verdana" w:cs="Times New Roman"/>
      <w:b/>
      <w:snapToGrid w:val="0"/>
      <w:color w:val="0046AD"/>
      <w:sz w:val="28"/>
      <w:szCs w:val="24"/>
      <w:lang w:eastAsia="fi-FI"/>
    </w:rPr>
  </w:style>
  <w:style w:type="character" w:customStyle="1" w:styleId="Heading2Char">
    <w:name w:val="Heading 2 Char"/>
    <w:aliases w:val="ECHA Heading 2 Char"/>
    <w:basedOn w:val="DefaultParagraphFont"/>
    <w:link w:val="Heading2"/>
    <w:rsid w:val="00EA7CF9"/>
    <w:rPr>
      <w:rFonts w:ascii="Verdana" w:eastAsia="Times New Roman" w:hAnsi="Verdana" w:cs="Arial"/>
      <w:b/>
      <w:snapToGrid w:val="0"/>
      <w:color w:val="0046AD"/>
      <w:sz w:val="24"/>
      <w:lang w:eastAsia="fi-FI"/>
    </w:rPr>
  </w:style>
  <w:style w:type="character" w:customStyle="1" w:styleId="Heading3Char">
    <w:name w:val="Heading 3 Char"/>
    <w:aliases w:val="ECHA Heading 3 Char"/>
    <w:basedOn w:val="DefaultParagraphFont"/>
    <w:link w:val="Heading3"/>
    <w:rsid w:val="00EA7CF9"/>
    <w:rPr>
      <w:rFonts w:ascii="Verdana" w:eastAsia="Times New Roman" w:hAnsi="Verdana" w:cs="Arial"/>
      <w:b/>
      <w:bCs/>
      <w:snapToGrid w:val="0"/>
      <w:color w:val="000000"/>
      <w:lang w:eastAsia="fi-FI"/>
    </w:rPr>
  </w:style>
  <w:style w:type="character" w:customStyle="1" w:styleId="Heading4Char">
    <w:name w:val="Heading 4 Char"/>
    <w:aliases w:val="ECHA Heading 4 Char"/>
    <w:basedOn w:val="DefaultParagraphFont"/>
    <w:link w:val="Heading4"/>
    <w:rsid w:val="00EA7CF9"/>
    <w:rPr>
      <w:rFonts w:ascii="Verdana" w:eastAsia="Times New Roman" w:hAnsi="Verdana" w:cs="Arial"/>
      <w:snapToGrid w:val="0"/>
      <w:color w:val="000000"/>
      <w:szCs w:val="28"/>
      <w:lang w:eastAsia="fi-FI"/>
    </w:rPr>
  </w:style>
  <w:style w:type="character" w:customStyle="1" w:styleId="Heading5Char">
    <w:name w:val="Heading 5 Char"/>
    <w:aliases w:val="ECHA Heading 5 Char"/>
    <w:basedOn w:val="DefaultParagraphFont"/>
    <w:link w:val="Heading5"/>
    <w:rsid w:val="00EA7CF9"/>
    <w:rPr>
      <w:rFonts w:ascii="Verdana" w:eastAsia="Times New Roman" w:hAnsi="Verdana" w:cs="Arial"/>
      <w:b/>
      <w:iCs/>
      <w:snapToGrid w:val="0"/>
      <w:color w:val="000000"/>
      <w:sz w:val="20"/>
      <w:szCs w:val="26"/>
      <w:lang w:eastAsia="fi-FI"/>
    </w:rPr>
  </w:style>
  <w:style w:type="character" w:customStyle="1" w:styleId="Heading6Char">
    <w:name w:val="Heading 6 Char"/>
    <w:aliases w:val="ECHA Heading 6 Char"/>
    <w:basedOn w:val="DefaultParagraphFont"/>
    <w:link w:val="Heading6"/>
    <w:rsid w:val="00EA7CF9"/>
    <w:rPr>
      <w:rFonts w:ascii="Verdana" w:eastAsia="Times New Roman" w:hAnsi="Verdana" w:cs="Arial"/>
      <w:b/>
      <w:bCs/>
      <w:iCs/>
      <w:snapToGrid w:val="0"/>
      <w:color w:val="000000"/>
      <w:sz w:val="20"/>
      <w:lang w:eastAsia="fi-FI"/>
    </w:rPr>
  </w:style>
  <w:style w:type="character" w:customStyle="1" w:styleId="Heading7Char">
    <w:name w:val="Heading 7 Char"/>
    <w:aliases w:val="ECHA Heading 7 Char"/>
    <w:basedOn w:val="DefaultParagraphFont"/>
    <w:link w:val="Heading7"/>
    <w:rsid w:val="00EA7CF9"/>
    <w:rPr>
      <w:rFonts w:ascii="Verdana" w:eastAsia="Times New Roman" w:hAnsi="Verdana" w:cs="Arial"/>
      <w:b/>
      <w:iCs/>
      <w:snapToGrid w:val="0"/>
      <w:color w:val="000000"/>
      <w:sz w:val="20"/>
      <w:szCs w:val="24"/>
      <w:lang w:eastAsia="fi-FI"/>
    </w:rPr>
  </w:style>
  <w:style w:type="character" w:customStyle="1" w:styleId="Heading8Char">
    <w:name w:val="Heading 8 Char"/>
    <w:aliases w:val="ECHA Heading 8 Char"/>
    <w:basedOn w:val="DefaultParagraphFont"/>
    <w:link w:val="Heading8"/>
    <w:rsid w:val="00EA7CF9"/>
    <w:rPr>
      <w:rFonts w:ascii="Verdana" w:eastAsia="Times New Roman" w:hAnsi="Verdana" w:cs="Arial"/>
      <w:b/>
      <w:snapToGrid w:val="0"/>
      <w:color w:val="000000"/>
      <w:sz w:val="20"/>
      <w:szCs w:val="24"/>
      <w:lang w:eastAsia="fi-FI"/>
    </w:rPr>
  </w:style>
  <w:style w:type="character" w:customStyle="1" w:styleId="Heading9Char">
    <w:name w:val="Heading 9 Char"/>
    <w:aliases w:val="ECHA Heading 9 Char"/>
    <w:basedOn w:val="DefaultParagraphFont"/>
    <w:link w:val="Heading9"/>
    <w:rsid w:val="00EA7CF9"/>
    <w:rPr>
      <w:rFonts w:ascii="Verdana" w:eastAsia="Times New Roman" w:hAnsi="Verdana" w:cs="Arial"/>
      <w:b/>
      <w:iCs/>
      <w:snapToGrid w:val="0"/>
      <w:color w:val="000000"/>
      <w:sz w:val="20"/>
      <w:lang w:eastAsia="fi-FI"/>
    </w:rPr>
  </w:style>
  <w:style w:type="numbering" w:customStyle="1" w:styleId="ECHABulletlist">
    <w:name w:val="ECHA Bullet list"/>
    <w:basedOn w:val="NoList"/>
    <w:rsid w:val="00EA7CF9"/>
    <w:pPr>
      <w:numPr>
        <w:numId w:val="1"/>
      </w:numPr>
    </w:pPr>
  </w:style>
  <w:style w:type="numbering" w:customStyle="1" w:styleId="ECHANumberlist">
    <w:name w:val="ECHA Number list"/>
    <w:basedOn w:val="NoList"/>
    <w:rsid w:val="00EA7CF9"/>
    <w:pPr>
      <w:numPr>
        <w:numId w:val="2"/>
      </w:numPr>
    </w:pPr>
  </w:style>
  <w:style w:type="paragraph" w:styleId="BodyText">
    <w:name w:val="Body Text"/>
    <w:aliases w:val="Text"/>
    <w:basedOn w:val="Normal"/>
    <w:link w:val="BodyTextChar"/>
    <w:unhideWhenUsed/>
    <w:rsid w:val="00EA7CF9"/>
    <w:pPr>
      <w:spacing w:after="120"/>
    </w:pPr>
  </w:style>
  <w:style w:type="character" w:customStyle="1" w:styleId="BodyTextChar">
    <w:name w:val="Body Text Char"/>
    <w:aliases w:val="Text Char"/>
    <w:basedOn w:val="DefaultParagraphFont"/>
    <w:link w:val="BodyText"/>
    <w:rsid w:val="00EA7CF9"/>
  </w:style>
  <w:style w:type="paragraph" w:styleId="Title">
    <w:name w:val="Title"/>
    <w:aliases w:val="ECHA Heading"/>
    <w:basedOn w:val="Heading1"/>
    <w:next w:val="BodyText"/>
    <w:link w:val="TitleChar"/>
    <w:qFormat/>
    <w:rsid w:val="00EA7CF9"/>
    <w:rPr>
      <w:rFonts w:cs="Arial"/>
      <w:bCs/>
      <w:szCs w:val="32"/>
    </w:rPr>
  </w:style>
  <w:style w:type="character" w:customStyle="1" w:styleId="TitleChar">
    <w:name w:val="Title Char"/>
    <w:aliases w:val="ECHA Heading Char"/>
    <w:basedOn w:val="DefaultParagraphFont"/>
    <w:link w:val="Title"/>
    <w:rsid w:val="00EA7CF9"/>
    <w:rPr>
      <w:rFonts w:ascii="Verdana" w:eastAsia="Times New Roman" w:hAnsi="Verdana" w:cs="Arial"/>
      <w:b/>
      <w:bCs/>
      <w:snapToGrid w:val="0"/>
      <w:color w:val="0046AD"/>
      <w:sz w:val="28"/>
      <w:szCs w:val="32"/>
      <w:lang w:eastAsia="fi-FI"/>
    </w:rPr>
  </w:style>
  <w:style w:type="paragraph" w:styleId="FootnoteText">
    <w:name w:val="footnote text"/>
    <w:aliases w:val="Footnote Text Char Char"/>
    <w:basedOn w:val="Normal"/>
    <w:link w:val="FootnoteTextChar"/>
    <w:qFormat/>
    <w:rsid w:val="00471457"/>
  </w:style>
  <w:style w:type="character" w:customStyle="1" w:styleId="FootnoteTextChar">
    <w:name w:val="Footnote Text Char"/>
    <w:aliases w:val="Footnote Text Char Char Char"/>
    <w:basedOn w:val="DefaultParagraphFont"/>
    <w:link w:val="FootnoteText"/>
    <w:rsid w:val="00471457"/>
    <w:rPr>
      <w:rFonts w:ascii="Verdana" w:eastAsia="Times New Roman" w:hAnsi="Verdana" w:cs="Times New Roman"/>
      <w:snapToGrid w:val="0"/>
      <w:sz w:val="20"/>
      <w:szCs w:val="20"/>
      <w:lang w:eastAsia="fi-FI"/>
    </w:rPr>
  </w:style>
  <w:style w:type="character" w:styleId="FootnoteReference">
    <w:name w:val="footnote reference"/>
    <w:aliases w:val="Footnote,Footnote Reference/"/>
    <w:qFormat/>
    <w:rsid w:val="00471457"/>
    <w:rPr>
      <w:vertAlign w:val="superscript"/>
    </w:rPr>
  </w:style>
  <w:style w:type="paragraph" w:styleId="ListParagraph">
    <w:name w:val="List Paragraph"/>
    <w:basedOn w:val="Normal"/>
    <w:uiPriority w:val="1"/>
    <w:qFormat/>
    <w:rsid w:val="00471457"/>
    <w:pPr>
      <w:ind w:left="720"/>
    </w:pPr>
  </w:style>
  <w:style w:type="paragraph" w:styleId="BalloonText">
    <w:name w:val="Balloon Text"/>
    <w:basedOn w:val="Normal"/>
    <w:link w:val="BalloonTextChar"/>
    <w:uiPriority w:val="99"/>
    <w:semiHidden/>
    <w:unhideWhenUsed/>
    <w:rsid w:val="005F45D1"/>
    <w:rPr>
      <w:rFonts w:ascii="Tahoma" w:hAnsi="Tahoma" w:cs="Tahoma"/>
      <w:sz w:val="16"/>
      <w:szCs w:val="16"/>
    </w:rPr>
  </w:style>
  <w:style w:type="character" w:customStyle="1" w:styleId="BalloonTextChar">
    <w:name w:val="Balloon Text Char"/>
    <w:basedOn w:val="DefaultParagraphFont"/>
    <w:link w:val="BalloonText"/>
    <w:uiPriority w:val="99"/>
    <w:semiHidden/>
    <w:rsid w:val="005F45D1"/>
    <w:rPr>
      <w:rFonts w:ascii="Tahoma" w:eastAsia="Times New Roman" w:hAnsi="Tahoma" w:cs="Tahoma"/>
      <w:snapToGrid w:val="0"/>
      <w:sz w:val="16"/>
      <w:szCs w:val="16"/>
      <w:lang w:eastAsia="fi-FI"/>
    </w:rPr>
  </w:style>
  <w:style w:type="character" w:styleId="CommentReference">
    <w:name w:val="annotation reference"/>
    <w:basedOn w:val="DefaultParagraphFont"/>
    <w:uiPriority w:val="99"/>
    <w:semiHidden/>
    <w:unhideWhenUsed/>
    <w:rsid w:val="002F261C"/>
    <w:rPr>
      <w:sz w:val="16"/>
      <w:szCs w:val="16"/>
    </w:rPr>
  </w:style>
  <w:style w:type="paragraph" w:styleId="CommentText">
    <w:name w:val="annotation text"/>
    <w:basedOn w:val="Normal"/>
    <w:link w:val="CommentTextChar"/>
    <w:uiPriority w:val="99"/>
    <w:unhideWhenUsed/>
    <w:rsid w:val="002F261C"/>
  </w:style>
  <w:style w:type="character" w:customStyle="1" w:styleId="CommentTextChar">
    <w:name w:val="Comment Text Char"/>
    <w:basedOn w:val="DefaultParagraphFont"/>
    <w:link w:val="CommentText"/>
    <w:uiPriority w:val="99"/>
    <w:rsid w:val="002F261C"/>
    <w:rPr>
      <w:rFonts w:ascii="Verdana" w:eastAsia="Times New Roman" w:hAnsi="Verdana" w:cs="Times New Roman"/>
      <w:snapToGrid w:val="0"/>
      <w:sz w:val="20"/>
      <w:szCs w:val="20"/>
      <w:lang w:eastAsia="fi-FI"/>
    </w:rPr>
  </w:style>
  <w:style w:type="paragraph" w:styleId="CommentSubject">
    <w:name w:val="annotation subject"/>
    <w:basedOn w:val="CommentText"/>
    <w:next w:val="CommentText"/>
    <w:link w:val="CommentSubjectChar"/>
    <w:uiPriority w:val="99"/>
    <w:semiHidden/>
    <w:unhideWhenUsed/>
    <w:rsid w:val="002F261C"/>
    <w:rPr>
      <w:b/>
      <w:bCs/>
    </w:rPr>
  </w:style>
  <w:style w:type="character" w:customStyle="1" w:styleId="CommentSubjectChar">
    <w:name w:val="Comment Subject Char"/>
    <w:basedOn w:val="CommentTextChar"/>
    <w:link w:val="CommentSubject"/>
    <w:uiPriority w:val="99"/>
    <w:semiHidden/>
    <w:rsid w:val="002F261C"/>
    <w:rPr>
      <w:rFonts w:ascii="Verdana" w:eastAsia="Times New Roman" w:hAnsi="Verdana" w:cs="Times New Roman"/>
      <w:b/>
      <w:bCs/>
      <w:snapToGrid w:val="0"/>
      <w:sz w:val="20"/>
      <w:szCs w:val="20"/>
      <w:lang w:eastAsia="fi-FI"/>
    </w:rPr>
  </w:style>
  <w:style w:type="paragraph" w:styleId="Header">
    <w:name w:val="header"/>
    <w:basedOn w:val="Normal"/>
    <w:link w:val="HeaderChar"/>
    <w:uiPriority w:val="99"/>
    <w:unhideWhenUsed/>
    <w:rsid w:val="00A41F93"/>
    <w:pPr>
      <w:tabs>
        <w:tab w:val="center" w:pos="4513"/>
        <w:tab w:val="right" w:pos="9026"/>
      </w:tabs>
    </w:pPr>
  </w:style>
  <w:style w:type="character" w:customStyle="1" w:styleId="HeaderChar">
    <w:name w:val="Header Char"/>
    <w:basedOn w:val="DefaultParagraphFont"/>
    <w:link w:val="Header"/>
    <w:uiPriority w:val="99"/>
    <w:rsid w:val="00A41F93"/>
    <w:rPr>
      <w:rFonts w:ascii="Verdana" w:eastAsia="Times New Roman" w:hAnsi="Verdana" w:cs="Times New Roman"/>
      <w:snapToGrid w:val="0"/>
      <w:sz w:val="20"/>
      <w:szCs w:val="20"/>
      <w:lang w:eastAsia="fi-FI"/>
    </w:rPr>
  </w:style>
  <w:style w:type="paragraph" w:styleId="Footer">
    <w:name w:val="footer"/>
    <w:basedOn w:val="Normal"/>
    <w:link w:val="FooterChar"/>
    <w:uiPriority w:val="99"/>
    <w:unhideWhenUsed/>
    <w:rsid w:val="00A41F93"/>
    <w:pPr>
      <w:tabs>
        <w:tab w:val="center" w:pos="4513"/>
        <w:tab w:val="right" w:pos="9026"/>
      </w:tabs>
    </w:pPr>
  </w:style>
  <w:style w:type="character" w:customStyle="1" w:styleId="FooterChar">
    <w:name w:val="Footer Char"/>
    <w:basedOn w:val="DefaultParagraphFont"/>
    <w:link w:val="Footer"/>
    <w:uiPriority w:val="99"/>
    <w:rsid w:val="00A41F93"/>
    <w:rPr>
      <w:rFonts w:ascii="Verdana" w:eastAsia="Times New Roman" w:hAnsi="Verdana" w:cs="Times New Roman"/>
      <w:snapToGrid w:val="0"/>
      <w:sz w:val="20"/>
      <w:szCs w:val="20"/>
      <w:lang w:eastAsia="fi-FI"/>
    </w:rPr>
  </w:style>
  <w:style w:type="character" w:styleId="Hyperlink">
    <w:name w:val="Hyperlink"/>
    <w:basedOn w:val="DefaultParagraphFont"/>
    <w:uiPriority w:val="99"/>
    <w:rsid w:val="002E4026"/>
    <w:rPr>
      <w:rFonts w:ascii="Verdana" w:hAnsi="Verdana"/>
      <w:color w:val="0000FF"/>
      <w:sz w:val="20"/>
      <w:u w:val="single"/>
    </w:rPr>
  </w:style>
  <w:style w:type="character" w:styleId="FollowedHyperlink">
    <w:name w:val="FollowedHyperlink"/>
    <w:basedOn w:val="DefaultParagraphFont"/>
    <w:uiPriority w:val="99"/>
    <w:semiHidden/>
    <w:unhideWhenUsed/>
    <w:rsid w:val="00A03E87"/>
    <w:rPr>
      <w:color w:val="800080" w:themeColor="followedHyperlink"/>
      <w:u w:val="single"/>
    </w:rPr>
  </w:style>
  <w:style w:type="paragraph" w:styleId="Subtitle">
    <w:name w:val="Subtitle"/>
    <w:basedOn w:val="Normal"/>
    <w:next w:val="Normal"/>
    <w:link w:val="SubtitleChar"/>
    <w:qFormat/>
    <w:rsid w:val="00E306DD"/>
    <w:pPr>
      <w:widowControl/>
      <w:numPr>
        <w:ilvl w:val="1"/>
      </w:numPr>
      <w:spacing w:after="180"/>
    </w:pPr>
    <w:rPr>
      <w:rFonts w:asciiTheme="majorHAnsi" w:eastAsiaTheme="majorEastAsia" w:hAnsiTheme="majorHAnsi" w:cstheme="majorBidi"/>
      <w:i/>
      <w:iCs/>
      <w:snapToGrid/>
      <w:color w:val="4F81BD" w:themeColor="accent1"/>
      <w:spacing w:val="15"/>
      <w:sz w:val="24"/>
      <w:szCs w:val="24"/>
      <w:lang w:val="en-US" w:eastAsia="en-US"/>
    </w:rPr>
  </w:style>
  <w:style w:type="character" w:customStyle="1" w:styleId="SubtitleChar">
    <w:name w:val="Subtitle Char"/>
    <w:basedOn w:val="DefaultParagraphFont"/>
    <w:link w:val="Subtitle"/>
    <w:rsid w:val="00E306DD"/>
    <w:rPr>
      <w:rFonts w:asciiTheme="majorHAnsi" w:eastAsiaTheme="majorEastAsia" w:hAnsiTheme="majorHAnsi" w:cstheme="majorBidi"/>
      <w:i/>
      <w:iCs/>
      <w:color w:val="4F81BD" w:themeColor="accent1"/>
      <w:spacing w:val="15"/>
      <w:sz w:val="24"/>
      <w:szCs w:val="24"/>
      <w:lang w:val="en-US"/>
    </w:rPr>
  </w:style>
  <w:style w:type="table" w:styleId="TableGrid">
    <w:name w:val="Table Grid"/>
    <w:basedOn w:val="TableNormal"/>
    <w:rsid w:val="00E306DD"/>
    <w:pPr>
      <w:spacing w:after="18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Table"/>
    <w:next w:val="BodyText"/>
    <w:link w:val="CaptionChar"/>
    <w:qFormat/>
    <w:rsid w:val="00E306DD"/>
    <w:pPr>
      <w:keepNext/>
      <w:spacing w:before="120" w:after="90" w:line="240" w:lineRule="auto"/>
      <w:ind w:left="57"/>
    </w:pPr>
    <w:rPr>
      <w:rFonts w:ascii="Times New Roman Bold" w:eastAsia="Times New Roman" w:hAnsi="Times New Roman Bold" w:cs="Times New Roman"/>
      <w:bCs/>
      <w:sz w:val="24"/>
      <w:szCs w:val="20"/>
    </w:rPr>
  </w:style>
  <w:style w:type="character" w:customStyle="1" w:styleId="CaptionChar">
    <w:name w:val="Caption Char"/>
    <w:aliases w:val="Caption Table Char"/>
    <w:link w:val="Caption"/>
    <w:rsid w:val="00E306DD"/>
    <w:rPr>
      <w:rFonts w:ascii="Times New Roman Bold" w:eastAsia="Times New Roman" w:hAnsi="Times New Roman Bold" w:cs="Times New Roman"/>
      <w:bC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457"/>
    <w:pPr>
      <w:widowControl w:val="0"/>
      <w:spacing w:after="0" w:line="240" w:lineRule="auto"/>
    </w:pPr>
    <w:rPr>
      <w:rFonts w:ascii="Verdana" w:eastAsia="Times New Roman" w:hAnsi="Verdana" w:cs="Times New Roman"/>
      <w:snapToGrid w:val="0"/>
      <w:sz w:val="20"/>
      <w:szCs w:val="20"/>
      <w:lang w:eastAsia="fi-FI"/>
    </w:rPr>
  </w:style>
  <w:style w:type="paragraph" w:styleId="Heading1">
    <w:name w:val="heading 1"/>
    <w:aliases w:val="ECHA Heading 1"/>
    <w:basedOn w:val="Normal"/>
    <w:next w:val="BodyText"/>
    <w:link w:val="Heading1Char"/>
    <w:uiPriority w:val="9"/>
    <w:qFormat/>
    <w:rsid w:val="00EA7CF9"/>
    <w:pPr>
      <w:keepNext/>
      <w:keepLines/>
      <w:spacing w:after="240"/>
      <w:outlineLvl w:val="0"/>
    </w:pPr>
    <w:rPr>
      <w:b/>
      <w:snapToGrid/>
      <w:color w:val="0046AD"/>
      <w:sz w:val="28"/>
      <w:szCs w:val="24"/>
    </w:rPr>
  </w:style>
  <w:style w:type="paragraph" w:styleId="Heading2">
    <w:name w:val="heading 2"/>
    <w:aliases w:val="ECHA Heading 2"/>
    <w:basedOn w:val="Heading1"/>
    <w:next w:val="BodyText"/>
    <w:link w:val="Heading2Char"/>
    <w:qFormat/>
    <w:rsid w:val="00EA7CF9"/>
    <w:pPr>
      <w:outlineLvl w:val="1"/>
    </w:pPr>
    <w:rPr>
      <w:rFonts w:cs="Arial"/>
      <w:sz w:val="24"/>
      <w:szCs w:val="22"/>
    </w:rPr>
  </w:style>
  <w:style w:type="paragraph" w:styleId="Heading3">
    <w:name w:val="heading 3"/>
    <w:aliases w:val="ECHA Heading 3"/>
    <w:basedOn w:val="Heading2"/>
    <w:next w:val="BodyText"/>
    <w:link w:val="Heading3Char"/>
    <w:uiPriority w:val="9"/>
    <w:qFormat/>
    <w:rsid w:val="00EA7CF9"/>
    <w:pPr>
      <w:outlineLvl w:val="2"/>
    </w:pPr>
    <w:rPr>
      <w:bCs/>
      <w:color w:val="000000"/>
      <w:sz w:val="22"/>
    </w:rPr>
  </w:style>
  <w:style w:type="paragraph" w:styleId="Heading4">
    <w:name w:val="heading 4"/>
    <w:aliases w:val="ECHA Heading 4"/>
    <w:basedOn w:val="Heading3"/>
    <w:next w:val="BodyText"/>
    <w:link w:val="Heading4Char"/>
    <w:qFormat/>
    <w:rsid w:val="00EA7CF9"/>
    <w:pPr>
      <w:outlineLvl w:val="3"/>
    </w:pPr>
    <w:rPr>
      <w:b w:val="0"/>
      <w:bCs w:val="0"/>
      <w:szCs w:val="28"/>
    </w:rPr>
  </w:style>
  <w:style w:type="paragraph" w:styleId="Heading5">
    <w:name w:val="heading 5"/>
    <w:aliases w:val="ECHA Heading 5"/>
    <w:basedOn w:val="Heading3"/>
    <w:next w:val="BodyText"/>
    <w:link w:val="Heading5Char"/>
    <w:qFormat/>
    <w:rsid w:val="00EA7CF9"/>
    <w:pPr>
      <w:outlineLvl w:val="4"/>
    </w:pPr>
    <w:rPr>
      <w:bCs w:val="0"/>
      <w:iCs/>
      <w:sz w:val="20"/>
      <w:szCs w:val="26"/>
    </w:rPr>
  </w:style>
  <w:style w:type="paragraph" w:styleId="Heading6">
    <w:name w:val="heading 6"/>
    <w:aliases w:val="ECHA Heading 6"/>
    <w:basedOn w:val="Heading5"/>
    <w:next w:val="BodyText"/>
    <w:link w:val="Heading6Char"/>
    <w:qFormat/>
    <w:rsid w:val="00EA7CF9"/>
    <w:pPr>
      <w:outlineLvl w:val="5"/>
    </w:pPr>
    <w:rPr>
      <w:bCs/>
      <w:szCs w:val="22"/>
    </w:rPr>
  </w:style>
  <w:style w:type="paragraph" w:styleId="Heading7">
    <w:name w:val="heading 7"/>
    <w:aliases w:val="ECHA Heading 7"/>
    <w:basedOn w:val="Heading5"/>
    <w:next w:val="BodyText"/>
    <w:link w:val="Heading7Char"/>
    <w:qFormat/>
    <w:rsid w:val="00EA7CF9"/>
    <w:pPr>
      <w:outlineLvl w:val="6"/>
    </w:pPr>
    <w:rPr>
      <w:szCs w:val="24"/>
    </w:rPr>
  </w:style>
  <w:style w:type="paragraph" w:styleId="Heading8">
    <w:name w:val="heading 8"/>
    <w:aliases w:val="ECHA Heading 8"/>
    <w:basedOn w:val="Heading5"/>
    <w:next w:val="BodyText"/>
    <w:link w:val="Heading8Char"/>
    <w:qFormat/>
    <w:rsid w:val="00EA7CF9"/>
    <w:pPr>
      <w:outlineLvl w:val="7"/>
    </w:pPr>
    <w:rPr>
      <w:iCs w:val="0"/>
      <w:szCs w:val="24"/>
    </w:rPr>
  </w:style>
  <w:style w:type="paragraph" w:styleId="Heading9">
    <w:name w:val="heading 9"/>
    <w:aliases w:val="ECHA Heading 9"/>
    <w:basedOn w:val="Heading5"/>
    <w:next w:val="BodyText"/>
    <w:link w:val="Heading9Char"/>
    <w:qFormat/>
    <w:rsid w:val="00EA7CF9"/>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HA Heading 1 Char"/>
    <w:basedOn w:val="DefaultParagraphFont"/>
    <w:link w:val="Heading1"/>
    <w:rsid w:val="00EA7CF9"/>
    <w:rPr>
      <w:rFonts w:ascii="Verdana" w:eastAsia="Times New Roman" w:hAnsi="Verdana" w:cs="Times New Roman"/>
      <w:b/>
      <w:snapToGrid w:val="0"/>
      <w:color w:val="0046AD"/>
      <w:sz w:val="28"/>
      <w:szCs w:val="24"/>
      <w:lang w:eastAsia="fi-FI"/>
    </w:rPr>
  </w:style>
  <w:style w:type="character" w:customStyle="1" w:styleId="Heading2Char">
    <w:name w:val="Heading 2 Char"/>
    <w:aliases w:val="ECHA Heading 2 Char"/>
    <w:basedOn w:val="DefaultParagraphFont"/>
    <w:link w:val="Heading2"/>
    <w:rsid w:val="00EA7CF9"/>
    <w:rPr>
      <w:rFonts w:ascii="Verdana" w:eastAsia="Times New Roman" w:hAnsi="Verdana" w:cs="Arial"/>
      <w:b/>
      <w:snapToGrid w:val="0"/>
      <w:color w:val="0046AD"/>
      <w:sz w:val="24"/>
      <w:lang w:eastAsia="fi-FI"/>
    </w:rPr>
  </w:style>
  <w:style w:type="character" w:customStyle="1" w:styleId="Heading3Char">
    <w:name w:val="Heading 3 Char"/>
    <w:aliases w:val="ECHA Heading 3 Char"/>
    <w:basedOn w:val="DefaultParagraphFont"/>
    <w:link w:val="Heading3"/>
    <w:rsid w:val="00EA7CF9"/>
    <w:rPr>
      <w:rFonts w:ascii="Verdana" w:eastAsia="Times New Roman" w:hAnsi="Verdana" w:cs="Arial"/>
      <w:b/>
      <w:bCs/>
      <w:snapToGrid w:val="0"/>
      <w:color w:val="000000"/>
      <w:lang w:eastAsia="fi-FI"/>
    </w:rPr>
  </w:style>
  <w:style w:type="character" w:customStyle="1" w:styleId="Heading4Char">
    <w:name w:val="Heading 4 Char"/>
    <w:aliases w:val="ECHA Heading 4 Char"/>
    <w:basedOn w:val="DefaultParagraphFont"/>
    <w:link w:val="Heading4"/>
    <w:rsid w:val="00EA7CF9"/>
    <w:rPr>
      <w:rFonts w:ascii="Verdana" w:eastAsia="Times New Roman" w:hAnsi="Verdana" w:cs="Arial"/>
      <w:snapToGrid w:val="0"/>
      <w:color w:val="000000"/>
      <w:szCs w:val="28"/>
      <w:lang w:eastAsia="fi-FI"/>
    </w:rPr>
  </w:style>
  <w:style w:type="character" w:customStyle="1" w:styleId="Heading5Char">
    <w:name w:val="Heading 5 Char"/>
    <w:aliases w:val="ECHA Heading 5 Char"/>
    <w:basedOn w:val="DefaultParagraphFont"/>
    <w:link w:val="Heading5"/>
    <w:rsid w:val="00EA7CF9"/>
    <w:rPr>
      <w:rFonts w:ascii="Verdana" w:eastAsia="Times New Roman" w:hAnsi="Verdana" w:cs="Arial"/>
      <w:b/>
      <w:iCs/>
      <w:snapToGrid w:val="0"/>
      <w:color w:val="000000"/>
      <w:sz w:val="20"/>
      <w:szCs w:val="26"/>
      <w:lang w:eastAsia="fi-FI"/>
    </w:rPr>
  </w:style>
  <w:style w:type="character" w:customStyle="1" w:styleId="Heading6Char">
    <w:name w:val="Heading 6 Char"/>
    <w:aliases w:val="ECHA Heading 6 Char"/>
    <w:basedOn w:val="DefaultParagraphFont"/>
    <w:link w:val="Heading6"/>
    <w:rsid w:val="00EA7CF9"/>
    <w:rPr>
      <w:rFonts w:ascii="Verdana" w:eastAsia="Times New Roman" w:hAnsi="Verdana" w:cs="Arial"/>
      <w:b/>
      <w:bCs/>
      <w:iCs/>
      <w:snapToGrid w:val="0"/>
      <w:color w:val="000000"/>
      <w:sz w:val="20"/>
      <w:lang w:eastAsia="fi-FI"/>
    </w:rPr>
  </w:style>
  <w:style w:type="character" w:customStyle="1" w:styleId="Heading7Char">
    <w:name w:val="Heading 7 Char"/>
    <w:aliases w:val="ECHA Heading 7 Char"/>
    <w:basedOn w:val="DefaultParagraphFont"/>
    <w:link w:val="Heading7"/>
    <w:rsid w:val="00EA7CF9"/>
    <w:rPr>
      <w:rFonts w:ascii="Verdana" w:eastAsia="Times New Roman" w:hAnsi="Verdana" w:cs="Arial"/>
      <w:b/>
      <w:iCs/>
      <w:snapToGrid w:val="0"/>
      <w:color w:val="000000"/>
      <w:sz w:val="20"/>
      <w:szCs w:val="24"/>
      <w:lang w:eastAsia="fi-FI"/>
    </w:rPr>
  </w:style>
  <w:style w:type="character" w:customStyle="1" w:styleId="Heading8Char">
    <w:name w:val="Heading 8 Char"/>
    <w:aliases w:val="ECHA Heading 8 Char"/>
    <w:basedOn w:val="DefaultParagraphFont"/>
    <w:link w:val="Heading8"/>
    <w:rsid w:val="00EA7CF9"/>
    <w:rPr>
      <w:rFonts w:ascii="Verdana" w:eastAsia="Times New Roman" w:hAnsi="Verdana" w:cs="Arial"/>
      <w:b/>
      <w:snapToGrid w:val="0"/>
      <w:color w:val="000000"/>
      <w:sz w:val="20"/>
      <w:szCs w:val="24"/>
      <w:lang w:eastAsia="fi-FI"/>
    </w:rPr>
  </w:style>
  <w:style w:type="character" w:customStyle="1" w:styleId="Heading9Char">
    <w:name w:val="Heading 9 Char"/>
    <w:aliases w:val="ECHA Heading 9 Char"/>
    <w:basedOn w:val="DefaultParagraphFont"/>
    <w:link w:val="Heading9"/>
    <w:rsid w:val="00EA7CF9"/>
    <w:rPr>
      <w:rFonts w:ascii="Verdana" w:eastAsia="Times New Roman" w:hAnsi="Verdana" w:cs="Arial"/>
      <w:b/>
      <w:iCs/>
      <w:snapToGrid w:val="0"/>
      <w:color w:val="000000"/>
      <w:sz w:val="20"/>
      <w:lang w:eastAsia="fi-FI"/>
    </w:rPr>
  </w:style>
  <w:style w:type="numbering" w:customStyle="1" w:styleId="ECHABulletlist">
    <w:name w:val="ECHA Bullet list"/>
    <w:basedOn w:val="NoList"/>
    <w:rsid w:val="00EA7CF9"/>
    <w:pPr>
      <w:numPr>
        <w:numId w:val="1"/>
      </w:numPr>
    </w:pPr>
  </w:style>
  <w:style w:type="numbering" w:customStyle="1" w:styleId="ECHANumberlist">
    <w:name w:val="ECHA Number list"/>
    <w:basedOn w:val="NoList"/>
    <w:rsid w:val="00EA7CF9"/>
    <w:pPr>
      <w:numPr>
        <w:numId w:val="2"/>
      </w:numPr>
    </w:pPr>
  </w:style>
  <w:style w:type="paragraph" w:styleId="BodyText">
    <w:name w:val="Body Text"/>
    <w:aliases w:val="Text"/>
    <w:basedOn w:val="Normal"/>
    <w:link w:val="BodyTextChar"/>
    <w:unhideWhenUsed/>
    <w:rsid w:val="00EA7CF9"/>
    <w:pPr>
      <w:spacing w:after="120"/>
    </w:pPr>
  </w:style>
  <w:style w:type="character" w:customStyle="1" w:styleId="BodyTextChar">
    <w:name w:val="Body Text Char"/>
    <w:aliases w:val="Text Char"/>
    <w:basedOn w:val="DefaultParagraphFont"/>
    <w:link w:val="BodyText"/>
    <w:rsid w:val="00EA7CF9"/>
  </w:style>
  <w:style w:type="paragraph" w:styleId="Title">
    <w:name w:val="Title"/>
    <w:aliases w:val="ECHA Heading"/>
    <w:basedOn w:val="Heading1"/>
    <w:next w:val="BodyText"/>
    <w:link w:val="TitleChar"/>
    <w:qFormat/>
    <w:rsid w:val="00EA7CF9"/>
    <w:rPr>
      <w:rFonts w:cs="Arial"/>
      <w:bCs/>
      <w:szCs w:val="32"/>
    </w:rPr>
  </w:style>
  <w:style w:type="character" w:customStyle="1" w:styleId="TitleChar">
    <w:name w:val="Title Char"/>
    <w:aliases w:val="ECHA Heading Char"/>
    <w:basedOn w:val="DefaultParagraphFont"/>
    <w:link w:val="Title"/>
    <w:rsid w:val="00EA7CF9"/>
    <w:rPr>
      <w:rFonts w:ascii="Verdana" w:eastAsia="Times New Roman" w:hAnsi="Verdana" w:cs="Arial"/>
      <w:b/>
      <w:bCs/>
      <w:snapToGrid w:val="0"/>
      <w:color w:val="0046AD"/>
      <w:sz w:val="28"/>
      <w:szCs w:val="32"/>
      <w:lang w:eastAsia="fi-FI"/>
    </w:rPr>
  </w:style>
  <w:style w:type="paragraph" w:styleId="FootnoteText">
    <w:name w:val="footnote text"/>
    <w:aliases w:val="Footnote Text Char Char"/>
    <w:basedOn w:val="Normal"/>
    <w:link w:val="FootnoteTextChar"/>
    <w:qFormat/>
    <w:rsid w:val="00471457"/>
  </w:style>
  <w:style w:type="character" w:customStyle="1" w:styleId="FootnoteTextChar">
    <w:name w:val="Footnote Text Char"/>
    <w:aliases w:val="Footnote Text Char Char Char"/>
    <w:basedOn w:val="DefaultParagraphFont"/>
    <w:link w:val="FootnoteText"/>
    <w:rsid w:val="00471457"/>
    <w:rPr>
      <w:rFonts w:ascii="Verdana" w:eastAsia="Times New Roman" w:hAnsi="Verdana" w:cs="Times New Roman"/>
      <w:snapToGrid w:val="0"/>
      <w:sz w:val="20"/>
      <w:szCs w:val="20"/>
      <w:lang w:eastAsia="fi-FI"/>
    </w:rPr>
  </w:style>
  <w:style w:type="character" w:styleId="FootnoteReference">
    <w:name w:val="footnote reference"/>
    <w:aliases w:val="Footnote,Footnote Reference/"/>
    <w:qFormat/>
    <w:rsid w:val="00471457"/>
    <w:rPr>
      <w:vertAlign w:val="superscript"/>
    </w:rPr>
  </w:style>
  <w:style w:type="paragraph" w:styleId="ListParagraph">
    <w:name w:val="List Paragraph"/>
    <w:basedOn w:val="Normal"/>
    <w:uiPriority w:val="1"/>
    <w:qFormat/>
    <w:rsid w:val="00471457"/>
    <w:pPr>
      <w:ind w:left="720"/>
    </w:pPr>
  </w:style>
  <w:style w:type="paragraph" w:styleId="BalloonText">
    <w:name w:val="Balloon Text"/>
    <w:basedOn w:val="Normal"/>
    <w:link w:val="BalloonTextChar"/>
    <w:uiPriority w:val="99"/>
    <w:semiHidden/>
    <w:unhideWhenUsed/>
    <w:rsid w:val="005F45D1"/>
    <w:rPr>
      <w:rFonts w:ascii="Tahoma" w:hAnsi="Tahoma" w:cs="Tahoma"/>
      <w:sz w:val="16"/>
      <w:szCs w:val="16"/>
    </w:rPr>
  </w:style>
  <w:style w:type="character" w:customStyle="1" w:styleId="BalloonTextChar">
    <w:name w:val="Balloon Text Char"/>
    <w:basedOn w:val="DefaultParagraphFont"/>
    <w:link w:val="BalloonText"/>
    <w:uiPriority w:val="99"/>
    <w:semiHidden/>
    <w:rsid w:val="005F45D1"/>
    <w:rPr>
      <w:rFonts w:ascii="Tahoma" w:eastAsia="Times New Roman" w:hAnsi="Tahoma" w:cs="Tahoma"/>
      <w:snapToGrid w:val="0"/>
      <w:sz w:val="16"/>
      <w:szCs w:val="16"/>
      <w:lang w:eastAsia="fi-FI"/>
    </w:rPr>
  </w:style>
  <w:style w:type="character" w:styleId="CommentReference">
    <w:name w:val="annotation reference"/>
    <w:basedOn w:val="DefaultParagraphFont"/>
    <w:uiPriority w:val="99"/>
    <w:semiHidden/>
    <w:unhideWhenUsed/>
    <w:rsid w:val="002F261C"/>
    <w:rPr>
      <w:sz w:val="16"/>
      <w:szCs w:val="16"/>
    </w:rPr>
  </w:style>
  <w:style w:type="paragraph" w:styleId="CommentText">
    <w:name w:val="annotation text"/>
    <w:basedOn w:val="Normal"/>
    <w:link w:val="CommentTextChar"/>
    <w:uiPriority w:val="99"/>
    <w:unhideWhenUsed/>
    <w:rsid w:val="002F261C"/>
  </w:style>
  <w:style w:type="character" w:customStyle="1" w:styleId="CommentTextChar">
    <w:name w:val="Comment Text Char"/>
    <w:basedOn w:val="DefaultParagraphFont"/>
    <w:link w:val="CommentText"/>
    <w:uiPriority w:val="99"/>
    <w:rsid w:val="002F261C"/>
    <w:rPr>
      <w:rFonts w:ascii="Verdana" w:eastAsia="Times New Roman" w:hAnsi="Verdana" w:cs="Times New Roman"/>
      <w:snapToGrid w:val="0"/>
      <w:sz w:val="20"/>
      <w:szCs w:val="20"/>
      <w:lang w:eastAsia="fi-FI"/>
    </w:rPr>
  </w:style>
  <w:style w:type="paragraph" w:styleId="CommentSubject">
    <w:name w:val="annotation subject"/>
    <w:basedOn w:val="CommentText"/>
    <w:next w:val="CommentText"/>
    <w:link w:val="CommentSubjectChar"/>
    <w:uiPriority w:val="99"/>
    <w:semiHidden/>
    <w:unhideWhenUsed/>
    <w:rsid w:val="002F261C"/>
    <w:rPr>
      <w:b/>
      <w:bCs/>
    </w:rPr>
  </w:style>
  <w:style w:type="character" w:customStyle="1" w:styleId="CommentSubjectChar">
    <w:name w:val="Comment Subject Char"/>
    <w:basedOn w:val="CommentTextChar"/>
    <w:link w:val="CommentSubject"/>
    <w:uiPriority w:val="99"/>
    <w:semiHidden/>
    <w:rsid w:val="002F261C"/>
    <w:rPr>
      <w:rFonts w:ascii="Verdana" w:eastAsia="Times New Roman" w:hAnsi="Verdana" w:cs="Times New Roman"/>
      <w:b/>
      <w:bCs/>
      <w:snapToGrid w:val="0"/>
      <w:sz w:val="20"/>
      <w:szCs w:val="20"/>
      <w:lang w:eastAsia="fi-FI"/>
    </w:rPr>
  </w:style>
  <w:style w:type="paragraph" w:styleId="Header">
    <w:name w:val="header"/>
    <w:basedOn w:val="Normal"/>
    <w:link w:val="HeaderChar"/>
    <w:uiPriority w:val="99"/>
    <w:unhideWhenUsed/>
    <w:rsid w:val="00A41F93"/>
    <w:pPr>
      <w:tabs>
        <w:tab w:val="center" w:pos="4513"/>
        <w:tab w:val="right" w:pos="9026"/>
      </w:tabs>
    </w:pPr>
  </w:style>
  <w:style w:type="character" w:customStyle="1" w:styleId="HeaderChar">
    <w:name w:val="Header Char"/>
    <w:basedOn w:val="DefaultParagraphFont"/>
    <w:link w:val="Header"/>
    <w:uiPriority w:val="99"/>
    <w:rsid w:val="00A41F93"/>
    <w:rPr>
      <w:rFonts w:ascii="Verdana" w:eastAsia="Times New Roman" w:hAnsi="Verdana" w:cs="Times New Roman"/>
      <w:snapToGrid w:val="0"/>
      <w:sz w:val="20"/>
      <w:szCs w:val="20"/>
      <w:lang w:eastAsia="fi-FI"/>
    </w:rPr>
  </w:style>
  <w:style w:type="paragraph" w:styleId="Footer">
    <w:name w:val="footer"/>
    <w:basedOn w:val="Normal"/>
    <w:link w:val="FooterChar"/>
    <w:uiPriority w:val="99"/>
    <w:unhideWhenUsed/>
    <w:rsid w:val="00A41F93"/>
    <w:pPr>
      <w:tabs>
        <w:tab w:val="center" w:pos="4513"/>
        <w:tab w:val="right" w:pos="9026"/>
      </w:tabs>
    </w:pPr>
  </w:style>
  <w:style w:type="character" w:customStyle="1" w:styleId="FooterChar">
    <w:name w:val="Footer Char"/>
    <w:basedOn w:val="DefaultParagraphFont"/>
    <w:link w:val="Footer"/>
    <w:uiPriority w:val="99"/>
    <w:rsid w:val="00A41F93"/>
    <w:rPr>
      <w:rFonts w:ascii="Verdana" w:eastAsia="Times New Roman" w:hAnsi="Verdana" w:cs="Times New Roman"/>
      <w:snapToGrid w:val="0"/>
      <w:sz w:val="20"/>
      <w:szCs w:val="20"/>
      <w:lang w:eastAsia="fi-FI"/>
    </w:rPr>
  </w:style>
  <w:style w:type="character" w:styleId="Hyperlink">
    <w:name w:val="Hyperlink"/>
    <w:basedOn w:val="DefaultParagraphFont"/>
    <w:uiPriority w:val="99"/>
    <w:rsid w:val="002E4026"/>
    <w:rPr>
      <w:rFonts w:ascii="Verdana" w:hAnsi="Verdana"/>
      <w:color w:val="0000FF"/>
      <w:sz w:val="20"/>
      <w:u w:val="single"/>
    </w:rPr>
  </w:style>
  <w:style w:type="character" w:styleId="FollowedHyperlink">
    <w:name w:val="FollowedHyperlink"/>
    <w:basedOn w:val="DefaultParagraphFont"/>
    <w:uiPriority w:val="99"/>
    <w:semiHidden/>
    <w:unhideWhenUsed/>
    <w:rsid w:val="00A03E87"/>
    <w:rPr>
      <w:color w:val="800080" w:themeColor="followedHyperlink"/>
      <w:u w:val="single"/>
    </w:rPr>
  </w:style>
  <w:style w:type="paragraph" w:styleId="Subtitle">
    <w:name w:val="Subtitle"/>
    <w:basedOn w:val="Normal"/>
    <w:next w:val="Normal"/>
    <w:link w:val="SubtitleChar"/>
    <w:qFormat/>
    <w:rsid w:val="00E306DD"/>
    <w:pPr>
      <w:widowControl/>
      <w:numPr>
        <w:ilvl w:val="1"/>
      </w:numPr>
      <w:spacing w:after="180"/>
    </w:pPr>
    <w:rPr>
      <w:rFonts w:asciiTheme="majorHAnsi" w:eastAsiaTheme="majorEastAsia" w:hAnsiTheme="majorHAnsi" w:cstheme="majorBidi"/>
      <w:i/>
      <w:iCs/>
      <w:snapToGrid/>
      <w:color w:val="4F81BD" w:themeColor="accent1"/>
      <w:spacing w:val="15"/>
      <w:sz w:val="24"/>
      <w:szCs w:val="24"/>
      <w:lang w:val="en-US" w:eastAsia="en-US"/>
    </w:rPr>
  </w:style>
  <w:style w:type="character" w:customStyle="1" w:styleId="SubtitleChar">
    <w:name w:val="Subtitle Char"/>
    <w:basedOn w:val="DefaultParagraphFont"/>
    <w:link w:val="Subtitle"/>
    <w:rsid w:val="00E306DD"/>
    <w:rPr>
      <w:rFonts w:asciiTheme="majorHAnsi" w:eastAsiaTheme="majorEastAsia" w:hAnsiTheme="majorHAnsi" w:cstheme="majorBidi"/>
      <w:i/>
      <w:iCs/>
      <w:color w:val="4F81BD" w:themeColor="accent1"/>
      <w:spacing w:val="15"/>
      <w:sz w:val="24"/>
      <w:szCs w:val="24"/>
      <w:lang w:val="en-US"/>
    </w:rPr>
  </w:style>
  <w:style w:type="table" w:styleId="TableGrid">
    <w:name w:val="Table Grid"/>
    <w:basedOn w:val="TableNormal"/>
    <w:rsid w:val="00E306DD"/>
    <w:pPr>
      <w:spacing w:after="18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Table"/>
    <w:next w:val="BodyText"/>
    <w:link w:val="CaptionChar"/>
    <w:qFormat/>
    <w:rsid w:val="00E306DD"/>
    <w:pPr>
      <w:keepNext/>
      <w:spacing w:before="120" w:after="90" w:line="240" w:lineRule="auto"/>
      <w:ind w:left="57"/>
    </w:pPr>
    <w:rPr>
      <w:rFonts w:ascii="Times New Roman Bold" w:eastAsia="Times New Roman" w:hAnsi="Times New Roman Bold" w:cs="Times New Roman"/>
      <w:bCs/>
      <w:sz w:val="24"/>
      <w:szCs w:val="20"/>
    </w:rPr>
  </w:style>
  <w:style w:type="character" w:customStyle="1" w:styleId="CaptionChar">
    <w:name w:val="Caption Char"/>
    <w:aliases w:val="Caption Table Char"/>
    <w:link w:val="Caption"/>
    <w:rsid w:val="00E306DD"/>
    <w:rPr>
      <w:rFonts w:ascii="Times New Roman Bold" w:eastAsia="Times New Roman" w:hAnsi="Times New Roman Bold" w:cs="Times New Roman"/>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epa.gov/ttnatw01/hlthef/phenylen.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cha.europa.eu/addressing-chemicals-of-concern/substances-of-potential-concern/svhc-roadmap-to-2020-impleme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Richting xmlns="0CB6BF90-FA5B-4C21-B3D5-C336B75B9AD5">Niet van toepassing</DocumentRichting>
    <filename_kenmerk xmlns="0CB6BF90-FA5B-4C21-B3D5-C336B75B9AD5" xsi:nil="true"/>
    <ons_kenmerk xmlns="0CB6BF90-FA5B-4C21-B3D5-C336B75B9AD5">BRIT20151013.31</ons_kenmerk>
    <_DCDateCreated xmlns="http://schemas.microsoft.com/sharepoint/v3/fields">2015-08-11T14:42:00+00:00</_DCDateCreated>
  </documentManagement>
</p:properties>
</file>

<file path=customXml/item3.xml><?xml version="1.0" encoding="utf-8"?>
<ct:contentTypeSchema xmlns:ct="http://schemas.microsoft.com/office/2006/metadata/contentType" xmlns:ma="http://schemas.microsoft.com/office/2006/metadata/properties/metaAttributes" ct:_="" ma:_="" ma:contentTypeName="Word Document" ma:contentTypeID="0x01019000C50A6D0ACB9987448F0E4544097A75FD" ma:contentTypeVersion="0" ma:contentTypeDescription="Word Document" ma:contentTypeScope="" ma:versionID="7a991706a69b999d0462721b0bc89cd9">
  <xsd:schema xmlns:xsd="http://www.w3.org/2001/XMLSchema" xmlns:p="http://schemas.microsoft.com/office/2006/metadata/properties" xmlns:ns2="0CB6BF90-FA5B-4C21-B3D5-C336B75B9AD5" xmlns:ns3="http://schemas.microsoft.com/sharepoint/v3/fields" targetNamespace="http://schemas.microsoft.com/office/2006/metadata/properties" ma:root="true" ma:fieldsID="05ef76fc9eee7e04bde5706c3213f7d0" ns2:_="" ns3:_="">
    <xsd:import namespace="0CB6BF90-FA5B-4C21-B3D5-C336B75B9AD5"/>
    <xsd:import namespace="http://schemas.microsoft.com/sharepoint/v3/fields"/>
    <xsd:element name="properties">
      <xsd:complexType>
        <xsd:sequence>
          <xsd:element name="documentManagement">
            <xsd:complexType>
              <xsd:all>
                <xsd:element ref="ns2:ons_kenmerk" minOccurs="0"/>
                <xsd:element ref="ns2:DocumentRichting" minOccurs="0"/>
                <xsd:element ref="ns2:filename_kenmerk" minOccurs="0"/>
                <xsd:element ref="ns3:_DCDateCreated" minOccurs="0"/>
              </xsd:all>
            </xsd:complexType>
          </xsd:element>
        </xsd:sequence>
      </xsd:complexType>
    </xsd:element>
  </xsd:schema>
  <xsd:schema xmlns:xsd="http://www.w3.org/2001/XMLSchema" xmlns:dms="http://schemas.microsoft.com/office/2006/documentManagement/types" targetNamespace="0CB6BF90-FA5B-4C21-B3D5-C336B75B9AD5" elementFormDefault="qualified">
    <xsd:import namespace="http://schemas.microsoft.com/office/2006/documentManagement/types"/>
    <xsd:element name="ons_kenmerk" ma:index="8" nillable="true" ma:displayName="Document Nummer" ma:description="Document Identificatie Nummer" ma:internalName="ons_kenmerk">
      <xsd:simpleType>
        <xsd:restriction base="dms:Text"/>
      </xsd:simpleType>
    </xsd:element>
    <xsd:element name="DocumentRichting" ma:index="9" nillable="true" ma:displayName="Document Richting" ma:default="Niet van toepassing" ma:description="Is dit een inkomend of uitgaand document" ma:format="Dropdown" ma:internalName="DocumentRichting">
      <xsd:simpleType>
        <xsd:restriction base="dms:Choice">
          <xsd:enumeration value="Niet van toepassing"/>
          <xsd:enumeration value="Inkomend"/>
          <xsd:enumeration value="Uitgaand"/>
        </xsd:restriction>
      </xsd:simpleType>
    </xsd:element>
    <xsd:element name="filename_kenmerk" ma:index="10" nillable="true" ma:displayName="Document Nummer Bestandsnaam" ma:description="Bestandsnaam op basis waarvan het Document Identificatie Nummer is gegeven" ma:internalName="filename_kenmerk">
      <xsd:simpleType>
        <xsd:restriction base="dms:Text"/>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DCDateCreated" ma:index="11" nillable="true" ma:displayName="Gemaakt op" ma:default="" ma:description="De datum waarop deze bron is gemaakt"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FB3E3-EBBC-4869-B4C1-04C930B5F05A}">
  <ds:schemaRefs>
    <ds:schemaRef ds:uri="http://schemas.microsoft.com/sharepoint/v3/contenttype/forms"/>
  </ds:schemaRefs>
</ds:datastoreItem>
</file>

<file path=customXml/itemProps2.xml><?xml version="1.0" encoding="utf-8"?>
<ds:datastoreItem xmlns:ds="http://schemas.openxmlformats.org/officeDocument/2006/customXml" ds:itemID="{FB8C6060-E70E-4A37-913A-A00BF7D052E3}">
  <ds:schemaRefs>
    <ds:schemaRef ds:uri="http://purl.org/dc/dcmitype/"/>
    <ds:schemaRef ds:uri="http://schemas.microsoft.com/office/2006/documentManagement/types"/>
    <ds:schemaRef ds:uri="http://purl.org/dc/terms/"/>
    <ds:schemaRef ds:uri="http://purl.org/dc/elements/1.1/"/>
    <ds:schemaRef ds:uri="http://schemas.microsoft.com/sharepoint/v3/fields"/>
    <ds:schemaRef ds:uri="http://schemas.openxmlformats.org/package/2006/metadata/core-properties"/>
    <ds:schemaRef ds:uri="http://www.w3.org/XML/1998/namespace"/>
    <ds:schemaRef ds:uri="http://schemas.microsoft.com/office/2006/metadata/properties"/>
    <ds:schemaRef ds:uri="0CB6BF90-FA5B-4C21-B3D5-C336B75B9AD5"/>
  </ds:schemaRefs>
</ds:datastoreItem>
</file>

<file path=customXml/itemProps3.xml><?xml version="1.0" encoding="utf-8"?>
<ds:datastoreItem xmlns:ds="http://schemas.openxmlformats.org/officeDocument/2006/customXml" ds:itemID="{D2978220-77F9-4BBD-839F-435203608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B6BF90-FA5B-4C21-B3D5-C336B75B9AD5"/>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4523D4A-81F4-4728-82B5-731D510C8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3A9377A2</Template>
  <TotalTime>13</TotalTime>
  <Pages>17</Pages>
  <Words>7280</Words>
  <Characters>41498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European Chemicals Agency</Company>
  <LinksUpToDate>false</LinksUpToDate>
  <CharactersWithSpaces>48681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CLENAGHAN Conor</dc:creator>
  <cp:lastModifiedBy>Fleur van Broekhuizen</cp:lastModifiedBy>
  <cp:revision>7</cp:revision>
  <cp:lastPrinted>2015-08-11T11:20:00Z</cp:lastPrinted>
  <dcterms:created xsi:type="dcterms:W3CDTF">2017-12-25T15:53:00Z</dcterms:created>
  <dcterms:modified xsi:type="dcterms:W3CDTF">2017-12-25T16:09:00Z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HAProcess">
    <vt:lpwstr>2;#03.01 Preparation for Risk management|d80fe072-1fec-4844-8783-25e18f728697</vt:lpwstr>
  </property>
  <property fmtid="{D5CDD505-2E9C-101B-9397-08002B2CF9AE}" pid="3" name="_dlc_DocIdItemGuid">
    <vt:lpwstr>e8fafb9e-51d1-4195-b565-50d6f7fca025</vt:lpwstr>
  </property>
  <property fmtid="{D5CDD505-2E9C-101B-9397-08002B2CF9AE}" pid="4" name="ContentTypeId">
    <vt:lpwstr>0x01019000C50A6D0ACB9987448F0E4544097A75FD</vt:lpwstr>
  </property>
  <property fmtid="{D5CDD505-2E9C-101B-9397-08002B2CF9AE}" pid="5" name="ECHADocumentType">
    <vt:lpwstr/>
  </property>
  <property fmtid="{D5CDD505-2E9C-101B-9397-08002B2CF9AE}" pid="6" name="ECHASecClass">
    <vt:lpwstr>1;#|a0307bc2-faf9-4068-8aeb-b713e4fa2a0f</vt:lpwstr>
  </property>
  <property fmtid="{D5CDD505-2E9C-101B-9397-08002B2CF9AE}" pid="7" name="ECHACategory">
    <vt:lpwstr/>
  </property>
  <property fmtid="{D5CDD505-2E9C-101B-9397-08002B2CF9AE}" pid="8" name="ECHAProcessTaxHTField0">
    <vt:lpwstr>03.01 Preparation for Risk managementd80fe072-1fec-4844-8783-25e18f728697</vt:lpwstr>
  </property>
  <property fmtid="{D5CDD505-2E9C-101B-9397-08002B2CF9AE}" pid="9" name="ECHADocumentTypeTaxHTField0">
    <vt:lpwstr/>
  </property>
  <property fmtid="{D5CDD505-2E9C-101B-9397-08002B2CF9AE}" pid="10" name="ECHACategoryTaxHTField0">
    <vt:lpwstr/>
  </property>
  <property fmtid="{D5CDD505-2E9C-101B-9397-08002B2CF9AE}" pid="11" name="_dlc_DocId">
    <vt:lpwstr>ACTV3-10-9080</vt:lpwstr>
  </property>
  <property fmtid="{D5CDD505-2E9C-101B-9397-08002B2CF9AE}" pid="12" name="TaxCatchAll">
    <vt:lpwstr>21</vt:lpwstr>
  </property>
  <property fmtid="{D5CDD505-2E9C-101B-9397-08002B2CF9AE}" pid="13" name="ECHASecClassTaxHTField0">
    <vt:lpwstr>a0307bc2-faf9-4068-8aeb-b713e4fa2a0f</vt:lpwstr>
  </property>
  <property fmtid="{D5CDD505-2E9C-101B-9397-08002B2CF9AE}" pid="14" name="_dlc_DocIdUrl">
    <vt:lpwstr>https://activity.echa.europa.eu/sites/act-3/process-3-1/_layouts/DocIdRedir.aspx?ID=ACTV3-10-9080ACTV3-10-9080</vt:lpwstr>
  </property>
  <property fmtid="{D5CDD505-2E9C-101B-9397-08002B2CF9AE}" pid="15" name="DateCreated">
    <vt:lpwstr>2015-08-11T16:42:00Z</vt:lpwstr>
  </property>
</Properties>
</file>