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35C7B" w14:textId="77777777" w:rsidR="00B12C39" w:rsidRPr="00E43F1D" w:rsidRDefault="00B12C39" w:rsidP="00B12C39">
      <w:pPr>
        <w:pStyle w:val="Covertitle"/>
      </w:pPr>
      <w:r w:rsidRPr="00E43F1D">
        <w:t xml:space="preserve">Annex XV </w:t>
      </w:r>
      <w:r>
        <w:t>report</w:t>
      </w:r>
    </w:p>
    <w:p w14:paraId="06EF9282" w14:textId="77777777" w:rsidR="00B12C39" w:rsidRPr="00E43F1D" w:rsidRDefault="00B12C39" w:rsidP="00B12C39">
      <w:pPr>
        <w:pStyle w:val="Covertitle"/>
      </w:pPr>
      <w:r w:rsidRPr="00E43F1D">
        <w:t xml:space="preserve">PROPOSAL FOR IDENTIFICATION OF A </w:t>
      </w:r>
      <w:r w:rsidR="002B58B6">
        <w:t>SUBSTANCE OF VERY HIGH CONCERN</w:t>
      </w:r>
      <w:r w:rsidR="003C419D">
        <w:t xml:space="preserve"> ON THE BASIS OF </w:t>
      </w:r>
      <w:r w:rsidR="003909BD">
        <w:t xml:space="preserve">THE </w:t>
      </w:r>
      <w:r w:rsidR="003C419D">
        <w:t>CRITERIA SET OUT IN REACH ARTICLE 57</w:t>
      </w:r>
    </w:p>
    <w:p w14:paraId="2FD44511" w14:textId="77777777" w:rsidR="00B12C39" w:rsidRDefault="00B12C39" w:rsidP="00B12C39">
      <w:pPr>
        <w:widowControl/>
        <w:spacing w:after="180"/>
        <w:jc w:val="both"/>
        <w:rPr>
          <w:szCs w:val="24"/>
          <w:lang w:eastAsia="en-US"/>
        </w:rPr>
      </w:pPr>
    </w:p>
    <w:p w14:paraId="7D6A6DB8" w14:textId="77777777" w:rsidR="00B12C39" w:rsidRDefault="00B12C39" w:rsidP="00B12C39">
      <w:pPr>
        <w:widowControl/>
        <w:spacing w:after="180"/>
        <w:jc w:val="both"/>
        <w:rPr>
          <w:szCs w:val="24"/>
          <w:lang w:eastAsia="en-US"/>
        </w:rPr>
      </w:pPr>
    </w:p>
    <w:p w14:paraId="77003629" w14:textId="77777777" w:rsidR="00B12C39" w:rsidRDefault="00B12C39" w:rsidP="00B12C39">
      <w:pPr>
        <w:widowControl/>
        <w:spacing w:after="180"/>
        <w:jc w:val="both"/>
        <w:rPr>
          <w:szCs w:val="24"/>
          <w:lang w:eastAsia="en-US"/>
        </w:rPr>
      </w:pPr>
    </w:p>
    <w:p w14:paraId="5E2AA8B8" w14:textId="77777777" w:rsidR="00B12C39" w:rsidRPr="00E43F1D" w:rsidRDefault="00B12C39" w:rsidP="00B12C39">
      <w:pPr>
        <w:widowControl/>
        <w:spacing w:after="180"/>
        <w:jc w:val="both"/>
        <w:rPr>
          <w:szCs w:val="24"/>
          <w:lang w:eastAsia="en-US"/>
        </w:rPr>
      </w:pPr>
    </w:p>
    <w:p w14:paraId="2597955A" w14:textId="77777777" w:rsidR="00B12C39" w:rsidRPr="006F4B04" w:rsidRDefault="00B12C39" w:rsidP="006F208B">
      <w:pPr>
        <w:widowControl/>
        <w:spacing w:after="180"/>
        <w:rPr>
          <w:rStyle w:val="Strong"/>
          <w:bCs/>
        </w:rPr>
      </w:pPr>
      <w:r w:rsidRPr="006F4B04">
        <w:rPr>
          <w:rStyle w:val="Strong"/>
          <w:bCs/>
        </w:rPr>
        <w:t xml:space="preserve">Substance Name(s): </w:t>
      </w:r>
      <w:r w:rsidR="00063715">
        <w:rPr>
          <w:rStyle w:val="reflink"/>
          <w:szCs w:val="24"/>
        </w:rPr>
        <w:t>1,6,7,8,9,14,15,16,17,17,18,18-D</w:t>
      </w:r>
      <w:r w:rsidR="006F208B" w:rsidRPr="00063715">
        <w:rPr>
          <w:rStyle w:val="reflink"/>
          <w:szCs w:val="24"/>
        </w:rPr>
        <w:t>odecachloropentacyclo[12.2.1.1</w:t>
      </w:r>
      <w:r w:rsidR="006F208B" w:rsidRPr="00AA1A4B">
        <w:rPr>
          <w:rStyle w:val="reflink"/>
          <w:szCs w:val="24"/>
          <w:vertAlign w:val="superscript"/>
        </w:rPr>
        <w:t>6,9</w:t>
      </w:r>
      <w:r w:rsidR="006F208B" w:rsidRPr="00063715">
        <w:rPr>
          <w:rStyle w:val="reflink"/>
          <w:szCs w:val="24"/>
        </w:rPr>
        <w:t>.0</w:t>
      </w:r>
      <w:r w:rsidR="006F208B" w:rsidRPr="00AA1A4B">
        <w:rPr>
          <w:rStyle w:val="reflink"/>
          <w:szCs w:val="24"/>
          <w:vertAlign w:val="superscript"/>
        </w:rPr>
        <w:t>2,13</w:t>
      </w:r>
      <w:r w:rsidR="006F208B" w:rsidRPr="00063715">
        <w:rPr>
          <w:rStyle w:val="reflink"/>
          <w:szCs w:val="24"/>
        </w:rPr>
        <w:t>.0</w:t>
      </w:r>
      <w:r w:rsidR="006F208B" w:rsidRPr="00AA1A4B">
        <w:rPr>
          <w:rStyle w:val="reflink"/>
          <w:szCs w:val="24"/>
          <w:vertAlign w:val="superscript"/>
        </w:rPr>
        <w:t>5,10</w:t>
      </w:r>
      <w:r w:rsidR="006F208B" w:rsidRPr="00063715">
        <w:rPr>
          <w:rStyle w:val="reflink"/>
          <w:szCs w:val="24"/>
        </w:rPr>
        <w:t>]octadeca-7,15-diene (</w:t>
      </w:r>
      <w:r w:rsidR="00063715">
        <w:rPr>
          <w:rStyle w:val="reflink"/>
          <w:szCs w:val="24"/>
        </w:rPr>
        <w:t>“</w:t>
      </w:r>
      <w:r w:rsidR="006F208B" w:rsidRPr="00063715">
        <w:rPr>
          <w:rStyle w:val="reflink"/>
          <w:szCs w:val="24"/>
        </w:rPr>
        <w:t>Dechlorane Plus</w:t>
      </w:r>
      <w:r w:rsidR="00063715">
        <w:rPr>
          <w:rStyle w:val="reflink"/>
          <w:szCs w:val="24"/>
        </w:rPr>
        <w:t>”</w:t>
      </w:r>
      <w:r w:rsidR="00063715" w:rsidRPr="00063715">
        <w:rPr>
          <w:rStyle w:val="reflink"/>
          <w:szCs w:val="24"/>
          <w:vertAlign w:val="superscript"/>
        </w:rPr>
        <w:t>TM</w:t>
      </w:r>
      <w:r w:rsidR="006F208B" w:rsidRPr="00063715">
        <w:rPr>
          <w:rStyle w:val="reflink"/>
          <w:szCs w:val="24"/>
        </w:rPr>
        <w:t xml:space="preserve">) [covering any of its individual </w:t>
      </w:r>
      <w:r w:rsidR="00171229">
        <w:rPr>
          <w:rStyle w:val="reflink"/>
        </w:rPr>
        <w:t>anti- and syn-</w:t>
      </w:r>
      <w:r w:rsidR="006F208B" w:rsidRPr="00063715">
        <w:rPr>
          <w:rStyle w:val="reflink"/>
          <w:szCs w:val="24"/>
        </w:rPr>
        <w:t>isomers or any combination thereof]</w:t>
      </w:r>
    </w:p>
    <w:p w14:paraId="434976DC" w14:textId="77777777" w:rsidR="00B12C39" w:rsidRPr="006F4B04" w:rsidRDefault="00B12C39" w:rsidP="00B12C39">
      <w:pPr>
        <w:widowControl/>
        <w:spacing w:after="180"/>
        <w:jc w:val="both"/>
        <w:rPr>
          <w:rStyle w:val="Strong"/>
          <w:bCs/>
        </w:rPr>
      </w:pPr>
      <w:r w:rsidRPr="006F4B04">
        <w:rPr>
          <w:rStyle w:val="Strong"/>
          <w:bCs/>
        </w:rPr>
        <w:t xml:space="preserve">EC Number(s): </w:t>
      </w:r>
      <w:r w:rsidR="005C2D8A" w:rsidRPr="00627DA9">
        <w:rPr>
          <w:rStyle w:val="reflink"/>
          <w:szCs w:val="24"/>
        </w:rPr>
        <w:t>236-948-9</w:t>
      </w:r>
      <w:r w:rsidR="00171229">
        <w:rPr>
          <w:rStyle w:val="reflink"/>
        </w:rPr>
        <w:t>; -; -</w:t>
      </w:r>
    </w:p>
    <w:p w14:paraId="7461B59A" w14:textId="77777777" w:rsidR="00B12C39" w:rsidRPr="006F4B04" w:rsidRDefault="00B12C39" w:rsidP="00B12C39">
      <w:pPr>
        <w:widowControl/>
        <w:spacing w:after="180"/>
        <w:jc w:val="both"/>
        <w:rPr>
          <w:rStyle w:val="Strong"/>
          <w:bCs/>
        </w:rPr>
      </w:pPr>
      <w:r w:rsidRPr="006F4B04">
        <w:rPr>
          <w:rStyle w:val="Strong"/>
          <w:bCs/>
        </w:rPr>
        <w:t xml:space="preserve">CAS Number(s): </w:t>
      </w:r>
      <w:r w:rsidR="005C2D8A" w:rsidRPr="00627DA9">
        <w:t>13560-89-9</w:t>
      </w:r>
      <w:r w:rsidR="00171229" w:rsidRPr="00171229">
        <w:t>; 135821-74-8; 135821-03-3</w:t>
      </w:r>
    </w:p>
    <w:p w14:paraId="6380D36C" w14:textId="77777777" w:rsidR="00B12C39" w:rsidRPr="006F4B04" w:rsidRDefault="00B12C39" w:rsidP="00B12C39">
      <w:pPr>
        <w:widowControl/>
        <w:spacing w:after="180"/>
        <w:jc w:val="both"/>
        <w:rPr>
          <w:rStyle w:val="Strong"/>
          <w:bCs/>
        </w:rPr>
      </w:pPr>
    </w:p>
    <w:p w14:paraId="603BC773" w14:textId="77777777" w:rsidR="00B12C39" w:rsidRPr="006F4B04" w:rsidRDefault="00B12C39" w:rsidP="00B12C39">
      <w:pPr>
        <w:widowControl/>
        <w:spacing w:after="180"/>
        <w:jc w:val="both"/>
        <w:rPr>
          <w:rStyle w:val="Strong"/>
          <w:bCs/>
        </w:rPr>
      </w:pPr>
      <w:r w:rsidRPr="006F4B04">
        <w:rPr>
          <w:rStyle w:val="Strong"/>
          <w:bCs/>
        </w:rPr>
        <w:t xml:space="preserve">Submitted by: </w:t>
      </w:r>
      <w:r w:rsidR="005C2D8A">
        <w:rPr>
          <w:rStyle w:val="Strong"/>
          <w:bCs/>
        </w:rPr>
        <w:t>United Kingdom</w:t>
      </w:r>
    </w:p>
    <w:p w14:paraId="705F7239" w14:textId="6CBCDAA9" w:rsidR="00063715" w:rsidRDefault="00B12C39" w:rsidP="00B12C39">
      <w:pPr>
        <w:widowControl/>
        <w:spacing w:after="180"/>
        <w:jc w:val="both"/>
        <w:rPr>
          <w:b/>
          <w:szCs w:val="24"/>
          <w:lang w:eastAsia="en-US"/>
        </w:rPr>
        <w:sectPr w:rsidR="00063715" w:rsidSect="004212E6">
          <w:headerReference w:type="default" r:id="rId12"/>
          <w:footerReference w:type="default" r:id="rId13"/>
          <w:pgSz w:w="11906" w:h="16838" w:code="9"/>
          <w:pgMar w:top="1440" w:right="1797" w:bottom="1440" w:left="1797" w:header="709" w:footer="709" w:gutter="0"/>
          <w:pgNumType w:fmt="lowerRoman"/>
          <w:cols w:space="708"/>
          <w:titlePg/>
          <w:docGrid w:linePitch="360"/>
        </w:sectPr>
      </w:pPr>
      <w:r w:rsidRPr="006F4B04">
        <w:rPr>
          <w:rStyle w:val="Strong"/>
          <w:bCs/>
        </w:rPr>
        <w:t>Date:</w:t>
      </w:r>
      <w:r w:rsidRPr="00BC0999">
        <w:rPr>
          <w:b/>
          <w:szCs w:val="24"/>
          <w:lang w:eastAsia="en-US"/>
        </w:rPr>
        <w:t xml:space="preserve"> </w:t>
      </w:r>
      <w:r w:rsidR="00CA63DF">
        <w:rPr>
          <w:b/>
          <w:szCs w:val="24"/>
          <w:lang w:eastAsia="en-US"/>
        </w:rPr>
        <w:t xml:space="preserve"> </w:t>
      </w:r>
      <w:r w:rsidR="00EE6678">
        <w:rPr>
          <w:b/>
          <w:szCs w:val="24"/>
          <w:lang w:eastAsia="en-US"/>
        </w:rPr>
        <w:t xml:space="preserve">29 </w:t>
      </w:r>
      <w:r w:rsidR="00063715">
        <w:rPr>
          <w:b/>
          <w:szCs w:val="24"/>
          <w:lang w:eastAsia="en-US"/>
        </w:rPr>
        <w:t>August 2017</w:t>
      </w:r>
    </w:p>
    <w:p w14:paraId="6191434F" w14:textId="77777777" w:rsidR="008A3E90" w:rsidRPr="001A11A1" w:rsidRDefault="008A3E90" w:rsidP="008A3E90">
      <w:pPr>
        <w:rPr>
          <w:color w:val="000000"/>
        </w:rPr>
      </w:pPr>
      <w:bookmarkStart w:id="0" w:name="_Toc316637271"/>
    </w:p>
    <w:p w14:paraId="1CD00E36" w14:textId="77777777" w:rsidR="00B12C39" w:rsidRDefault="00B12C39" w:rsidP="00B12C39">
      <w:pPr>
        <w:pStyle w:val="Titleintro"/>
      </w:pPr>
      <w:r w:rsidRPr="00AC092B">
        <w:t>CONTENTS</w:t>
      </w:r>
      <w:bookmarkEnd w:id="0"/>
    </w:p>
    <w:sdt>
      <w:sdtPr>
        <w:rPr>
          <w:rFonts w:ascii="Verdana" w:hAnsi="Verdana" w:cs="Times New Roman"/>
          <w:b w:val="0"/>
          <w:bCs w:val="0"/>
          <w:caps w:val="0"/>
        </w:rPr>
        <w:id w:val="2094358525"/>
        <w:docPartObj>
          <w:docPartGallery w:val="Table of Contents"/>
          <w:docPartUnique/>
        </w:docPartObj>
      </w:sdtPr>
      <w:sdtEndPr>
        <w:rPr>
          <w:noProof/>
        </w:rPr>
      </w:sdtEndPr>
      <w:sdtContent>
        <w:p w14:paraId="1FAC8A74" w14:textId="77777777" w:rsidR="009063AB" w:rsidRDefault="000721AD">
          <w:pPr>
            <w:pStyle w:val="TOC1"/>
            <w:rPr>
              <w:rFonts w:asciiTheme="minorHAnsi" w:eastAsiaTheme="minorEastAsia" w:hAnsiTheme="minorHAnsi" w:cstheme="minorBidi"/>
              <w:b w:val="0"/>
              <w:bCs w:val="0"/>
              <w:caps w:val="0"/>
              <w:noProof/>
              <w:sz w:val="22"/>
              <w:szCs w:val="22"/>
              <w:lang w:eastAsia="en-GB"/>
            </w:rPr>
          </w:pPr>
          <w:r>
            <w:fldChar w:fldCharType="begin"/>
          </w:r>
          <w:r w:rsidR="004607CB">
            <w:instrText xml:space="preserve"> TOC \o "1-3" \h \z \u </w:instrText>
          </w:r>
          <w:r>
            <w:fldChar w:fldCharType="separate"/>
          </w:r>
          <w:hyperlink w:anchor="_Toc491862213" w:history="1">
            <w:r w:rsidR="009063AB" w:rsidRPr="00CF0C6E">
              <w:rPr>
                <w:rStyle w:val="Hyperlink"/>
                <w:noProof/>
              </w:rPr>
              <w:t>PROPOSAL FOR IDENTIFICATION OF A SUBSTANCE OF VERY HIGH CONCERN ON THE BASIS OF THE CRITERIA SET OUT IN REACH ARTICLE 57</w:t>
            </w:r>
            <w:r w:rsidR="009063AB">
              <w:rPr>
                <w:noProof/>
                <w:webHidden/>
              </w:rPr>
              <w:tab/>
            </w:r>
            <w:r w:rsidR="009063AB">
              <w:rPr>
                <w:noProof/>
                <w:webHidden/>
              </w:rPr>
              <w:fldChar w:fldCharType="begin"/>
            </w:r>
            <w:r w:rsidR="009063AB">
              <w:rPr>
                <w:noProof/>
                <w:webHidden/>
              </w:rPr>
              <w:instrText xml:space="preserve"> PAGEREF _Toc491862213 \h </w:instrText>
            </w:r>
            <w:r w:rsidR="009063AB">
              <w:rPr>
                <w:noProof/>
                <w:webHidden/>
              </w:rPr>
            </w:r>
            <w:r w:rsidR="009063AB">
              <w:rPr>
                <w:noProof/>
                <w:webHidden/>
              </w:rPr>
              <w:fldChar w:fldCharType="separate"/>
            </w:r>
            <w:r w:rsidR="009063AB">
              <w:rPr>
                <w:noProof/>
                <w:webHidden/>
              </w:rPr>
              <w:t>iv</w:t>
            </w:r>
            <w:r w:rsidR="009063AB">
              <w:rPr>
                <w:noProof/>
                <w:webHidden/>
              </w:rPr>
              <w:fldChar w:fldCharType="end"/>
            </w:r>
          </w:hyperlink>
        </w:p>
        <w:p w14:paraId="39483D76" w14:textId="77777777" w:rsidR="009063AB" w:rsidRDefault="00B329D1">
          <w:pPr>
            <w:pStyle w:val="TOC1"/>
            <w:rPr>
              <w:rFonts w:asciiTheme="minorHAnsi" w:eastAsiaTheme="minorEastAsia" w:hAnsiTheme="minorHAnsi" w:cstheme="minorBidi"/>
              <w:b w:val="0"/>
              <w:bCs w:val="0"/>
              <w:caps w:val="0"/>
              <w:noProof/>
              <w:sz w:val="22"/>
              <w:szCs w:val="22"/>
              <w:lang w:eastAsia="en-GB"/>
            </w:rPr>
          </w:pPr>
          <w:hyperlink w:anchor="_Toc491862214" w:history="1">
            <w:r w:rsidR="009063AB" w:rsidRPr="00CF0C6E">
              <w:rPr>
                <w:rStyle w:val="Hyperlink"/>
                <w:noProof/>
              </w:rPr>
              <w:t>PART I</w:t>
            </w:r>
            <w:r w:rsidR="009063AB">
              <w:rPr>
                <w:noProof/>
                <w:webHidden/>
              </w:rPr>
              <w:tab/>
            </w:r>
            <w:r w:rsidR="009063AB">
              <w:rPr>
                <w:noProof/>
                <w:webHidden/>
              </w:rPr>
              <w:fldChar w:fldCharType="begin"/>
            </w:r>
            <w:r w:rsidR="009063AB">
              <w:rPr>
                <w:noProof/>
                <w:webHidden/>
              </w:rPr>
              <w:instrText xml:space="preserve"> PAGEREF _Toc491862214 \h </w:instrText>
            </w:r>
            <w:r w:rsidR="009063AB">
              <w:rPr>
                <w:noProof/>
                <w:webHidden/>
              </w:rPr>
            </w:r>
            <w:r w:rsidR="009063AB">
              <w:rPr>
                <w:noProof/>
                <w:webHidden/>
              </w:rPr>
              <w:fldChar w:fldCharType="separate"/>
            </w:r>
            <w:r w:rsidR="009063AB">
              <w:rPr>
                <w:noProof/>
                <w:webHidden/>
              </w:rPr>
              <w:t>1</w:t>
            </w:r>
            <w:r w:rsidR="009063AB">
              <w:rPr>
                <w:noProof/>
                <w:webHidden/>
              </w:rPr>
              <w:fldChar w:fldCharType="end"/>
            </w:r>
          </w:hyperlink>
        </w:p>
        <w:p w14:paraId="236AAFFC" w14:textId="77777777" w:rsidR="009063AB" w:rsidRDefault="00B329D1">
          <w:pPr>
            <w:pStyle w:val="TOC1"/>
            <w:rPr>
              <w:rFonts w:asciiTheme="minorHAnsi" w:eastAsiaTheme="minorEastAsia" w:hAnsiTheme="minorHAnsi" w:cstheme="minorBidi"/>
              <w:b w:val="0"/>
              <w:bCs w:val="0"/>
              <w:caps w:val="0"/>
              <w:noProof/>
              <w:sz w:val="22"/>
              <w:szCs w:val="22"/>
              <w:lang w:eastAsia="en-GB"/>
            </w:rPr>
          </w:pPr>
          <w:hyperlink w:anchor="_Toc491862215" w:history="1">
            <w:r w:rsidR="009063AB" w:rsidRPr="00CF0C6E">
              <w:rPr>
                <w:rStyle w:val="Hyperlink"/>
                <w:noProof/>
              </w:rPr>
              <w:t>Justification</w:t>
            </w:r>
            <w:r w:rsidR="009063AB">
              <w:rPr>
                <w:noProof/>
                <w:webHidden/>
              </w:rPr>
              <w:tab/>
            </w:r>
            <w:r w:rsidR="009063AB">
              <w:rPr>
                <w:noProof/>
                <w:webHidden/>
              </w:rPr>
              <w:fldChar w:fldCharType="begin"/>
            </w:r>
            <w:r w:rsidR="009063AB">
              <w:rPr>
                <w:noProof/>
                <w:webHidden/>
              </w:rPr>
              <w:instrText xml:space="preserve"> PAGEREF _Toc491862215 \h </w:instrText>
            </w:r>
            <w:r w:rsidR="009063AB">
              <w:rPr>
                <w:noProof/>
                <w:webHidden/>
              </w:rPr>
            </w:r>
            <w:r w:rsidR="009063AB">
              <w:rPr>
                <w:noProof/>
                <w:webHidden/>
              </w:rPr>
              <w:fldChar w:fldCharType="separate"/>
            </w:r>
            <w:r w:rsidR="009063AB">
              <w:rPr>
                <w:noProof/>
                <w:webHidden/>
              </w:rPr>
              <w:t>1</w:t>
            </w:r>
            <w:r w:rsidR="009063AB">
              <w:rPr>
                <w:noProof/>
                <w:webHidden/>
              </w:rPr>
              <w:fldChar w:fldCharType="end"/>
            </w:r>
          </w:hyperlink>
        </w:p>
        <w:p w14:paraId="4EEE2166" w14:textId="77777777" w:rsidR="009063AB" w:rsidRDefault="00B329D1">
          <w:pPr>
            <w:pStyle w:val="TOC1"/>
            <w:rPr>
              <w:rFonts w:asciiTheme="minorHAnsi" w:eastAsiaTheme="minorEastAsia" w:hAnsiTheme="minorHAnsi" w:cstheme="minorBidi"/>
              <w:b w:val="0"/>
              <w:bCs w:val="0"/>
              <w:caps w:val="0"/>
              <w:noProof/>
              <w:sz w:val="22"/>
              <w:szCs w:val="22"/>
              <w:lang w:eastAsia="en-GB"/>
            </w:rPr>
          </w:pPr>
          <w:hyperlink w:anchor="_Toc491862216" w:history="1">
            <w:r w:rsidR="009063AB" w:rsidRPr="00CF0C6E">
              <w:rPr>
                <w:rStyle w:val="Hyperlink"/>
                <w:noProof/>
              </w:rPr>
              <w:t>1. Identity of the substance and physical and chemical properties</w:t>
            </w:r>
            <w:r w:rsidR="009063AB">
              <w:rPr>
                <w:noProof/>
                <w:webHidden/>
              </w:rPr>
              <w:tab/>
            </w:r>
            <w:r w:rsidR="009063AB">
              <w:rPr>
                <w:noProof/>
                <w:webHidden/>
              </w:rPr>
              <w:fldChar w:fldCharType="begin"/>
            </w:r>
            <w:r w:rsidR="009063AB">
              <w:rPr>
                <w:noProof/>
                <w:webHidden/>
              </w:rPr>
              <w:instrText xml:space="preserve"> PAGEREF _Toc491862216 \h </w:instrText>
            </w:r>
            <w:r w:rsidR="009063AB">
              <w:rPr>
                <w:noProof/>
                <w:webHidden/>
              </w:rPr>
            </w:r>
            <w:r w:rsidR="009063AB">
              <w:rPr>
                <w:noProof/>
                <w:webHidden/>
              </w:rPr>
              <w:fldChar w:fldCharType="separate"/>
            </w:r>
            <w:r w:rsidR="009063AB">
              <w:rPr>
                <w:noProof/>
                <w:webHidden/>
              </w:rPr>
              <w:t>2</w:t>
            </w:r>
            <w:r w:rsidR="009063AB">
              <w:rPr>
                <w:noProof/>
                <w:webHidden/>
              </w:rPr>
              <w:fldChar w:fldCharType="end"/>
            </w:r>
          </w:hyperlink>
        </w:p>
        <w:p w14:paraId="20843181" w14:textId="77777777" w:rsidR="009063AB" w:rsidRDefault="00B329D1">
          <w:pPr>
            <w:pStyle w:val="TOC2"/>
            <w:tabs>
              <w:tab w:val="left" w:pos="800"/>
            </w:tabs>
            <w:rPr>
              <w:rFonts w:asciiTheme="minorHAnsi" w:eastAsiaTheme="minorEastAsia" w:hAnsiTheme="minorHAnsi" w:cstheme="minorBidi"/>
              <w:noProof/>
              <w:sz w:val="22"/>
              <w:szCs w:val="22"/>
              <w:lang w:eastAsia="en-GB"/>
            </w:rPr>
          </w:pPr>
          <w:hyperlink w:anchor="_Toc491862217" w:history="1">
            <w:r w:rsidR="009063AB" w:rsidRPr="00CF0C6E">
              <w:rPr>
                <w:rStyle w:val="Hyperlink"/>
                <w:rFonts w:cs="Times New Roman"/>
                <w:noProof/>
              </w:rPr>
              <w:t>1.1</w:t>
            </w:r>
            <w:r w:rsidR="009063AB">
              <w:rPr>
                <w:rFonts w:asciiTheme="minorHAnsi" w:eastAsiaTheme="minorEastAsia" w:hAnsiTheme="minorHAnsi" w:cstheme="minorBidi"/>
                <w:noProof/>
                <w:sz w:val="22"/>
                <w:szCs w:val="22"/>
                <w:lang w:eastAsia="en-GB"/>
              </w:rPr>
              <w:tab/>
            </w:r>
            <w:r w:rsidR="009063AB" w:rsidRPr="00CF0C6E">
              <w:rPr>
                <w:rStyle w:val="Hyperlink"/>
                <w:noProof/>
              </w:rPr>
              <w:t>Name and other identifiers of the substance</w:t>
            </w:r>
            <w:r w:rsidR="009063AB">
              <w:rPr>
                <w:noProof/>
                <w:webHidden/>
              </w:rPr>
              <w:tab/>
            </w:r>
            <w:r w:rsidR="009063AB">
              <w:rPr>
                <w:noProof/>
                <w:webHidden/>
              </w:rPr>
              <w:fldChar w:fldCharType="begin"/>
            </w:r>
            <w:r w:rsidR="009063AB">
              <w:rPr>
                <w:noProof/>
                <w:webHidden/>
              </w:rPr>
              <w:instrText xml:space="preserve"> PAGEREF _Toc491862217 \h </w:instrText>
            </w:r>
            <w:r w:rsidR="009063AB">
              <w:rPr>
                <w:noProof/>
                <w:webHidden/>
              </w:rPr>
            </w:r>
            <w:r w:rsidR="009063AB">
              <w:rPr>
                <w:noProof/>
                <w:webHidden/>
              </w:rPr>
              <w:fldChar w:fldCharType="separate"/>
            </w:r>
            <w:r w:rsidR="009063AB">
              <w:rPr>
                <w:noProof/>
                <w:webHidden/>
              </w:rPr>
              <w:t>2</w:t>
            </w:r>
            <w:r w:rsidR="009063AB">
              <w:rPr>
                <w:noProof/>
                <w:webHidden/>
              </w:rPr>
              <w:fldChar w:fldCharType="end"/>
            </w:r>
          </w:hyperlink>
        </w:p>
        <w:p w14:paraId="0A6BE77A" w14:textId="77777777" w:rsidR="009063AB" w:rsidRDefault="00B329D1">
          <w:pPr>
            <w:pStyle w:val="TOC2"/>
            <w:rPr>
              <w:rFonts w:asciiTheme="minorHAnsi" w:eastAsiaTheme="minorEastAsia" w:hAnsiTheme="minorHAnsi" w:cstheme="minorBidi"/>
              <w:noProof/>
              <w:sz w:val="22"/>
              <w:szCs w:val="22"/>
              <w:lang w:eastAsia="en-GB"/>
            </w:rPr>
          </w:pPr>
          <w:hyperlink w:anchor="_Toc491862218" w:history="1">
            <w:r w:rsidR="009063AB" w:rsidRPr="00CF0C6E">
              <w:rPr>
                <w:rStyle w:val="Hyperlink"/>
                <w:noProof/>
              </w:rPr>
              <w:t>1.2 Composition of the substance</w:t>
            </w:r>
            <w:r w:rsidR="009063AB">
              <w:rPr>
                <w:noProof/>
                <w:webHidden/>
              </w:rPr>
              <w:tab/>
            </w:r>
            <w:r w:rsidR="009063AB">
              <w:rPr>
                <w:noProof/>
                <w:webHidden/>
              </w:rPr>
              <w:fldChar w:fldCharType="begin"/>
            </w:r>
            <w:r w:rsidR="009063AB">
              <w:rPr>
                <w:noProof/>
                <w:webHidden/>
              </w:rPr>
              <w:instrText xml:space="preserve"> PAGEREF _Toc491862218 \h </w:instrText>
            </w:r>
            <w:r w:rsidR="009063AB">
              <w:rPr>
                <w:noProof/>
                <w:webHidden/>
              </w:rPr>
            </w:r>
            <w:r w:rsidR="009063AB">
              <w:rPr>
                <w:noProof/>
                <w:webHidden/>
              </w:rPr>
              <w:fldChar w:fldCharType="separate"/>
            </w:r>
            <w:r w:rsidR="009063AB">
              <w:rPr>
                <w:noProof/>
                <w:webHidden/>
              </w:rPr>
              <w:t>2</w:t>
            </w:r>
            <w:r w:rsidR="009063AB">
              <w:rPr>
                <w:noProof/>
                <w:webHidden/>
              </w:rPr>
              <w:fldChar w:fldCharType="end"/>
            </w:r>
          </w:hyperlink>
        </w:p>
        <w:p w14:paraId="689BDCFA" w14:textId="77777777" w:rsidR="009063AB" w:rsidRDefault="00B329D1">
          <w:pPr>
            <w:pStyle w:val="TOC2"/>
            <w:rPr>
              <w:rFonts w:asciiTheme="minorHAnsi" w:eastAsiaTheme="minorEastAsia" w:hAnsiTheme="minorHAnsi" w:cstheme="minorBidi"/>
              <w:noProof/>
              <w:sz w:val="22"/>
              <w:szCs w:val="22"/>
              <w:lang w:eastAsia="en-GB"/>
            </w:rPr>
          </w:pPr>
          <w:hyperlink w:anchor="_Toc491862219" w:history="1">
            <w:r w:rsidR="009063AB" w:rsidRPr="00CF0C6E">
              <w:rPr>
                <w:rStyle w:val="Hyperlink"/>
                <w:noProof/>
              </w:rPr>
              <w:t>1.3 Identity and composition of degradation products/metabolites relevant for the SVHC assessment</w:t>
            </w:r>
            <w:r w:rsidR="009063AB">
              <w:rPr>
                <w:noProof/>
                <w:webHidden/>
              </w:rPr>
              <w:tab/>
            </w:r>
            <w:r w:rsidR="009063AB">
              <w:rPr>
                <w:noProof/>
                <w:webHidden/>
              </w:rPr>
              <w:fldChar w:fldCharType="begin"/>
            </w:r>
            <w:r w:rsidR="009063AB">
              <w:rPr>
                <w:noProof/>
                <w:webHidden/>
              </w:rPr>
              <w:instrText xml:space="preserve"> PAGEREF _Toc491862219 \h </w:instrText>
            </w:r>
            <w:r w:rsidR="009063AB">
              <w:rPr>
                <w:noProof/>
                <w:webHidden/>
              </w:rPr>
            </w:r>
            <w:r w:rsidR="009063AB">
              <w:rPr>
                <w:noProof/>
                <w:webHidden/>
              </w:rPr>
              <w:fldChar w:fldCharType="separate"/>
            </w:r>
            <w:r w:rsidR="009063AB">
              <w:rPr>
                <w:noProof/>
                <w:webHidden/>
              </w:rPr>
              <w:t>3</w:t>
            </w:r>
            <w:r w:rsidR="009063AB">
              <w:rPr>
                <w:noProof/>
                <w:webHidden/>
              </w:rPr>
              <w:fldChar w:fldCharType="end"/>
            </w:r>
          </w:hyperlink>
        </w:p>
        <w:p w14:paraId="3E7962B9" w14:textId="77777777" w:rsidR="009063AB" w:rsidRDefault="00B329D1">
          <w:pPr>
            <w:pStyle w:val="TOC2"/>
            <w:rPr>
              <w:rFonts w:asciiTheme="minorHAnsi" w:eastAsiaTheme="minorEastAsia" w:hAnsiTheme="minorHAnsi" w:cstheme="minorBidi"/>
              <w:noProof/>
              <w:sz w:val="22"/>
              <w:szCs w:val="22"/>
              <w:lang w:eastAsia="en-GB"/>
            </w:rPr>
          </w:pPr>
          <w:hyperlink w:anchor="_Toc491862220" w:history="1">
            <w:r w:rsidR="009063AB" w:rsidRPr="00CF0C6E">
              <w:rPr>
                <w:rStyle w:val="Hyperlink"/>
                <w:noProof/>
              </w:rPr>
              <w:t>1.4 Identity and composition of structurally related substances (used in a benchmarking or read-across approach)</w:t>
            </w:r>
            <w:r w:rsidR="009063AB">
              <w:rPr>
                <w:noProof/>
                <w:webHidden/>
              </w:rPr>
              <w:tab/>
            </w:r>
            <w:r w:rsidR="009063AB">
              <w:rPr>
                <w:noProof/>
                <w:webHidden/>
              </w:rPr>
              <w:fldChar w:fldCharType="begin"/>
            </w:r>
            <w:r w:rsidR="009063AB">
              <w:rPr>
                <w:noProof/>
                <w:webHidden/>
              </w:rPr>
              <w:instrText xml:space="preserve"> PAGEREF _Toc491862220 \h </w:instrText>
            </w:r>
            <w:r w:rsidR="009063AB">
              <w:rPr>
                <w:noProof/>
                <w:webHidden/>
              </w:rPr>
            </w:r>
            <w:r w:rsidR="009063AB">
              <w:rPr>
                <w:noProof/>
                <w:webHidden/>
              </w:rPr>
              <w:fldChar w:fldCharType="separate"/>
            </w:r>
            <w:r w:rsidR="009063AB">
              <w:rPr>
                <w:noProof/>
                <w:webHidden/>
              </w:rPr>
              <w:t>7</w:t>
            </w:r>
            <w:r w:rsidR="009063AB">
              <w:rPr>
                <w:noProof/>
                <w:webHidden/>
              </w:rPr>
              <w:fldChar w:fldCharType="end"/>
            </w:r>
          </w:hyperlink>
        </w:p>
        <w:p w14:paraId="51CD2F5E" w14:textId="77777777" w:rsidR="009063AB" w:rsidRDefault="00B329D1">
          <w:pPr>
            <w:pStyle w:val="TOC2"/>
            <w:rPr>
              <w:rFonts w:asciiTheme="minorHAnsi" w:eastAsiaTheme="minorEastAsia" w:hAnsiTheme="minorHAnsi" w:cstheme="minorBidi"/>
              <w:noProof/>
              <w:sz w:val="22"/>
              <w:szCs w:val="22"/>
              <w:lang w:eastAsia="en-GB"/>
            </w:rPr>
          </w:pPr>
          <w:hyperlink w:anchor="_Toc491862221" w:history="1">
            <w:r w:rsidR="009063AB" w:rsidRPr="00CF0C6E">
              <w:rPr>
                <w:rStyle w:val="Hyperlink"/>
                <w:noProof/>
              </w:rPr>
              <w:t>1.5 Physicochemical properties</w:t>
            </w:r>
            <w:r w:rsidR="009063AB">
              <w:rPr>
                <w:noProof/>
                <w:webHidden/>
              </w:rPr>
              <w:tab/>
            </w:r>
            <w:r w:rsidR="009063AB">
              <w:rPr>
                <w:noProof/>
                <w:webHidden/>
              </w:rPr>
              <w:fldChar w:fldCharType="begin"/>
            </w:r>
            <w:r w:rsidR="009063AB">
              <w:rPr>
                <w:noProof/>
                <w:webHidden/>
              </w:rPr>
              <w:instrText xml:space="preserve"> PAGEREF _Toc491862221 \h </w:instrText>
            </w:r>
            <w:r w:rsidR="009063AB">
              <w:rPr>
                <w:noProof/>
                <w:webHidden/>
              </w:rPr>
            </w:r>
            <w:r w:rsidR="009063AB">
              <w:rPr>
                <w:noProof/>
                <w:webHidden/>
              </w:rPr>
              <w:fldChar w:fldCharType="separate"/>
            </w:r>
            <w:r w:rsidR="009063AB">
              <w:rPr>
                <w:noProof/>
                <w:webHidden/>
              </w:rPr>
              <w:t>12</w:t>
            </w:r>
            <w:r w:rsidR="009063AB">
              <w:rPr>
                <w:noProof/>
                <w:webHidden/>
              </w:rPr>
              <w:fldChar w:fldCharType="end"/>
            </w:r>
          </w:hyperlink>
        </w:p>
        <w:p w14:paraId="479F1306" w14:textId="77777777" w:rsidR="009063AB" w:rsidRDefault="00B329D1">
          <w:pPr>
            <w:pStyle w:val="TOC1"/>
            <w:rPr>
              <w:rFonts w:asciiTheme="minorHAnsi" w:eastAsiaTheme="minorEastAsia" w:hAnsiTheme="minorHAnsi" w:cstheme="minorBidi"/>
              <w:b w:val="0"/>
              <w:bCs w:val="0"/>
              <w:caps w:val="0"/>
              <w:noProof/>
              <w:sz w:val="22"/>
              <w:szCs w:val="22"/>
              <w:lang w:eastAsia="en-GB"/>
            </w:rPr>
          </w:pPr>
          <w:hyperlink w:anchor="_Toc491862222" w:history="1">
            <w:r w:rsidR="009063AB" w:rsidRPr="00CF0C6E">
              <w:rPr>
                <w:rStyle w:val="Hyperlink"/>
                <w:noProof/>
              </w:rPr>
              <w:t>2. Harmonised classification and labelling</w:t>
            </w:r>
            <w:r w:rsidR="009063AB">
              <w:rPr>
                <w:noProof/>
                <w:webHidden/>
              </w:rPr>
              <w:tab/>
            </w:r>
            <w:r w:rsidR="009063AB">
              <w:rPr>
                <w:noProof/>
                <w:webHidden/>
              </w:rPr>
              <w:fldChar w:fldCharType="begin"/>
            </w:r>
            <w:r w:rsidR="009063AB">
              <w:rPr>
                <w:noProof/>
                <w:webHidden/>
              </w:rPr>
              <w:instrText xml:space="preserve"> PAGEREF _Toc491862222 \h </w:instrText>
            </w:r>
            <w:r w:rsidR="009063AB">
              <w:rPr>
                <w:noProof/>
                <w:webHidden/>
              </w:rPr>
            </w:r>
            <w:r w:rsidR="009063AB">
              <w:rPr>
                <w:noProof/>
                <w:webHidden/>
              </w:rPr>
              <w:fldChar w:fldCharType="separate"/>
            </w:r>
            <w:r w:rsidR="009063AB">
              <w:rPr>
                <w:noProof/>
                <w:webHidden/>
              </w:rPr>
              <w:t>15</w:t>
            </w:r>
            <w:r w:rsidR="009063AB">
              <w:rPr>
                <w:noProof/>
                <w:webHidden/>
              </w:rPr>
              <w:fldChar w:fldCharType="end"/>
            </w:r>
          </w:hyperlink>
        </w:p>
        <w:p w14:paraId="3CA999E8" w14:textId="77777777" w:rsidR="009063AB" w:rsidRDefault="00B329D1">
          <w:pPr>
            <w:pStyle w:val="TOC1"/>
            <w:rPr>
              <w:rFonts w:asciiTheme="minorHAnsi" w:eastAsiaTheme="minorEastAsia" w:hAnsiTheme="minorHAnsi" w:cstheme="minorBidi"/>
              <w:b w:val="0"/>
              <w:bCs w:val="0"/>
              <w:caps w:val="0"/>
              <w:noProof/>
              <w:sz w:val="22"/>
              <w:szCs w:val="22"/>
              <w:lang w:eastAsia="en-GB"/>
            </w:rPr>
          </w:pPr>
          <w:hyperlink w:anchor="_Toc491862223" w:history="1">
            <w:r w:rsidR="009063AB" w:rsidRPr="00CF0C6E">
              <w:rPr>
                <w:rStyle w:val="Hyperlink"/>
                <w:noProof/>
              </w:rPr>
              <w:t>3. Environmental fate properties</w:t>
            </w:r>
            <w:r w:rsidR="009063AB">
              <w:rPr>
                <w:noProof/>
                <w:webHidden/>
              </w:rPr>
              <w:tab/>
            </w:r>
            <w:r w:rsidR="009063AB">
              <w:rPr>
                <w:noProof/>
                <w:webHidden/>
              </w:rPr>
              <w:fldChar w:fldCharType="begin"/>
            </w:r>
            <w:r w:rsidR="009063AB">
              <w:rPr>
                <w:noProof/>
                <w:webHidden/>
              </w:rPr>
              <w:instrText xml:space="preserve"> PAGEREF _Toc491862223 \h </w:instrText>
            </w:r>
            <w:r w:rsidR="009063AB">
              <w:rPr>
                <w:noProof/>
                <w:webHidden/>
              </w:rPr>
            </w:r>
            <w:r w:rsidR="009063AB">
              <w:rPr>
                <w:noProof/>
                <w:webHidden/>
              </w:rPr>
              <w:fldChar w:fldCharType="separate"/>
            </w:r>
            <w:r w:rsidR="009063AB">
              <w:rPr>
                <w:noProof/>
                <w:webHidden/>
              </w:rPr>
              <w:t>16</w:t>
            </w:r>
            <w:r w:rsidR="009063AB">
              <w:rPr>
                <w:noProof/>
                <w:webHidden/>
              </w:rPr>
              <w:fldChar w:fldCharType="end"/>
            </w:r>
          </w:hyperlink>
        </w:p>
        <w:p w14:paraId="5182331F" w14:textId="77777777" w:rsidR="009063AB" w:rsidRDefault="00B329D1">
          <w:pPr>
            <w:pStyle w:val="TOC2"/>
            <w:rPr>
              <w:rFonts w:asciiTheme="minorHAnsi" w:eastAsiaTheme="minorEastAsia" w:hAnsiTheme="minorHAnsi" w:cstheme="minorBidi"/>
              <w:noProof/>
              <w:sz w:val="22"/>
              <w:szCs w:val="22"/>
              <w:lang w:eastAsia="en-GB"/>
            </w:rPr>
          </w:pPr>
          <w:hyperlink w:anchor="_Toc491862224" w:history="1">
            <w:r w:rsidR="009063AB" w:rsidRPr="00CF0C6E">
              <w:rPr>
                <w:rStyle w:val="Hyperlink"/>
                <w:noProof/>
              </w:rPr>
              <w:t>3.1 Degradation</w:t>
            </w:r>
            <w:r w:rsidR="009063AB">
              <w:rPr>
                <w:noProof/>
                <w:webHidden/>
              </w:rPr>
              <w:tab/>
            </w:r>
            <w:r w:rsidR="009063AB">
              <w:rPr>
                <w:noProof/>
                <w:webHidden/>
              </w:rPr>
              <w:fldChar w:fldCharType="begin"/>
            </w:r>
            <w:r w:rsidR="009063AB">
              <w:rPr>
                <w:noProof/>
                <w:webHidden/>
              </w:rPr>
              <w:instrText xml:space="preserve"> PAGEREF _Toc491862224 \h </w:instrText>
            </w:r>
            <w:r w:rsidR="009063AB">
              <w:rPr>
                <w:noProof/>
                <w:webHidden/>
              </w:rPr>
            </w:r>
            <w:r w:rsidR="009063AB">
              <w:rPr>
                <w:noProof/>
                <w:webHidden/>
              </w:rPr>
              <w:fldChar w:fldCharType="separate"/>
            </w:r>
            <w:r w:rsidR="009063AB">
              <w:rPr>
                <w:noProof/>
                <w:webHidden/>
              </w:rPr>
              <w:t>16</w:t>
            </w:r>
            <w:r w:rsidR="009063AB">
              <w:rPr>
                <w:noProof/>
                <w:webHidden/>
              </w:rPr>
              <w:fldChar w:fldCharType="end"/>
            </w:r>
          </w:hyperlink>
        </w:p>
        <w:p w14:paraId="0AEFFDF0" w14:textId="77777777" w:rsidR="009063AB" w:rsidRDefault="00B329D1">
          <w:pPr>
            <w:pStyle w:val="TOC3"/>
            <w:tabs>
              <w:tab w:val="right" w:leader="dot" w:pos="8302"/>
            </w:tabs>
            <w:rPr>
              <w:rFonts w:asciiTheme="minorHAnsi" w:eastAsiaTheme="minorEastAsia" w:hAnsiTheme="minorHAnsi" w:cstheme="minorBidi"/>
              <w:i w:val="0"/>
              <w:iCs w:val="0"/>
              <w:noProof/>
              <w:sz w:val="22"/>
              <w:szCs w:val="22"/>
              <w:lang w:eastAsia="en-GB"/>
            </w:rPr>
          </w:pPr>
          <w:hyperlink w:anchor="_Toc491862225" w:history="1">
            <w:r w:rsidR="009063AB" w:rsidRPr="00CF0C6E">
              <w:rPr>
                <w:rStyle w:val="Hyperlink"/>
                <w:noProof/>
              </w:rPr>
              <w:t>3.1.1 Abiotic degradation</w:t>
            </w:r>
            <w:r w:rsidR="009063AB">
              <w:rPr>
                <w:noProof/>
                <w:webHidden/>
              </w:rPr>
              <w:tab/>
            </w:r>
            <w:r w:rsidR="009063AB">
              <w:rPr>
                <w:noProof/>
                <w:webHidden/>
              </w:rPr>
              <w:fldChar w:fldCharType="begin"/>
            </w:r>
            <w:r w:rsidR="009063AB">
              <w:rPr>
                <w:noProof/>
                <w:webHidden/>
              </w:rPr>
              <w:instrText xml:space="preserve"> PAGEREF _Toc491862225 \h </w:instrText>
            </w:r>
            <w:r w:rsidR="009063AB">
              <w:rPr>
                <w:noProof/>
                <w:webHidden/>
              </w:rPr>
            </w:r>
            <w:r w:rsidR="009063AB">
              <w:rPr>
                <w:noProof/>
                <w:webHidden/>
              </w:rPr>
              <w:fldChar w:fldCharType="separate"/>
            </w:r>
            <w:r w:rsidR="009063AB">
              <w:rPr>
                <w:noProof/>
                <w:webHidden/>
              </w:rPr>
              <w:t>16</w:t>
            </w:r>
            <w:r w:rsidR="009063AB">
              <w:rPr>
                <w:noProof/>
                <w:webHidden/>
              </w:rPr>
              <w:fldChar w:fldCharType="end"/>
            </w:r>
          </w:hyperlink>
        </w:p>
        <w:p w14:paraId="33ED9337" w14:textId="77777777" w:rsidR="009063AB" w:rsidRDefault="00B329D1">
          <w:pPr>
            <w:pStyle w:val="TOC3"/>
            <w:tabs>
              <w:tab w:val="right" w:leader="dot" w:pos="8302"/>
            </w:tabs>
            <w:rPr>
              <w:rFonts w:asciiTheme="minorHAnsi" w:eastAsiaTheme="minorEastAsia" w:hAnsiTheme="minorHAnsi" w:cstheme="minorBidi"/>
              <w:i w:val="0"/>
              <w:iCs w:val="0"/>
              <w:noProof/>
              <w:sz w:val="22"/>
              <w:szCs w:val="22"/>
              <w:lang w:eastAsia="en-GB"/>
            </w:rPr>
          </w:pPr>
          <w:hyperlink w:anchor="_Toc491862226" w:history="1">
            <w:r w:rsidR="009063AB" w:rsidRPr="00CF0C6E">
              <w:rPr>
                <w:rStyle w:val="Hyperlink"/>
                <w:noProof/>
              </w:rPr>
              <w:t>3.1.2 Biodegradation</w:t>
            </w:r>
            <w:r w:rsidR="009063AB">
              <w:rPr>
                <w:noProof/>
                <w:webHidden/>
              </w:rPr>
              <w:tab/>
            </w:r>
            <w:r w:rsidR="009063AB">
              <w:rPr>
                <w:noProof/>
                <w:webHidden/>
              </w:rPr>
              <w:fldChar w:fldCharType="begin"/>
            </w:r>
            <w:r w:rsidR="009063AB">
              <w:rPr>
                <w:noProof/>
                <w:webHidden/>
              </w:rPr>
              <w:instrText xml:space="preserve"> PAGEREF _Toc491862226 \h </w:instrText>
            </w:r>
            <w:r w:rsidR="009063AB">
              <w:rPr>
                <w:noProof/>
                <w:webHidden/>
              </w:rPr>
            </w:r>
            <w:r w:rsidR="009063AB">
              <w:rPr>
                <w:noProof/>
                <w:webHidden/>
              </w:rPr>
              <w:fldChar w:fldCharType="separate"/>
            </w:r>
            <w:r w:rsidR="009063AB">
              <w:rPr>
                <w:noProof/>
                <w:webHidden/>
              </w:rPr>
              <w:t>17</w:t>
            </w:r>
            <w:r w:rsidR="009063AB">
              <w:rPr>
                <w:noProof/>
                <w:webHidden/>
              </w:rPr>
              <w:fldChar w:fldCharType="end"/>
            </w:r>
          </w:hyperlink>
        </w:p>
        <w:p w14:paraId="3C357335" w14:textId="77777777" w:rsidR="009063AB" w:rsidRDefault="00B329D1">
          <w:pPr>
            <w:pStyle w:val="TOC3"/>
            <w:tabs>
              <w:tab w:val="right" w:leader="dot" w:pos="8302"/>
            </w:tabs>
            <w:rPr>
              <w:rFonts w:asciiTheme="minorHAnsi" w:eastAsiaTheme="minorEastAsia" w:hAnsiTheme="minorHAnsi" w:cstheme="minorBidi"/>
              <w:i w:val="0"/>
              <w:iCs w:val="0"/>
              <w:noProof/>
              <w:sz w:val="22"/>
              <w:szCs w:val="22"/>
              <w:lang w:eastAsia="en-GB"/>
            </w:rPr>
          </w:pPr>
          <w:hyperlink w:anchor="_Toc491862227" w:history="1">
            <w:r w:rsidR="009063AB" w:rsidRPr="00CF0C6E">
              <w:rPr>
                <w:rStyle w:val="Hyperlink"/>
                <w:noProof/>
              </w:rPr>
              <w:t>3.1.3 Other data</w:t>
            </w:r>
            <w:r w:rsidR="009063AB">
              <w:rPr>
                <w:noProof/>
                <w:webHidden/>
              </w:rPr>
              <w:tab/>
            </w:r>
            <w:r w:rsidR="009063AB">
              <w:rPr>
                <w:noProof/>
                <w:webHidden/>
              </w:rPr>
              <w:fldChar w:fldCharType="begin"/>
            </w:r>
            <w:r w:rsidR="009063AB">
              <w:rPr>
                <w:noProof/>
                <w:webHidden/>
              </w:rPr>
              <w:instrText xml:space="preserve"> PAGEREF _Toc491862227 \h </w:instrText>
            </w:r>
            <w:r w:rsidR="009063AB">
              <w:rPr>
                <w:noProof/>
                <w:webHidden/>
              </w:rPr>
            </w:r>
            <w:r w:rsidR="009063AB">
              <w:rPr>
                <w:noProof/>
                <w:webHidden/>
              </w:rPr>
              <w:fldChar w:fldCharType="separate"/>
            </w:r>
            <w:r w:rsidR="009063AB">
              <w:rPr>
                <w:noProof/>
                <w:webHidden/>
              </w:rPr>
              <w:t>22</w:t>
            </w:r>
            <w:r w:rsidR="009063AB">
              <w:rPr>
                <w:noProof/>
                <w:webHidden/>
              </w:rPr>
              <w:fldChar w:fldCharType="end"/>
            </w:r>
          </w:hyperlink>
        </w:p>
        <w:p w14:paraId="69918401" w14:textId="77777777" w:rsidR="009063AB" w:rsidRDefault="00B329D1">
          <w:pPr>
            <w:pStyle w:val="TOC3"/>
            <w:tabs>
              <w:tab w:val="right" w:leader="dot" w:pos="8302"/>
            </w:tabs>
            <w:rPr>
              <w:rFonts w:asciiTheme="minorHAnsi" w:eastAsiaTheme="minorEastAsia" w:hAnsiTheme="minorHAnsi" w:cstheme="minorBidi"/>
              <w:i w:val="0"/>
              <w:iCs w:val="0"/>
              <w:noProof/>
              <w:sz w:val="22"/>
              <w:szCs w:val="22"/>
              <w:lang w:eastAsia="en-GB"/>
            </w:rPr>
          </w:pPr>
          <w:hyperlink w:anchor="_Toc491862228" w:history="1">
            <w:r w:rsidR="009063AB" w:rsidRPr="00CF0C6E">
              <w:rPr>
                <w:rStyle w:val="Hyperlink"/>
                <w:noProof/>
              </w:rPr>
              <w:t>3.1.4 Summary and discussion of degradation</w:t>
            </w:r>
            <w:r w:rsidR="009063AB">
              <w:rPr>
                <w:noProof/>
                <w:webHidden/>
              </w:rPr>
              <w:tab/>
            </w:r>
            <w:r w:rsidR="009063AB">
              <w:rPr>
                <w:noProof/>
                <w:webHidden/>
              </w:rPr>
              <w:fldChar w:fldCharType="begin"/>
            </w:r>
            <w:r w:rsidR="009063AB">
              <w:rPr>
                <w:noProof/>
                <w:webHidden/>
              </w:rPr>
              <w:instrText xml:space="preserve"> PAGEREF _Toc491862228 \h </w:instrText>
            </w:r>
            <w:r w:rsidR="009063AB">
              <w:rPr>
                <w:noProof/>
                <w:webHidden/>
              </w:rPr>
            </w:r>
            <w:r w:rsidR="009063AB">
              <w:rPr>
                <w:noProof/>
                <w:webHidden/>
              </w:rPr>
              <w:fldChar w:fldCharType="separate"/>
            </w:r>
            <w:r w:rsidR="009063AB">
              <w:rPr>
                <w:noProof/>
                <w:webHidden/>
              </w:rPr>
              <w:t>22</w:t>
            </w:r>
            <w:r w:rsidR="009063AB">
              <w:rPr>
                <w:noProof/>
                <w:webHidden/>
              </w:rPr>
              <w:fldChar w:fldCharType="end"/>
            </w:r>
          </w:hyperlink>
        </w:p>
        <w:p w14:paraId="0E820CB5" w14:textId="77777777" w:rsidR="009063AB" w:rsidRDefault="00B329D1">
          <w:pPr>
            <w:pStyle w:val="TOC2"/>
            <w:rPr>
              <w:rFonts w:asciiTheme="minorHAnsi" w:eastAsiaTheme="minorEastAsia" w:hAnsiTheme="minorHAnsi" w:cstheme="minorBidi"/>
              <w:noProof/>
              <w:sz w:val="22"/>
              <w:szCs w:val="22"/>
              <w:lang w:eastAsia="en-GB"/>
            </w:rPr>
          </w:pPr>
          <w:hyperlink w:anchor="_Toc491862229" w:history="1">
            <w:r w:rsidR="009063AB" w:rsidRPr="00CF0C6E">
              <w:rPr>
                <w:rStyle w:val="Hyperlink"/>
                <w:noProof/>
              </w:rPr>
              <w:t>3.2 Environmental distribution</w:t>
            </w:r>
            <w:r w:rsidR="009063AB">
              <w:rPr>
                <w:noProof/>
                <w:webHidden/>
              </w:rPr>
              <w:tab/>
            </w:r>
            <w:r w:rsidR="009063AB">
              <w:rPr>
                <w:noProof/>
                <w:webHidden/>
              </w:rPr>
              <w:fldChar w:fldCharType="begin"/>
            </w:r>
            <w:r w:rsidR="009063AB">
              <w:rPr>
                <w:noProof/>
                <w:webHidden/>
              </w:rPr>
              <w:instrText xml:space="preserve"> PAGEREF _Toc491862229 \h </w:instrText>
            </w:r>
            <w:r w:rsidR="009063AB">
              <w:rPr>
                <w:noProof/>
                <w:webHidden/>
              </w:rPr>
            </w:r>
            <w:r w:rsidR="009063AB">
              <w:rPr>
                <w:noProof/>
                <w:webHidden/>
              </w:rPr>
              <w:fldChar w:fldCharType="separate"/>
            </w:r>
            <w:r w:rsidR="009063AB">
              <w:rPr>
                <w:noProof/>
                <w:webHidden/>
              </w:rPr>
              <w:t>23</w:t>
            </w:r>
            <w:r w:rsidR="009063AB">
              <w:rPr>
                <w:noProof/>
                <w:webHidden/>
              </w:rPr>
              <w:fldChar w:fldCharType="end"/>
            </w:r>
          </w:hyperlink>
        </w:p>
        <w:p w14:paraId="2E2E3646" w14:textId="77777777" w:rsidR="009063AB" w:rsidRDefault="00B329D1">
          <w:pPr>
            <w:pStyle w:val="TOC3"/>
            <w:tabs>
              <w:tab w:val="right" w:leader="dot" w:pos="8302"/>
            </w:tabs>
            <w:rPr>
              <w:rFonts w:asciiTheme="minorHAnsi" w:eastAsiaTheme="minorEastAsia" w:hAnsiTheme="minorHAnsi" w:cstheme="minorBidi"/>
              <w:i w:val="0"/>
              <w:iCs w:val="0"/>
              <w:noProof/>
              <w:sz w:val="22"/>
              <w:szCs w:val="22"/>
              <w:lang w:eastAsia="en-GB"/>
            </w:rPr>
          </w:pPr>
          <w:hyperlink w:anchor="_Toc491862230" w:history="1">
            <w:r w:rsidR="009063AB" w:rsidRPr="00CF0C6E">
              <w:rPr>
                <w:rStyle w:val="Hyperlink"/>
                <w:noProof/>
              </w:rPr>
              <w:t>3.2.1 Adsorption/desorption</w:t>
            </w:r>
            <w:r w:rsidR="009063AB">
              <w:rPr>
                <w:noProof/>
                <w:webHidden/>
              </w:rPr>
              <w:tab/>
            </w:r>
            <w:r w:rsidR="009063AB">
              <w:rPr>
                <w:noProof/>
                <w:webHidden/>
              </w:rPr>
              <w:fldChar w:fldCharType="begin"/>
            </w:r>
            <w:r w:rsidR="009063AB">
              <w:rPr>
                <w:noProof/>
                <w:webHidden/>
              </w:rPr>
              <w:instrText xml:space="preserve"> PAGEREF _Toc491862230 \h </w:instrText>
            </w:r>
            <w:r w:rsidR="009063AB">
              <w:rPr>
                <w:noProof/>
                <w:webHidden/>
              </w:rPr>
            </w:r>
            <w:r w:rsidR="009063AB">
              <w:rPr>
                <w:noProof/>
                <w:webHidden/>
              </w:rPr>
              <w:fldChar w:fldCharType="separate"/>
            </w:r>
            <w:r w:rsidR="009063AB">
              <w:rPr>
                <w:noProof/>
                <w:webHidden/>
              </w:rPr>
              <w:t>23</w:t>
            </w:r>
            <w:r w:rsidR="009063AB">
              <w:rPr>
                <w:noProof/>
                <w:webHidden/>
              </w:rPr>
              <w:fldChar w:fldCharType="end"/>
            </w:r>
          </w:hyperlink>
        </w:p>
        <w:p w14:paraId="3DE4EFF3" w14:textId="77777777" w:rsidR="009063AB" w:rsidRDefault="00B329D1">
          <w:pPr>
            <w:pStyle w:val="TOC3"/>
            <w:tabs>
              <w:tab w:val="right" w:leader="dot" w:pos="8302"/>
            </w:tabs>
            <w:rPr>
              <w:rFonts w:asciiTheme="minorHAnsi" w:eastAsiaTheme="minorEastAsia" w:hAnsiTheme="minorHAnsi" w:cstheme="minorBidi"/>
              <w:i w:val="0"/>
              <w:iCs w:val="0"/>
              <w:noProof/>
              <w:sz w:val="22"/>
              <w:szCs w:val="22"/>
              <w:lang w:eastAsia="en-GB"/>
            </w:rPr>
          </w:pPr>
          <w:hyperlink w:anchor="_Toc491862231" w:history="1">
            <w:r w:rsidR="009063AB" w:rsidRPr="00CF0C6E">
              <w:rPr>
                <w:rStyle w:val="Hyperlink"/>
                <w:noProof/>
              </w:rPr>
              <w:t>3.2.2 Volatilisation</w:t>
            </w:r>
            <w:r w:rsidR="009063AB">
              <w:rPr>
                <w:noProof/>
                <w:webHidden/>
              </w:rPr>
              <w:tab/>
            </w:r>
            <w:r w:rsidR="009063AB">
              <w:rPr>
                <w:noProof/>
                <w:webHidden/>
              </w:rPr>
              <w:fldChar w:fldCharType="begin"/>
            </w:r>
            <w:r w:rsidR="009063AB">
              <w:rPr>
                <w:noProof/>
                <w:webHidden/>
              </w:rPr>
              <w:instrText xml:space="preserve"> PAGEREF _Toc491862231 \h </w:instrText>
            </w:r>
            <w:r w:rsidR="009063AB">
              <w:rPr>
                <w:noProof/>
                <w:webHidden/>
              </w:rPr>
            </w:r>
            <w:r w:rsidR="009063AB">
              <w:rPr>
                <w:noProof/>
                <w:webHidden/>
              </w:rPr>
              <w:fldChar w:fldCharType="separate"/>
            </w:r>
            <w:r w:rsidR="009063AB">
              <w:rPr>
                <w:noProof/>
                <w:webHidden/>
              </w:rPr>
              <w:t>23</w:t>
            </w:r>
            <w:r w:rsidR="009063AB">
              <w:rPr>
                <w:noProof/>
                <w:webHidden/>
              </w:rPr>
              <w:fldChar w:fldCharType="end"/>
            </w:r>
          </w:hyperlink>
        </w:p>
        <w:p w14:paraId="12D612EC" w14:textId="77777777" w:rsidR="009063AB" w:rsidRDefault="00B329D1">
          <w:pPr>
            <w:pStyle w:val="TOC3"/>
            <w:tabs>
              <w:tab w:val="right" w:leader="dot" w:pos="8302"/>
            </w:tabs>
            <w:rPr>
              <w:rFonts w:asciiTheme="minorHAnsi" w:eastAsiaTheme="minorEastAsia" w:hAnsiTheme="minorHAnsi" w:cstheme="minorBidi"/>
              <w:i w:val="0"/>
              <w:iCs w:val="0"/>
              <w:noProof/>
              <w:sz w:val="22"/>
              <w:szCs w:val="22"/>
              <w:lang w:eastAsia="en-GB"/>
            </w:rPr>
          </w:pPr>
          <w:hyperlink w:anchor="_Toc491862232" w:history="1">
            <w:r w:rsidR="009063AB" w:rsidRPr="00CF0C6E">
              <w:rPr>
                <w:rStyle w:val="Hyperlink"/>
                <w:noProof/>
              </w:rPr>
              <w:t>3.2.3 Distribution modelling</w:t>
            </w:r>
            <w:r w:rsidR="009063AB">
              <w:rPr>
                <w:noProof/>
                <w:webHidden/>
              </w:rPr>
              <w:tab/>
            </w:r>
            <w:r w:rsidR="009063AB">
              <w:rPr>
                <w:noProof/>
                <w:webHidden/>
              </w:rPr>
              <w:fldChar w:fldCharType="begin"/>
            </w:r>
            <w:r w:rsidR="009063AB">
              <w:rPr>
                <w:noProof/>
                <w:webHidden/>
              </w:rPr>
              <w:instrText xml:space="preserve"> PAGEREF _Toc491862232 \h </w:instrText>
            </w:r>
            <w:r w:rsidR="009063AB">
              <w:rPr>
                <w:noProof/>
                <w:webHidden/>
              </w:rPr>
            </w:r>
            <w:r w:rsidR="009063AB">
              <w:rPr>
                <w:noProof/>
                <w:webHidden/>
              </w:rPr>
              <w:fldChar w:fldCharType="separate"/>
            </w:r>
            <w:r w:rsidR="009063AB">
              <w:rPr>
                <w:noProof/>
                <w:webHidden/>
              </w:rPr>
              <w:t>24</w:t>
            </w:r>
            <w:r w:rsidR="009063AB">
              <w:rPr>
                <w:noProof/>
                <w:webHidden/>
              </w:rPr>
              <w:fldChar w:fldCharType="end"/>
            </w:r>
          </w:hyperlink>
        </w:p>
        <w:p w14:paraId="39A0B2D0" w14:textId="77777777" w:rsidR="009063AB" w:rsidRDefault="00B329D1">
          <w:pPr>
            <w:pStyle w:val="TOC2"/>
            <w:rPr>
              <w:rFonts w:asciiTheme="minorHAnsi" w:eastAsiaTheme="minorEastAsia" w:hAnsiTheme="minorHAnsi" w:cstheme="minorBidi"/>
              <w:noProof/>
              <w:sz w:val="22"/>
              <w:szCs w:val="22"/>
              <w:lang w:eastAsia="en-GB"/>
            </w:rPr>
          </w:pPr>
          <w:hyperlink w:anchor="_Toc491862233" w:history="1">
            <w:r w:rsidR="009063AB" w:rsidRPr="00CF0C6E">
              <w:rPr>
                <w:rStyle w:val="Hyperlink"/>
                <w:noProof/>
              </w:rPr>
              <w:t>3.3 Data indicating potential for long-range transport</w:t>
            </w:r>
            <w:r w:rsidR="009063AB">
              <w:rPr>
                <w:noProof/>
                <w:webHidden/>
              </w:rPr>
              <w:tab/>
            </w:r>
            <w:r w:rsidR="009063AB">
              <w:rPr>
                <w:noProof/>
                <w:webHidden/>
              </w:rPr>
              <w:fldChar w:fldCharType="begin"/>
            </w:r>
            <w:r w:rsidR="009063AB">
              <w:rPr>
                <w:noProof/>
                <w:webHidden/>
              </w:rPr>
              <w:instrText xml:space="preserve"> PAGEREF _Toc491862233 \h </w:instrText>
            </w:r>
            <w:r w:rsidR="009063AB">
              <w:rPr>
                <w:noProof/>
                <w:webHidden/>
              </w:rPr>
            </w:r>
            <w:r w:rsidR="009063AB">
              <w:rPr>
                <w:noProof/>
                <w:webHidden/>
              </w:rPr>
              <w:fldChar w:fldCharType="separate"/>
            </w:r>
            <w:r w:rsidR="009063AB">
              <w:rPr>
                <w:noProof/>
                <w:webHidden/>
              </w:rPr>
              <w:t>25</w:t>
            </w:r>
            <w:r w:rsidR="009063AB">
              <w:rPr>
                <w:noProof/>
                <w:webHidden/>
              </w:rPr>
              <w:fldChar w:fldCharType="end"/>
            </w:r>
          </w:hyperlink>
        </w:p>
        <w:p w14:paraId="64F8AF8D" w14:textId="77777777" w:rsidR="009063AB" w:rsidRDefault="00B329D1">
          <w:pPr>
            <w:pStyle w:val="TOC2"/>
            <w:rPr>
              <w:rFonts w:asciiTheme="minorHAnsi" w:eastAsiaTheme="minorEastAsia" w:hAnsiTheme="minorHAnsi" w:cstheme="minorBidi"/>
              <w:noProof/>
              <w:sz w:val="22"/>
              <w:szCs w:val="22"/>
              <w:lang w:eastAsia="en-GB"/>
            </w:rPr>
          </w:pPr>
          <w:hyperlink w:anchor="_Toc491862234" w:history="1">
            <w:r w:rsidR="009063AB" w:rsidRPr="00CF0C6E">
              <w:rPr>
                <w:rStyle w:val="Hyperlink"/>
                <w:noProof/>
              </w:rPr>
              <w:t>3.4 Bioaccumulation</w:t>
            </w:r>
            <w:r w:rsidR="009063AB">
              <w:rPr>
                <w:noProof/>
                <w:webHidden/>
              </w:rPr>
              <w:tab/>
            </w:r>
            <w:r w:rsidR="009063AB">
              <w:rPr>
                <w:noProof/>
                <w:webHidden/>
              </w:rPr>
              <w:fldChar w:fldCharType="begin"/>
            </w:r>
            <w:r w:rsidR="009063AB">
              <w:rPr>
                <w:noProof/>
                <w:webHidden/>
              </w:rPr>
              <w:instrText xml:space="preserve"> PAGEREF _Toc491862234 \h </w:instrText>
            </w:r>
            <w:r w:rsidR="009063AB">
              <w:rPr>
                <w:noProof/>
                <w:webHidden/>
              </w:rPr>
            </w:r>
            <w:r w:rsidR="009063AB">
              <w:rPr>
                <w:noProof/>
                <w:webHidden/>
              </w:rPr>
              <w:fldChar w:fldCharType="separate"/>
            </w:r>
            <w:r w:rsidR="009063AB">
              <w:rPr>
                <w:noProof/>
                <w:webHidden/>
              </w:rPr>
              <w:t>28</w:t>
            </w:r>
            <w:r w:rsidR="009063AB">
              <w:rPr>
                <w:noProof/>
                <w:webHidden/>
              </w:rPr>
              <w:fldChar w:fldCharType="end"/>
            </w:r>
          </w:hyperlink>
        </w:p>
        <w:p w14:paraId="337393D5" w14:textId="77777777" w:rsidR="009063AB" w:rsidRDefault="00B329D1">
          <w:pPr>
            <w:pStyle w:val="TOC3"/>
            <w:tabs>
              <w:tab w:val="right" w:leader="dot" w:pos="8302"/>
            </w:tabs>
            <w:rPr>
              <w:rFonts w:asciiTheme="minorHAnsi" w:eastAsiaTheme="minorEastAsia" w:hAnsiTheme="minorHAnsi" w:cstheme="minorBidi"/>
              <w:i w:val="0"/>
              <w:iCs w:val="0"/>
              <w:noProof/>
              <w:sz w:val="22"/>
              <w:szCs w:val="22"/>
              <w:lang w:eastAsia="en-GB"/>
            </w:rPr>
          </w:pPr>
          <w:hyperlink w:anchor="_Toc491862235" w:history="1">
            <w:r w:rsidR="009063AB" w:rsidRPr="00CF0C6E">
              <w:rPr>
                <w:rStyle w:val="Hyperlink"/>
                <w:noProof/>
              </w:rPr>
              <w:t>3.4.1 Bioaccumulation in aquatic organisms (pelagic &amp; sediment organisms)</w:t>
            </w:r>
            <w:r w:rsidR="009063AB">
              <w:rPr>
                <w:noProof/>
                <w:webHidden/>
              </w:rPr>
              <w:tab/>
            </w:r>
            <w:r w:rsidR="009063AB">
              <w:rPr>
                <w:noProof/>
                <w:webHidden/>
              </w:rPr>
              <w:fldChar w:fldCharType="begin"/>
            </w:r>
            <w:r w:rsidR="009063AB">
              <w:rPr>
                <w:noProof/>
                <w:webHidden/>
              </w:rPr>
              <w:instrText xml:space="preserve"> PAGEREF _Toc491862235 \h </w:instrText>
            </w:r>
            <w:r w:rsidR="009063AB">
              <w:rPr>
                <w:noProof/>
                <w:webHidden/>
              </w:rPr>
            </w:r>
            <w:r w:rsidR="009063AB">
              <w:rPr>
                <w:noProof/>
                <w:webHidden/>
              </w:rPr>
              <w:fldChar w:fldCharType="separate"/>
            </w:r>
            <w:r w:rsidR="009063AB">
              <w:rPr>
                <w:noProof/>
                <w:webHidden/>
              </w:rPr>
              <w:t>28</w:t>
            </w:r>
            <w:r w:rsidR="009063AB">
              <w:rPr>
                <w:noProof/>
                <w:webHidden/>
              </w:rPr>
              <w:fldChar w:fldCharType="end"/>
            </w:r>
          </w:hyperlink>
        </w:p>
        <w:p w14:paraId="73FB2386" w14:textId="77777777" w:rsidR="009063AB" w:rsidRDefault="00B329D1">
          <w:pPr>
            <w:pStyle w:val="TOC3"/>
            <w:tabs>
              <w:tab w:val="right" w:leader="dot" w:pos="8302"/>
            </w:tabs>
            <w:rPr>
              <w:rFonts w:asciiTheme="minorHAnsi" w:eastAsiaTheme="minorEastAsia" w:hAnsiTheme="minorHAnsi" w:cstheme="minorBidi"/>
              <w:i w:val="0"/>
              <w:iCs w:val="0"/>
              <w:noProof/>
              <w:sz w:val="22"/>
              <w:szCs w:val="22"/>
              <w:lang w:eastAsia="en-GB"/>
            </w:rPr>
          </w:pPr>
          <w:hyperlink w:anchor="_Toc491862236" w:history="1">
            <w:r w:rsidR="009063AB" w:rsidRPr="00CF0C6E">
              <w:rPr>
                <w:rStyle w:val="Hyperlink"/>
                <w:noProof/>
              </w:rPr>
              <w:t>3.4.2 Bioaccumulation in terrestrial organisms (soil dwelling organisms, vertebrates)</w:t>
            </w:r>
            <w:r w:rsidR="009063AB">
              <w:rPr>
                <w:noProof/>
                <w:webHidden/>
              </w:rPr>
              <w:tab/>
            </w:r>
            <w:r w:rsidR="009063AB">
              <w:rPr>
                <w:noProof/>
                <w:webHidden/>
              </w:rPr>
              <w:fldChar w:fldCharType="begin"/>
            </w:r>
            <w:r w:rsidR="009063AB">
              <w:rPr>
                <w:noProof/>
                <w:webHidden/>
              </w:rPr>
              <w:instrText xml:space="preserve"> PAGEREF _Toc491862236 \h </w:instrText>
            </w:r>
            <w:r w:rsidR="009063AB">
              <w:rPr>
                <w:noProof/>
                <w:webHidden/>
              </w:rPr>
            </w:r>
            <w:r w:rsidR="009063AB">
              <w:rPr>
                <w:noProof/>
                <w:webHidden/>
              </w:rPr>
              <w:fldChar w:fldCharType="separate"/>
            </w:r>
            <w:r w:rsidR="009063AB">
              <w:rPr>
                <w:noProof/>
                <w:webHidden/>
              </w:rPr>
              <w:t>42</w:t>
            </w:r>
            <w:r w:rsidR="009063AB">
              <w:rPr>
                <w:noProof/>
                <w:webHidden/>
              </w:rPr>
              <w:fldChar w:fldCharType="end"/>
            </w:r>
          </w:hyperlink>
        </w:p>
        <w:p w14:paraId="048EC105" w14:textId="77777777" w:rsidR="009063AB" w:rsidRDefault="00B329D1">
          <w:pPr>
            <w:pStyle w:val="TOC3"/>
            <w:tabs>
              <w:tab w:val="right" w:leader="dot" w:pos="8302"/>
            </w:tabs>
            <w:rPr>
              <w:rFonts w:asciiTheme="minorHAnsi" w:eastAsiaTheme="minorEastAsia" w:hAnsiTheme="minorHAnsi" w:cstheme="minorBidi"/>
              <w:i w:val="0"/>
              <w:iCs w:val="0"/>
              <w:noProof/>
              <w:sz w:val="22"/>
              <w:szCs w:val="22"/>
              <w:lang w:eastAsia="en-GB"/>
            </w:rPr>
          </w:pPr>
          <w:hyperlink w:anchor="_Toc491862237" w:history="1">
            <w:r w:rsidR="009063AB" w:rsidRPr="00CF0C6E">
              <w:rPr>
                <w:rStyle w:val="Hyperlink"/>
                <w:noProof/>
              </w:rPr>
              <w:t>3.4.4 Summary and discussion of bioaccumulation</w:t>
            </w:r>
            <w:r w:rsidR="009063AB">
              <w:rPr>
                <w:noProof/>
                <w:webHidden/>
              </w:rPr>
              <w:tab/>
            </w:r>
            <w:r w:rsidR="009063AB">
              <w:rPr>
                <w:noProof/>
                <w:webHidden/>
              </w:rPr>
              <w:fldChar w:fldCharType="begin"/>
            </w:r>
            <w:r w:rsidR="009063AB">
              <w:rPr>
                <w:noProof/>
                <w:webHidden/>
              </w:rPr>
              <w:instrText xml:space="preserve"> PAGEREF _Toc491862237 \h </w:instrText>
            </w:r>
            <w:r w:rsidR="009063AB">
              <w:rPr>
                <w:noProof/>
                <w:webHidden/>
              </w:rPr>
            </w:r>
            <w:r w:rsidR="009063AB">
              <w:rPr>
                <w:noProof/>
                <w:webHidden/>
              </w:rPr>
              <w:fldChar w:fldCharType="separate"/>
            </w:r>
            <w:r w:rsidR="009063AB">
              <w:rPr>
                <w:noProof/>
                <w:webHidden/>
              </w:rPr>
              <w:t>49</w:t>
            </w:r>
            <w:r w:rsidR="009063AB">
              <w:rPr>
                <w:noProof/>
                <w:webHidden/>
              </w:rPr>
              <w:fldChar w:fldCharType="end"/>
            </w:r>
          </w:hyperlink>
        </w:p>
        <w:p w14:paraId="738FA1AC" w14:textId="77777777" w:rsidR="009063AB" w:rsidRDefault="00B329D1">
          <w:pPr>
            <w:pStyle w:val="TOC1"/>
            <w:rPr>
              <w:rFonts w:asciiTheme="minorHAnsi" w:eastAsiaTheme="minorEastAsia" w:hAnsiTheme="minorHAnsi" w:cstheme="minorBidi"/>
              <w:b w:val="0"/>
              <w:bCs w:val="0"/>
              <w:caps w:val="0"/>
              <w:noProof/>
              <w:sz w:val="22"/>
              <w:szCs w:val="22"/>
              <w:lang w:eastAsia="en-GB"/>
            </w:rPr>
          </w:pPr>
          <w:hyperlink w:anchor="_Toc491862238" w:history="1">
            <w:r w:rsidR="009063AB" w:rsidRPr="00CF0C6E">
              <w:rPr>
                <w:rStyle w:val="Hyperlink"/>
                <w:noProof/>
              </w:rPr>
              <w:t>4. Human health hazard assessment</w:t>
            </w:r>
            <w:r w:rsidR="009063AB">
              <w:rPr>
                <w:noProof/>
                <w:webHidden/>
              </w:rPr>
              <w:tab/>
            </w:r>
            <w:r w:rsidR="009063AB">
              <w:rPr>
                <w:noProof/>
                <w:webHidden/>
              </w:rPr>
              <w:fldChar w:fldCharType="begin"/>
            </w:r>
            <w:r w:rsidR="009063AB">
              <w:rPr>
                <w:noProof/>
                <w:webHidden/>
              </w:rPr>
              <w:instrText xml:space="preserve"> PAGEREF _Toc491862238 \h </w:instrText>
            </w:r>
            <w:r w:rsidR="009063AB">
              <w:rPr>
                <w:noProof/>
                <w:webHidden/>
              </w:rPr>
            </w:r>
            <w:r w:rsidR="009063AB">
              <w:rPr>
                <w:noProof/>
                <w:webHidden/>
              </w:rPr>
              <w:fldChar w:fldCharType="separate"/>
            </w:r>
            <w:r w:rsidR="009063AB">
              <w:rPr>
                <w:noProof/>
                <w:webHidden/>
              </w:rPr>
              <w:t>52</w:t>
            </w:r>
            <w:r w:rsidR="009063AB">
              <w:rPr>
                <w:noProof/>
                <w:webHidden/>
              </w:rPr>
              <w:fldChar w:fldCharType="end"/>
            </w:r>
          </w:hyperlink>
        </w:p>
        <w:p w14:paraId="683A40EA" w14:textId="77777777" w:rsidR="009063AB" w:rsidRDefault="00B329D1">
          <w:pPr>
            <w:pStyle w:val="TOC2"/>
            <w:rPr>
              <w:rFonts w:asciiTheme="minorHAnsi" w:eastAsiaTheme="minorEastAsia" w:hAnsiTheme="minorHAnsi" w:cstheme="minorBidi"/>
              <w:noProof/>
              <w:sz w:val="22"/>
              <w:szCs w:val="22"/>
              <w:lang w:eastAsia="en-GB"/>
            </w:rPr>
          </w:pPr>
          <w:hyperlink w:anchor="_Toc491862239" w:history="1">
            <w:r w:rsidR="009063AB" w:rsidRPr="00CF0C6E">
              <w:rPr>
                <w:rStyle w:val="Hyperlink"/>
                <w:noProof/>
              </w:rPr>
              <w:t>4.1 Toxicokinetics (absorption, metabolism, distribution and elimination)</w:t>
            </w:r>
            <w:r w:rsidR="009063AB">
              <w:rPr>
                <w:noProof/>
                <w:webHidden/>
              </w:rPr>
              <w:tab/>
            </w:r>
            <w:r w:rsidR="009063AB">
              <w:rPr>
                <w:noProof/>
                <w:webHidden/>
              </w:rPr>
              <w:fldChar w:fldCharType="begin"/>
            </w:r>
            <w:r w:rsidR="009063AB">
              <w:rPr>
                <w:noProof/>
                <w:webHidden/>
              </w:rPr>
              <w:instrText xml:space="preserve"> PAGEREF _Toc491862239 \h </w:instrText>
            </w:r>
            <w:r w:rsidR="009063AB">
              <w:rPr>
                <w:noProof/>
                <w:webHidden/>
              </w:rPr>
            </w:r>
            <w:r w:rsidR="009063AB">
              <w:rPr>
                <w:noProof/>
                <w:webHidden/>
              </w:rPr>
              <w:fldChar w:fldCharType="separate"/>
            </w:r>
            <w:r w:rsidR="009063AB">
              <w:rPr>
                <w:noProof/>
                <w:webHidden/>
              </w:rPr>
              <w:t>52</w:t>
            </w:r>
            <w:r w:rsidR="009063AB">
              <w:rPr>
                <w:noProof/>
                <w:webHidden/>
              </w:rPr>
              <w:fldChar w:fldCharType="end"/>
            </w:r>
          </w:hyperlink>
        </w:p>
        <w:p w14:paraId="1DD92D8C" w14:textId="77777777" w:rsidR="009063AB" w:rsidRDefault="00B329D1">
          <w:pPr>
            <w:pStyle w:val="TOC1"/>
            <w:rPr>
              <w:rFonts w:asciiTheme="minorHAnsi" w:eastAsiaTheme="minorEastAsia" w:hAnsiTheme="minorHAnsi" w:cstheme="minorBidi"/>
              <w:b w:val="0"/>
              <w:bCs w:val="0"/>
              <w:caps w:val="0"/>
              <w:noProof/>
              <w:sz w:val="22"/>
              <w:szCs w:val="22"/>
              <w:lang w:eastAsia="en-GB"/>
            </w:rPr>
          </w:pPr>
          <w:hyperlink w:anchor="_Toc491862240" w:history="1">
            <w:r w:rsidR="009063AB" w:rsidRPr="00CF0C6E">
              <w:rPr>
                <w:rStyle w:val="Hyperlink"/>
                <w:noProof/>
              </w:rPr>
              <w:t>5. Environmental hazard assessment</w:t>
            </w:r>
            <w:r w:rsidR="009063AB">
              <w:rPr>
                <w:noProof/>
                <w:webHidden/>
              </w:rPr>
              <w:tab/>
            </w:r>
            <w:r w:rsidR="009063AB">
              <w:rPr>
                <w:noProof/>
                <w:webHidden/>
              </w:rPr>
              <w:fldChar w:fldCharType="begin"/>
            </w:r>
            <w:r w:rsidR="009063AB">
              <w:rPr>
                <w:noProof/>
                <w:webHidden/>
              </w:rPr>
              <w:instrText xml:space="preserve"> PAGEREF _Toc491862240 \h </w:instrText>
            </w:r>
            <w:r w:rsidR="009063AB">
              <w:rPr>
                <w:noProof/>
                <w:webHidden/>
              </w:rPr>
            </w:r>
            <w:r w:rsidR="009063AB">
              <w:rPr>
                <w:noProof/>
                <w:webHidden/>
              </w:rPr>
              <w:fldChar w:fldCharType="separate"/>
            </w:r>
            <w:r w:rsidR="009063AB">
              <w:rPr>
                <w:noProof/>
                <w:webHidden/>
              </w:rPr>
              <w:t>54</w:t>
            </w:r>
            <w:r w:rsidR="009063AB">
              <w:rPr>
                <w:noProof/>
                <w:webHidden/>
              </w:rPr>
              <w:fldChar w:fldCharType="end"/>
            </w:r>
          </w:hyperlink>
        </w:p>
        <w:p w14:paraId="2FB513D9" w14:textId="77777777" w:rsidR="009063AB" w:rsidRDefault="00B329D1">
          <w:pPr>
            <w:pStyle w:val="TOC1"/>
            <w:rPr>
              <w:rFonts w:asciiTheme="minorHAnsi" w:eastAsiaTheme="minorEastAsia" w:hAnsiTheme="minorHAnsi" w:cstheme="minorBidi"/>
              <w:b w:val="0"/>
              <w:bCs w:val="0"/>
              <w:caps w:val="0"/>
              <w:noProof/>
              <w:sz w:val="22"/>
              <w:szCs w:val="22"/>
              <w:lang w:eastAsia="en-GB"/>
            </w:rPr>
          </w:pPr>
          <w:hyperlink w:anchor="_Toc491862241" w:history="1">
            <w:r w:rsidR="009063AB" w:rsidRPr="00CF0C6E">
              <w:rPr>
                <w:rStyle w:val="Hyperlink"/>
                <w:noProof/>
              </w:rPr>
              <w:t>6. Conclusions on the SVHC Properties</w:t>
            </w:r>
            <w:r w:rsidR="009063AB">
              <w:rPr>
                <w:noProof/>
                <w:webHidden/>
              </w:rPr>
              <w:tab/>
            </w:r>
            <w:r w:rsidR="009063AB">
              <w:rPr>
                <w:noProof/>
                <w:webHidden/>
              </w:rPr>
              <w:fldChar w:fldCharType="begin"/>
            </w:r>
            <w:r w:rsidR="009063AB">
              <w:rPr>
                <w:noProof/>
                <w:webHidden/>
              </w:rPr>
              <w:instrText xml:space="preserve"> PAGEREF _Toc491862241 \h </w:instrText>
            </w:r>
            <w:r w:rsidR="009063AB">
              <w:rPr>
                <w:noProof/>
                <w:webHidden/>
              </w:rPr>
            </w:r>
            <w:r w:rsidR="009063AB">
              <w:rPr>
                <w:noProof/>
                <w:webHidden/>
              </w:rPr>
              <w:fldChar w:fldCharType="separate"/>
            </w:r>
            <w:r w:rsidR="009063AB">
              <w:rPr>
                <w:noProof/>
                <w:webHidden/>
              </w:rPr>
              <w:t>55</w:t>
            </w:r>
            <w:r w:rsidR="009063AB">
              <w:rPr>
                <w:noProof/>
                <w:webHidden/>
              </w:rPr>
              <w:fldChar w:fldCharType="end"/>
            </w:r>
          </w:hyperlink>
        </w:p>
        <w:p w14:paraId="50C74A51" w14:textId="77777777" w:rsidR="009063AB" w:rsidRDefault="00B329D1">
          <w:pPr>
            <w:pStyle w:val="TOC2"/>
            <w:rPr>
              <w:rFonts w:asciiTheme="minorHAnsi" w:eastAsiaTheme="minorEastAsia" w:hAnsiTheme="minorHAnsi" w:cstheme="minorBidi"/>
              <w:noProof/>
              <w:sz w:val="22"/>
              <w:szCs w:val="22"/>
              <w:lang w:eastAsia="en-GB"/>
            </w:rPr>
          </w:pPr>
          <w:hyperlink w:anchor="_Toc491862242" w:history="1">
            <w:r w:rsidR="009063AB" w:rsidRPr="00CF0C6E">
              <w:rPr>
                <w:rStyle w:val="Hyperlink"/>
                <w:noProof/>
              </w:rPr>
              <w:t>6.1 CMR assessment</w:t>
            </w:r>
            <w:r w:rsidR="009063AB">
              <w:rPr>
                <w:noProof/>
                <w:webHidden/>
              </w:rPr>
              <w:tab/>
            </w:r>
            <w:r w:rsidR="009063AB">
              <w:rPr>
                <w:noProof/>
                <w:webHidden/>
              </w:rPr>
              <w:fldChar w:fldCharType="begin"/>
            </w:r>
            <w:r w:rsidR="009063AB">
              <w:rPr>
                <w:noProof/>
                <w:webHidden/>
              </w:rPr>
              <w:instrText xml:space="preserve"> PAGEREF _Toc491862242 \h </w:instrText>
            </w:r>
            <w:r w:rsidR="009063AB">
              <w:rPr>
                <w:noProof/>
                <w:webHidden/>
              </w:rPr>
            </w:r>
            <w:r w:rsidR="009063AB">
              <w:rPr>
                <w:noProof/>
                <w:webHidden/>
              </w:rPr>
              <w:fldChar w:fldCharType="separate"/>
            </w:r>
            <w:r w:rsidR="009063AB">
              <w:rPr>
                <w:noProof/>
                <w:webHidden/>
              </w:rPr>
              <w:t>55</w:t>
            </w:r>
            <w:r w:rsidR="009063AB">
              <w:rPr>
                <w:noProof/>
                <w:webHidden/>
              </w:rPr>
              <w:fldChar w:fldCharType="end"/>
            </w:r>
          </w:hyperlink>
        </w:p>
        <w:p w14:paraId="087AE124" w14:textId="77777777" w:rsidR="009063AB" w:rsidRDefault="00B329D1">
          <w:pPr>
            <w:pStyle w:val="TOC2"/>
            <w:rPr>
              <w:rFonts w:asciiTheme="minorHAnsi" w:eastAsiaTheme="minorEastAsia" w:hAnsiTheme="minorHAnsi" w:cstheme="minorBidi"/>
              <w:noProof/>
              <w:sz w:val="22"/>
              <w:szCs w:val="22"/>
              <w:lang w:eastAsia="en-GB"/>
            </w:rPr>
          </w:pPr>
          <w:hyperlink w:anchor="_Toc491862243" w:history="1">
            <w:r w:rsidR="009063AB" w:rsidRPr="00CF0C6E">
              <w:rPr>
                <w:rStyle w:val="Hyperlink"/>
                <w:noProof/>
              </w:rPr>
              <w:t>6.2 PBT and vPvB assessment</w:t>
            </w:r>
            <w:r w:rsidR="009063AB">
              <w:rPr>
                <w:noProof/>
                <w:webHidden/>
              </w:rPr>
              <w:tab/>
            </w:r>
            <w:r w:rsidR="009063AB">
              <w:rPr>
                <w:noProof/>
                <w:webHidden/>
              </w:rPr>
              <w:fldChar w:fldCharType="begin"/>
            </w:r>
            <w:r w:rsidR="009063AB">
              <w:rPr>
                <w:noProof/>
                <w:webHidden/>
              </w:rPr>
              <w:instrText xml:space="preserve"> PAGEREF _Toc491862243 \h </w:instrText>
            </w:r>
            <w:r w:rsidR="009063AB">
              <w:rPr>
                <w:noProof/>
                <w:webHidden/>
              </w:rPr>
            </w:r>
            <w:r w:rsidR="009063AB">
              <w:rPr>
                <w:noProof/>
                <w:webHidden/>
              </w:rPr>
              <w:fldChar w:fldCharType="separate"/>
            </w:r>
            <w:r w:rsidR="009063AB">
              <w:rPr>
                <w:noProof/>
                <w:webHidden/>
              </w:rPr>
              <w:t>55</w:t>
            </w:r>
            <w:r w:rsidR="009063AB">
              <w:rPr>
                <w:noProof/>
                <w:webHidden/>
              </w:rPr>
              <w:fldChar w:fldCharType="end"/>
            </w:r>
          </w:hyperlink>
        </w:p>
        <w:p w14:paraId="6D1BE224" w14:textId="77777777" w:rsidR="009063AB" w:rsidRDefault="00B329D1">
          <w:pPr>
            <w:pStyle w:val="TOC3"/>
            <w:tabs>
              <w:tab w:val="right" w:leader="dot" w:pos="8302"/>
            </w:tabs>
            <w:rPr>
              <w:rFonts w:asciiTheme="minorHAnsi" w:eastAsiaTheme="minorEastAsia" w:hAnsiTheme="minorHAnsi" w:cstheme="minorBidi"/>
              <w:i w:val="0"/>
              <w:iCs w:val="0"/>
              <w:noProof/>
              <w:sz w:val="22"/>
              <w:szCs w:val="22"/>
              <w:lang w:eastAsia="en-GB"/>
            </w:rPr>
          </w:pPr>
          <w:hyperlink w:anchor="_Toc491862244" w:history="1">
            <w:r w:rsidR="009063AB" w:rsidRPr="00CF0C6E">
              <w:rPr>
                <w:rStyle w:val="Hyperlink"/>
                <w:noProof/>
              </w:rPr>
              <w:t>6.2.1 Assessment of PBT/vPvB properties</w:t>
            </w:r>
            <w:r w:rsidR="009063AB">
              <w:rPr>
                <w:noProof/>
                <w:webHidden/>
              </w:rPr>
              <w:tab/>
            </w:r>
            <w:r w:rsidR="009063AB">
              <w:rPr>
                <w:noProof/>
                <w:webHidden/>
              </w:rPr>
              <w:fldChar w:fldCharType="begin"/>
            </w:r>
            <w:r w:rsidR="009063AB">
              <w:rPr>
                <w:noProof/>
                <w:webHidden/>
              </w:rPr>
              <w:instrText xml:space="preserve"> PAGEREF _Toc491862244 \h </w:instrText>
            </w:r>
            <w:r w:rsidR="009063AB">
              <w:rPr>
                <w:noProof/>
                <w:webHidden/>
              </w:rPr>
            </w:r>
            <w:r w:rsidR="009063AB">
              <w:rPr>
                <w:noProof/>
                <w:webHidden/>
              </w:rPr>
              <w:fldChar w:fldCharType="separate"/>
            </w:r>
            <w:r w:rsidR="009063AB">
              <w:rPr>
                <w:noProof/>
                <w:webHidden/>
              </w:rPr>
              <w:t>55</w:t>
            </w:r>
            <w:r w:rsidR="009063AB">
              <w:rPr>
                <w:noProof/>
                <w:webHidden/>
              </w:rPr>
              <w:fldChar w:fldCharType="end"/>
            </w:r>
          </w:hyperlink>
        </w:p>
        <w:p w14:paraId="61BF6488" w14:textId="77777777" w:rsidR="009063AB" w:rsidRDefault="00B329D1">
          <w:pPr>
            <w:pStyle w:val="TOC3"/>
            <w:tabs>
              <w:tab w:val="right" w:leader="dot" w:pos="8302"/>
            </w:tabs>
            <w:rPr>
              <w:rFonts w:asciiTheme="minorHAnsi" w:eastAsiaTheme="minorEastAsia" w:hAnsiTheme="minorHAnsi" w:cstheme="minorBidi"/>
              <w:i w:val="0"/>
              <w:iCs w:val="0"/>
              <w:noProof/>
              <w:sz w:val="22"/>
              <w:szCs w:val="22"/>
              <w:lang w:eastAsia="en-GB"/>
            </w:rPr>
          </w:pPr>
          <w:hyperlink w:anchor="_Toc491862245" w:history="1">
            <w:r w:rsidR="009063AB" w:rsidRPr="00CF0C6E">
              <w:rPr>
                <w:rStyle w:val="Hyperlink"/>
                <w:noProof/>
              </w:rPr>
              <w:t>6.2.1.3.1 Fulfilment of the T criterion based on human health classification</w:t>
            </w:r>
            <w:r w:rsidR="009063AB">
              <w:rPr>
                <w:noProof/>
                <w:webHidden/>
              </w:rPr>
              <w:tab/>
            </w:r>
            <w:r w:rsidR="009063AB">
              <w:rPr>
                <w:noProof/>
                <w:webHidden/>
              </w:rPr>
              <w:fldChar w:fldCharType="begin"/>
            </w:r>
            <w:r w:rsidR="009063AB">
              <w:rPr>
                <w:noProof/>
                <w:webHidden/>
              </w:rPr>
              <w:instrText xml:space="preserve"> PAGEREF _Toc491862245 \h </w:instrText>
            </w:r>
            <w:r w:rsidR="009063AB">
              <w:rPr>
                <w:noProof/>
                <w:webHidden/>
              </w:rPr>
            </w:r>
            <w:r w:rsidR="009063AB">
              <w:rPr>
                <w:noProof/>
                <w:webHidden/>
              </w:rPr>
              <w:fldChar w:fldCharType="separate"/>
            </w:r>
            <w:r w:rsidR="009063AB">
              <w:rPr>
                <w:noProof/>
                <w:webHidden/>
              </w:rPr>
              <w:t>60</w:t>
            </w:r>
            <w:r w:rsidR="009063AB">
              <w:rPr>
                <w:noProof/>
                <w:webHidden/>
              </w:rPr>
              <w:fldChar w:fldCharType="end"/>
            </w:r>
          </w:hyperlink>
        </w:p>
        <w:p w14:paraId="06808D27" w14:textId="77777777" w:rsidR="009063AB" w:rsidRDefault="00B329D1">
          <w:pPr>
            <w:pStyle w:val="TOC3"/>
            <w:tabs>
              <w:tab w:val="left" w:pos="1329"/>
              <w:tab w:val="right" w:leader="dot" w:pos="8302"/>
            </w:tabs>
            <w:rPr>
              <w:rFonts w:asciiTheme="minorHAnsi" w:eastAsiaTheme="minorEastAsia" w:hAnsiTheme="minorHAnsi" w:cstheme="minorBidi"/>
              <w:i w:val="0"/>
              <w:iCs w:val="0"/>
              <w:noProof/>
              <w:sz w:val="22"/>
              <w:szCs w:val="22"/>
              <w:lang w:eastAsia="en-GB"/>
            </w:rPr>
          </w:pPr>
          <w:hyperlink w:anchor="_Toc491862246" w:history="1">
            <w:r w:rsidR="009063AB" w:rsidRPr="00CF0C6E">
              <w:rPr>
                <w:rStyle w:val="Hyperlink"/>
                <w:noProof/>
              </w:rPr>
              <w:t>6.2.1.3.2</w:t>
            </w:r>
            <w:r w:rsidR="009063AB">
              <w:rPr>
                <w:rFonts w:asciiTheme="minorHAnsi" w:eastAsiaTheme="minorEastAsia" w:hAnsiTheme="minorHAnsi" w:cstheme="minorBidi"/>
                <w:i w:val="0"/>
                <w:iCs w:val="0"/>
                <w:noProof/>
                <w:sz w:val="22"/>
                <w:szCs w:val="22"/>
                <w:lang w:eastAsia="en-GB"/>
              </w:rPr>
              <w:tab/>
            </w:r>
            <w:r w:rsidR="009063AB" w:rsidRPr="00CF0C6E">
              <w:rPr>
                <w:rStyle w:val="Hyperlink"/>
                <w:noProof/>
              </w:rPr>
              <w:t>Fulfilment of the T criterion based on ecotoxicity data</w:t>
            </w:r>
            <w:r w:rsidR="009063AB">
              <w:rPr>
                <w:noProof/>
                <w:webHidden/>
              </w:rPr>
              <w:tab/>
            </w:r>
            <w:r w:rsidR="009063AB">
              <w:rPr>
                <w:noProof/>
                <w:webHidden/>
              </w:rPr>
              <w:fldChar w:fldCharType="begin"/>
            </w:r>
            <w:r w:rsidR="009063AB">
              <w:rPr>
                <w:noProof/>
                <w:webHidden/>
              </w:rPr>
              <w:instrText xml:space="preserve"> PAGEREF _Toc491862246 \h </w:instrText>
            </w:r>
            <w:r w:rsidR="009063AB">
              <w:rPr>
                <w:noProof/>
                <w:webHidden/>
              </w:rPr>
            </w:r>
            <w:r w:rsidR="009063AB">
              <w:rPr>
                <w:noProof/>
                <w:webHidden/>
              </w:rPr>
              <w:fldChar w:fldCharType="separate"/>
            </w:r>
            <w:r w:rsidR="009063AB">
              <w:rPr>
                <w:noProof/>
                <w:webHidden/>
              </w:rPr>
              <w:t>60</w:t>
            </w:r>
            <w:r w:rsidR="009063AB">
              <w:rPr>
                <w:noProof/>
                <w:webHidden/>
              </w:rPr>
              <w:fldChar w:fldCharType="end"/>
            </w:r>
          </w:hyperlink>
        </w:p>
        <w:p w14:paraId="0CB3B92F" w14:textId="77777777" w:rsidR="009063AB" w:rsidRDefault="00B329D1">
          <w:pPr>
            <w:pStyle w:val="TOC3"/>
            <w:tabs>
              <w:tab w:val="right" w:leader="dot" w:pos="8302"/>
            </w:tabs>
            <w:rPr>
              <w:rFonts w:asciiTheme="minorHAnsi" w:eastAsiaTheme="minorEastAsia" w:hAnsiTheme="minorHAnsi" w:cstheme="minorBidi"/>
              <w:i w:val="0"/>
              <w:iCs w:val="0"/>
              <w:noProof/>
              <w:sz w:val="22"/>
              <w:szCs w:val="22"/>
              <w:lang w:eastAsia="en-GB"/>
            </w:rPr>
          </w:pPr>
          <w:hyperlink w:anchor="_Toc491862247" w:history="1">
            <w:r w:rsidR="009063AB" w:rsidRPr="00CF0C6E">
              <w:rPr>
                <w:rStyle w:val="Hyperlink"/>
                <w:noProof/>
              </w:rPr>
              <w:t>6.2.2 Summary and overall conclusions on the PBT and vPvB properties</w:t>
            </w:r>
            <w:r w:rsidR="009063AB">
              <w:rPr>
                <w:noProof/>
                <w:webHidden/>
              </w:rPr>
              <w:tab/>
            </w:r>
            <w:r w:rsidR="009063AB">
              <w:rPr>
                <w:noProof/>
                <w:webHidden/>
              </w:rPr>
              <w:fldChar w:fldCharType="begin"/>
            </w:r>
            <w:r w:rsidR="009063AB">
              <w:rPr>
                <w:noProof/>
                <w:webHidden/>
              </w:rPr>
              <w:instrText xml:space="preserve"> PAGEREF _Toc491862247 \h </w:instrText>
            </w:r>
            <w:r w:rsidR="009063AB">
              <w:rPr>
                <w:noProof/>
                <w:webHidden/>
              </w:rPr>
            </w:r>
            <w:r w:rsidR="009063AB">
              <w:rPr>
                <w:noProof/>
                <w:webHidden/>
              </w:rPr>
              <w:fldChar w:fldCharType="separate"/>
            </w:r>
            <w:r w:rsidR="009063AB">
              <w:rPr>
                <w:noProof/>
                <w:webHidden/>
              </w:rPr>
              <w:t>62</w:t>
            </w:r>
            <w:r w:rsidR="009063AB">
              <w:rPr>
                <w:noProof/>
                <w:webHidden/>
              </w:rPr>
              <w:fldChar w:fldCharType="end"/>
            </w:r>
          </w:hyperlink>
        </w:p>
        <w:p w14:paraId="65D3F366" w14:textId="77777777" w:rsidR="009063AB" w:rsidRDefault="00B329D1">
          <w:pPr>
            <w:pStyle w:val="TOC1"/>
            <w:rPr>
              <w:rFonts w:asciiTheme="minorHAnsi" w:eastAsiaTheme="minorEastAsia" w:hAnsiTheme="minorHAnsi" w:cstheme="minorBidi"/>
              <w:b w:val="0"/>
              <w:bCs w:val="0"/>
              <w:caps w:val="0"/>
              <w:noProof/>
              <w:sz w:val="22"/>
              <w:szCs w:val="22"/>
              <w:lang w:eastAsia="en-GB"/>
            </w:rPr>
          </w:pPr>
          <w:hyperlink w:anchor="_Toc491862248" w:history="1">
            <w:r w:rsidR="009063AB" w:rsidRPr="00CF0C6E">
              <w:rPr>
                <w:rStyle w:val="Hyperlink"/>
                <w:noProof/>
              </w:rPr>
              <w:t>Part II</w:t>
            </w:r>
            <w:r w:rsidR="009063AB">
              <w:rPr>
                <w:noProof/>
                <w:webHidden/>
              </w:rPr>
              <w:tab/>
            </w:r>
            <w:r w:rsidR="009063AB">
              <w:rPr>
                <w:noProof/>
                <w:webHidden/>
              </w:rPr>
              <w:fldChar w:fldCharType="begin"/>
            </w:r>
            <w:r w:rsidR="009063AB">
              <w:rPr>
                <w:noProof/>
                <w:webHidden/>
              </w:rPr>
              <w:instrText xml:space="preserve"> PAGEREF _Toc491862248 \h </w:instrText>
            </w:r>
            <w:r w:rsidR="009063AB">
              <w:rPr>
                <w:noProof/>
                <w:webHidden/>
              </w:rPr>
            </w:r>
            <w:r w:rsidR="009063AB">
              <w:rPr>
                <w:noProof/>
                <w:webHidden/>
              </w:rPr>
              <w:fldChar w:fldCharType="separate"/>
            </w:r>
            <w:r w:rsidR="009063AB">
              <w:rPr>
                <w:noProof/>
                <w:webHidden/>
              </w:rPr>
              <w:t>64</w:t>
            </w:r>
            <w:r w:rsidR="009063AB">
              <w:rPr>
                <w:noProof/>
                <w:webHidden/>
              </w:rPr>
              <w:fldChar w:fldCharType="end"/>
            </w:r>
          </w:hyperlink>
        </w:p>
        <w:p w14:paraId="0F2D7A28" w14:textId="77777777" w:rsidR="009063AB" w:rsidRDefault="00B329D1">
          <w:pPr>
            <w:pStyle w:val="TOC1"/>
            <w:rPr>
              <w:rFonts w:asciiTheme="minorHAnsi" w:eastAsiaTheme="minorEastAsia" w:hAnsiTheme="minorHAnsi" w:cstheme="minorBidi"/>
              <w:b w:val="0"/>
              <w:bCs w:val="0"/>
              <w:caps w:val="0"/>
              <w:noProof/>
              <w:sz w:val="22"/>
              <w:szCs w:val="22"/>
              <w:lang w:eastAsia="en-GB"/>
            </w:rPr>
          </w:pPr>
          <w:hyperlink w:anchor="_Toc491862249" w:history="1">
            <w:r w:rsidR="009063AB" w:rsidRPr="00CF0C6E">
              <w:rPr>
                <w:rStyle w:val="Hyperlink"/>
                <w:noProof/>
              </w:rPr>
              <w:t>7. Registration and C&amp;L notification status</w:t>
            </w:r>
            <w:r w:rsidR="009063AB">
              <w:rPr>
                <w:noProof/>
                <w:webHidden/>
              </w:rPr>
              <w:tab/>
            </w:r>
            <w:r w:rsidR="009063AB">
              <w:rPr>
                <w:noProof/>
                <w:webHidden/>
              </w:rPr>
              <w:fldChar w:fldCharType="begin"/>
            </w:r>
            <w:r w:rsidR="009063AB">
              <w:rPr>
                <w:noProof/>
                <w:webHidden/>
              </w:rPr>
              <w:instrText xml:space="preserve"> PAGEREF _Toc491862249 \h </w:instrText>
            </w:r>
            <w:r w:rsidR="009063AB">
              <w:rPr>
                <w:noProof/>
                <w:webHidden/>
              </w:rPr>
            </w:r>
            <w:r w:rsidR="009063AB">
              <w:rPr>
                <w:noProof/>
                <w:webHidden/>
              </w:rPr>
              <w:fldChar w:fldCharType="separate"/>
            </w:r>
            <w:r w:rsidR="009063AB">
              <w:rPr>
                <w:noProof/>
                <w:webHidden/>
              </w:rPr>
              <w:t>64</w:t>
            </w:r>
            <w:r w:rsidR="009063AB">
              <w:rPr>
                <w:noProof/>
                <w:webHidden/>
              </w:rPr>
              <w:fldChar w:fldCharType="end"/>
            </w:r>
          </w:hyperlink>
        </w:p>
        <w:p w14:paraId="5EB40BCC" w14:textId="77777777" w:rsidR="009063AB" w:rsidRDefault="00B329D1">
          <w:pPr>
            <w:pStyle w:val="TOC2"/>
            <w:tabs>
              <w:tab w:val="left" w:pos="800"/>
            </w:tabs>
            <w:rPr>
              <w:rFonts w:asciiTheme="minorHAnsi" w:eastAsiaTheme="minorEastAsia" w:hAnsiTheme="minorHAnsi" w:cstheme="minorBidi"/>
              <w:noProof/>
              <w:sz w:val="22"/>
              <w:szCs w:val="22"/>
              <w:lang w:eastAsia="en-GB"/>
            </w:rPr>
          </w:pPr>
          <w:hyperlink w:anchor="_Toc491862250" w:history="1">
            <w:r w:rsidR="009063AB" w:rsidRPr="00CF0C6E">
              <w:rPr>
                <w:rStyle w:val="Hyperlink"/>
                <w:rFonts w:cs="Times New Roman"/>
                <w:noProof/>
              </w:rPr>
              <w:t>7.1</w:t>
            </w:r>
            <w:r w:rsidR="009063AB">
              <w:rPr>
                <w:rFonts w:asciiTheme="minorHAnsi" w:eastAsiaTheme="minorEastAsia" w:hAnsiTheme="minorHAnsi" w:cstheme="minorBidi"/>
                <w:noProof/>
                <w:sz w:val="22"/>
                <w:szCs w:val="22"/>
                <w:lang w:eastAsia="en-GB"/>
              </w:rPr>
              <w:tab/>
            </w:r>
            <w:r w:rsidR="009063AB" w:rsidRPr="00CF0C6E">
              <w:rPr>
                <w:rStyle w:val="Hyperlink"/>
                <w:noProof/>
              </w:rPr>
              <w:t>Registration status</w:t>
            </w:r>
            <w:r w:rsidR="009063AB">
              <w:rPr>
                <w:noProof/>
                <w:webHidden/>
              </w:rPr>
              <w:tab/>
            </w:r>
            <w:r w:rsidR="009063AB">
              <w:rPr>
                <w:noProof/>
                <w:webHidden/>
              </w:rPr>
              <w:fldChar w:fldCharType="begin"/>
            </w:r>
            <w:r w:rsidR="009063AB">
              <w:rPr>
                <w:noProof/>
                <w:webHidden/>
              </w:rPr>
              <w:instrText xml:space="preserve"> PAGEREF _Toc491862250 \h </w:instrText>
            </w:r>
            <w:r w:rsidR="009063AB">
              <w:rPr>
                <w:noProof/>
                <w:webHidden/>
              </w:rPr>
            </w:r>
            <w:r w:rsidR="009063AB">
              <w:rPr>
                <w:noProof/>
                <w:webHidden/>
              </w:rPr>
              <w:fldChar w:fldCharType="separate"/>
            </w:r>
            <w:r w:rsidR="009063AB">
              <w:rPr>
                <w:noProof/>
                <w:webHidden/>
              </w:rPr>
              <w:t>64</w:t>
            </w:r>
            <w:r w:rsidR="009063AB">
              <w:rPr>
                <w:noProof/>
                <w:webHidden/>
              </w:rPr>
              <w:fldChar w:fldCharType="end"/>
            </w:r>
          </w:hyperlink>
        </w:p>
        <w:p w14:paraId="3C3584F3" w14:textId="77777777" w:rsidR="009063AB" w:rsidRDefault="00B329D1">
          <w:pPr>
            <w:pStyle w:val="TOC2"/>
            <w:rPr>
              <w:rFonts w:asciiTheme="minorHAnsi" w:eastAsiaTheme="minorEastAsia" w:hAnsiTheme="minorHAnsi" w:cstheme="minorBidi"/>
              <w:noProof/>
              <w:sz w:val="22"/>
              <w:szCs w:val="22"/>
              <w:lang w:eastAsia="en-GB"/>
            </w:rPr>
          </w:pPr>
          <w:hyperlink w:anchor="_Toc491862251" w:history="1">
            <w:r w:rsidR="009063AB" w:rsidRPr="00CF0C6E">
              <w:rPr>
                <w:rStyle w:val="Hyperlink"/>
                <w:noProof/>
              </w:rPr>
              <w:t>7.2 CLP notification status</w:t>
            </w:r>
            <w:r w:rsidR="009063AB">
              <w:rPr>
                <w:noProof/>
                <w:webHidden/>
              </w:rPr>
              <w:tab/>
            </w:r>
            <w:r w:rsidR="009063AB">
              <w:rPr>
                <w:noProof/>
                <w:webHidden/>
              </w:rPr>
              <w:fldChar w:fldCharType="begin"/>
            </w:r>
            <w:r w:rsidR="009063AB">
              <w:rPr>
                <w:noProof/>
                <w:webHidden/>
              </w:rPr>
              <w:instrText xml:space="preserve"> PAGEREF _Toc491862251 \h </w:instrText>
            </w:r>
            <w:r w:rsidR="009063AB">
              <w:rPr>
                <w:noProof/>
                <w:webHidden/>
              </w:rPr>
            </w:r>
            <w:r w:rsidR="009063AB">
              <w:rPr>
                <w:noProof/>
                <w:webHidden/>
              </w:rPr>
              <w:fldChar w:fldCharType="separate"/>
            </w:r>
            <w:r w:rsidR="009063AB">
              <w:rPr>
                <w:noProof/>
                <w:webHidden/>
              </w:rPr>
              <w:t>64</w:t>
            </w:r>
            <w:r w:rsidR="009063AB">
              <w:rPr>
                <w:noProof/>
                <w:webHidden/>
              </w:rPr>
              <w:fldChar w:fldCharType="end"/>
            </w:r>
          </w:hyperlink>
        </w:p>
        <w:p w14:paraId="6C3A3112" w14:textId="77777777" w:rsidR="009063AB" w:rsidRDefault="00B329D1">
          <w:pPr>
            <w:pStyle w:val="TOC1"/>
            <w:rPr>
              <w:rFonts w:asciiTheme="minorHAnsi" w:eastAsiaTheme="minorEastAsia" w:hAnsiTheme="minorHAnsi" w:cstheme="minorBidi"/>
              <w:b w:val="0"/>
              <w:bCs w:val="0"/>
              <w:caps w:val="0"/>
              <w:noProof/>
              <w:sz w:val="22"/>
              <w:szCs w:val="22"/>
              <w:lang w:eastAsia="en-GB"/>
            </w:rPr>
          </w:pPr>
          <w:hyperlink w:anchor="_Toc491862252" w:history="1">
            <w:r w:rsidR="009063AB" w:rsidRPr="00CF0C6E">
              <w:rPr>
                <w:rStyle w:val="Hyperlink"/>
                <w:noProof/>
              </w:rPr>
              <w:t>8. Total tonnage of the substance</w:t>
            </w:r>
            <w:r w:rsidR="009063AB">
              <w:rPr>
                <w:noProof/>
                <w:webHidden/>
              </w:rPr>
              <w:tab/>
            </w:r>
            <w:r w:rsidR="009063AB">
              <w:rPr>
                <w:noProof/>
                <w:webHidden/>
              </w:rPr>
              <w:fldChar w:fldCharType="begin"/>
            </w:r>
            <w:r w:rsidR="009063AB">
              <w:rPr>
                <w:noProof/>
                <w:webHidden/>
              </w:rPr>
              <w:instrText xml:space="preserve"> PAGEREF _Toc491862252 \h </w:instrText>
            </w:r>
            <w:r w:rsidR="009063AB">
              <w:rPr>
                <w:noProof/>
                <w:webHidden/>
              </w:rPr>
            </w:r>
            <w:r w:rsidR="009063AB">
              <w:rPr>
                <w:noProof/>
                <w:webHidden/>
              </w:rPr>
              <w:fldChar w:fldCharType="separate"/>
            </w:r>
            <w:r w:rsidR="009063AB">
              <w:rPr>
                <w:noProof/>
                <w:webHidden/>
              </w:rPr>
              <w:t>64</w:t>
            </w:r>
            <w:r w:rsidR="009063AB">
              <w:rPr>
                <w:noProof/>
                <w:webHidden/>
              </w:rPr>
              <w:fldChar w:fldCharType="end"/>
            </w:r>
          </w:hyperlink>
        </w:p>
        <w:p w14:paraId="0F7974BB" w14:textId="77777777" w:rsidR="009063AB" w:rsidRDefault="00B329D1">
          <w:pPr>
            <w:pStyle w:val="TOC1"/>
            <w:rPr>
              <w:rFonts w:asciiTheme="minorHAnsi" w:eastAsiaTheme="minorEastAsia" w:hAnsiTheme="minorHAnsi" w:cstheme="minorBidi"/>
              <w:b w:val="0"/>
              <w:bCs w:val="0"/>
              <w:caps w:val="0"/>
              <w:noProof/>
              <w:sz w:val="22"/>
              <w:szCs w:val="22"/>
              <w:lang w:eastAsia="en-GB"/>
            </w:rPr>
          </w:pPr>
          <w:hyperlink w:anchor="_Toc491862253" w:history="1">
            <w:r w:rsidR="009063AB" w:rsidRPr="00CF0C6E">
              <w:rPr>
                <w:rStyle w:val="Hyperlink"/>
                <w:noProof/>
              </w:rPr>
              <w:t>9. Information on uses of the substance</w:t>
            </w:r>
            <w:r w:rsidR="009063AB">
              <w:rPr>
                <w:noProof/>
                <w:webHidden/>
              </w:rPr>
              <w:tab/>
            </w:r>
            <w:r w:rsidR="009063AB">
              <w:rPr>
                <w:noProof/>
                <w:webHidden/>
              </w:rPr>
              <w:fldChar w:fldCharType="begin"/>
            </w:r>
            <w:r w:rsidR="009063AB">
              <w:rPr>
                <w:noProof/>
                <w:webHidden/>
              </w:rPr>
              <w:instrText xml:space="preserve"> PAGEREF _Toc491862253 \h </w:instrText>
            </w:r>
            <w:r w:rsidR="009063AB">
              <w:rPr>
                <w:noProof/>
                <w:webHidden/>
              </w:rPr>
            </w:r>
            <w:r w:rsidR="009063AB">
              <w:rPr>
                <w:noProof/>
                <w:webHidden/>
              </w:rPr>
              <w:fldChar w:fldCharType="separate"/>
            </w:r>
            <w:r w:rsidR="009063AB">
              <w:rPr>
                <w:noProof/>
                <w:webHidden/>
              </w:rPr>
              <w:t>65</w:t>
            </w:r>
            <w:r w:rsidR="009063AB">
              <w:rPr>
                <w:noProof/>
                <w:webHidden/>
              </w:rPr>
              <w:fldChar w:fldCharType="end"/>
            </w:r>
          </w:hyperlink>
        </w:p>
        <w:p w14:paraId="417FE0B5" w14:textId="77777777" w:rsidR="009063AB" w:rsidRDefault="00B329D1">
          <w:pPr>
            <w:pStyle w:val="TOC2"/>
            <w:rPr>
              <w:rFonts w:asciiTheme="minorHAnsi" w:eastAsiaTheme="minorEastAsia" w:hAnsiTheme="minorHAnsi" w:cstheme="minorBidi"/>
              <w:noProof/>
              <w:sz w:val="22"/>
              <w:szCs w:val="22"/>
              <w:lang w:eastAsia="en-GB"/>
            </w:rPr>
          </w:pPr>
          <w:hyperlink w:anchor="_Toc491862254" w:history="1">
            <w:r w:rsidR="009063AB" w:rsidRPr="00CF0C6E">
              <w:rPr>
                <w:rStyle w:val="Hyperlink"/>
                <w:noProof/>
              </w:rPr>
              <w:t>Quantities</w:t>
            </w:r>
            <w:r w:rsidR="009063AB">
              <w:rPr>
                <w:noProof/>
                <w:webHidden/>
              </w:rPr>
              <w:tab/>
            </w:r>
            <w:r w:rsidR="009063AB">
              <w:rPr>
                <w:noProof/>
                <w:webHidden/>
              </w:rPr>
              <w:fldChar w:fldCharType="begin"/>
            </w:r>
            <w:r w:rsidR="009063AB">
              <w:rPr>
                <w:noProof/>
                <w:webHidden/>
              </w:rPr>
              <w:instrText xml:space="preserve"> PAGEREF _Toc491862254 \h </w:instrText>
            </w:r>
            <w:r w:rsidR="009063AB">
              <w:rPr>
                <w:noProof/>
                <w:webHidden/>
              </w:rPr>
            </w:r>
            <w:r w:rsidR="009063AB">
              <w:rPr>
                <w:noProof/>
                <w:webHidden/>
              </w:rPr>
              <w:fldChar w:fldCharType="separate"/>
            </w:r>
            <w:r w:rsidR="009063AB">
              <w:rPr>
                <w:noProof/>
                <w:webHidden/>
              </w:rPr>
              <w:t>68</w:t>
            </w:r>
            <w:r w:rsidR="009063AB">
              <w:rPr>
                <w:noProof/>
                <w:webHidden/>
              </w:rPr>
              <w:fldChar w:fldCharType="end"/>
            </w:r>
          </w:hyperlink>
        </w:p>
        <w:p w14:paraId="61DC5120" w14:textId="77777777" w:rsidR="009063AB" w:rsidRDefault="00B329D1">
          <w:pPr>
            <w:pStyle w:val="TOC1"/>
            <w:rPr>
              <w:rFonts w:asciiTheme="minorHAnsi" w:eastAsiaTheme="minorEastAsia" w:hAnsiTheme="minorHAnsi" w:cstheme="minorBidi"/>
              <w:b w:val="0"/>
              <w:bCs w:val="0"/>
              <w:caps w:val="0"/>
              <w:noProof/>
              <w:sz w:val="22"/>
              <w:szCs w:val="22"/>
              <w:lang w:eastAsia="en-GB"/>
            </w:rPr>
          </w:pPr>
          <w:hyperlink w:anchor="_Toc491862255" w:history="1">
            <w:r w:rsidR="009063AB" w:rsidRPr="00CF0C6E">
              <w:rPr>
                <w:rStyle w:val="Hyperlink"/>
                <w:noProof/>
              </w:rPr>
              <w:t>10. Information on structure of the supply chain</w:t>
            </w:r>
            <w:r w:rsidR="009063AB">
              <w:rPr>
                <w:noProof/>
                <w:webHidden/>
              </w:rPr>
              <w:tab/>
            </w:r>
            <w:r w:rsidR="009063AB">
              <w:rPr>
                <w:noProof/>
                <w:webHidden/>
              </w:rPr>
              <w:fldChar w:fldCharType="begin"/>
            </w:r>
            <w:r w:rsidR="009063AB">
              <w:rPr>
                <w:noProof/>
                <w:webHidden/>
              </w:rPr>
              <w:instrText xml:space="preserve"> PAGEREF _Toc491862255 \h </w:instrText>
            </w:r>
            <w:r w:rsidR="009063AB">
              <w:rPr>
                <w:noProof/>
                <w:webHidden/>
              </w:rPr>
            </w:r>
            <w:r w:rsidR="009063AB">
              <w:rPr>
                <w:noProof/>
                <w:webHidden/>
              </w:rPr>
              <w:fldChar w:fldCharType="separate"/>
            </w:r>
            <w:r w:rsidR="009063AB">
              <w:rPr>
                <w:noProof/>
                <w:webHidden/>
              </w:rPr>
              <w:t>70</w:t>
            </w:r>
            <w:r w:rsidR="009063AB">
              <w:rPr>
                <w:noProof/>
                <w:webHidden/>
              </w:rPr>
              <w:fldChar w:fldCharType="end"/>
            </w:r>
          </w:hyperlink>
        </w:p>
        <w:p w14:paraId="5C211C81" w14:textId="77777777" w:rsidR="009063AB" w:rsidRDefault="00B329D1">
          <w:pPr>
            <w:pStyle w:val="TOC1"/>
            <w:rPr>
              <w:rFonts w:asciiTheme="minorHAnsi" w:eastAsiaTheme="minorEastAsia" w:hAnsiTheme="minorHAnsi" w:cstheme="minorBidi"/>
              <w:b w:val="0"/>
              <w:bCs w:val="0"/>
              <w:caps w:val="0"/>
              <w:noProof/>
              <w:sz w:val="22"/>
              <w:szCs w:val="22"/>
              <w:lang w:eastAsia="en-GB"/>
            </w:rPr>
          </w:pPr>
          <w:hyperlink w:anchor="_Toc491862256" w:history="1">
            <w:r w:rsidR="009063AB" w:rsidRPr="00CF0C6E">
              <w:rPr>
                <w:rStyle w:val="Hyperlink"/>
                <w:noProof/>
              </w:rPr>
              <w:t>11. Additional information</w:t>
            </w:r>
            <w:r w:rsidR="009063AB">
              <w:rPr>
                <w:noProof/>
                <w:webHidden/>
              </w:rPr>
              <w:tab/>
            </w:r>
            <w:r w:rsidR="009063AB">
              <w:rPr>
                <w:noProof/>
                <w:webHidden/>
              </w:rPr>
              <w:fldChar w:fldCharType="begin"/>
            </w:r>
            <w:r w:rsidR="009063AB">
              <w:rPr>
                <w:noProof/>
                <w:webHidden/>
              </w:rPr>
              <w:instrText xml:space="preserve"> PAGEREF _Toc491862256 \h </w:instrText>
            </w:r>
            <w:r w:rsidR="009063AB">
              <w:rPr>
                <w:noProof/>
                <w:webHidden/>
              </w:rPr>
            </w:r>
            <w:r w:rsidR="009063AB">
              <w:rPr>
                <w:noProof/>
                <w:webHidden/>
              </w:rPr>
              <w:fldChar w:fldCharType="separate"/>
            </w:r>
            <w:r w:rsidR="009063AB">
              <w:rPr>
                <w:noProof/>
                <w:webHidden/>
              </w:rPr>
              <w:t>70</w:t>
            </w:r>
            <w:r w:rsidR="009063AB">
              <w:rPr>
                <w:noProof/>
                <w:webHidden/>
              </w:rPr>
              <w:fldChar w:fldCharType="end"/>
            </w:r>
          </w:hyperlink>
        </w:p>
        <w:p w14:paraId="7D4F5F92" w14:textId="77777777" w:rsidR="009063AB" w:rsidRDefault="00B329D1">
          <w:pPr>
            <w:pStyle w:val="TOC2"/>
            <w:rPr>
              <w:rFonts w:asciiTheme="minorHAnsi" w:eastAsiaTheme="minorEastAsia" w:hAnsiTheme="minorHAnsi" w:cstheme="minorBidi"/>
              <w:noProof/>
              <w:sz w:val="22"/>
              <w:szCs w:val="22"/>
              <w:lang w:eastAsia="en-GB"/>
            </w:rPr>
          </w:pPr>
          <w:hyperlink w:anchor="_Toc491862257" w:history="1">
            <w:r w:rsidR="009063AB" w:rsidRPr="00CF0C6E">
              <w:rPr>
                <w:rStyle w:val="Hyperlink"/>
                <w:noProof/>
              </w:rPr>
              <w:t>11.1 Substances with similar hazard and use profiles on the Candidate List</w:t>
            </w:r>
            <w:r w:rsidR="009063AB">
              <w:rPr>
                <w:noProof/>
                <w:webHidden/>
              </w:rPr>
              <w:tab/>
            </w:r>
            <w:r w:rsidR="009063AB">
              <w:rPr>
                <w:noProof/>
                <w:webHidden/>
              </w:rPr>
              <w:fldChar w:fldCharType="begin"/>
            </w:r>
            <w:r w:rsidR="009063AB">
              <w:rPr>
                <w:noProof/>
                <w:webHidden/>
              </w:rPr>
              <w:instrText xml:space="preserve"> PAGEREF _Toc491862257 \h </w:instrText>
            </w:r>
            <w:r w:rsidR="009063AB">
              <w:rPr>
                <w:noProof/>
                <w:webHidden/>
              </w:rPr>
            </w:r>
            <w:r w:rsidR="009063AB">
              <w:rPr>
                <w:noProof/>
                <w:webHidden/>
              </w:rPr>
              <w:fldChar w:fldCharType="separate"/>
            </w:r>
            <w:r w:rsidR="009063AB">
              <w:rPr>
                <w:noProof/>
                <w:webHidden/>
              </w:rPr>
              <w:t>70</w:t>
            </w:r>
            <w:r w:rsidR="009063AB">
              <w:rPr>
                <w:noProof/>
                <w:webHidden/>
              </w:rPr>
              <w:fldChar w:fldCharType="end"/>
            </w:r>
          </w:hyperlink>
        </w:p>
        <w:p w14:paraId="691254A7" w14:textId="77777777" w:rsidR="009063AB" w:rsidRDefault="00B329D1">
          <w:pPr>
            <w:pStyle w:val="TOC2"/>
            <w:rPr>
              <w:rFonts w:asciiTheme="minorHAnsi" w:eastAsiaTheme="minorEastAsia" w:hAnsiTheme="minorHAnsi" w:cstheme="minorBidi"/>
              <w:noProof/>
              <w:sz w:val="22"/>
              <w:szCs w:val="22"/>
              <w:lang w:eastAsia="en-GB"/>
            </w:rPr>
          </w:pPr>
          <w:hyperlink w:anchor="_Toc491862258" w:history="1">
            <w:r w:rsidR="009063AB" w:rsidRPr="00CF0C6E">
              <w:rPr>
                <w:rStyle w:val="Hyperlink"/>
                <w:noProof/>
              </w:rPr>
              <w:t>11.2 Alternatives</w:t>
            </w:r>
            <w:r w:rsidR="009063AB">
              <w:rPr>
                <w:noProof/>
                <w:webHidden/>
              </w:rPr>
              <w:tab/>
            </w:r>
            <w:r w:rsidR="009063AB">
              <w:rPr>
                <w:noProof/>
                <w:webHidden/>
              </w:rPr>
              <w:fldChar w:fldCharType="begin"/>
            </w:r>
            <w:r w:rsidR="009063AB">
              <w:rPr>
                <w:noProof/>
                <w:webHidden/>
              </w:rPr>
              <w:instrText xml:space="preserve"> PAGEREF _Toc491862258 \h </w:instrText>
            </w:r>
            <w:r w:rsidR="009063AB">
              <w:rPr>
                <w:noProof/>
                <w:webHidden/>
              </w:rPr>
            </w:r>
            <w:r w:rsidR="009063AB">
              <w:rPr>
                <w:noProof/>
                <w:webHidden/>
              </w:rPr>
              <w:fldChar w:fldCharType="separate"/>
            </w:r>
            <w:r w:rsidR="009063AB">
              <w:rPr>
                <w:noProof/>
                <w:webHidden/>
              </w:rPr>
              <w:t>70</w:t>
            </w:r>
            <w:r w:rsidR="009063AB">
              <w:rPr>
                <w:noProof/>
                <w:webHidden/>
              </w:rPr>
              <w:fldChar w:fldCharType="end"/>
            </w:r>
          </w:hyperlink>
        </w:p>
        <w:p w14:paraId="7F468B2B" w14:textId="77777777" w:rsidR="009063AB" w:rsidRDefault="00B329D1">
          <w:pPr>
            <w:pStyle w:val="TOC2"/>
            <w:rPr>
              <w:rFonts w:asciiTheme="minorHAnsi" w:eastAsiaTheme="minorEastAsia" w:hAnsiTheme="minorHAnsi" w:cstheme="minorBidi"/>
              <w:noProof/>
              <w:sz w:val="22"/>
              <w:szCs w:val="22"/>
              <w:lang w:eastAsia="en-GB"/>
            </w:rPr>
          </w:pPr>
          <w:hyperlink w:anchor="_Toc491862259" w:history="1">
            <w:r w:rsidR="009063AB" w:rsidRPr="00CF0C6E">
              <w:rPr>
                <w:rStyle w:val="Hyperlink"/>
                <w:noProof/>
              </w:rPr>
              <w:t>11.3 Existing EU legislation</w:t>
            </w:r>
            <w:r w:rsidR="009063AB">
              <w:rPr>
                <w:noProof/>
                <w:webHidden/>
              </w:rPr>
              <w:tab/>
            </w:r>
            <w:r w:rsidR="009063AB">
              <w:rPr>
                <w:noProof/>
                <w:webHidden/>
              </w:rPr>
              <w:fldChar w:fldCharType="begin"/>
            </w:r>
            <w:r w:rsidR="009063AB">
              <w:rPr>
                <w:noProof/>
                <w:webHidden/>
              </w:rPr>
              <w:instrText xml:space="preserve"> PAGEREF _Toc491862259 \h </w:instrText>
            </w:r>
            <w:r w:rsidR="009063AB">
              <w:rPr>
                <w:noProof/>
                <w:webHidden/>
              </w:rPr>
            </w:r>
            <w:r w:rsidR="009063AB">
              <w:rPr>
                <w:noProof/>
                <w:webHidden/>
              </w:rPr>
              <w:fldChar w:fldCharType="separate"/>
            </w:r>
            <w:r w:rsidR="009063AB">
              <w:rPr>
                <w:noProof/>
                <w:webHidden/>
              </w:rPr>
              <w:t>70</w:t>
            </w:r>
            <w:r w:rsidR="009063AB">
              <w:rPr>
                <w:noProof/>
                <w:webHidden/>
              </w:rPr>
              <w:fldChar w:fldCharType="end"/>
            </w:r>
          </w:hyperlink>
        </w:p>
        <w:p w14:paraId="5055DE2A" w14:textId="77777777" w:rsidR="009063AB" w:rsidRDefault="00B329D1">
          <w:pPr>
            <w:pStyle w:val="TOC2"/>
            <w:rPr>
              <w:rFonts w:asciiTheme="minorHAnsi" w:eastAsiaTheme="minorEastAsia" w:hAnsiTheme="minorHAnsi" w:cstheme="minorBidi"/>
              <w:noProof/>
              <w:sz w:val="22"/>
              <w:szCs w:val="22"/>
              <w:lang w:eastAsia="en-GB"/>
            </w:rPr>
          </w:pPr>
          <w:hyperlink w:anchor="_Toc491862260" w:history="1">
            <w:r w:rsidR="009063AB" w:rsidRPr="00CF0C6E">
              <w:rPr>
                <w:rStyle w:val="Hyperlink"/>
                <w:noProof/>
              </w:rPr>
              <w:t>11.4 Previous assessments by other authorities</w:t>
            </w:r>
            <w:r w:rsidR="009063AB">
              <w:rPr>
                <w:noProof/>
                <w:webHidden/>
              </w:rPr>
              <w:tab/>
            </w:r>
            <w:r w:rsidR="009063AB">
              <w:rPr>
                <w:noProof/>
                <w:webHidden/>
              </w:rPr>
              <w:fldChar w:fldCharType="begin"/>
            </w:r>
            <w:r w:rsidR="009063AB">
              <w:rPr>
                <w:noProof/>
                <w:webHidden/>
              </w:rPr>
              <w:instrText xml:space="preserve"> PAGEREF _Toc491862260 \h </w:instrText>
            </w:r>
            <w:r w:rsidR="009063AB">
              <w:rPr>
                <w:noProof/>
                <w:webHidden/>
              </w:rPr>
            </w:r>
            <w:r w:rsidR="009063AB">
              <w:rPr>
                <w:noProof/>
                <w:webHidden/>
              </w:rPr>
              <w:fldChar w:fldCharType="separate"/>
            </w:r>
            <w:r w:rsidR="009063AB">
              <w:rPr>
                <w:noProof/>
                <w:webHidden/>
              </w:rPr>
              <w:t>70</w:t>
            </w:r>
            <w:r w:rsidR="009063AB">
              <w:rPr>
                <w:noProof/>
                <w:webHidden/>
              </w:rPr>
              <w:fldChar w:fldCharType="end"/>
            </w:r>
          </w:hyperlink>
        </w:p>
        <w:p w14:paraId="0938E0AE" w14:textId="77777777" w:rsidR="009063AB" w:rsidRDefault="00B329D1">
          <w:pPr>
            <w:pStyle w:val="TOC1"/>
            <w:rPr>
              <w:rFonts w:asciiTheme="minorHAnsi" w:eastAsiaTheme="minorEastAsia" w:hAnsiTheme="minorHAnsi" w:cstheme="minorBidi"/>
              <w:b w:val="0"/>
              <w:bCs w:val="0"/>
              <w:caps w:val="0"/>
              <w:noProof/>
              <w:sz w:val="22"/>
              <w:szCs w:val="22"/>
              <w:lang w:eastAsia="en-GB"/>
            </w:rPr>
          </w:pPr>
          <w:hyperlink w:anchor="_Toc491862261" w:history="1">
            <w:r w:rsidR="009063AB" w:rsidRPr="00CF0C6E">
              <w:rPr>
                <w:rStyle w:val="Hyperlink"/>
                <w:noProof/>
              </w:rPr>
              <w:t>References for Main Report and Appendices</w:t>
            </w:r>
            <w:r w:rsidR="009063AB">
              <w:rPr>
                <w:noProof/>
                <w:webHidden/>
              </w:rPr>
              <w:tab/>
            </w:r>
            <w:r w:rsidR="009063AB">
              <w:rPr>
                <w:noProof/>
                <w:webHidden/>
              </w:rPr>
              <w:fldChar w:fldCharType="begin"/>
            </w:r>
            <w:r w:rsidR="009063AB">
              <w:rPr>
                <w:noProof/>
                <w:webHidden/>
              </w:rPr>
              <w:instrText xml:space="preserve"> PAGEREF _Toc491862261 \h </w:instrText>
            </w:r>
            <w:r w:rsidR="009063AB">
              <w:rPr>
                <w:noProof/>
                <w:webHidden/>
              </w:rPr>
            </w:r>
            <w:r w:rsidR="009063AB">
              <w:rPr>
                <w:noProof/>
                <w:webHidden/>
              </w:rPr>
              <w:fldChar w:fldCharType="separate"/>
            </w:r>
            <w:r w:rsidR="009063AB">
              <w:rPr>
                <w:noProof/>
                <w:webHidden/>
              </w:rPr>
              <w:t>72</w:t>
            </w:r>
            <w:r w:rsidR="009063AB">
              <w:rPr>
                <w:noProof/>
                <w:webHidden/>
              </w:rPr>
              <w:fldChar w:fldCharType="end"/>
            </w:r>
          </w:hyperlink>
        </w:p>
        <w:p w14:paraId="66102A82" w14:textId="77777777" w:rsidR="009063AB" w:rsidRDefault="00B329D1">
          <w:pPr>
            <w:pStyle w:val="TOC1"/>
            <w:rPr>
              <w:rFonts w:asciiTheme="minorHAnsi" w:eastAsiaTheme="minorEastAsia" w:hAnsiTheme="minorHAnsi" w:cstheme="minorBidi"/>
              <w:b w:val="0"/>
              <w:bCs w:val="0"/>
              <w:caps w:val="0"/>
              <w:noProof/>
              <w:sz w:val="22"/>
              <w:szCs w:val="22"/>
              <w:lang w:eastAsia="en-GB"/>
            </w:rPr>
          </w:pPr>
          <w:hyperlink w:anchor="_Toc491862262" w:history="1">
            <w:r w:rsidR="009063AB" w:rsidRPr="00CF0C6E">
              <w:rPr>
                <w:rStyle w:val="Hyperlink"/>
                <w:noProof/>
              </w:rPr>
              <w:t>List of appendices</w:t>
            </w:r>
            <w:r w:rsidR="009063AB">
              <w:rPr>
                <w:noProof/>
                <w:webHidden/>
              </w:rPr>
              <w:tab/>
            </w:r>
            <w:r w:rsidR="009063AB">
              <w:rPr>
                <w:noProof/>
                <w:webHidden/>
              </w:rPr>
              <w:fldChar w:fldCharType="begin"/>
            </w:r>
            <w:r w:rsidR="009063AB">
              <w:rPr>
                <w:noProof/>
                <w:webHidden/>
              </w:rPr>
              <w:instrText xml:space="preserve"> PAGEREF _Toc491862262 \h </w:instrText>
            </w:r>
            <w:r w:rsidR="009063AB">
              <w:rPr>
                <w:noProof/>
                <w:webHidden/>
              </w:rPr>
            </w:r>
            <w:r w:rsidR="009063AB">
              <w:rPr>
                <w:noProof/>
                <w:webHidden/>
              </w:rPr>
              <w:fldChar w:fldCharType="separate"/>
            </w:r>
            <w:r w:rsidR="009063AB">
              <w:rPr>
                <w:noProof/>
                <w:webHidden/>
              </w:rPr>
              <w:t>87</w:t>
            </w:r>
            <w:r w:rsidR="009063AB">
              <w:rPr>
                <w:noProof/>
                <w:webHidden/>
              </w:rPr>
              <w:fldChar w:fldCharType="end"/>
            </w:r>
          </w:hyperlink>
        </w:p>
        <w:p w14:paraId="3DD8D51F" w14:textId="77777777" w:rsidR="004607CB" w:rsidRDefault="000721AD">
          <w:r>
            <w:rPr>
              <w:b/>
              <w:bCs/>
              <w:noProof/>
            </w:rPr>
            <w:fldChar w:fldCharType="end"/>
          </w:r>
        </w:p>
      </w:sdtContent>
    </w:sdt>
    <w:p w14:paraId="4274D29D" w14:textId="77777777" w:rsidR="00DE0EAB" w:rsidRDefault="00DE0EAB">
      <w:pPr>
        <w:widowControl/>
        <w:rPr>
          <w:b/>
          <w:caps/>
          <w:sz w:val="32"/>
          <w:szCs w:val="32"/>
          <w:lang w:eastAsia="en-US"/>
        </w:rPr>
      </w:pPr>
      <w:r>
        <w:br w:type="page"/>
      </w:r>
    </w:p>
    <w:p w14:paraId="16C0AE66" w14:textId="77777777" w:rsidR="00B12C39" w:rsidRDefault="00B12C39" w:rsidP="00B12C39">
      <w:pPr>
        <w:pStyle w:val="Titleintro"/>
      </w:pPr>
      <w:bookmarkStart w:id="1" w:name="_Toc316637272"/>
      <w:r w:rsidRPr="00AC092B">
        <w:lastRenderedPageBreak/>
        <w:t>TABLES</w:t>
      </w:r>
      <w:r>
        <w:t xml:space="preserve"> </w:t>
      </w:r>
      <w:bookmarkEnd w:id="1"/>
    </w:p>
    <w:p w14:paraId="78EF3EF7" w14:textId="77777777" w:rsidR="00B12C39" w:rsidRPr="00672AA9" w:rsidRDefault="00B12C39" w:rsidP="00961C4C"/>
    <w:p w14:paraId="1D8C98FA" w14:textId="77777777" w:rsidR="00281744" w:rsidRDefault="001221A8">
      <w:pPr>
        <w:pStyle w:val="TableofFigures"/>
        <w:tabs>
          <w:tab w:val="right" w:leader="dot" w:pos="8302"/>
        </w:tabs>
        <w:rPr>
          <w:rFonts w:asciiTheme="minorHAnsi" w:eastAsiaTheme="minorEastAsia" w:hAnsiTheme="minorHAnsi" w:cstheme="minorBidi"/>
          <w:noProof/>
          <w:sz w:val="22"/>
          <w:szCs w:val="22"/>
          <w:lang w:eastAsia="en-GB"/>
        </w:rPr>
      </w:pPr>
      <w:r>
        <w:rPr>
          <w:bCs/>
        </w:rPr>
        <w:fldChar w:fldCharType="begin"/>
      </w:r>
      <w:r>
        <w:rPr>
          <w:bCs/>
        </w:rPr>
        <w:instrText xml:space="preserve"> TOC \h \z \c "Table" </w:instrText>
      </w:r>
      <w:r>
        <w:rPr>
          <w:bCs/>
        </w:rPr>
        <w:fldChar w:fldCharType="separate"/>
      </w:r>
      <w:hyperlink w:anchor="_Toc491778947" w:history="1">
        <w:r w:rsidR="00281744" w:rsidRPr="00797E9B">
          <w:rPr>
            <w:rStyle w:val="Hyperlink"/>
            <w:noProof/>
          </w:rPr>
          <w:t>Table 1: Substance identity of 1,6,7,8,9,14,15,16,17,17,18,18-dodecachloropentacyclo-[12.2.1.1</w:t>
        </w:r>
        <w:r w:rsidR="00281744" w:rsidRPr="00797E9B">
          <w:rPr>
            <w:rStyle w:val="Hyperlink"/>
            <w:noProof/>
            <w:vertAlign w:val="superscript"/>
          </w:rPr>
          <w:t>6,9</w:t>
        </w:r>
        <w:r w:rsidR="00281744" w:rsidRPr="00797E9B">
          <w:rPr>
            <w:rStyle w:val="Hyperlink"/>
            <w:noProof/>
          </w:rPr>
          <w:t>.0</w:t>
        </w:r>
        <w:r w:rsidR="00281744" w:rsidRPr="00797E9B">
          <w:rPr>
            <w:rStyle w:val="Hyperlink"/>
            <w:noProof/>
            <w:vertAlign w:val="superscript"/>
          </w:rPr>
          <w:t>2,13</w:t>
        </w:r>
        <w:r w:rsidR="00281744" w:rsidRPr="00797E9B">
          <w:rPr>
            <w:rStyle w:val="Hyperlink"/>
            <w:noProof/>
          </w:rPr>
          <w:t>.0</w:t>
        </w:r>
        <w:r w:rsidR="00281744" w:rsidRPr="00797E9B">
          <w:rPr>
            <w:rStyle w:val="Hyperlink"/>
            <w:noProof/>
            <w:vertAlign w:val="superscript"/>
          </w:rPr>
          <w:t>5,10</w:t>
        </w:r>
        <w:r w:rsidR="00281744" w:rsidRPr="00797E9B">
          <w:rPr>
            <w:rStyle w:val="Hyperlink"/>
            <w:noProof/>
          </w:rPr>
          <w:t>]octadeca-7,15-diene, Dechlorane Plus [1].</w:t>
        </w:r>
        <w:r w:rsidR="00281744">
          <w:rPr>
            <w:noProof/>
            <w:webHidden/>
          </w:rPr>
          <w:tab/>
        </w:r>
        <w:r w:rsidR="00281744">
          <w:rPr>
            <w:noProof/>
            <w:webHidden/>
          </w:rPr>
          <w:fldChar w:fldCharType="begin"/>
        </w:r>
        <w:r w:rsidR="00281744">
          <w:rPr>
            <w:noProof/>
            <w:webHidden/>
          </w:rPr>
          <w:instrText xml:space="preserve"> PAGEREF _Toc491778947 \h </w:instrText>
        </w:r>
        <w:r w:rsidR="00281744">
          <w:rPr>
            <w:noProof/>
            <w:webHidden/>
          </w:rPr>
        </w:r>
        <w:r w:rsidR="00281744">
          <w:rPr>
            <w:noProof/>
            <w:webHidden/>
          </w:rPr>
          <w:fldChar w:fldCharType="separate"/>
        </w:r>
        <w:r w:rsidR="00281744">
          <w:rPr>
            <w:noProof/>
            <w:webHidden/>
          </w:rPr>
          <w:t>2</w:t>
        </w:r>
        <w:r w:rsidR="00281744">
          <w:rPr>
            <w:noProof/>
            <w:webHidden/>
          </w:rPr>
          <w:fldChar w:fldCharType="end"/>
        </w:r>
      </w:hyperlink>
    </w:p>
    <w:p w14:paraId="35D56AB0" w14:textId="77777777" w:rsidR="00281744" w:rsidRDefault="00B329D1">
      <w:pPr>
        <w:pStyle w:val="TableofFigures"/>
        <w:tabs>
          <w:tab w:val="right" w:leader="dot" w:pos="8302"/>
        </w:tabs>
        <w:rPr>
          <w:rFonts w:asciiTheme="minorHAnsi" w:eastAsiaTheme="minorEastAsia" w:hAnsiTheme="minorHAnsi" w:cstheme="minorBidi"/>
          <w:noProof/>
          <w:sz w:val="22"/>
          <w:szCs w:val="22"/>
          <w:lang w:eastAsia="en-GB"/>
        </w:rPr>
      </w:pPr>
      <w:hyperlink w:anchor="_Toc491778948" w:history="1">
        <w:r w:rsidR="00281744" w:rsidRPr="00797E9B">
          <w:rPr>
            <w:rStyle w:val="Hyperlink"/>
            <w:noProof/>
          </w:rPr>
          <w:t>Table</w:t>
        </w:r>
        <w:r w:rsidR="00281744" w:rsidRPr="00797E9B">
          <w:rPr>
            <w:rStyle w:val="Hyperlink"/>
            <w:b/>
            <w:noProof/>
          </w:rPr>
          <w:t xml:space="preserve"> </w:t>
        </w:r>
        <w:r w:rsidR="00281744" w:rsidRPr="00797E9B">
          <w:rPr>
            <w:rStyle w:val="Hyperlink"/>
            <w:noProof/>
          </w:rPr>
          <w:t>2</w:t>
        </w:r>
        <w:r w:rsidR="00281744" w:rsidRPr="00797E9B">
          <w:rPr>
            <w:rStyle w:val="Hyperlink"/>
            <w:b/>
            <w:noProof/>
          </w:rPr>
          <w:t xml:space="preserve">: </w:t>
        </w:r>
        <w:r w:rsidR="00281744" w:rsidRPr="00797E9B">
          <w:rPr>
            <w:rStyle w:val="Hyperlink"/>
            <w:noProof/>
          </w:rPr>
          <w:t>Substance identity of (1S,2S,5S,6S,9R,10R,13R,14R)-1,6,7,8,9,14,15,16,17,17,18,18-dodecachloropentacyclo[12.2.1.1</w:t>
        </w:r>
        <w:r w:rsidR="00281744" w:rsidRPr="00797E9B">
          <w:rPr>
            <w:rStyle w:val="Hyperlink"/>
            <w:noProof/>
            <w:vertAlign w:val="superscript"/>
          </w:rPr>
          <w:t>6,9</w:t>
        </w:r>
        <w:r w:rsidR="00281744" w:rsidRPr="00797E9B">
          <w:rPr>
            <w:rStyle w:val="Hyperlink"/>
            <w:noProof/>
          </w:rPr>
          <w:t>.0</w:t>
        </w:r>
        <w:r w:rsidR="00281744" w:rsidRPr="00797E9B">
          <w:rPr>
            <w:rStyle w:val="Hyperlink"/>
            <w:noProof/>
            <w:vertAlign w:val="superscript"/>
          </w:rPr>
          <w:t>2,13</w:t>
        </w:r>
        <w:r w:rsidR="00281744" w:rsidRPr="00797E9B">
          <w:rPr>
            <w:rStyle w:val="Hyperlink"/>
            <w:noProof/>
          </w:rPr>
          <w:t>.0</w:t>
        </w:r>
        <w:r w:rsidR="00281744" w:rsidRPr="00797E9B">
          <w:rPr>
            <w:rStyle w:val="Hyperlink"/>
            <w:noProof/>
            <w:vertAlign w:val="superscript"/>
          </w:rPr>
          <w:t>5,10</w:t>
        </w:r>
        <w:r w:rsidR="00281744" w:rsidRPr="00797E9B">
          <w:rPr>
            <w:rStyle w:val="Hyperlink"/>
            <w:noProof/>
          </w:rPr>
          <w:t>]octadeca-7,15-diene,  anti- (or exo ) Dechlorane Plus [2, see structural formula below]</w:t>
        </w:r>
        <w:r w:rsidR="00281744">
          <w:rPr>
            <w:noProof/>
            <w:webHidden/>
          </w:rPr>
          <w:tab/>
        </w:r>
        <w:r w:rsidR="00281744">
          <w:rPr>
            <w:noProof/>
            <w:webHidden/>
          </w:rPr>
          <w:fldChar w:fldCharType="begin"/>
        </w:r>
        <w:r w:rsidR="00281744">
          <w:rPr>
            <w:noProof/>
            <w:webHidden/>
          </w:rPr>
          <w:instrText xml:space="preserve"> PAGEREF _Toc491778948 \h </w:instrText>
        </w:r>
        <w:r w:rsidR="00281744">
          <w:rPr>
            <w:noProof/>
            <w:webHidden/>
          </w:rPr>
        </w:r>
        <w:r w:rsidR="00281744">
          <w:rPr>
            <w:noProof/>
            <w:webHidden/>
          </w:rPr>
          <w:fldChar w:fldCharType="separate"/>
        </w:r>
        <w:r w:rsidR="00281744">
          <w:rPr>
            <w:noProof/>
            <w:webHidden/>
          </w:rPr>
          <w:t>3</w:t>
        </w:r>
        <w:r w:rsidR="00281744">
          <w:rPr>
            <w:noProof/>
            <w:webHidden/>
          </w:rPr>
          <w:fldChar w:fldCharType="end"/>
        </w:r>
      </w:hyperlink>
    </w:p>
    <w:p w14:paraId="576AC0CC" w14:textId="77777777" w:rsidR="00281744" w:rsidRDefault="00B329D1">
      <w:pPr>
        <w:pStyle w:val="TableofFigures"/>
        <w:tabs>
          <w:tab w:val="right" w:leader="dot" w:pos="8302"/>
        </w:tabs>
        <w:rPr>
          <w:rFonts w:asciiTheme="minorHAnsi" w:eastAsiaTheme="minorEastAsia" w:hAnsiTheme="minorHAnsi" w:cstheme="minorBidi"/>
          <w:noProof/>
          <w:sz w:val="22"/>
          <w:szCs w:val="22"/>
          <w:lang w:eastAsia="en-GB"/>
        </w:rPr>
      </w:pPr>
      <w:hyperlink w:anchor="_Toc491778949" w:history="1">
        <w:r w:rsidR="00281744" w:rsidRPr="00797E9B">
          <w:rPr>
            <w:rStyle w:val="Hyperlink"/>
            <w:noProof/>
          </w:rPr>
          <w:t>Table</w:t>
        </w:r>
        <w:r w:rsidR="00281744" w:rsidRPr="00797E9B">
          <w:rPr>
            <w:rStyle w:val="Hyperlink"/>
            <w:b/>
            <w:noProof/>
          </w:rPr>
          <w:t xml:space="preserve"> </w:t>
        </w:r>
        <w:r w:rsidR="00281744" w:rsidRPr="00797E9B">
          <w:rPr>
            <w:rStyle w:val="Hyperlink"/>
            <w:noProof/>
          </w:rPr>
          <w:t>3</w:t>
        </w:r>
        <w:r w:rsidR="00281744" w:rsidRPr="00797E9B">
          <w:rPr>
            <w:rStyle w:val="Hyperlink"/>
            <w:b/>
            <w:noProof/>
          </w:rPr>
          <w:t xml:space="preserve">: </w:t>
        </w:r>
        <w:r w:rsidR="00281744" w:rsidRPr="00797E9B">
          <w:rPr>
            <w:rStyle w:val="Hyperlink"/>
            <w:noProof/>
          </w:rPr>
          <w:t>Substance identity of (1S,2S,5R,6R,9S,10S,13R,14R)-1,6,7,8,9,14,15,16,17,17,18,18-dodecachloropentacyclo[12.2.1.1</w:t>
        </w:r>
        <w:r w:rsidR="00281744" w:rsidRPr="00797E9B">
          <w:rPr>
            <w:rStyle w:val="Hyperlink"/>
            <w:noProof/>
            <w:vertAlign w:val="superscript"/>
          </w:rPr>
          <w:t>6,9</w:t>
        </w:r>
        <w:r w:rsidR="00281744" w:rsidRPr="00797E9B">
          <w:rPr>
            <w:rStyle w:val="Hyperlink"/>
            <w:noProof/>
          </w:rPr>
          <w:t>.0</w:t>
        </w:r>
        <w:r w:rsidR="00281744" w:rsidRPr="00797E9B">
          <w:rPr>
            <w:rStyle w:val="Hyperlink"/>
            <w:noProof/>
            <w:vertAlign w:val="superscript"/>
          </w:rPr>
          <w:t>2,13</w:t>
        </w:r>
        <w:r w:rsidR="00281744" w:rsidRPr="00797E9B">
          <w:rPr>
            <w:rStyle w:val="Hyperlink"/>
            <w:noProof/>
          </w:rPr>
          <w:t>.0</w:t>
        </w:r>
        <w:r w:rsidR="00281744" w:rsidRPr="00797E9B">
          <w:rPr>
            <w:rStyle w:val="Hyperlink"/>
            <w:noProof/>
            <w:vertAlign w:val="superscript"/>
          </w:rPr>
          <w:t>5,10</w:t>
        </w:r>
        <w:r w:rsidR="00281744" w:rsidRPr="00797E9B">
          <w:rPr>
            <w:rStyle w:val="Hyperlink"/>
            <w:noProof/>
          </w:rPr>
          <w:t>]octadeca-7,15-diene,  syn- (or endo ) Dechlorane Plus [3, , see structural formula below]</w:t>
        </w:r>
        <w:r w:rsidR="00281744">
          <w:rPr>
            <w:noProof/>
            <w:webHidden/>
          </w:rPr>
          <w:tab/>
        </w:r>
        <w:r w:rsidR="00281744">
          <w:rPr>
            <w:noProof/>
            <w:webHidden/>
          </w:rPr>
          <w:fldChar w:fldCharType="begin"/>
        </w:r>
        <w:r w:rsidR="00281744">
          <w:rPr>
            <w:noProof/>
            <w:webHidden/>
          </w:rPr>
          <w:instrText xml:space="preserve"> PAGEREF _Toc491778949 \h </w:instrText>
        </w:r>
        <w:r w:rsidR="00281744">
          <w:rPr>
            <w:noProof/>
            <w:webHidden/>
          </w:rPr>
        </w:r>
        <w:r w:rsidR="00281744">
          <w:rPr>
            <w:noProof/>
            <w:webHidden/>
          </w:rPr>
          <w:fldChar w:fldCharType="separate"/>
        </w:r>
        <w:r w:rsidR="00281744">
          <w:rPr>
            <w:noProof/>
            <w:webHidden/>
          </w:rPr>
          <w:t>4</w:t>
        </w:r>
        <w:r w:rsidR="00281744">
          <w:rPr>
            <w:noProof/>
            <w:webHidden/>
          </w:rPr>
          <w:fldChar w:fldCharType="end"/>
        </w:r>
      </w:hyperlink>
    </w:p>
    <w:p w14:paraId="35732A4D" w14:textId="77777777" w:rsidR="00281744" w:rsidRDefault="00B329D1">
      <w:pPr>
        <w:pStyle w:val="TableofFigures"/>
        <w:tabs>
          <w:tab w:val="right" w:leader="dot" w:pos="8302"/>
        </w:tabs>
        <w:rPr>
          <w:rFonts w:asciiTheme="minorHAnsi" w:eastAsiaTheme="minorEastAsia" w:hAnsiTheme="minorHAnsi" w:cstheme="minorBidi"/>
          <w:noProof/>
          <w:sz w:val="22"/>
          <w:szCs w:val="22"/>
          <w:lang w:eastAsia="en-GB"/>
        </w:rPr>
      </w:pPr>
      <w:hyperlink w:anchor="_Toc491778950" w:history="1">
        <w:r w:rsidR="00281744" w:rsidRPr="00797E9B">
          <w:rPr>
            <w:rStyle w:val="Hyperlink"/>
            <w:noProof/>
          </w:rPr>
          <w:t>Table 4: Constituents other than impurities/additives</w:t>
        </w:r>
        <w:r w:rsidR="00281744">
          <w:rPr>
            <w:noProof/>
            <w:webHidden/>
          </w:rPr>
          <w:tab/>
        </w:r>
        <w:r w:rsidR="00281744">
          <w:rPr>
            <w:noProof/>
            <w:webHidden/>
          </w:rPr>
          <w:fldChar w:fldCharType="begin"/>
        </w:r>
        <w:r w:rsidR="00281744">
          <w:rPr>
            <w:noProof/>
            <w:webHidden/>
          </w:rPr>
          <w:instrText xml:space="preserve"> PAGEREF _Toc491778950 \h </w:instrText>
        </w:r>
        <w:r w:rsidR="00281744">
          <w:rPr>
            <w:noProof/>
            <w:webHidden/>
          </w:rPr>
        </w:r>
        <w:r w:rsidR="00281744">
          <w:rPr>
            <w:noProof/>
            <w:webHidden/>
          </w:rPr>
          <w:fldChar w:fldCharType="separate"/>
        </w:r>
        <w:r w:rsidR="00281744">
          <w:rPr>
            <w:noProof/>
            <w:webHidden/>
          </w:rPr>
          <w:t>2</w:t>
        </w:r>
        <w:r w:rsidR="00281744">
          <w:rPr>
            <w:noProof/>
            <w:webHidden/>
          </w:rPr>
          <w:fldChar w:fldCharType="end"/>
        </w:r>
      </w:hyperlink>
    </w:p>
    <w:p w14:paraId="1E2A9DCC" w14:textId="77777777" w:rsidR="00281744" w:rsidRDefault="00B329D1">
      <w:pPr>
        <w:pStyle w:val="TableofFigures"/>
        <w:tabs>
          <w:tab w:val="right" w:leader="dot" w:pos="8302"/>
        </w:tabs>
        <w:rPr>
          <w:rFonts w:asciiTheme="minorHAnsi" w:eastAsiaTheme="minorEastAsia" w:hAnsiTheme="minorHAnsi" w:cstheme="minorBidi"/>
          <w:noProof/>
          <w:sz w:val="22"/>
          <w:szCs w:val="22"/>
          <w:lang w:eastAsia="en-GB"/>
        </w:rPr>
      </w:pPr>
      <w:hyperlink w:anchor="_Toc491778951" w:history="1">
        <w:r w:rsidR="00281744" w:rsidRPr="00797E9B">
          <w:rPr>
            <w:rStyle w:val="Hyperlink"/>
            <w:noProof/>
          </w:rPr>
          <w:t>Table 4: Identity of 1,3-DPMA</w:t>
        </w:r>
        <w:r w:rsidR="00281744">
          <w:rPr>
            <w:noProof/>
            <w:webHidden/>
          </w:rPr>
          <w:tab/>
        </w:r>
        <w:r w:rsidR="00281744">
          <w:rPr>
            <w:noProof/>
            <w:webHidden/>
          </w:rPr>
          <w:fldChar w:fldCharType="begin"/>
        </w:r>
        <w:r w:rsidR="00281744">
          <w:rPr>
            <w:noProof/>
            <w:webHidden/>
          </w:rPr>
          <w:instrText xml:space="preserve"> PAGEREF _Toc491778951 \h </w:instrText>
        </w:r>
        <w:r w:rsidR="00281744">
          <w:rPr>
            <w:noProof/>
            <w:webHidden/>
          </w:rPr>
        </w:r>
        <w:r w:rsidR="00281744">
          <w:rPr>
            <w:noProof/>
            <w:webHidden/>
          </w:rPr>
          <w:fldChar w:fldCharType="separate"/>
        </w:r>
        <w:r w:rsidR="00281744">
          <w:rPr>
            <w:noProof/>
            <w:webHidden/>
          </w:rPr>
          <w:t>4</w:t>
        </w:r>
        <w:r w:rsidR="00281744">
          <w:rPr>
            <w:noProof/>
            <w:webHidden/>
          </w:rPr>
          <w:fldChar w:fldCharType="end"/>
        </w:r>
      </w:hyperlink>
    </w:p>
    <w:p w14:paraId="63F45C12" w14:textId="77777777" w:rsidR="00281744" w:rsidRDefault="00B329D1">
      <w:pPr>
        <w:pStyle w:val="TableofFigures"/>
        <w:tabs>
          <w:tab w:val="right" w:leader="dot" w:pos="8302"/>
        </w:tabs>
        <w:rPr>
          <w:rFonts w:asciiTheme="minorHAnsi" w:eastAsiaTheme="minorEastAsia" w:hAnsiTheme="minorHAnsi" w:cstheme="minorBidi"/>
          <w:noProof/>
          <w:sz w:val="22"/>
          <w:szCs w:val="22"/>
          <w:lang w:eastAsia="en-GB"/>
        </w:rPr>
      </w:pPr>
      <w:hyperlink w:anchor="_Toc491778952" w:history="1">
        <w:r w:rsidR="00281744" w:rsidRPr="00797E9B">
          <w:rPr>
            <w:rStyle w:val="Hyperlink"/>
            <w:noProof/>
          </w:rPr>
          <w:t>Table 4: Identity of 1,5-DPMA</w:t>
        </w:r>
        <w:r w:rsidR="00281744">
          <w:rPr>
            <w:noProof/>
            <w:webHidden/>
          </w:rPr>
          <w:tab/>
        </w:r>
        <w:r w:rsidR="00281744">
          <w:rPr>
            <w:noProof/>
            <w:webHidden/>
          </w:rPr>
          <w:fldChar w:fldCharType="begin"/>
        </w:r>
        <w:r w:rsidR="00281744">
          <w:rPr>
            <w:noProof/>
            <w:webHidden/>
          </w:rPr>
          <w:instrText xml:space="preserve"> PAGEREF _Toc491778952 \h </w:instrText>
        </w:r>
        <w:r w:rsidR="00281744">
          <w:rPr>
            <w:noProof/>
            <w:webHidden/>
          </w:rPr>
        </w:r>
        <w:r w:rsidR="00281744">
          <w:rPr>
            <w:noProof/>
            <w:webHidden/>
          </w:rPr>
          <w:fldChar w:fldCharType="separate"/>
        </w:r>
        <w:r w:rsidR="00281744">
          <w:rPr>
            <w:noProof/>
            <w:webHidden/>
          </w:rPr>
          <w:t>5</w:t>
        </w:r>
        <w:r w:rsidR="00281744">
          <w:rPr>
            <w:noProof/>
            <w:webHidden/>
          </w:rPr>
          <w:fldChar w:fldCharType="end"/>
        </w:r>
      </w:hyperlink>
    </w:p>
    <w:p w14:paraId="307D0AE3" w14:textId="77777777" w:rsidR="00281744" w:rsidRDefault="00B329D1">
      <w:pPr>
        <w:pStyle w:val="TableofFigures"/>
        <w:tabs>
          <w:tab w:val="right" w:leader="dot" w:pos="8302"/>
        </w:tabs>
        <w:rPr>
          <w:rFonts w:asciiTheme="minorHAnsi" w:eastAsiaTheme="minorEastAsia" w:hAnsiTheme="minorHAnsi" w:cstheme="minorBidi"/>
          <w:noProof/>
          <w:sz w:val="22"/>
          <w:szCs w:val="22"/>
          <w:lang w:eastAsia="en-GB"/>
        </w:rPr>
      </w:pPr>
      <w:hyperlink w:anchor="_Toc491778953" w:history="1">
        <w:r w:rsidR="00281744" w:rsidRPr="00797E9B">
          <w:rPr>
            <w:rStyle w:val="Hyperlink"/>
            <w:noProof/>
          </w:rPr>
          <w:t>Table 4: Identity of DP-1Cl</w:t>
        </w:r>
        <w:r w:rsidR="00281744">
          <w:rPr>
            <w:noProof/>
            <w:webHidden/>
          </w:rPr>
          <w:tab/>
        </w:r>
        <w:r w:rsidR="00281744">
          <w:rPr>
            <w:noProof/>
            <w:webHidden/>
          </w:rPr>
          <w:fldChar w:fldCharType="begin"/>
        </w:r>
        <w:r w:rsidR="00281744">
          <w:rPr>
            <w:noProof/>
            <w:webHidden/>
          </w:rPr>
          <w:instrText xml:space="preserve"> PAGEREF _Toc491778953 \h </w:instrText>
        </w:r>
        <w:r w:rsidR="00281744">
          <w:rPr>
            <w:noProof/>
            <w:webHidden/>
          </w:rPr>
        </w:r>
        <w:r w:rsidR="00281744">
          <w:rPr>
            <w:noProof/>
            <w:webHidden/>
          </w:rPr>
          <w:fldChar w:fldCharType="separate"/>
        </w:r>
        <w:r w:rsidR="00281744">
          <w:rPr>
            <w:noProof/>
            <w:webHidden/>
          </w:rPr>
          <w:t>6</w:t>
        </w:r>
        <w:r w:rsidR="00281744">
          <w:rPr>
            <w:noProof/>
            <w:webHidden/>
          </w:rPr>
          <w:fldChar w:fldCharType="end"/>
        </w:r>
      </w:hyperlink>
    </w:p>
    <w:p w14:paraId="481772F7" w14:textId="77777777" w:rsidR="00281744" w:rsidRDefault="00B329D1">
      <w:pPr>
        <w:pStyle w:val="TableofFigures"/>
        <w:tabs>
          <w:tab w:val="right" w:leader="dot" w:pos="8302"/>
        </w:tabs>
        <w:rPr>
          <w:rFonts w:asciiTheme="minorHAnsi" w:eastAsiaTheme="minorEastAsia" w:hAnsiTheme="minorHAnsi" w:cstheme="minorBidi"/>
          <w:noProof/>
          <w:sz w:val="22"/>
          <w:szCs w:val="22"/>
          <w:lang w:eastAsia="en-GB"/>
        </w:rPr>
      </w:pPr>
      <w:hyperlink w:anchor="_Toc491778954" w:history="1">
        <w:r w:rsidR="00281744" w:rsidRPr="00797E9B">
          <w:rPr>
            <w:rStyle w:val="Hyperlink"/>
            <w:noProof/>
          </w:rPr>
          <w:t>Table 4: Identity of DP-2Cl</w:t>
        </w:r>
        <w:r w:rsidR="00281744">
          <w:rPr>
            <w:noProof/>
            <w:webHidden/>
          </w:rPr>
          <w:tab/>
        </w:r>
        <w:r w:rsidR="00281744">
          <w:rPr>
            <w:noProof/>
            <w:webHidden/>
          </w:rPr>
          <w:fldChar w:fldCharType="begin"/>
        </w:r>
        <w:r w:rsidR="00281744">
          <w:rPr>
            <w:noProof/>
            <w:webHidden/>
          </w:rPr>
          <w:instrText xml:space="preserve"> PAGEREF _Toc491778954 \h </w:instrText>
        </w:r>
        <w:r w:rsidR="00281744">
          <w:rPr>
            <w:noProof/>
            <w:webHidden/>
          </w:rPr>
        </w:r>
        <w:r w:rsidR="00281744">
          <w:rPr>
            <w:noProof/>
            <w:webHidden/>
          </w:rPr>
          <w:fldChar w:fldCharType="separate"/>
        </w:r>
        <w:r w:rsidR="00281744">
          <w:rPr>
            <w:noProof/>
            <w:webHidden/>
          </w:rPr>
          <w:t>6</w:t>
        </w:r>
        <w:r w:rsidR="00281744">
          <w:rPr>
            <w:noProof/>
            <w:webHidden/>
          </w:rPr>
          <w:fldChar w:fldCharType="end"/>
        </w:r>
      </w:hyperlink>
    </w:p>
    <w:p w14:paraId="46A25907" w14:textId="77777777" w:rsidR="00281744" w:rsidRDefault="00B329D1">
      <w:pPr>
        <w:pStyle w:val="TableofFigures"/>
        <w:tabs>
          <w:tab w:val="right" w:leader="dot" w:pos="8302"/>
        </w:tabs>
        <w:rPr>
          <w:rFonts w:asciiTheme="minorHAnsi" w:eastAsiaTheme="minorEastAsia" w:hAnsiTheme="minorHAnsi" w:cstheme="minorBidi"/>
          <w:noProof/>
          <w:sz w:val="22"/>
          <w:szCs w:val="22"/>
          <w:lang w:eastAsia="en-GB"/>
        </w:rPr>
      </w:pPr>
      <w:hyperlink w:anchor="_Toc491778955" w:history="1">
        <w:r w:rsidR="00281744" w:rsidRPr="00797E9B">
          <w:rPr>
            <w:rStyle w:val="Hyperlink"/>
            <w:noProof/>
          </w:rPr>
          <w:t>Table 5: Identity of selected analogues</w:t>
        </w:r>
        <w:r w:rsidR="00281744">
          <w:rPr>
            <w:noProof/>
            <w:webHidden/>
          </w:rPr>
          <w:tab/>
        </w:r>
        <w:r w:rsidR="00281744">
          <w:rPr>
            <w:noProof/>
            <w:webHidden/>
          </w:rPr>
          <w:fldChar w:fldCharType="begin"/>
        </w:r>
        <w:r w:rsidR="00281744">
          <w:rPr>
            <w:noProof/>
            <w:webHidden/>
          </w:rPr>
          <w:instrText xml:space="preserve"> PAGEREF _Toc491778955 \h </w:instrText>
        </w:r>
        <w:r w:rsidR="00281744">
          <w:rPr>
            <w:noProof/>
            <w:webHidden/>
          </w:rPr>
        </w:r>
        <w:r w:rsidR="00281744">
          <w:rPr>
            <w:noProof/>
            <w:webHidden/>
          </w:rPr>
          <w:fldChar w:fldCharType="separate"/>
        </w:r>
        <w:r w:rsidR="00281744">
          <w:rPr>
            <w:noProof/>
            <w:webHidden/>
          </w:rPr>
          <w:t>8</w:t>
        </w:r>
        <w:r w:rsidR="00281744">
          <w:rPr>
            <w:noProof/>
            <w:webHidden/>
          </w:rPr>
          <w:fldChar w:fldCharType="end"/>
        </w:r>
      </w:hyperlink>
    </w:p>
    <w:p w14:paraId="5D3E3F94" w14:textId="77777777" w:rsidR="00281744" w:rsidRDefault="00B329D1">
      <w:pPr>
        <w:pStyle w:val="TableofFigures"/>
        <w:tabs>
          <w:tab w:val="right" w:leader="dot" w:pos="8302"/>
        </w:tabs>
        <w:rPr>
          <w:rFonts w:asciiTheme="minorHAnsi" w:eastAsiaTheme="minorEastAsia" w:hAnsiTheme="minorHAnsi" w:cstheme="minorBidi"/>
          <w:noProof/>
          <w:sz w:val="22"/>
          <w:szCs w:val="22"/>
          <w:lang w:eastAsia="en-GB"/>
        </w:rPr>
      </w:pPr>
      <w:hyperlink w:anchor="_Toc491778956" w:history="1">
        <w:r w:rsidR="00281744" w:rsidRPr="00797E9B">
          <w:rPr>
            <w:rStyle w:val="Hyperlink"/>
            <w:noProof/>
          </w:rPr>
          <w:t>Table 6: Overview of physicochemical properties</w:t>
        </w:r>
        <w:r w:rsidR="00281744">
          <w:rPr>
            <w:noProof/>
            <w:webHidden/>
          </w:rPr>
          <w:tab/>
        </w:r>
        <w:r w:rsidR="00281744">
          <w:rPr>
            <w:noProof/>
            <w:webHidden/>
          </w:rPr>
          <w:fldChar w:fldCharType="begin"/>
        </w:r>
        <w:r w:rsidR="00281744">
          <w:rPr>
            <w:noProof/>
            <w:webHidden/>
          </w:rPr>
          <w:instrText xml:space="preserve"> PAGEREF _Toc491778956 \h </w:instrText>
        </w:r>
        <w:r w:rsidR="00281744">
          <w:rPr>
            <w:noProof/>
            <w:webHidden/>
          </w:rPr>
        </w:r>
        <w:r w:rsidR="00281744">
          <w:rPr>
            <w:noProof/>
            <w:webHidden/>
          </w:rPr>
          <w:fldChar w:fldCharType="separate"/>
        </w:r>
        <w:r w:rsidR="00281744">
          <w:rPr>
            <w:noProof/>
            <w:webHidden/>
          </w:rPr>
          <w:t>12</w:t>
        </w:r>
        <w:r w:rsidR="00281744">
          <w:rPr>
            <w:noProof/>
            <w:webHidden/>
          </w:rPr>
          <w:fldChar w:fldCharType="end"/>
        </w:r>
      </w:hyperlink>
    </w:p>
    <w:p w14:paraId="3819E908" w14:textId="77777777" w:rsidR="00281744" w:rsidRDefault="00B329D1">
      <w:pPr>
        <w:pStyle w:val="TableofFigures"/>
        <w:tabs>
          <w:tab w:val="right" w:leader="dot" w:pos="8302"/>
        </w:tabs>
        <w:rPr>
          <w:rFonts w:asciiTheme="minorHAnsi" w:eastAsiaTheme="minorEastAsia" w:hAnsiTheme="minorHAnsi" w:cstheme="minorBidi"/>
          <w:noProof/>
          <w:sz w:val="22"/>
          <w:szCs w:val="22"/>
          <w:lang w:eastAsia="en-GB"/>
        </w:rPr>
      </w:pPr>
      <w:hyperlink w:anchor="_Toc491778957" w:history="1">
        <w:r w:rsidR="00281744" w:rsidRPr="00797E9B">
          <w:rPr>
            <w:rStyle w:val="Hyperlink"/>
            <w:noProof/>
          </w:rPr>
          <w:t>Table 7: Summary of predicted and measured degradation data for Dechlorane Plus analogues</w:t>
        </w:r>
        <w:r w:rsidR="00281744">
          <w:rPr>
            <w:noProof/>
            <w:webHidden/>
          </w:rPr>
          <w:tab/>
        </w:r>
        <w:r w:rsidR="00281744">
          <w:rPr>
            <w:noProof/>
            <w:webHidden/>
          </w:rPr>
          <w:fldChar w:fldCharType="begin"/>
        </w:r>
        <w:r w:rsidR="00281744">
          <w:rPr>
            <w:noProof/>
            <w:webHidden/>
          </w:rPr>
          <w:instrText xml:space="preserve"> PAGEREF _Toc491778957 \h </w:instrText>
        </w:r>
        <w:r w:rsidR="00281744">
          <w:rPr>
            <w:noProof/>
            <w:webHidden/>
          </w:rPr>
        </w:r>
        <w:r w:rsidR="00281744">
          <w:rPr>
            <w:noProof/>
            <w:webHidden/>
          </w:rPr>
          <w:fldChar w:fldCharType="separate"/>
        </w:r>
        <w:r w:rsidR="00281744">
          <w:rPr>
            <w:noProof/>
            <w:webHidden/>
          </w:rPr>
          <w:t>20</w:t>
        </w:r>
        <w:r w:rsidR="00281744">
          <w:rPr>
            <w:noProof/>
            <w:webHidden/>
          </w:rPr>
          <w:fldChar w:fldCharType="end"/>
        </w:r>
      </w:hyperlink>
    </w:p>
    <w:p w14:paraId="550DB0B2" w14:textId="77777777" w:rsidR="00281744" w:rsidRDefault="00B329D1">
      <w:pPr>
        <w:pStyle w:val="TableofFigures"/>
        <w:tabs>
          <w:tab w:val="left" w:pos="1200"/>
          <w:tab w:val="right" w:leader="dot" w:pos="8302"/>
        </w:tabs>
        <w:rPr>
          <w:rFonts w:asciiTheme="minorHAnsi" w:eastAsiaTheme="minorEastAsia" w:hAnsiTheme="minorHAnsi" w:cstheme="minorBidi"/>
          <w:noProof/>
          <w:sz w:val="22"/>
          <w:szCs w:val="22"/>
          <w:lang w:eastAsia="en-GB"/>
        </w:rPr>
      </w:pPr>
      <w:hyperlink w:anchor="_Toc491778958" w:history="1">
        <w:r w:rsidR="00281744" w:rsidRPr="00797E9B">
          <w:rPr>
            <w:rStyle w:val="Hyperlink"/>
            <w:noProof/>
          </w:rPr>
          <w:t>Table 8:</w:t>
        </w:r>
        <w:r w:rsidR="00281744">
          <w:rPr>
            <w:rFonts w:asciiTheme="minorHAnsi" w:eastAsiaTheme="minorEastAsia" w:hAnsiTheme="minorHAnsi" w:cstheme="minorBidi"/>
            <w:noProof/>
            <w:sz w:val="22"/>
            <w:szCs w:val="22"/>
            <w:lang w:eastAsia="en-GB"/>
          </w:rPr>
          <w:tab/>
        </w:r>
        <w:r w:rsidR="00281744" w:rsidRPr="00797E9B">
          <w:rPr>
            <w:rStyle w:val="Hyperlink"/>
            <w:noProof/>
          </w:rPr>
          <w:t>Input properties used in assessing long range transport potential</w:t>
        </w:r>
        <w:r w:rsidR="00281744">
          <w:rPr>
            <w:noProof/>
            <w:webHidden/>
          </w:rPr>
          <w:tab/>
        </w:r>
        <w:r w:rsidR="00281744">
          <w:rPr>
            <w:noProof/>
            <w:webHidden/>
          </w:rPr>
          <w:fldChar w:fldCharType="begin"/>
        </w:r>
        <w:r w:rsidR="00281744">
          <w:rPr>
            <w:noProof/>
            <w:webHidden/>
          </w:rPr>
          <w:instrText xml:space="preserve"> PAGEREF _Toc491778958 \h </w:instrText>
        </w:r>
        <w:r w:rsidR="00281744">
          <w:rPr>
            <w:noProof/>
            <w:webHidden/>
          </w:rPr>
        </w:r>
        <w:r w:rsidR="00281744">
          <w:rPr>
            <w:noProof/>
            <w:webHidden/>
          </w:rPr>
          <w:fldChar w:fldCharType="separate"/>
        </w:r>
        <w:r w:rsidR="00281744">
          <w:rPr>
            <w:noProof/>
            <w:webHidden/>
          </w:rPr>
          <w:t>26</w:t>
        </w:r>
        <w:r w:rsidR="00281744">
          <w:rPr>
            <w:noProof/>
            <w:webHidden/>
          </w:rPr>
          <w:fldChar w:fldCharType="end"/>
        </w:r>
      </w:hyperlink>
    </w:p>
    <w:p w14:paraId="09407FDF" w14:textId="77777777" w:rsidR="00281744" w:rsidRDefault="00B329D1">
      <w:pPr>
        <w:pStyle w:val="TableofFigures"/>
        <w:tabs>
          <w:tab w:val="right" w:leader="dot" w:pos="8302"/>
        </w:tabs>
        <w:rPr>
          <w:rFonts w:asciiTheme="minorHAnsi" w:eastAsiaTheme="minorEastAsia" w:hAnsiTheme="minorHAnsi" w:cstheme="minorBidi"/>
          <w:noProof/>
          <w:sz w:val="22"/>
          <w:szCs w:val="22"/>
          <w:lang w:eastAsia="en-GB"/>
        </w:rPr>
      </w:pPr>
      <w:hyperlink w:anchor="_Toc491778959" w:history="1">
        <w:r w:rsidR="00281744" w:rsidRPr="00797E9B">
          <w:rPr>
            <w:rStyle w:val="Hyperlink"/>
            <w:bCs/>
            <w:noProof/>
            <w:lang w:eastAsia="en-US"/>
          </w:rPr>
          <w:t xml:space="preserve">Table </w:t>
        </w:r>
        <w:r w:rsidR="00281744" w:rsidRPr="00797E9B">
          <w:rPr>
            <w:rStyle w:val="Hyperlink"/>
            <w:noProof/>
          </w:rPr>
          <w:t>9</w:t>
        </w:r>
        <w:r w:rsidR="00281744" w:rsidRPr="00797E9B">
          <w:rPr>
            <w:rStyle w:val="Hyperlink"/>
            <w:bCs/>
            <w:noProof/>
            <w:lang w:eastAsia="en-US"/>
          </w:rPr>
          <w:t>: Depuration half-lives and BCF values for chemicals meeting the vB criteria</w:t>
        </w:r>
        <w:r w:rsidR="00281744">
          <w:rPr>
            <w:noProof/>
            <w:webHidden/>
          </w:rPr>
          <w:tab/>
        </w:r>
        <w:r w:rsidR="00281744">
          <w:rPr>
            <w:noProof/>
            <w:webHidden/>
          </w:rPr>
          <w:fldChar w:fldCharType="begin"/>
        </w:r>
        <w:r w:rsidR="00281744">
          <w:rPr>
            <w:noProof/>
            <w:webHidden/>
          </w:rPr>
          <w:instrText xml:space="preserve"> PAGEREF _Toc491778959 \h </w:instrText>
        </w:r>
        <w:r w:rsidR="00281744">
          <w:rPr>
            <w:noProof/>
            <w:webHidden/>
          </w:rPr>
        </w:r>
        <w:r w:rsidR="00281744">
          <w:rPr>
            <w:noProof/>
            <w:webHidden/>
          </w:rPr>
          <w:fldChar w:fldCharType="separate"/>
        </w:r>
        <w:r w:rsidR="00281744">
          <w:rPr>
            <w:noProof/>
            <w:webHidden/>
          </w:rPr>
          <w:t>37</w:t>
        </w:r>
        <w:r w:rsidR="00281744">
          <w:rPr>
            <w:noProof/>
            <w:webHidden/>
          </w:rPr>
          <w:fldChar w:fldCharType="end"/>
        </w:r>
      </w:hyperlink>
    </w:p>
    <w:p w14:paraId="0A76545F" w14:textId="77777777" w:rsidR="00281744" w:rsidRDefault="00B329D1">
      <w:pPr>
        <w:pStyle w:val="TableofFigures"/>
        <w:tabs>
          <w:tab w:val="right" w:leader="dot" w:pos="8302"/>
        </w:tabs>
        <w:rPr>
          <w:rFonts w:asciiTheme="minorHAnsi" w:eastAsiaTheme="minorEastAsia" w:hAnsiTheme="minorHAnsi" w:cstheme="minorBidi"/>
          <w:noProof/>
          <w:sz w:val="22"/>
          <w:szCs w:val="22"/>
          <w:lang w:eastAsia="en-GB"/>
        </w:rPr>
      </w:pPr>
      <w:hyperlink w:anchor="_Toc491778960" w:history="1">
        <w:r w:rsidR="00281744" w:rsidRPr="00797E9B">
          <w:rPr>
            <w:rStyle w:val="Hyperlink"/>
            <w:noProof/>
          </w:rPr>
          <w:t>Table 10: Registration status</w:t>
        </w:r>
        <w:r w:rsidR="00281744">
          <w:rPr>
            <w:noProof/>
            <w:webHidden/>
          </w:rPr>
          <w:tab/>
        </w:r>
        <w:r w:rsidR="00281744">
          <w:rPr>
            <w:noProof/>
            <w:webHidden/>
          </w:rPr>
          <w:fldChar w:fldCharType="begin"/>
        </w:r>
        <w:r w:rsidR="00281744">
          <w:rPr>
            <w:noProof/>
            <w:webHidden/>
          </w:rPr>
          <w:instrText xml:space="preserve"> PAGEREF _Toc491778960 \h </w:instrText>
        </w:r>
        <w:r w:rsidR="00281744">
          <w:rPr>
            <w:noProof/>
            <w:webHidden/>
          </w:rPr>
        </w:r>
        <w:r w:rsidR="00281744">
          <w:rPr>
            <w:noProof/>
            <w:webHidden/>
          </w:rPr>
          <w:fldChar w:fldCharType="separate"/>
        </w:r>
        <w:r w:rsidR="00281744">
          <w:rPr>
            <w:noProof/>
            <w:webHidden/>
          </w:rPr>
          <w:t>64</w:t>
        </w:r>
        <w:r w:rsidR="00281744">
          <w:rPr>
            <w:noProof/>
            <w:webHidden/>
          </w:rPr>
          <w:fldChar w:fldCharType="end"/>
        </w:r>
      </w:hyperlink>
    </w:p>
    <w:p w14:paraId="788F897D" w14:textId="77777777" w:rsidR="00281744" w:rsidRDefault="00B329D1">
      <w:pPr>
        <w:pStyle w:val="TableofFigures"/>
        <w:tabs>
          <w:tab w:val="right" w:leader="dot" w:pos="8302"/>
        </w:tabs>
        <w:rPr>
          <w:rFonts w:asciiTheme="minorHAnsi" w:eastAsiaTheme="minorEastAsia" w:hAnsiTheme="minorHAnsi" w:cstheme="minorBidi"/>
          <w:noProof/>
          <w:sz w:val="22"/>
          <w:szCs w:val="22"/>
          <w:lang w:eastAsia="en-GB"/>
        </w:rPr>
      </w:pPr>
      <w:hyperlink w:anchor="_Toc491778961" w:history="1">
        <w:r w:rsidR="00281744" w:rsidRPr="00797E9B">
          <w:rPr>
            <w:rStyle w:val="Hyperlink"/>
            <w:noProof/>
          </w:rPr>
          <w:t>Table 11: CLP notifications</w:t>
        </w:r>
        <w:r w:rsidR="00281744">
          <w:rPr>
            <w:noProof/>
            <w:webHidden/>
          </w:rPr>
          <w:tab/>
        </w:r>
        <w:r w:rsidR="00281744">
          <w:rPr>
            <w:noProof/>
            <w:webHidden/>
          </w:rPr>
          <w:fldChar w:fldCharType="begin"/>
        </w:r>
        <w:r w:rsidR="00281744">
          <w:rPr>
            <w:noProof/>
            <w:webHidden/>
          </w:rPr>
          <w:instrText xml:space="preserve"> PAGEREF _Toc491778961 \h </w:instrText>
        </w:r>
        <w:r w:rsidR="00281744">
          <w:rPr>
            <w:noProof/>
            <w:webHidden/>
          </w:rPr>
        </w:r>
        <w:r w:rsidR="00281744">
          <w:rPr>
            <w:noProof/>
            <w:webHidden/>
          </w:rPr>
          <w:fldChar w:fldCharType="separate"/>
        </w:r>
        <w:r w:rsidR="00281744">
          <w:rPr>
            <w:noProof/>
            <w:webHidden/>
          </w:rPr>
          <w:t>64</w:t>
        </w:r>
        <w:r w:rsidR="00281744">
          <w:rPr>
            <w:noProof/>
            <w:webHidden/>
          </w:rPr>
          <w:fldChar w:fldCharType="end"/>
        </w:r>
      </w:hyperlink>
    </w:p>
    <w:p w14:paraId="359A7D77" w14:textId="77777777" w:rsidR="00281744" w:rsidRDefault="00B329D1">
      <w:pPr>
        <w:pStyle w:val="TableofFigures"/>
        <w:tabs>
          <w:tab w:val="right" w:leader="dot" w:pos="8302"/>
        </w:tabs>
        <w:rPr>
          <w:rFonts w:asciiTheme="minorHAnsi" w:eastAsiaTheme="minorEastAsia" w:hAnsiTheme="minorHAnsi" w:cstheme="minorBidi"/>
          <w:noProof/>
          <w:sz w:val="22"/>
          <w:szCs w:val="22"/>
          <w:lang w:eastAsia="en-GB"/>
        </w:rPr>
      </w:pPr>
      <w:hyperlink w:anchor="_Toc491778962" w:history="1">
        <w:r w:rsidR="00281744" w:rsidRPr="00797E9B">
          <w:rPr>
            <w:rStyle w:val="Hyperlink"/>
            <w:noProof/>
          </w:rPr>
          <w:t>Table 12: EU and global tonnage status</w:t>
        </w:r>
        <w:r w:rsidR="00281744">
          <w:rPr>
            <w:noProof/>
            <w:webHidden/>
          </w:rPr>
          <w:tab/>
        </w:r>
        <w:r w:rsidR="00281744">
          <w:rPr>
            <w:noProof/>
            <w:webHidden/>
          </w:rPr>
          <w:fldChar w:fldCharType="begin"/>
        </w:r>
        <w:r w:rsidR="00281744">
          <w:rPr>
            <w:noProof/>
            <w:webHidden/>
          </w:rPr>
          <w:instrText xml:space="preserve"> PAGEREF _Toc491778962 \h </w:instrText>
        </w:r>
        <w:r w:rsidR="00281744">
          <w:rPr>
            <w:noProof/>
            <w:webHidden/>
          </w:rPr>
        </w:r>
        <w:r w:rsidR="00281744">
          <w:rPr>
            <w:noProof/>
            <w:webHidden/>
          </w:rPr>
          <w:fldChar w:fldCharType="separate"/>
        </w:r>
        <w:r w:rsidR="00281744">
          <w:rPr>
            <w:noProof/>
            <w:webHidden/>
          </w:rPr>
          <w:t>64</w:t>
        </w:r>
        <w:r w:rsidR="00281744">
          <w:rPr>
            <w:noProof/>
            <w:webHidden/>
          </w:rPr>
          <w:fldChar w:fldCharType="end"/>
        </w:r>
      </w:hyperlink>
    </w:p>
    <w:p w14:paraId="02CC1E38" w14:textId="77777777" w:rsidR="00281744" w:rsidRDefault="00B329D1">
      <w:pPr>
        <w:pStyle w:val="TableofFigures"/>
        <w:tabs>
          <w:tab w:val="right" w:leader="dot" w:pos="8302"/>
        </w:tabs>
        <w:rPr>
          <w:rFonts w:asciiTheme="minorHAnsi" w:eastAsiaTheme="minorEastAsia" w:hAnsiTheme="minorHAnsi" w:cstheme="minorBidi"/>
          <w:noProof/>
          <w:sz w:val="22"/>
          <w:szCs w:val="22"/>
          <w:lang w:eastAsia="en-GB"/>
        </w:rPr>
      </w:pPr>
      <w:hyperlink w:anchor="_Toc491778963" w:history="1">
        <w:r w:rsidR="00281744" w:rsidRPr="00797E9B">
          <w:rPr>
            <w:rStyle w:val="Hyperlink"/>
            <w:noProof/>
          </w:rPr>
          <w:t>Table 13: Use of Dechlorane Plus and total number of preparations containing Dechlorane Plus in Sweden</w:t>
        </w:r>
        <w:r w:rsidR="00281744">
          <w:rPr>
            <w:noProof/>
            <w:webHidden/>
          </w:rPr>
          <w:tab/>
        </w:r>
        <w:r w:rsidR="00281744">
          <w:rPr>
            <w:noProof/>
            <w:webHidden/>
          </w:rPr>
          <w:fldChar w:fldCharType="begin"/>
        </w:r>
        <w:r w:rsidR="00281744">
          <w:rPr>
            <w:noProof/>
            <w:webHidden/>
          </w:rPr>
          <w:instrText xml:space="preserve"> PAGEREF _Toc491778963 \h </w:instrText>
        </w:r>
        <w:r w:rsidR="00281744">
          <w:rPr>
            <w:noProof/>
            <w:webHidden/>
          </w:rPr>
        </w:r>
        <w:r w:rsidR="00281744">
          <w:rPr>
            <w:noProof/>
            <w:webHidden/>
          </w:rPr>
          <w:fldChar w:fldCharType="separate"/>
        </w:r>
        <w:r w:rsidR="00281744">
          <w:rPr>
            <w:noProof/>
            <w:webHidden/>
          </w:rPr>
          <w:t>66</w:t>
        </w:r>
        <w:r w:rsidR="00281744">
          <w:rPr>
            <w:noProof/>
            <w:webHidden/>
          </w:rPr>
          <w:fldChar w:fldCharType="end"/>
        </w:r>
      </w:hyperlink>
    </w:p>
    <w:p w14:paraId="6BAFF19B" w14:textId="77777777" w:rsidR="00281744" w:rsidRDefault="00B329D1">
      <w:pPr>
        <w:pStyle w:val="TableofFigures"/>
        <w:tabs>
          <w:tab w:val="right" w:leader="dot" w:pos="8302"/>
        </w:tabs>
        <w:rPr>
          <w:rFonts w:asciiTheme="minorHAnsi" w:eastAsiaTheme="minorEastAsia" w:hAnsiTheme="minorHAnsi" w:cstheme="minorBidi"/>
          <w:noProof/>
          <w:sz w:val="22"/>
          <w:szCs w:val="22"/>
          <w:lang w:eastAsia="en-GB"/>
        </w:rPr>
      </w:pPr>
      <w:hyperlink w:anchor="_Toc491778964" w:history="1">
        <w:r w:rsidR="00281744" w:rsidRPr="00797E9B">
          <w:rPr>
            <w:rStyle w:val="Hyperlink"/>
            <w:noProof/>
          </w:rPr>
          <w:t>Table 14: Uses according to the REACH registration(s)</w:t>
        </w:r>
        <w:r w:rsidR="00281744">
          <w:rPr>
            <w:noProof/>
            <w:webHidden/>
          </w:rPr>
          <w:tab/>
        </w:r>
        <w:r w:rsidR="00281744">
          <w:rPr>
            <w:noProof/>
            <w:webHidden/>
          </w:rPr>
          <w:fldChar w:fldCharType="begin"/>
        </w:r>
        <w:r w:rsidR="00281744">
          <w:rPr>
            <w:noProof/>
            <w:webHidden/>
          </w:rPr>
          <w:instrText xml:space="preserve"> PAGEREF _Toc491778964 \h </w:instrText>
        </w:r>
        <w:r w:rsidR="00281744">
          <w:rPr>
            <w:noProof/>
            <w:webHidden/>
          </w:rPr>
        </w:r>
        <w:r w:rsidR="00281744">
          <w:rPr>
            <w:noProof/>
            <w:webHidden/>
          </w:rPr>
          <w:fldChar w:fldCharType="separate"/>
        </w:r>
        <w:r w:rsidR="00281744">
          <w:rPr>
            <w:noProof/>
            <w:webHidden/>
          </w:rPr>
          <w:t>67</w:t>
        </w:r>
        <w:r w:rsidR="00281744">
          <w:rPr>
            <w:noProof/>
            <w:webHidden/>
          </w:rPr>
          <w:fldChar w:fldCharType="end"/>
        </w:r>
      </w:hyperlink>
    </w:p>
    <w:p w14:paraId="57D4A80B" w14:textId="77777777" w:rsidR="00281744" w:rsidRDefault="00B329D1">
      <w:pPr>
        <w:pStyle w:val="TableofFigures"/>
        <w:tabs>
          <w:tab w:val="left" w:pos="1200"/>
          <w:tab w:val="right" w:leader="dot" w:pos="8302"/>
        </w:tabs>
        <w:rPr>
          <w:rFonts w:asciiTheme="minorHAnsi" w:eastAsiaTheme="minorEastAsia" w:hAnsiTheme="minorHAnsi" w:cstheme="minorBidi"/>
          <w:noProof/>
          <w:sz w:val="22"/>
          <w:szCs w:val="22"/>
          <w:lang w:eastAsia="en-GB"/>
        </w:rPr>
      </w:pPr>
      <w:hyperlink w:anchor="_Toc491778965" w:history="1">
        <w:r w:rsidR="00281744" w:rsidRPr="00797E9B">
          <w:rPr>
            <w:rStyle w:val="Hyperlink"/>
            <w:noProof/>
          </w:rPr>
          <w:t>Table 15:</w:t>
        </w:r>
        <w:r w:rsidR="00281744">
          <w:rPr>
            <w:rFonts w:asciiTheme="minorHAnsi" w:eastAsiaTheme="minorEastAsia" w:hAnsiTheme="minorHAnsi" w:cstheme="minorBidi"/>
            <w:noProof/>
            <w:sz w:val="22"/>
            <w:szCs w:val="22"/>
            <w:lang w:eastAsia="en-GB"/>
          </w:rPr>
          <w:tab/>
        </w:r>
        <w:r w:rsidR="00281744" w:rsidRPr="00797E9B">
          <w:rPr>
            <w:rStyle w:val="Hyperlink"/>
            <w:noProof/>
          </w:rPr>
          <w:t>Non-confidential descriptor codes used in registration</w:t>
        </w:r>
        <w:r w:rsidR="00281744">
          <w:rPr>
            <w:noProof/>
            <w:webHidden/>
          </w:rPr>
          <w:tab/>
        </w:r>
        <w:r w:rsidR="00281744">
          <w:rPr>
            <w:noProof/>
            <w:webHidden/>
          </w:rPr>
          <w:fldChar w:fldCharType="begin"/>
        </w:r>
        <w:r w:rsidR="00281744">
          <w:rPr>
            <w:noProof/>
            <w:webHidden/>
          </w:rPr>
          <w:instrText xml:space="preserve"> PAGEREF _Toc491778965 \h </w:instrText>
        </w:r>
        <w:r w:rsidR="00281744">
          <w:rPr>
            <w:noProof/>
            <w:webHidden/>
          </w:rPr>
        </w:r>
        <w:r w:rsidR="00281744">
          <w:rPr>
            <w:noProof/>
            <w:webHidden/>
          </w:rPr>
          <w:fldChar w:fldCharType="separate"/>
        </w:r>
        <w:r w:rsidR="00281744">
          <w:rPr>
            <w:noProof/>
            <w:webHidden/>
          </w:rPr>
          <w:t>68</w:t>
        </w:r>
        <w:r w:rsidR="00281744">
          <w:rPr>
            <w:noProof/>
            <w:webHidden/>
          </w:rPr>
          <w:fldChar w:fldCharType="end"/>
        </w:r>
      </w:hyperlink>
    </w:p>
    <w:p w14:paraId="6AE43A19" w14:textId="77777777" w:rsidR="009E3EE0" w:rsidRDefault="001221A8" w:rsidP="003215DB">
      <w:pPr>
        <w:pStyle w:val="Caption"/>
        <w:rPr>
          <w:sz w:val="20"/>
          <w:szCs w:val="20"/>
          <w:lang w:eastAsia="fi-FI"/>
        </w:rPr>
      </w:pPr>
      <w:r>
        <w:rPr>
          <w:bCs w:val="0"/>
          <w:sz w:val="20"/>
          <w:szCs w:val="20"/>
          <w:lang w:eastAsia="fi-FI"/>
        </w:rPr>
        <w:fldChar w:fldCharType="end"/>
      </w:r>
    </w:p>
    <w:p w14:paraId="5095B2F1" w14:textId="77777777" w:rsidR="00750CD9" w:rsidRPr="00BC769A" w:rsidRDefault="00BC769A" w:rsidP="00BC769A">
      <w:pPr>
        <w:jc w:val="center"/>
        <w:rPr>
          <w:b/>
          <w:sz w:val="32"/>
          <w:szCs w:val="32"/>
        </w:rPr>
      </w:pPr>
      <w:r w:rsidRPr="00BC769A">
        <w:rPr>
          <w:b/>
          <w:sz w:val="32"/>
          <w:szCs w:val="32"/>
        </w:rPr>
        <w:t>F</w:t>
      </w:r>
      <w:r w:rsidR="002E7A7E">
        <w:rPr>
          <w:b/>
          <w:sz w:val="32"/>
          <w:szCs w:val="32"/>
        </w:rPr>
        <w:t>IGURES</w:t>
      </w:r>
    </w:p>
    <w:p w14:paraId="19FE9AA6" w14:textId="77777777" w:rsidR="00BC769A" w:rsidRPr="00750CD9" w:rsidRDefault="00BC769A" w:rsidP="00750CD9"/>
    <w:p w14:paraId="40085569" w14:textId="77777777" w:rsidR="00D02660" w:rsidRDefault="00750CD9">
      <w:pPr>
        <w:pStyle w:val="TableofFigures"/>
        <w:tabs>
          <w:tab w:val="left" w:pos="1204"/>
          <w:tab w:val="right" w:leader="dot" w:pos="8302"/>
        </w:tabs>
        <w:rPr>
          <w:rFonts w:asciiTheme="minorHAnsi" w:eastAsiaTheme="minorEastAsia" w:hAnsiTheme="minorHAnsi" w:cstheme="minorBidi"/>
          <w:noProof/>
          <w:sz w:val="22"/>
          <w:szCs w:val="22"/>
          <w:lang w:eastAsia="en-GB"/>
        </w:rPr>
      </w:pPr>
      <w:r>
        <w:fldChar w:fldCharType="begin"/>
      </w:r>
      <w:r>
        <w:instrText xml:space="preserve"> TOC \h \z \c "Figure" </w:instrText>
      </w:r>
      <w:r>
        <w:fldChar w:fldCharType="separate"/>
      </w:r>
      <w:hyperlink w:anchor="_Toc491779896" w:history="1">
        <w:r w:rsidR="00D02660" w:rsidRPr="0042788A">
          <w:rPr>
            <w:rStyle w:val="Hyperlink"/>
            <w:noProof/>
          </w:rPr>
          <w:t xml:space="preserve">Figure 1: </w:t>
        </w:r>
        <w:r w:rsidR="00D02660">
          <w:rPr>
            <w:rFonts w:asciiTheme="minorHAnsi" w:eastAsiaTheme="minorEastAsia" w:hAnsiTheme="minorHAnsi" w:cstheme="minorBidi"/>
            <w:noProof/>
            <w:sz w:val="22"/>
            <w:szCs w:val="22"/>
            <w:lang w:eastAsia="en-GB"/>
          </w:rPr>
          <w:tab/>
        </w:r>
        <w:r w:rsidR="00D02660" w:rsidRPr="0042788A">
          <w:rPr>
            <w:rStyle w:val="Hyperlink"/>
            <w:noProof/>
          </w:rPr>
          <w:t>Geometric isomers of Dechlorane Plus</w:t>
        </w:r>
        <w:r w:rsidR="00D02660">
          <w:rPr>
            <w:noProof/>
            <w:webHidden/>
          </w:rPr>
          <w:tab/>
        </w:r>
        <w:r w:rsidR="00D02660">
          <w:rPr>
            <w:noProof/>
            <w:webHidden/>
          </w:rPr>
          <w:fldChar w:fldCharType="begin"/>
        </w:r>
        <w:r w:rsidR="00D02660">
          <w:rPr>
            <w:noProof/>
            <w:webHidden/>
          </w:rPr>
          <w:instrText xml:space="preserve"> PAGEREF _Toc491779896 \h </w:instrText>
        </w:r>
        <w:r w:rsidR="00D02660">
          <w:rPr>
            <w:noProof/>
            <w:webHidden/>
          </w:rPr>
        </w:r>
        <w:r w:rsidR="00D02660">
          <w:rPr>
            <w:noProof/>
            <w:webHidden/>
          </w:rPr>
          <w:fldChar w:fldCharType="separate"/>
        </w:r>
        <w:r w:rsidR="00D02660">
          <w:rPr>
            <w:noProof/>
            <w:webHidden/>
          </w:rPr>
          <w:t>2</w:t>
        </w:r>
        <w:r w:rsidR="00D02660">
          <w:rPr>
            <w:noProof/>
            <w:webHidden/>
          </w:rPr>
          <w:fldChar w:fldCharType="end"/>
        </w:r>
      </w:hyperlink>
    </w:p>
    <w:p w14:paraId="1AC183B9" w14:textId="77777777" w:rsidR="00D02660" w:rsidRDefault="00B329D1">
      <w:pPr>
        <w:pStyle w:val="TableofFigures"/>
        <w:tabs>
          <w:tab w:val="left" w:pos="1204"/>
          <w:tab w:val="right" w:leader="dot" w:pos="8302"/>
        </w:tabs>
        <w:rPr>
          <w:rFonts w:asciiTheme="minorHAnsi" w:eastAsiaTheme="minorEastAsia" w:hAnsiTheme="minorHAnsi" w:cstheme="minorBidi"/>
          <w:noProof/>
          <w:sz w:val="22"/>
          <w:szCs w:val="22"/>
          <w:lang w:eastAsia="en-GB"/>
        </w:rPr>
      </w:pPr>
      <w:hyperlink w:anchor="_Toc491779897" w:history="1">
        <w:r w:rsidR="00D02660" w:rsidRPr="0042788A">
          <w:rPr>
            <w:rStyle w:val="Hyperlink"/>
            <w:noProof/>
          </w:rPr>
          <w:t xml:space="preserve">Figure 2: </w:t>
        </w:r>
        <w:r w:rsidR="00D02660">
          <w:rPr>
            <w:rFonts w:asciiTheme="minorHAnsi" w:eastAsiaTheme="minorEastAsia" w:hAnsiTheme="minorHAnsi" w:cstheme="minorBidi"/>
            <w:noProof/>
            <w:sz w:val="22"/>
            <w:szCs w:val="22"/>
            <w:lang w:eastAsia="en-GB"/>
          </w:rPr>
          <w:tab/>
        </w:r>
        <w:r w:rsidR="00D02660" w:rsidRPr="0042788A">
          <w:rPr>
            <w:rStyle w:val="Hyperlink"/>
            <w:noProof/>
          </w:rPr>
          <w:t>Potential dechlorinated transformation products of Dechlorane Plus</w:t>
        </w:r>
        <w:r w:rsidR="00D02660">
          <w:rPr>
            <w:noProof/>
            <w:webHidden/>
          </w:rPr>
          <w:tab/>
        </w:r>
        <w:r w:rsidR="00D02660">
          <w:rPr>
            <w:noProof/>
            <w:webHidden/>
          </w:rPr>
          <w:fldChar w:fldCharType="begin"/>
        </w:r>
        <w:r w:rsidR="00D02660">
          <w:rPr>
            <w:noProof/>
            <w:webHidden/>
          </w:rPr>
          <w:instrText xml:space="preserve"> PAGEREF _Toc491779897 \h </w:instrText>
        </w:r>
        <w:r w:rsidR="00D02660">
          <w:rPr>
            <w:noProof/>
            <w:webHidden/>
          </w:rPr>
        </w:r>
        <w:r w:rsidR="00D02660">
          <w:rPr>
            <w:noProof/>
            <w:webHidden/>
          </w:rPr>
          <w:fldChar w:fldCharType="separate"/>
        </w:r>
        <w:r w:rsidR="00D02660">
          <w:rPr>
            <w:noProof/>
            <w:webHidden/>
          </w:rPr>
          <w:t>3</w:t>
        </w:r>
        <w:r w:rsidR="00D02660">
          <w:rPr>
            <w:noProof/>
            <w:webHidden/>
          </w:rPr>
          <w:fldChar w:fldCharType="end"/>
        </w:r>
      </w:hyperlink>
    </w:p>
    <w:p w14:paraId="0CE71D3D" w14:textId="77777777" w:rsidR="00D02660" w:rsidRDefault="00B329D1">
      <w:pPr>
        <w:pStyle w:val="TableofFigures"/>
        <w:tabs>
          <w:tab w:val="left" w:pos="1204"/>
          <w:tab w:val="right" w:leader="dot" w:pos="8302"/>
        </w:tabs>
        <w:rPr>
          <w:rFonts w:asciiTheme="minorHAnsi" w:eastAsiaTheme="minorEastAsia" w:hAnsiTheme="minorHAnsi" w:cstheme="minorBidi"/>
          <w:noProof/>
          <w:sz w:val="22"/>
          <w:szCs w:val="22"/>
          <w:lang w:eastAsia="en-GB"/>
        </w:rPr>
      </w:pPr>
      <w:hyperlink w:anchor="_Toc491779898" w:history="1">
        <w:r w:rsidR="00D02660" w:rsidRPr="0042788A">
          <w:rPr>
            <w:rStyle w:val="Hyperlink"/>
            <w:noProof/>
          </w:rPr>
          <w:t xml:space="preserve">Figure 3: </w:t>
        </w:r>
        <w:r w:rsidR="00D02660">
          <w:rPr>
            <w:rFonts w:asciiTheme="minorHAnsi" w:eastAsiaTheme="minorEastAsia" w:hAnsiTheme="minorHAnsi" w:cstheme="minorBidi"/>
            <w:noProof/>
            <w:sz w:val="22"/>
            <w:szCs w:val="22"/>
            <w:lang w:eastAsia="en-GB"/>
          </w:rPr>
          <w:tab/>
        </w:r>
        <w:r w:rsidR="00D02660" w:rsidRPr="0042788A">
          <w:rPr>
            <w:rStyle w:val="Hyperlink"/>
            <w:noProof/>
          </w:rPr>
          <w:t>Potential mono-adduct transformation products of Dechlorane Plus</w:t>
        </w:r>
        <w:r w:rsidR="00D02660">
          <w:rPr>
            <w:noProof/>
            <w:webHidden/>
          </w:rPr>
          <w:tab/>
        </w:r>
        <w:r w:rsidR="00D02660">
          <w:rPr>
            <w:noProof/>
            <w:webHidden/>
          </w:rPr>
          <w:fldChar w:fldCharType="begin"/>
        </w:r>
        <w:r w:rsidR="00D02660">
          <w:rPr>
            <w:noProof/>
            <w:webHidden/>
          </w:rPr>
          <w:instrText xml:space="preserve"> PAGEREF _Toc491779898 \h </w:instrText>
        </w:r>
        <w:r w:rsidR="00D02660">
          <w:rPr>
            <w:noProof/>
            <w:webHidden/>
          </w:rPr>
        </w:r>
        <w:r w:rsidR="00D02660">
          <w:rPr>
            <w:noProof/>
            <w:webHidden/>
          </w:rPr>
          <w:fldChar w:fldCharType="separate"/>
        </w:r>
        <w:r w:rsidR="00D02660">
          <w:rPr>
            <w:noProof/>
            <w:webHidden/>
          </w:rPr>
          <w:t>4</w:t>
        </w:r>
        <w:r w:rsidR="00D02660">
          <w:rPr>
            <w:noProof/>
            <w:webHidden/>
          </w:rPr>
          <w:fldChar w:fldCharType="end"/>
        </w:r>
      </w:hyperlink>
    </w:p>
    <w:p w14:paraId="19595626" w14:textId="77777777" w:rsidR="00D02660" w:rsidRDefault="00B329D1">
      <w:pPr>
        <w:pStyle w:val="TableofFigures"/>
        <w:tabs>
          <w:tab w:val="left" w:pos="1204"/>
          <w:tab w:val="right" w:leader="dot" w:pos="8302"/>
        </w:tabs>
        <w:rPr>
          <w:rFonts w:asciiTheme="minorHAnsi" w:eastAsiaTheme="minorEastAsia" w:hAnsiTheme="minorHAnsi" w:cstheme="minorBidi"/>
          <w:noProof/>
          <w:sz w:val="22"/>
          <w:szCs w:val="22"/>
          <w:lang w:eastAsia="en-GB"/>
        </w:rPr>
      </w:pPr>
      <w:hyperlink w:anchor="_Toc491779899" w:history="1">
        <w:r w:rsidR="00D02660" w:rsidRPr="0042788A">
          <w:rPr>
            <w:rStyle w:val="Hyperlink"/>
            <w:noProof/>
          </w:rPr>
          <w:t xml:space="preserve">Figure 4: </w:t>
        </w:r>
        <w:r w:rsidR="00D02660">
          <w:rPr>
            <w:rFonts w:asciiTheme="minorHAnsi" w:eastAsiaTheme="minorEastAsia" w:hAnsiTheme="minorHAnsi" w:cstheme="minorBidi"/>
            <w:noProof/>
            <w:sz w:val="22"/>
            <w:szCs w:val="22"/>
            <w:lang w:eastAsia="en-GB"/>
          </w:rPr>
          <w:tab/>
        </w:r>
        <w:r w:rsidR="00D02660" w:rsidRPr="0042788A">
          <w:rPr>
            <w:rStyle w:val="Hyperlink"/>
            <w:noProof/>
          </w:rPr>
          <w:t>Dechlorane Plus levels in chicken tissues</w:t>
        </w:r>
        <w:r w:rsidR="00D02660">
          <w:rPr>
            <w:noProof/>
            <w:webHidden/>
          </w:rPr>
          <w:tab/>
        </w:r>
        <w:r w:rsidR="00D02660">
          <w:rPr>
            <w:noProof/>
            <w:webHidden/>
          </w:rPr>
          <w:fldChar w:fldCharType="begin"/>
        </w:r>
        <w:r w:rsidR="00D02660">
          <w:rPr>
            <w:noProof/>
            <w:webHidden/>
          </w:rPr>
          <w:instrText xml:space="preserve"> PAGEREF _Toc491779899 \h </w:instrText>
        </w:r>
        <w:r w:rsidR="00D02660">
          <w:rPr>
            <w:noProof/>
            <w:webHidden/>
          </w:rPr>
        </w:r>
        <w:r w:rsidR="00D02660">
          <w:rPr>
            <w:noProof/>
            <w:webHidden/>
          </w:rPr>
          <w:fldChar w:fldCharType="separate"/>
        </w:r>
        <w:r w:rsidR="00D02660">
          <w:rPr>
            <w:noProof/>
            <w:webHidden/>
          </w:rPr>
          <w:t>45</w:t>
        </w:r>
        <w:r w:rsidR="00D02660">
          <w:rPr>
            <w:noProof/>
            <w:webHidden/>
          </w:rPr>
          <w:fldChar w:fldCharType="end"/>
        </w:r>
      </w:hyperlink>
    </w:p>
    <w:p w14:paraId="36199621" w14:textId="77777777" w:rsidR="00750CD9" w:rsidRPr="00750CD9" w:rsidRDefault="00750CD9" w:rsidP="00750CD9">
      <w:r>
        <w:fldChar w:fldCharType="end"/>
      </w:r>
    </w:p>
    <w:p w14:paraId="0EA14902" w14:textId="77777777" w:rsidR="009E3EE0" w:rsidRDefault="009E3EE0" w:rsidP="00B12C39">
      <w:pPr>
        <w:pStyle w:val="BodyText"/>
      </w:pPr>
    </w:p>
    <w:p w14:paraId="5C7A7D1C" w14:textId="77777777" w:rsidR="003C419D" w:rsidRDefault="00B12C39" w:rsidP="00DD36C7">
      <w:pPr>
        <w:pStyle w:val="Title"/>
        <w:numPr>
          <w:ilvl w:val="0"/>
          <w:numId w:val="0"/>
        </w:numPr>
        <w:jc w:val="center"/>
        <w:rPr>
          <w:rStyle w:val="Strong"/>
        </w:rPr>
      </w:pPr>
      <w:r>
        <w:br w:type="page"/>
      </w:r>
      <w:bookmarkStart w:id="2" w:name="_MailAutoSig"/>
      <w:bookmarkStart w:id="3" w:name="_Toc357185225"/>
      <w:bookmarkStart w:id="4" w:name="_Toc357186073"/>
      <w:bookmarkStart w:id="5" w:name="_Toc357186222"/>
      <w:bookmarkStart w:id="6" w:name="_Toc357437508"/>
      <w:bookmarkStart w:id="7" w:name="_Toc357590781"/>
      <w:bookmarkStart w:id="8" w:name="_Toc357692813"/>
      <w:bookmarkStart w:id="9" w:name="_Toc365649640"/>
      <w:bookmarkStart w:id="10" w:name="_Toc365649789"/>
      <w:bookmarkStart w:id="11" w:name="_Toc366489841"/>
      <w:bookmarkStart w:id="12" w:name="_Toc418498546"/>
      <w:bookmarkStart w:id="13" w:name="_Toc418505989"/>
      <w:bookmarkStart w:id="14" w:name="_Toc491862213"/>
      <w:r w:rsidR="003C419D" w:rsidRPr="00DD36C7">
        <w:rPr>
          <w:sz w:val="32"/>
        </w:rPr>
        <w:lastRenderedPageBreak/>
        <w:t xml:space="preserve">PROPOSAL FOR IDENTIFICATION OF A </w:t>
      </w:r>
      <w:r w:rsidR="002B58B6" w:rsidRPr="00DD36C7">
        <w:rPr>
          <w:sz w:val="32"/>
        </w:rPr>
        <w:t>SUBSTANCE OF VERY HIGH CONCERN</w:t>
      </w:r>
      <w:r w:rsidR="003C419D" w:rsidRPr="00DD36C7">
        <w:rPr>
          <w:sz w:val="32"/>
        </w:rPr>
        <w:t xml:space="preserve"> ON THE BASIS OF </w:t>
      </w:r>
      <w:r w:rsidR="003909BD" w:rsidRPr="00DD36C7">
        <w:rPr>
          <w:sz w:val="32"/>
        </w:rPr>
        <w:t xml:space="preserve">THE </w:t>
      </w:r>
      <w:r w:rsidR="003C419D" w:rsidRPr="00DD36C7">
        <w:rPr>
          <w:sz w:val="32"/>
        </w:rPr>
        <w:t>CRITERIA SET OUT IN REACH ARTICLE 57</w:t>
      </w:r>
      <w:bookmarkEnd w:id="2"/>
      <w:bookmarkEnd w:id="3"/>
      <w:bookmarkEnd w:id="4"/>
      <w:bookmarkEnd w:id="5"/>
      <w:bookmarkEnd w:id="6"/>
      <w:bookmarkEnd w:id="7"/>
      <w:bookmarkEnd w:id="8"/>
      <w:bookmarkEnd w:id="9"/>
      <w:bookmarkEnd w:id="10"/>
      <w:bookmarkEnd w:id="11"/>
      <w:bookmarkEnd w:id="12"/>
      <w:bookmarkEnd w:id="13"/>
      <w:bookmarkEnd w:id="14"/>
    </w:p>
    <w:p w14:paraId="621E7B87" w14:textId="77777777" w:rsidR="00EA5041" w:rsidRDefault="00EA5041" w:rsidP="0004212E">
      <w:pPr>
        <w:widowControl/>
        <w:spacing w:after="180"/>
        <w:jc w:val="both"/>
        <w:rPr>
          <w:i/>
        </w:rPr>
      </w:pPr>
    </w:p>
    <w:p w14:paraId="4675DA83" w14:textId="77777777" w:rsidR="00B256E1" w:rsidRDefault="00B12C39" w:rsidP="00F04606">
      <w:pPr>
        <w:widowControl/>
        <w:spacing w:after="180"/>
        <w:rPr>
          <w:rStyle w:val="reflink"/>
          <w:szCs w:val="24"/>
        </w:rPr>
      </w:pPr>
      <w:r w:rsidRPr="006F4B04">
        <w:rPr>
          <w:rStyle w:val="Strong"/>
          <w:bCs/>
        </w:rPr>
        <w:t xml:space="preserve">Substance Name(s): </w:t>
      </w:r>
      <w:r w:rsidR="00F04606" w:rsidRPr="00063715">
        <w:rPr>
          <w:rStyle w:val="reflink"/>
          <w:szCs w:val="24"/>
        </w:rPr>
        <w:t>1,6,7,8,9,14,15,16,17,17,18,18-</w:t>
      </w:r>
      <w:r w:rsidR="0060701F" w:rsidRPr="00063715">
        <w:rPr>
          <w:rStyle w:val="reflink"/>
          <w:szCs w:val="24"/>
        </w:rPr>
        <w:t>D</w:t>
      </w:r>
      <w:r w:rsidR="00F04606" w:rsidRPr="00063715">
        <w:rPr>
          <w:rStyle w:val="reflink"/>
          <w:szCs w:val="24"/>
        </w:rPr>
        <w:t>odecachloropentacyclo</w:t>
      </w:r>
      <w:r w:rsidR="00B256E1">
        <w:rPr>
          <w:rStyle w:val="reflink"/>
          <w:szCs w:val="24"/>
        </w:rPr>
        <w:t>-</w:t>
      </w:r>
      <w:r w:rsidR="00F04606" w:rsidRPr="00063715">
        <w:rPr>
          <w:rStyle w:val="reflink"/>
          <w:szCs w:val="24"/>
        </w:rPr>
        <w:t>[12.2.1.1</w:t>
      </w:r>
      <w:r w:rsidR="00F04606" w:rsidRPr="0026566E">
        <w:rPr>
          <w:rStyle w:val="reflink"/>
          <w:szCs w:val="24"/>
          <w:vertAlign w:val="superscript"/>
        </w:rPr>
        <w:t>6,9</w:t>
      </w:r>
      <w:r w:rsidR="00F04606" w:rsidRPr="00063715">
        <w:rPr>
          <w:rStyle w:val="reflink"/>
          <w:szCs w:val="24"/>
        </w:rPr>
        <w:t>.0</w:t>
      </w:r>
      <w:r w:rsidR="00F04606" w:rsidRPr="0026566E">
        <w:rPr>
          <w:rStyle w:val="reflink"/>
          <w:szCs w:val="24"/>
          <w:vertAlign w:val="superscript"/>
        </w:rPr>
        <w:t>2,13</w:t>
      </w:r>
      <w:r w:rsidR="00F04606" w:rsidRPr="00063715">
        <w:rPr>
          <w:rStyle w:val="reflink"/>
          <w:szCs w:val="24"/>
        </w:rPr>
        <w:t>.0</w:t>
      </w:r>
      <w:r w:rsidR="00F04606" w:rsidRPr="0026566E">
        <w:rPr>
          <w:rStyle w:val="reflink"/>
          <w:szCs w:val="24"/>
          <w:vertAlign w:val="superscript"/>
        </w:rPr>
        <w:t>5,10</w:t>
      </w:r>
      <w:r w:rsidR="00F04606" w:rsidRPr="00063715">
        <w:rPr>
          <w:rStyle w:val="reflink"/>
          <w:szCs w:val="24"/>
        </w:rPr>
        <w:t xml:space="preserve">]octadeca-7,15-diene </w:t>
      </w:r>
    </w:p>
    <w:p w14:paraId="324C9FB8" w14:textId="77777777" w:rsidR="00B256E1" w:rsidRDefault="00F04606" w:rsidP="00F04606">
      <w:pPr>
        <w:widowControl/>
        <w:spacing w:after="180"/>
        <w:rPr>
          <w:rStyle w:val="reflink"/>
          <w:szCs w:val="24"/>
        </w:rPr>
      </w:pPr>
      <w:r w:rsidRPr="00063715">
        <w:rPr>
          <w:rStyle w:val="reflink"/>
          <w:szCs w:val="24"/>
        </w:rPr>
        <w:t>(</w:t>
      </w:r>
      <w:r w:rsidR="00063715">
        <w:rPr>
          <w:rStyle w:val="reflink"/>
          <w:szCs w:val="24"/>
        </w:rPr>
        <w:t>“</w:t>
      </w:r>
      <w:r w:rsidRPr="00063715">
        <w:rPr>
          <w:rStyle w:val="reflink"/>
          <w:szCs w:val="24"/>
        </w:rPr>
        <w:t>Dechlorane Plus</w:t>
      </w:r>
      <w:r w:rsidR="00063715">
        <w:rPr>
          <w:rStyle w:val="reflink"/>
          <w:szCs w:val="24"/>
        </w:rPr>
        <w:t>”</w:t>
      </w:r>
      <w:r w:rsidR="00063715" w:rsidRPr="00063715">
        <w:rPr>
          <w:rStyle w:val="reflink"/>
          <w:szCs w:val="24"/>
          <w:vertAlign w:val="superscript"/>
        </w:rPr>
        <w:t>TM</w:t>
      </w:r>
      <w:r w:rsidRPr="00063715">
        <w:rPr>
          <w:rStyle w:val="reflink"/>
          <w:szCs w:val="24"/>
        </w:rPr>
        <w:t xml:space="preserve">) </w:t>
      </w:r>
    </w:p>
    <w:p w14:paraId="40981E4D" w14:textId="51E5D29B" w:rsidR="00B12C39" w:rsidRDefault="00F04606" w:rsidP="00F04606">
      <w:pPr>
        <w:widowControl/>
        <w:spacing w:after="180"/>
        <w:rPr>
          <w:rStyle w:val="Strong"/>
          <w:bCs/>
        </w:rPr>
      </w:pPr>
      <w:r w:rsidRPr="00063715">
        <w:rPr>
          <w:rStyle w:val="reflink"/>
          <w:szCs w:val="24"/>
        </w:rPr>
        <w:t xml:space="preserve">[covering any of its individual </w:t>
      </w:r>
      <w:r w:rsidR="00631EFD">
        <w:rPr>
          <w:rStyle w:val="reflink"/>
        </w:rPr>
        <w:t>anti- and syn-</w:t>
      </w:r>
      <w:r w:rsidRPr="00063715">
        <w:rPr>
          <w:rStyle w:val="reflink"/>
          <w:szCs w:val="24"/>
        </w:rPr>
        <w:t>isomers or any combination thereof]</w:t>
      </w:r>
    </w:p>
    <w:p w14:paraId="26CF3C40" w14:textId="5FD3F0AA" w:rsidR="00B12C39" w:rsidRPr="006F4B04" w:rsidRDefault="00B12C39" w:rsidP="00B12C39">
      <w:pPr>
        <w:widowControl/>
        <w:spacing w:after="180"/>
        <w:jc w:val="both"/>
        <w:rPr>
          <w:rStyle w:val="Strong"/>
          <w:bCs/>
        </w:rPr>
      </w:pPr>
      <w:r w:rsidRPr="006F4B04">
        <w:rPr>
          <w:rStyle w:val="Strong"/>
          <w:bCs/>
        </w:rPr>
        <w:t xml:space="preserve">EC Number(s): </w:t>
      </w:r>
      <w:r w:rsidR="005C2D8A" w:rsidRPr="00627DA9">
        <w:rPr>
          <w:rStyle w:val="reflink"/>
          <w:szCs w:val="24"/>
        </w:rPr>
        <w:t>236-948-9</w:t>
      </w:r>
      <w:r w:rsidR="00631EFD">
        <w:rPr>
          <w:rStyle w:val="reflink"/>
        </w:rPr>
        <w:t>; -; -</w:t>
      </w:r>
    </w:p>
    <w:p w14:paraId="774739A4" w14:textId="56877718" w:rsidR="00B12C39" w:rsidRPr="006F4B04" w:rsidRDefault="00B12C39" w:rsidP="00B12C39">
      <w:pPr>
        <w:widowControl/>
        <w:spacing w:after="180"/>
        <w:jc w:val="both"/>
        <w:rPr>
          <w:rStyle w:val="Strong"/>
          <w:bCs/>
        </w:rPr>
      </w:pPr>
      <w:r w:rsidRPr="006F4B04">
        <w:rPr>
          <w:rStyle w:val="Strong"/>
          <w:bCs/>
        </w:rPr>
        <w:t xml:space="preserve">CAS number(s): </w:t>
      </w:r>
      <w:r w:rsidR="005C2D8A" w:rsidRPr="00627DA9">
        <w:t>13560-89-9</w:t>
      </w:r>
      <w:r w:rsidR="00C42CB2">
        <w:t xml:space="preserve">; </w:t>
      </w:r>
      <w:r w:rsidR="00631EFD" w:rsidRPr="00171229">
        <w:t>135821-74-8; 135821-03-3</w:t>
      </w:r>
    </w:p>
    <w:p w14:paraId="027B32FB" w14:textId="77777777" w:rsidR="003909BD" w:rsidRPr="00626669" w:rsidRDefault="003909BD" w:rsidP="003909BD">
      <w:pPr>
        <w:jc w:val="both"/>
        <w:rPr>
          <w:lang w:eastAsia="en-US"/>
        </w:rPr>
      </w:pPr>
    </w:p>
    <w:p w14:paraId="4B5F77F6" w14:textId="77777777" w:rsidR="00B12C39" w:rsidRDefault="00B12C39" w:rsidP="00686834">
      <w:pPr>
        <w:numPr>
          <w:ilvl w:val="0"/>
          <w:numId w:val="6"/>
        </w:numPr>
        <w:jc w:val="both"/>
        <w:rPr>
          <w:lang w:eastAsia="en-US"/>
        </w:rPr>
      </w:pPr>
      <w:r w:rsidRPr="00626669">
        <w:rPr>
          <w:lang w:eastAsia="en-US"/>
        </w:rPr>
        <w:t xml:space="preserve">It is proposed to identify the substance(s) as </w:t>
      </w:r>
      <w:r w:rsidR="004D51BA">
        <w:rPr>
          <w:lang w:eastAsia="en-US"/>
        </w:rPr>
        <w:t>very persistent and very bioaccumulative (</w:t>
      </w:r>
      <w:r w:rsidRPr="00626669">
        <w:rPr>
          <w:lang w:eastAsia="en-US"/>
        </w:rPr>
        <w:t>v</w:t>
      </w:r>
      <w:r w:rsidR="003909BD">
        <w:rPr>
          <w:lang w:eastAsia="en-US"/>
        </w:rPr>
        <w:t>PvB</w:t>
      </w:r>
      <w:r w:rsidR="004D51BA">
        <w:rPr>
          <w:lang w:eastAsia="en-US"/>
        </w:rPr>
        <w:t>)</w:t>
      </w:r>
      <w:r w:rsidR="00837E56">
        <w:rPr>
          <w:lang w:eastAsia="en-US"/>
        </w:rPr>
        <w:t xml:space="preserve"> according to Article 57</w:t>
      </w:r>
      <w:r w:rsidR="003909BD">
        <w:rPr>
          <w:lang w:eastAsia="en-US"/>
        </w:rPr>
        <w:t>(e)</w:t>
      </w:r>
      <w:r w:rsidR="00CE4DE5">
        <w:rPr>
          <w:lang w:eastAsia="en-US"/>
        </w:rPr>
        <w:t xml:space="preserve"> </w:t>
      </w:r>
      <w:r w:rsidR="00CE4DE5" w:rsidRPr="003909BD">
        <w:t xml:space="preserve">of Regulation (EC) </w:t>
      </w:r>
      <w:r w:rsidR="004D51BA">
        <w:t xml:space="preserve">No </w:t>
      </w:r>
      <w:r w:rsidR="00CE4DE5" w:rsidRPr="003909BD">
        <w:t>1907/2006 (REACH)</w:t>
      </w:r>
      <w:r w:rsidR="003909BD">
        <w:rPr>
          <w:lang w:eastAsia="en-US"/>
        </w:rPr>
        <w:t>.</w:t>
      </w:r>
    </w:p>
    <w:p w14:paraId="2889FBBA" w14:textId="77777777" w:rsidR="00B12C39" w:rsidRPr="00626669" w:rsidRDefault="00B12C39" w:rsidP="00B12C39">
      <w:pPr>
        <w:widowControl/>
        <w:spacing w:after="180"/>
        <w:jc w:val="both"/>
        <w:rPr>
          <w:szCs w:val="24"/>
          <w:lang w:eastAsia="en-US"/>
        </w:rPr>
      </w:pPr>
    </w:p>
    <w:p w14:paraId="508AD381" w14:textId="77777777" w:rsidR="00B12C39" w:rsidRDefault="00B12C39" w:rsidP="00B12C39">
      <w:pPr>
        <w:widowControl/>
        <w:spacing w:after="180"/>
        <w:jc w:val="both"/>
        <w:rPr>
          <w:rStyle w:val="Strong"/>
          <w:bCs/>
        </w:rPr>
      </w:pPr>
      <w:r w:rsidRPr="00127DF0">
        <w:rPr>
          <w:rStyle w:val="Strong"/>
          <w:bCs/>
        </w:rPr>
        <w:t xml:space="preserve">Summary of how the substance meets the criteria </w:t>
      </w:r>
      <w:r>
        <w:rPr>
          <w:rStyle w:val="Strong"/>
          <w:bCs/>
        </w:rPr>
        <w:t>set out in Article 57 of the REACH Regulation</w:t>
      </w:r>
    </w:p>
    <w:p w14:paraId="26BF3938" w14:textId="77777777" w:rsidR="000A2B57" w:rsidRPr="000A6FDD" w:rsidRDefault="000A2B57" w:rsidP="000A2B57">
      <w:pPr>
        <w:pStyle w:val="BodyText"/>
        <w:jc w:val="both"/>
        <w:rPr>
          <w:i/>
        </w:rPr>
      </w:pPr>
      <w:r w:rsidRPr="00BA0ECA">
        <w:rPr>
          <w:i/>
        </w:rPr>
        <w:t>Persistence</w:t>
      </w:r>
    </w:p>
    <w:p w14:paraId="1102DA3C" w14:textId="77777777" w:rsidR="000A2B57" w:rsidRDefault="000A2B57" w:rsidP="000A2B57">
      <w:pPr>
        <w:pStyle w:val="BodyText"/>
        <w:jc w:val="both"/>
      </w:pPr>
      <w:r w:rsidRPr="00BA0ECA">
        <w:t>Based on the</w:t>
      </w:r>
      <w:r w:rsidRPr="00F11137">
        <w:t xml:space="preserve"> </w:t>
      </w:r>
      <w:r>
        <w:t>weight of evidence of the</w:t>
      </w:r>
      <w:r w:rsidRPr="00BA0ECA">
        <w:t xml:space="preserve"> data available, it is concluded that Dechlorane Plus meets the criteria for vP </w:t>
      </w:r>
      <w:r>
        <w:t>in Annex XIII of REACH</w:t>
      </w:r>
      <w:r w:rsidRPr="00BA0ECA">
        <w:t>.</w:t>
      </w:r>
      <w:r>
        <w:t xml:space="preserve"> This is based on:</w:t>
      </w:r>
    </w:p>
    <w:p w14:paraId="357AEED0" w14:textId="77777777" w:rsidR="000A2B57" w:rsidRDefault="000A2B57" w:rsidP="000A2B57">
      <w:pPr>
        <w:pStyle w:val="BodyText"/>
        <w:numPr>
          <w:ilvl w:val="0"/>
          <w:numId w:val="17"/>
        </w:numPr>
        <w:jc w:val="both"/>
      </w:pPr>
      <w:r>
        <w:t>modelling of degradation potential and microbial metabolic pathways which suggests that biodegradation is likely to be very slow; and</w:t>
      </w:r>
    </w:p>
    <w:p w14:paraId="4828722F" w14:textId="25F0B281" w:rsidR="000A2B57" w:rsidRDefault="000A2B57" w:rsidP="000A2B57">
      <w:pPr>
        <w:pStyle w:val="BodyText"/>
        <w:numPr>
          <w:ilvl w:val="0"/>
          <w:numId w:val="17"/>
        </w:numPr>
        <w:jc w:val="both"/>
      </w:pPr>
      <w:r>
        <w:t>a low probability that it will degrade any faster than structural analogues that are considered to be very persistent under the Stockholm Convention</w:t>
      </w:r>
      <w:r w:rsidR="00C42CB2">
        <w:t>.</w:t>
      </w:r>
    </w:p>
    <w:p w14:paraId="79BC9B31" w14:textId="77777777" w:rsidR="000A2B57" w:rsidRDefault="000A2B57" w:rsidP="000A2B57">
      <w:pPr>
        <w:pStyle w:val="BodyText"/>
        <w:jc w:val="both"/>
      </w:pPr>
      <w:r>
        <w:t>This conclusion is also supported by the very low water solubility (suggesting limited bioavailability to micro-organisms once bound to solid matrices), monitoring data indicating that the substance can persist in sediments (a major sink) for many years, lack of evidence of biotransformation in fish (supporting the premise that the molecule is metabolically recalcitrant) and widespread occurrence in remote regions.</w:t>
      </w:r>
    </w:p>
    <w:p w14:paraId="539A93AC" w14:textId="77777777" w:rsidR="000A2B57" w:rsidRPr="000A6FDD" w:rsidRDefault="000A2B57" w:rsidP="000A2B57">
      <w:pPr>
        <w:pStyle w:val="BodyText"/>
        <w:jc w:val="both"/>
        <w:rPr>
          <w:i/>
        </w:rPr>
      </w:pPr>
      <w:r w:rsidRPr="00BA0ECA">
        <w:rPr>
          <w:i/>
        </w:rPr>
        <w:t>Bioaccumulation</w:t>
      </w:r>
    </w:p>
    <w:p w14:paraId="6C200479" w14:textId="77777777" w:rsidR="000A2B57" w:rsidRDefault="000A2B57" w:rsidP="000A2B57">
      <w:pPr>
        <w:pStyle w:val="BodyText"/>
        <w:jc w:val="both"/>
      </w:pPr>
      <w:r>
        <w:t>Using a</w:t>
      </w:r>
      <w:r w:rsidRPr="00F11137">
        <w:t xml:space="preserve"> </w:t>
      </w:r>
      <w:r>
        <w:t>weight of evidence assessment of the</w:t>
      </w:r>
      <w:r w:rsidRPr="00BA0ECA">
        <w:t xml:space="preserve"> data available, Dechlorane Plus meets the </w:t>
      </w:r>
      <w:r>
        <w:t xml:space="preserve">vB </w:t>
      </w:r>
      <w:r w:rsidRPr="00BA0ECA">
        <w:t xml:space="preserve">criteria </w:t>
      </w:r>
      <w:r>
        <w:t>in Annex XIII of REACH</w:t>
      </w:r>
      <w:r w:rsidRPr="00BA0ECA">
        <w:t>.</w:t>
      </w:r>
      <w:r>
        <w:t xml:space="preserve"> This is based on:</w:t>
      </w:r>
    </w:p>
    <w:p w14:paraId="235891BE" w14:textId="1DFCD017" w:rsidR="000A2B57" w:rsidRDefault="000A2B57" w:rsidP="000A2B57">
      <w:pPr>
        <w:pStyle w:val="BodyText"/>
        <w:numPr>
          <w:ilvl w:val="0"/>
          <w:numId w:val="42"/>
        </w:numPr>
        <w:jc w:val="both"/>
      </w:pPr>
      <w:r>
        <w:t xml:space="preserve">the long-depuration half-life determined in </w:t>
      </w:r>
      <w:r w:rsidRPr="00BA0ECA">
        <w:t>fish feeding stud</w:t>
      </w:r>
      <w:r>
        <w:t>ies which is</w:t>
      </w:r>
      <w:r w:rsidRPr="00F11137">
        <w:t xml:space="preserve"> </w:t>
      </w:r>
      <w:r>
        <w:t>indicative of a BCF above 5 000 L/kg, by comparison with other substances</w:t>
      </w:r>
      <w:r w:rsidRPr="00DF3BE4">
        <w:t xml:space="preserve"> </w:t>
      </w:r>
      <w:r>
        <w:t xml:space="preserve">(supported by a long depuration half-life in </w:t>
      </w:r>
      <w:r w:rsidRPr="00DF3BE4">
        <w:t>mammal</w:t>
      </w:r>
      <w:r>
        <w:t>ian liver);</w:t>
      </w:r>
    </w:p>
    <w:p w14:paraId="17DBDC33" w14:textId="6293CACA" w:rsidR="000A2B57" w:rsidRDefault="000A2B57" w:rsidP="000A2B57">
      <w:pPr>
        <w:pStyle w:val="BodyText"/>
        <w:numPr>
          <w:ilvl w:val="0"/>
          <w:numId w:val="42"/>
        </w:numPr>
        <w:jc w:val="both"/>
      </w:pPr>
      <w:r>
        <w:t xml:space="preserve">numerous studies that show that the substance is widely dispersed in </w:t>
      </w:r>
      <w:r>
        <w:rPr>
          <w:rStyle w:val="Strong"/>
          <w:b w:val="0"/>
          <w:bCs/>
          <w:color w:val="000000" w:themeColor="text1"/>
        </w:rPr>
        <w:t xml:space="preserve">freshwater, marine </w:t>
      </w:r>
      <w:r>
        <w:t>and terrestrial food chains, including top predators;</w:t>
      </w:r>
      <w:r w:rsidR="00C42CB2">
        <w:t xml:space="preserve"> and</w:t>
      </w:r>
    </w:p>
    <w:p w14:paraId="689B5084" w14:textId="5AD79274" w:rsidR="000A2B57" w:rsidRDefault="000A2B57" w:rsidP="000A2B57">
      <w:pPr>
        <w:pStyle w:val="BodyText"/>
        <w:numPr>
          <w:ilvl w:val="0"/>
          <w:numId w:val="42"/>
        </w:numPr>
        <w:jc w:val="both"/>
      </w:pPr>
      <w:r>
        <w:lastRenderedPageBreak/>
        <w:t>evidence that the substance can exceed levels in biota that are of concern based on critical body burden considerations related</w:t>
      </w:r>
      <w:r w:rsidRPr="00D30CBA">
        <w:t xml:space="preserve"> </w:t>
      </w:r>
      <w:r w:rsidRPr="00B75C66">
        <w:t>to baseline narcosis</w:t>
      </w:r>
      <w:r w:rsidR="00C42CB2">
        <w:t>.</w:t>
      </w:r>
    </w:p>
    <w:p w14:paraId="296CB670" w14:textId="77777777" w:rsidR="000A2B57" w:rsidRPr="000A6FDD" w:rsidRDefault="000A2B57" w:rsidP="000A2B57">
      <w:pPr>
        <w:pStyle w:val="BodyText"/>
        <w:jc w:val="both"/>
      </w:pPr>
      <w:r>
        <w:t>This conclusion is supported by the detection of the substance in human blood, placenta and breast milk.</w:t>
      </w:r>
    </w:p>
    <w:p w14:paraId="4A9FC266" w14:textId="77777777" w:rsidR="000A2B57" w:rsidRPr="000A6FDD" w:rsidRDefault="000A2B57" w:rsidP="000A2B57">
      <w:pPr>
        <w:pStyle w:val="BodyText"/>
        <w:jc w:val="both"/>
        <w:rPr>
          <w:i/>
        </w:rPr>
      </w:pPr>
      <w:r w:rsidRPr="000A6FDD">
        <w:rPr>
          <w:i/>
        </w:rPr>
        <w:t>Toxicity</w:t>
      </w:r>
    </w:p>
    <w:p w14:paraId="6DF1A97B" w14:textId="77777777" w:rsidR="000A2B57" w:rsidRPr="000A6FDD" w:rsidRDefault="000A2B57" w:rsidP="000A2B57">
      <w:pPr>
        <w:pStyle w:val="BodyText"/>
        <w:jc w:val="both"/>
      </w:pPr>
      <w:r w:rsidRPr="000A6FDD">
        <w:t xml:space="preserve">Based on the available </w:t>
      </w:r>
      <w:r>
        <w:t xml:space="preserve">ecotoxicity and mammalian </w:t>
      </w:r>
      <w:r w:rsidRPr="000A6FDD">
        <w:t xml:space="preserve">data, Dechlorane Plus </w:t>
      </w:r>
      <w:r>
        <w:t xml:space="preserve">does not currently </w:t>
      </w:r>
      <w:r w:rsidRPr="000A6FDD">
        <w:t>meet the T criterion</w:t>
      </w:r>
      <w:r>
        <w:t>. Long-term toxicity studies using relevant life stages of fish (via diet), sediment or soil organisms, and/or birds could be performed to clarify whether adverse effects can occur via these exposure routes. However, as the substance meets both the vP and vB criteria, these are not scientifically necessary for environmental risk management purposes.</w:t>
      </w:r>
    </w:p>
    <w:p w14:paraId="6AFFB922" w14:textId="77777777" w:rsidR="000A2B57" w:rsidRDefault="000A2B57" w:rsidP="000A2B57">
      <w:pPr>
        <w:autoSpaceDE w:val="0"/>
        <w:autoSpaceDN w:val="0"/>
        <w:adjustRightInd w:val="0"/>
        <w:jc w:val="both"/>
      </w:pPr>
    </w:p>
    <w:p w14:paraId="6F6E4B74" w14:textId="77777777" w:rsidR="000A2B57" w:rsidRPr="00FB5AF3" w:rsidRDefault="000A2B57" w:rsidP="000A2B57">
      <w:pPr>
        <w:autoSpaceDE w:val="0"/>
        <w:autoSpaceDN w:val="0"/>
        <w:adjustRightInd w:val="0"/>
        <w:jc w:val="both"/>
        <w:rPr>
          <w:i/>
        </w:rPr>
      </w:pPr>
      <w:r w:rsidRPr="00FB5AF3">
        <w:rPr>
          <w:i/>
        </w:rPr>
        <w:t>Other concerns</w:t>
      </w:r>
    </w:p>
    <w:p w14:paraId="755195F3" w14:textId="77777777" w:rsidR="000A2B57" w:rsidRDefault="000A2B57" w:rsidP="000A2B57">
      <w:pPr>
        <w:autoSpaceDE w:val="0"/>
        <w:autoSpaceDN w:val="0"/>
        <w:adjustRightInd w:val="0"/>
        <w:jc w:val="both"/>
      </w:pPr>
    </w:p>
    <w:p w14:paraId="55F2925F" w14:textId="067E0FCD" w:rsidR="000A2B57" w:rsidRDefault="00C42CB2" w:rsidP="000A2B57">
      <w:pPr>
        <w:jc w:val="both"/>
        <w:rPr>
          <w:lang w:eastAsia="en-US"/>
        </w:rPr>
      </w:pPr>
      <w:r>
        <w:t>T</w:t>
      </w:r>
      <w:r w:rsidR="000A2B57">
        <w:t xml:space="preserve">he substances 1,3- and 1,5-Dechlorane Plus monoadduct (DPMA) have been detected in the environment, sometimes at higher concentrations than Dechlorane Plus in the same samples. </w:t>
      </w:r>
      <w:r w:rsidR="00873585">
        <w:t>DPMA</w:t>
      </w:r>
      <w:r w:rsidR="000A2B57" w:rsidRPr="005B0F12">
        <w:t xml:space="preserve"> might be under-reported</w:t>
      </w:r>
      <w:r w:rsidR="000A2B57" w:rsidRPr="00DF5C91">
        <w:t xml:space="preserve"> </w:t>
      </w:r>
      <w:r w:rsidR="000A2B57">
        <w:t xml:space="preserve">because destructive </w:t>
      </w:r>
      <w:r w:rsidR="000A2B57" w:rsidRPr="000D43A8">
        <w:t>sample preparation methods</w:t>
      </w:r>
      <w:r w:rsidR="000A2B57">
        <w:t xml:space="preserve"> may</w:t>
      </w:r>
      <w:r w:rsidR="000A2B57" w:rsidRPr="000D43A8">
        <w:t xml:space="preserve"> degrade it.</w:t>
      </w:r>
      <w:r w:rsidR="000A2B57">
        <w:t xml:space="preserve"> Dechlorane Plus is the only likely source </w:t>
      </w:r>
      <w:r w:rsidR="000A2B57" w:rsidRPr="00A03429">
        <w:t>of these two substances</w:t>
      </w:r>
      <w:r w:rsidR="000A2B57">
        <w:t>, although there is no information on reaction rates or amounts that can be formed under relevant environmental conditions. Based on predictive models, DPMA screens as being potentially PBT and vPvB</w:t>
      </w:r>
      <w:r w:rsidR="000A2B57" w:rsidRPr="003B7E0C">
        <w:t xml:space="preserve"> </w:t>
      </w:r>
      <w:r w:rsidR="000A2B57">
        <w:t xml:space="preserve">on the basis of QSAR (although some of the predictions are uncertain). No information is available on its mammalian toxicity, but due to </w:t>
      </w:r>
      <w:r w:rsidR="000A2B57" w:rsidRPr="00C66397">
        <w:t>structural similar</w:t>
      </w:r>
      <w:r w:rsidR="000A2B57">
        <w:t xml:space="preserve">ities to aldrin or heptachlor it might be epoxidised in the environment to form a substance that could be neurotoxic and/or cause hepatotoxicity. Experimental data would be needed to confirm these properties. However, as a degradation product of Dechlorane Plus, any concerns about DPMA would be alleviated by the identification of Dechlorane Plus as a substance of very high concern. </w:t>
      </w:r>
    </w:p>
    <w:p w14:paraId="55E63388" w14:textId="77777777" w:rsidR="000A2B57" w:rsidRDefault="000A2B57" w:rsidP="000A2B57">
      <w:pPr>
        <w:autoSpaceDE w:val="0"/>
        <w:autoSpaceDN w:val="0"/>
        <w:adjustRightInd w:val="0"/>
        <w:jc w:val="both"/>
      </w:pPr>
    </w:p>
    <w:p w14:paraId="7B53CD42" w14:textId="77777777" w:rsidR="000A2B57" w:rsidRDefault="000A2B57" w:rsidP="000A2B57">
      <w:pPr>
        <w:autoSpaceDE w:val="0"/>
        <w:autoSpaceDN w:val="0"/>
        <w:adjustRightInd w:val="0"/>
        <w:jc w:val="both"/>
      </w:pPr>
    </w:p>
    <w:p w14:paraId="0EDF5245" w14:textId="316C31B6" w:rsidR="000A2B57" w:rsidRDefault="000A2B57" w:rsidP="000A2B57">
      <w:pPr>
        <w:widowControl/>
        <w:autoSpaceDE w:val="0"/>
        <w:autoSpaceDN w:val="0"/>
        <w:adjustRightInd w:val="0"/>
        <w:jc w:val="both"/>
        <w:rPr>
          <w:lang w:eastAsia="en-US"/>
        </w:rPr>
      </w:pPr>
      <w:r>
        <w:rPr>
          <w:lang w:eastAsia="en-US"/>
        </w:rPr>
        <w:t xml:space="preserve">In conclusion, </w:t>
      </w:r>
      <w:r>
        <w:t xml:space="preserve">despite the lack of definitive data, Dechlorane Plus </w:t>
      </w:r>
      <w:r>
        <w:rPr>
          <w:lang w:eastAsia="en-US"/>
        </w:rPr>
        <w:t>is</w:t>
      </w:r>
      <w:r w:rsidR="00B329D1">
        <w:rPr>
          <w:lang w:eastAsia="en-US"/>
        </w:rPr>
        <w:t xml:space="preserve"> proposed to be</w:t>
      </w:r>
      <w:r>
        <w:rPr>
          <w:lang w:eastAsia="en-US"/>
        </w:rPr>
        <w:t xml:space="preserve"> identified as a vPvB substance according to Art. 57(e) of REACH by comparing all </w:t>
      </w:r>
      <w:r>
        <w:rPr>
          <w:rFonts w:cs="Verdana"/>
          <w:lang w:eastAsia="en-GB"/>
        </w:rPr>
        <w:t>relevant and available information listed in Annex XIII of REACH with the criteria set out in the same Annex, in a weight-of-evidence determination</w:t>
      </w:r>
      <w:r>
        <w:rPr>
          <w:lang w:eastAsia="en-US"/>
        </w:rPr>
        <w:t>.</w:t>
      </w:r>
    </w:p>
    <w:p w14:paraId="339D2B8F" w14:textId="77777777" w:rsidR="000A2B57" w:rsidRDefault="000A2B57" w:rsidP="000A2B57">
      <w:pPr>
        <w:widowControl/>
        <w:autoSpaceDE w:val="0"/>
        <w:autoSpaceDN w:val="0"/>
        <w:adjustRightInd w:val="0"/>
        <w:jc w:val="both"/>
        <w:rPr>
          <w:lang w:eastAsia="en-US"/>
        </w:rPr>
      </w:pPr>
    </w:p>
    <w:p w14:paraId="09843963" w14:textId="77777777" w:rsidR="000A2B57" w:rsidRDefault="000A2B57" w:rsidP="00063715">
      <w:pPr>
        <w:jc w:val="both"/>
        <w:rPr>
          <w:rFonts w:cs="Verdana"/>
          <w:color w:val="000000" w:themeColor="text1"/>
          <w:u w:val="single"/>
          <w:lang w:eastAsia="en-GB"/>
        </w:rPr>
      </w:pPr>
    </w:p>
    <w:p w14:paraId="4D12546E" w14:textId="77777777" w:rsidR="00B12C39" w:rsidRDefault="00B12C39" w:rsidP="00B12C39">
      <w:pPr>
        <w:widowControl/>
        <w:autoSpaceDE w:val="0"/>
        <w:autoSpaceDN w:val="0"/>
        <w:adjustRightInd w:val="0"/>
        <w:rPr>
          <w:rFonts w:cs="Verdana"/>
          <w:i/>
          <w:lang w:eastAsia="en-GB"/>
        </w:rPr>
      </w:pPr>
    </w:p>
    <w:p w14:paraId="533DECC2" w14:textId="77777777" w:rsidR="00B12C39" w:rsidRPr="00C42D6A" w:rsidRDefault="00B12C39" w:rsidP="00B12C39">
      <w:pPr>
        <w:jc w:val="both"/>
        <w:rPr>
          <w:rStyle w:val="Strong"/>
          <w:b w:val="0"/>
          <w:bCs/>
        </w:rPr>
      </w:pPr>
    </w:p>
    <w:p w14:paraId="09B09E6E" w14:textId="77777777" w:rsidR="00B12C39" w:rsidRPr="00127DF0" w:rsidRDefault="00B12C39" w:rsidP="009C4BF4">
      <w:pPr>
        <w:widowControl/>
        <w:jc w:val="both"/>
        <w:rPr>
          <w:rStyle w:val="Strong"/>
          <w:bCs/>
        </w:rPr>
      </w:pPr>
      <w:r w:rsidRPr="00127DF0">
        <w:rPr>
          <w:rStyle w:val="Strong"/>
          <w:bCs/>
        </w:rPr>
        <w:t xml:space="preserve">Registration dossiers submitted for the substance? </w:t>
      </w:r>
      <w:r w:rsidRPr="005C2D8A">
        <w:rPr>
          <w:rStyle w:val="Strong"/>
          <w:bCs/>
        </w:rPr>
        <w:t>Yes</w:t>
      </w:r>
    </w:p>
    <w:p w14:paraId="57BA8E2B" w14:textId="77777777" w:rsidR="00063715" w:rsidRDefault="00063715" w:rsidP="00CD2F3D">
      <w:pPr>
        <w:pStyle w:val="Title"/>
        <w:numPr>
          <w:ilvl w:val="0"/>
          <w:numId w:val="0"/>
        </w:numPr>
        <w:jc w:val="center"/>
      </w:pPr>
    </w:p>
    <w:p w14:paraId="2AECE7E8" w14:textId="77777777" w:rsidR="00063715" w:rsidRPr="00063715" w:rsidRDefault="00063715" w:rsidP="00063715"/>
    <w:p w14:paraId="2B482D13" w14:textId="77777777" w:rsidR="00063715" w:rsidRPr="00063715" w:rsidRDefault="00063715" w:rsidP="00063715"/>
    <w:p w14:paraId="0AF5F69D" w14:textId="77777777" w:rsidR="00063715" w:rsidRPr="00063715" w:rsidRDefault="00063715" w:rsidP="00063715"/>
    <w:p w14:paraId="1902AE2B" w14:textId="77777777" w:rsidR="00063715" w:rsidRPr="00063715" w:rsidRDefault="00063715" w:rsidP="00063715"/>
    <w:p w14:paraId="16E065E4" w14:textId="77777777" w:rsidR="00063715" w:rsidRPr="00063715" w:rsidRDefault="00063715" w:rsidP="00063715"/>
    <w:p w14:paraId="39B18D22" w14:textId="77777777" w:rsidR="00063715" w:rsidRPr="00063715" w:rsidRDefault="00063715" w:rsidP="00063715"/>
    <w:p w14:paraId="6B8018C2" w14:textId="77777777" w:rsidR="00063715" w:rsidRPr="00063715" w:rsidRDefault="00063715" w:rsidP="00063715"/>
    <w:p w14:paraId="2C42A84A" w14:textId="77777777" w:rsidR="00063715" w:rsidRPr="00063715" w:rsidRDefault="00063715" w:rsidP="00063715"/>
    <w:p w14:paraId="143EE23F" w14:textId="77777777" w:rsidR="00063715" w:rsidRPr="00063715" w:rsidRDefault="00063715" w:rsidP="00063715"/>
    <w:p w14:paraId="4B7A49AD" w14:textId="77777777" w:rsidR="00063715" w:rsidRPr="00063715" w:rsidRDefault="00063715" w:rsidP="00063715"/>
    <w:p w14:paraId="2D6953EE" w14:textId="77777777" w:rsidR="00063715" w:rsidRDefault="00063715" w:rsidP="00063715">
      <w:pPr>
        <w:jc w:val="right"/>
      </w:pPr>
    </w:p>
    <w:p w14:paraId="3CC5A262" w14:textId="77777777" w:rsidR="00063715" w:rsidRDefault="00063715" w:rsidP="00063715"/>
    <w:p w14:paraId="04F36A0A" w14:textId="77777777" w:rsidR="00063715" w:rsidRPr="00063715" w:rsidRDefault="00063715" w:rsidP="00063715">
      <w:pPr>
        <w:sectPr w:rsidR="00063715" w:rsidRPr="00063715" w:rsidSect="00063715">
          <w:footerReference w:type="default" r:id="rId14"/>
          <w:pgSz w:w="11906" w:h="16838" w:code="9"/>
          <w:pgMar w:top="1440" w:right="1797" w:bottom="1440" w:left="1797" w:header="709" w:footer="709" w:gutter="0"/>
          <w:pgNumType w:fmt="lowerRoman" w:start="1"/>
          <w:cols w:space="708"/>
          <w:docGrid w:linePitch="360"/>
        </w:sectPr>
      </w:pPr>
    </w:p>
    <w:p w14:paraId="0937AC58" w14:textId="77777777" w:rsidR="00B12C39" w:rsidRPr="00CD2F3D" w:rsidRDefault="00B12C39" w:rsidP="00CD2F3D">
      <w:pPr>
        <w:pStyle w:val="Title"/>
        <w:numPr>
          <w:ilvl w:val="0"/>
          <w:numId w:val="0"/>
        </w:numPr>
        <w:jc w:val="center"/>
        <w:rPr>
          <w:sz w:val="32"/>
        </w:rPr>
      </w:pPr>
      <w:bookmarkStart w:id="15" w:name="_Toc316637274"/>
      <w:bookmarkStart w:id="16" w:name="_Toc341888501"/>
      <w:bookmarkStart w:id="17" w:name="_Toc342400355"/>
      <w:bookmarkStart w:id="18" w:name="_Toc357184189"/>
      <w:bookmarkStart w:id="19" w:name="_Toc357184425"/>
      <w:bookmarkStart w:id="20" w:name="_Toc357185226"/>
      <w:bookmarkStart w:id="21" w:name="_Toc357186074"/>
      <w:bookmarkStart w:id="22" w:name="_Toc357186223"/>
      <w:bookmarkStart w:id="23" w:name="_Toc357437509"/>
      <w:bookmarkStart w:id="24" w:name="_Toc357590782"/>
      <w:bookmarkStart w:id="25" w:name="_Toc357692814"/>
      <w:bookmarkStart w:id="26" w:name="_Toc365649641"/>
      <w:bookmarkStart w:id="27" w:name="_Toc365649790"/>
      <w:bookmarkStart w:id="28" w:name="_Toc366489842"/>
      <w:bookmarkStart w:id="29" w:name="_Toc418498547"/>
      <w:bookmarkStart w:id="30" w:name="_Toc418505990"/>
      <w:bookmarkStart w:id="31" w:name="_Toc491862214"/>
      <w:r w:rsidRPr="00CD2F3D">
        <w:rPr>
          <w:sz w:val="32"/>
        </w:rPr>
        <w:lastRenderedPageBreak/>
        <w:t>PART I</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37DB73FA" w14:textId="77777777" w:rsidR="00B12C39" w:rsidRDefault="00B12C39" w:rsidP="00DD36C7">
      <w:pPr>
        <w:pStyle w:val="Title"/>
        <w:numPr>
          <w:ilvl w:val="0"/>
          <w:numId w:val="0"/>
        </w:numPr>
        <w:jc w:val="center"/>
        <w:rPr>
          <w:sz w:val="32"/>
        </w:rPr>
      </w:pPr>
      <w:bookmarkStart w:id="32" w:name="_Toc316637275"/>
      <w:bookmarkStart w:id="33" w:name="_Toc341888502"/>
      <w:bookmarkStart w:id="34" w:name="_Toc342400356"/>
      <w:bookmarkStart w:id="35" w:name="_Toc357185227"/>
      <w:bookmarkStart w:id="36" w:name="_Toc357186075"/>
      <w:bookmarkStart w:id="37" w:name="_Toc357186224"/>
      <w:bookmarkStart w:id="38" w:name="_Toc357437510"/>
      <w:bookmarkStart w:id="39" w:name="_Toc357590783"/>
      <w:bookmarkStart w:id="40" w:name="_Toc357692815"/>
      <w:bookmarkStart w:id="41" w:name="_Toc365649642"/>
      <w:bookmarkStart w:id="42" w:name="_Toc365649791"/>
      <w:bookmarkStart w:id="43" w:name="_Toc366489843"/>
      <w:bookmarkStart w:id="44" w:name="_Toc418498548"/>
      <w:bookmarkStart w:id="45" w:name="_Toc418505991"/>
      <w:bookmarkStart w:id="46" w:name="_Toc491862215"/>
      <w:r w:rsidRPr="00DD36C7">
        <w:rPr>
          <w:sz w:val="32"/>
        </w:rPr>
        <w:t>Justification</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78FD06A6" w14:textId="44492504" w:rsidR="00FC0298" w:rsidRDefault="00FC0298" w:rsidP="00FC0298">
      <w:pPr>
        <w:pStyle w:val="BodyText"/>
        <w:ind w:right="-52"/>
        <w:jc w:val="both"/>
      </w:pPr>
      <w:r w:rsidRPr="000A6FDD">
        <w:t xml:space="preserve">The data </w:t>
      </w:r>
      <w:r>
        <w:t>described in this dossier</w:t>
      </w:r>
      <w:r w:rsidRPr="000A6FDD">
        <w:t xml:space="preserve"> </w:t>
      </w:r>
      <w:r>
        <w:t>we</w:t>
      </w:r>
      <w:r w:rsidRPr="000A6FDD">
        <w:t>re</w:t>
      </w:r>
      <w:r>
        <w:t xml:space="preserve"> taken</w:t>
      </w:r>
      <w:r w:rsidRPr="000A6FDD">
        <w:t xml:space="preserve"> from public sources unless stated otherwise, including robust study summaries from the REACH registration dossier available on the ECHA dissemination website in </w:t>
      </w:r>
      <w:r>
        <w:t>May 2015</w:t>
      </w:r>
      <w:r w:rsidRPr="000A6FDD">
        <w:t xml:space="preserve"> (</w:t>
      </w:r>
      <w:hyperlink r:id="rId15" w:history="1">
        <w:r>
          <w:t>http://www.echa.europa.eu/</w:t>
        </w:r>
      </w:hyperlink>
      <w:r>
        <w:t xml:space="preserve">) and submitted to the U.S. EPA by the Occidental Chemical Company (2003). Studies that are not formal regulatory test reports or published in peer reviewed journals (e.g. conference posters) are indicated as abstracts only [ABST]. Original test reports have not been reviewed (unless stated), although the information in the robust study summaries is </w:t>
      </w:r>
      <w:r w:rsidR="00B74CC5">
        <w:t xml:space="preserve">considered </w:t>
      </w:r>
      <w:r>
        <w:t xml:space="preserve">sufficient. Published literature articles have been reviewed in detail. </w:t>
      </w:r>
    </w:p>
    <w:p w14:paraId="1DF4FD6D" w14:textId="77777777" w:rsidR="00FC0298" w:rsidRPr="000A6FDD" w:rsidRDefault="00FC0298" w:rsidP="00FC0298">
      <w:pPr>
        <w:pStyle w:val="BodyText"/>
        <w:ind w:right="-52"/>
        <w:jc w:val="both"/>
      </w:pPr>
      <w:r>
        <w:t>The number of published papers is growing at a fast rate and it is not considered proportionate to attempt to summarise all available studies that refer to this substance. Detailed study descriptions for the major end points relevant to this dossier are provided in Appendix 1, which also includes a list of references that are not considered relevant, and another list of references that might be relevant but are likely to be of relatively low significance.</w:t>
      </w:r>
    </w:p>
    <w:p w14:paraId="5AAB0075" w14:textId="77777777" w:rsidR="00E67A3F" w:rsidRDefault="00E67A3F">
      <w:pPr>
        <w:widowControl/>
        <w:rPr>
          <w:b/>
          <w:color w:val="0046AD"/>
          <w:sz w:val="28"/>
          <w:szCs w:val="24"/>
        </w:rPr>
      </w:pPr>
      <w:bookmarkStart w:id="47" w:name="_Toc486319033"/>
      <w:bookmarkStart w:id="48" w:name="_Toc486319165"/>
      <w:bookmarkStart w:id="49" w:name="_Toc486319296"/>
      <w:bookmarkStart w:id="50" w:name="_Toc486319579"/>
      <w:bookmarkStart w:id="51" w:name="_Toc486320467"/>
      <w:bookmarkStart w:id="52" w:name="_Toc486947849"/>
      <w:bookmarkStart w:id="53" w:name="_Toc487028202"/>
      <w:bookmarkStart w:id="54" w:name="_Toc486319034"/>
      <w:bookmarkStart w:id="55" w:name="_Toc486319166"/>
      <w:bookmarkStart w:id="56" w:name="_Toc486319297"/>
      <w:bookmarkStart w:id="57" w:name="_Toc486319580"/>
      <w:bookmarkStart w:id="58" w:name="_Toc486320468"/>
      <w:bookmarkStart w:id="59" w:name="_Toc486947850"/>
      <w:bookmarkStart w:id="60" w:name="_Toc487028203"/>
      <w:bookmarkStart w:id="61" w:name="_Toc486319035"/>
      <w:bookmarkStart w:id="62" w:name="_Toc486319167"/>
      <w:bookmarkStart w:id="63" w:name="_Toc486319298"/>
      <w:bookmarkStart w:id="64" w:name="_Toc486319581"/>
      <w:bookmarkStart w:id="65" w:name="_Toc486320469"/>
      <w:bookmarkStart w:id="66" w:name="_Toc486947851"/>
      <w:bookmarkStart w:id="67" w:name="_Toc487028204"/>
      <w:bookmarkStart w:id="68" w:name="_Toc486319036"/>
      <w:bookmarkStart w:id="69" w:name="_Toc486319168"/>
      <w:bookmarkStart w:id="70" w:name="_Toc486319299"/>
      <w:bookmarkStart w:id="71" w:name="_Toc486319582"/>
      <w:bookmarkStart w:id="72" w:name="_Toc486320470"/>
      <w:bookmarkStart w:id="73" w:name="_Toc486947852"/>
      <w:bookmarkStart w:id="74" w:name="_Toc487028205"/>
      <w:bookmarkStart w:id="75" w:name="_Toc341888503"/>
      <w:bookmarkStart w:id="76" w:name="_Toc342400357"/>
      <w:bookmarkStart w:id="77" w:name="_Toc354499568"/>
      <w:bookmarkStart w:id="78" w:name="_Toc357083641"/>
      <w:bookmarkStart w:id="79" w:name="_Toc357184190"/>
      <w:bookmarkStart w:id="80" w:name="_Toc357184426"/>
      <w:bookmarkStart w:id="81" w:name="_Toc357185228"/>
      <w:bookmarkStart w:id="82" w:name="_Toc357186076"/>
      <w:bookmarkStart w:id="83" w:name="_Toc357186225"/>
      <w:bookmarkStart w:id="84" w:name="_Toc357437511"/>
      <w:bookmarkStart w:id="85" w:name="_Toc357590784"/>
      <w:bookmarkStart w:id="86" w:name="_Toc357692816"/>
      <w:bookmarkStart w:id="87" w:name="_Toc365649643"/>
      <w:bookmarkStart w:id="88" w:name="_Toc365649792"/>
      <w:bookmarkStart w:id="89" w:name="_Toc366489844"/>
      <w:bookmarkStart w:id="90" w:name="_Toc418498549"/>
      <w:bookmarkStart w:id="91" w:name="_Toc418505992"/>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br w:type="page"/>
      </w:r>
    </w:p>
    <w:p w14:paraId="6D3D7BBE" w14:textId="77777777" w:rsidR="00B12C39" w:rsidRDefault="00B12C39" w:rsidP="00C85A85">
      <w:pPr>
        <w:pStyle w:val="Heading1"/>
        <w:ind w:left="426" w:hanging="426"/>
      </w:pPr>
      <w:bookmarkStart w:id="92" w:name="_Toc491862216"/>
      <w:r w:rsidRPr="004C7600">
        <w:lastRenderedPageBreak/>
        <w:t>Identity of the substance and physical and chemical properties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6AC10FCC" w14:textId="77777777" w:rsidR="00B12C39" w:rsidRDefault="00B12C39" w:rsidP="00BB6734">
      <w:pPr>
        <w:pStyle w:val="Heading2"/>
        <w:numPr>
          <w:ilvl w:val="1"/>
          <w:numId w:val="1"/>
        </w:numPr>
        <w:tabs>
          <w:tab w:val="clear" w:pos="360"/>
          <w:tab w:val="num" w:pos="0"/>
        </w:tabs>
      </w:pPr>
      <w:bookmarkStart w:id="93" w:name="_Toc485806304"/>
      <w:bookmarkStart w:id="94" w:name="_Toc485824033"/>
      <w:bookmarkStart w:id="95" w:name="_Toc485824305"/>
      <w:bookmarkStart w:id="96" w:name="_Toc485824474"/>
      <w:bookmarkStart w:id="97" w:name="_Toc486250187"/>
      <w:bookmarkStart w:id="98" w:name="_Toc486318871"/>
      <w:bookmarkStart w:id="99" w:name="_Toc486319040"/>
      <w:bookmarkStart w:id="100" w:name="_Toc486319172"/>
      <w:bookmarkStart w:id="101" w:name="_Toc486319303"/>
      <w:bookmarkStart w:id="102" w:name="_Toc486319586"/>
      <w:bookmarkStart w:id="103" w:name="_Toc486320474"/>
      <w:bookmarkStart w:id="104" w:name="_Toc485806305"/>
      <w:bookmarkStart w:id="105" w:name="_Toc485824034"/>
      <w:bookmarkStart w:id="106" w:name="_Toc485824306"/>
      <w:bookmarkStart w:id="107" w:name="_Toc485824475"/>
      <w:bookmarkStart w:id="108" w:name="_Toc486250188"/>
      <w:bookmarkStart w:id="109" w:name="_Toc486318872"/>
      <w:bookmarkStart w:id="110" w:name="_Toc486319041"/>
      <w:bookmarkStart w:id="111" w:name="_Toc486319173"/>
      <w:bookmarkStart w:id="112" w:name="_Toc486319304"/>
      <w:bookmarkStart w:id="113" w:name="_Toc486319587"/>
      <w:bookmarkStart w:id="114" w:name="_Toc486320475"/>
      <w:bookmarkStart w:id="115" w:name="_Toc485806307"/>
      <w:bookmarkStart w:id="116" w:name="_Toc485824036"/>
      <w:bookmarkStart w:id="117" w:name="_Toc485824308"/>
      <w:bookmarkStart w:id="118" w:name="_Toc485824477"/>
      <w:bookmarkStart w:id="119" w:name="_Toc486250190"/>
      <w:bookmarkStart w:id="120" w:name="_Toc486318874"/>
      <w:bookmarkStart w:id="121" w:name="_Toc486319043"/>
      <w:bookmarkStart w:id="122" w:name="_Toc486319175"/>
      <w:bookmarkStart w:id="123" w:name="_Toc486319306"/>
      <w:bookmarkStart w:id="124" w:name="_Toc486319589"/>
      <w:bookmarkStart w:id="125" w:name="_Toc486320477"/>
      <w:bookmarkStart w:id="126" w:name="_Toc341888504"/>
      <w:bookmarkStart w:id="127" w:name="_Toc342400358"/>
      <w:bookmarkStart w:id="128" w:name="_Toc354499569"/>
      <w:bookmarkStart w:id="129" w:name="_Toc357083642"/>
      <w:bookmarkStart w:id="130" w:name="_Toc357184191"/>
      <w:bookmarkStart w:id="131" w:name="_Toc357184427"/>
      <w:bookmarkStart w:id="132" w:name="_Toc357185229"/>
      <w:bookmarkStart w:id="133" w:name="_Toc357186077"/>
      <w:bookmarkStart w:id="134" w:name="_Toc357186226"/>
      <w:bookmarkStart w:id="135" w:name="_Toc357437512"/>
      <w:bookmarkStart w:id="136" w:name="_Toc357590785"/>
      <w:bookmarkStart w:id="137" w:name="_Toc357692817"/>
      <w:bookmarkStart w:id="138" w:name="_Toc365649644"/>
      <w:bookmarkStart w:id="139" w:name="_Toc365649793"/>
      <w:bookmarkStart w:id="140" w:name="_Toc366489845"/>
      <w:bookmarkStart w:id="141" w:name="_Toc418498550"/>
      <w:bookmarkStart w:id="142" w:name="_Toc418505993"/>
      <w:bookmarkStart w:id="143" w:name="_Toc491862217"/>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7B2537">
        <w:t>Name and other identifiers of the substance</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0B87F4FB" w14:textId="067D8867" w:rsidR="00054FEE" w:rsidRDefault="00054FEE" w:rsidP="00054FEE">
      <w:pPr>
        <w:jc w:val="both"/>
        <w:rPr>
          <w:b/>
          <w:color w:val="000000" w:themeColor="text1"/>
        </w:rPr>
      </w:pPr>
      <w:bookmarkStart w:id="144" w:name="_Toc341889781"/>
      <w:bookmarkStart w:id="145" w:name="_Toc357184842"/>
      <w:bookmarkStart w:id="146" w:name="_Toc359563693"/>
      <w:bookmarkStart w:id="147" w:name="_Toc365030502"/>
      <w:r w:rsidRPr="0026566E">
        <w:rPr>
          <w:color w:val="000000" w:themeColor="text1"/>
        </w:rPr>
        <w:t>The substance 1,6,7,8,9,14,15,16,17,17,18,18-dodecachloropentacyclo</w:t>
      </w:r>
      <w:r w:rsidR="004448DE">
        <w:rPr>
          <w:color w:val="000000" w:themeColor="text1"/>
        </w:rPr>
        <w:t>-</w:t>
      </w:r>
      <w:r w:rsidRPr="0026566E">
        <w:rPr>
          <w:color w:val="000000" w:themeColor="text1"/>
        </w:rPr>
        <w:t>[12.2.1.1</w:t>
      </w:r>
      <w:r w:rsidRPr="0026566E">
        <w:rPr>
          <w:color w:val="000000" w:themeColor="text1"/>
          <w:vertAlign w:val="superscript"/>
        </w:rPr>
        <w:t>6,9</w:t>
      </w:r>
      <w:r w:rsidRPr="0026566E">
        <w:rPr>
          <w:color w:val="000000" w:themeColor="text1"/>
        </w:rPr>
        <w:t>.0</w:t>
      </w:r>
      <w:r w:rsidRPr="0026566E">
        <w:rPr>
          <w:color w:val="000000" w:themeColor="text1"/>
          <w:vertAlign w:val="superscript"/>
        </w:rPr>
        <w:t>2,13</w:t>
      </w:r>
      <w:r w:rsidRPr="0026566E">
        <w:rPr>
          <w:color w:val="000000" w:themeColor="text1"/>
        </w:rPr>
        <w:t>.0</w:t>
      </w:r>
      <w:r w:rsidRPr="0026566E">
        <w:rPr>
          <w:color w:val="000000" w:themeColor="text1"/>
          <w:vertAlign w:val="superscript"/>
        </w:rPr>
        <w:t>5,10</w:t>
      </w:r>
      <w:r w:rsidRPr="0026566E">
        <w:rPr>
          <w:color w:val="000000" w:themeColor="text1"/>
        </w:rPr>
        <w:t xml:space="preserve">]octadeca-7,15-diene </w:t>
      </w:r>
      <w:r w:rsidR="004448DE">
        <w:rPr>
          <w:color w:val="000000" w:themeColor="text1"/>
        </w:rPr>
        <w:t xml:space="preserve">has two </w:t>
      </w:r>
      <w:r w:rsidRPr="0026566E">
        <w:rPr>
          <w:color w:val="000000" w:themeColor="text1"/>
        </w:rPr>
        <w:t>isomers</w:t>
      </w:r>
      <w:r w:rsidR="004448DE">
        <w:rPr>
          <w:color w:val="000000" w:themeColor="text1"/>
        </w:rPr>
        <w:t>, named</w:t>
      </w:r>
      <w:r w:rsidRPr="0026566E">
        <w:rPr>
          <w:color w:val="000000" w:themeColor="text1"/>
        </w:rPr>
        <w:t xml:space="preserve"> anti- [2] and syn- [3]. This dossier covers the individual anti- and syn- isomers (mono-constituent substances) and all possible combinations of the syn- and anti- isomers [1</w:t>
      </w:r>
      <w:r w:rsidR="004448DE">
        <w:rPr>
          <w:color w:val="000000" w:themeColor="text1"/>
        </w:rPr>
        <w:t>] (</w:t>
      </w:r>
      <w:r w:rsidR="00A72517" w:rsidRPr="0026566E">
        <w:rPr>
          <w:color w:val="000000" w:themeColor="text1"/>
        </w:rPr>
        <w:t>see structural formula below</w:t>
      </w:r>
      <w:r w:rsidR="004448DE">
        <w:rPr>
          <w:color w:val="000000" w:themeColor="text1"/>
        </w:rPr>
        <w:t>)</w:t>
      </w:r>
      <w:r w:rsidRPr="00054FEE">
        <w:rPr>
          <w:b/>
          <w:color w:val="000000" w:themeColor="text1"/>
        </w:rPr>
        <w:t>.</w:t>
      </w:r>
    </w:p>
    <w:p w14:paraId="79CDFBED" w14:textId="77777777" w:rsidR="0026566E" w:rsidRPr="00054FEE" w:rsidRDefault="0026566E" w:rsidP="00054FEE">
      <w:pPr>
        <w:jc w:val="both"/>
        <w:rPr>
          <w:b/>
          <w:color w:val="000000" w:themeColor="text1"/>
        </w:rPr>
      </w:pPr>
    </w:p>
    <w:p w14:paraId="6E469C85" w14:textId="77777777" w:rsidR="00E67A3F" w:rsidRPr="00275C33" w:rsidRDefault="00B12C39" w:rsidP="00054FEE">
      <w:pPr>
        <w:widowControl/>
        <w:spacing w:after="180"/>
        <w:rPr>
          <w:b/>
          <w:sz w:val="18"/>
          <w:szCs w:val="18"/>
        </w:rPr>
      </w:pPr>
      <w:bookmarkStart w:id="148" w:name="_Toc491778947"/>
      <w:r w:rsidRPr="00F558AF">
        <w:t xml:space="preserve">Table </w:t>
      </w:r>
      <w:fldSimple w:instr=" SEQ Table \* ARABIC ">
        <w:r w:rsidR="00F0628F">
          <w:rPr>
            <w:noProof/>
          </w:rPr>
          <w:t>1</w:t>
        </w:r>
      </w:fldSimple>
      <w:r w:rsidRPr="00F558AF">
        <w:t xml:space="preserve">: </w:t>
      </w:r>
      <w:bookmarkEnd w:id="144"/>
      <w:bookmarkEnd w:id="145"/>
      <w:bookmarkEnd w:id="146"/>
      <w:bookmarkEnd w:id="147"/>
      <w:r w:rsidR="00E67A3F" w:rsidRPr="00A86884">
        <w:rPr>
          <w:sz w:val="18"/>
          <w:szCs w:val="18"/>
        </w:rPr>
        <w:t>Substance identity of 1,6,7,8,9,14,15,16,17,17,18,18-dodecachloropentacyclo</w:t>
      </w:r>
      <w:r w:rsidR="004448DE">
        <w:rPr>
          <w:sz w:val="18"/>
          <w:szCs w:val="18"/>
        </w:rPr>
        <w:t>-</w:t>
      </w:r>
      <w:r w:rsidR="00E67A3F" w:rsidRPr="00A86884">
        <w:rPr>
          <w:sz w:val="18"/>
          <w:szCs w:val="18"/>
        </w:rPr>
        <w:t>[12.2.1.1</w:t>
      </w:r>
      <w:r w:rsidR="00E67A3F" w:rsidRPr="00A86884">
        <w:rPr>
          <w:sz w:val="18"/>
          <w:szCs w:val="18"/>
          <w:vertAlign w:val="superscript"/>
        </w:rPr>
        <w:t>6,9</w:t>
      </w:r>
      <w:r w:rsidR="00E67A3F" w:rsidRPr="00A86884">
        <w:rPr>
          <w:sz w:val="18"/>
          <w:szCs w:val="18"/>
        </w:rPr>
        <w:t>.0</w:t>
      </w:r>
      <w:r w:rsidR="00E67A3F" w:rsidRPr="00A86884">
        <w:rPr>
          <w:sz w:val="18"/>
          <w:szCs w:val="18"/>
          <w:vertAlign w:val="superscript"/>
        </w:rPr>
        <w:t>2,13</w:t>
      </w:r>
      <w:r w:rsidR="00E67A3F" w:rsidRPr="00A86884">
        <w:rPr>
          <w:sz w:val="18"/>
          <w:szCs w:val="18"/>
        </w:rPr>
        <w:t>.0</w:t>
      </w:r>
      <w:r w:rsidR="00E67A3F" w:rsidRPr="00A86884">
        <w:rPr>
          <w:sz w:val="18"/>
          <w:szCs w:val="18"/>
          <w:vertAlign w:val="superscript"/>
        </w:rPr>
        <w:t>5,10</w:t>
      </w:r>
      <w:r w:rsidR="00E67A3F" w:rsidRPr="00A86884">
        <w:rPr>
          <w:sz w:val="18"/>
          <w:szCs w:val="18"/>
        </w:rPr>
        <w:t>]octadeca-7,15-diene, Dechlorane Plus [1].</w:t>
      </w:r>
      <w:bookmarkEnd w:id="148"/>
    </w:p>
    <w:p w14:paraId="25EF8A09" w14:textId="77777777" w:rsidR="00B12C39" w:rsidRPr="00F558AF" w:rsidRDefault="00B12C39" w:rsidP="00F558AF">
      <w:pPr>
        <w:pStyle w:val="Caption"/>
      </w:pPr>
    </w:p>
    <w:tbl>
      <w:tblPr>
        <w:tblW w:w="8319"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641"/>
        <w:gridCol w:w="4678"/>
      </w:tblGrid>
      <w:tr w:rsidR="00B12C39" w:rsidRPr="00F026DE" w14:paraId="74E3A5A0" w14:textId="77777777" w:rsidTr="002D039F">
        <w:trPr>
          <w:trHeight w:val="363"/>
        </w:trPr>
        <w:tc>
          <w:tcPr>
            <w:tcW w:w="3641" w:type="dxa"/>
            <w:tcMar>
              <w:top w:w="40" w:type="dxa"/>
              <w:left w:w="40" w:type="dxa"/>
              <w:bottom w:w="40" w:type="dxa"/>
              <w:right w:w="40" w:type="dxa"/>
            </w:tcMar>
          </w:tcPr>
          <w:p w14:paraId="718F4E83" w14:textId="77777777" w:rsidR="00B12C39" w:rsidRPr="008D0DBB" w:rsidRDefault="00B12C39" w:rsidP="00B12C39">
            <w:pPr>
              <w:pStyle w:val="TableRowHeader"/>
              <w:rPr>
                <w:sz w:val="18"/>
                <w:szCs w:val="18"/>
              </w:rPr>
            </w:pPr>
            <w:r w:rsidRPr="008D0DBB">
              <w:rPr>
                <w:sz w:val="18"/>
                <w:szCs w:val="18"/>
              </w:rPr>
              <w:t>EC number:</w:t>
            </w:r>
          </w:p>
        </w:tc>
        <w:tc>
          <w:tcPr>
            <w:tcW w:w="4678" w:type="dxa"/>
            <w:tcMar>
              <w:top w:w="40" w:type="dxa"/>
              <w:left w:w="40" w:type="dxa"/>
              <w:bottom w:w="40" w:type="dxa"/>
              <w:right w:w="40" w:type="dxa"/>
            </w:tcMar>
          </w:tcPr>
          <w:p w14:paraId="21C3F03A" w14:textId="77777777" w:rsidR="00B12C39" w:rsidRPr="002D039F" w:rsidRDefault="005C2D8A" w:rsidP="002D039F">
            <w:pPr>
              <w:rPr>
                <w:sz w:val="18"/>
                <w:szCs w:val="18"/>
                <w:lang w:eastAsia="da-DK"/>
              </w:rPr>
            </w:pPr>
            <w:r w:rsidRPr="002D039F">
              <w:rPr>
                <w:rStyle w:val="reflink"/>
                <w:color w:val="000000" w:themeColor="text1"/>
                <w:sz w:val="18"/>
                <w:szCs w:val="18"/>
              </w:rPr>
              <w:t>236-948-9</w:t>
            </w:r>
          </w:p>
        </w:tc>
      </w:tr>
      <w:tr w:rsidR="00B12C39" w:rsidRPr="00F026DE" w14:paraId="5A0DB04E" w14:textId="77777777" w:rsidTr="002D039F">
        <w:trPr>
          <w:trHeight w:val="371"/>
        </w:trPr>
        <w:tc>
          <w:tcPr>
            <w:tcW w:w="3641" w:type="dxa"/>
            <w:tcMar>
              <w:top w:w="40" w:type="dxa"/>
              <w:left w:w="40" w:type="dxa"/>
              <w:bottom w:w="40" w:type="dxa"/>
              <w:right w:w="40" w:type="dxa"/>
            </w:tcMar>
          </w:tcPr>
          <w:p w14:paraId="5C55F30B" w14:textId="77777777" w:rsidR="00B12C39" w:rsidRPr="008D0DBB" w:rsidRDefault="00B12C39" w:rsidP="00B12C39">
            <w:pPr>
              <w:pStyle w:val="TableRowHeader"/>
              <w:rPr>
                <w:sz w:val="18"/>
                <w:szCs w:val="18"/>
              </w:rPr>
            </w:pPr>
            <w:r w:rsidRPr="008D0DBB">
              <w:rPr>
                <w:sz w:val="18"/>
                <w:szCs w:val="18"/>
              </w:rPr>
              <w:t>EC name:</w:t>
            </w:r>
          </w:p>
        </w:tc>
        <w:tc>
          <w:tcPr>
            <w:tcW w:w="4678" w:type="dxa"/>
            <w:tcMar>
              <w:top w:w="40" w:type="dxa"/>
              <w:left w:w="40" w:type="dxa"/>
              <w:bottom w:w="40" w:type="dxa"/>
              <w:right w:w="40" w:type="dxa"/>
            </w:tcMar>
          </w:tcPr>
          <w:p w14:paraId="6859DA04" w14:textId="18E67B76" w:rsidR="00B12C39" w:rsidRPr="002D039F" w:rsidRDefault="00E67A3F" w:rsidP="000B0AF1">
            <w:pPr>
              <w:rPr>
                <w:sz w:val="18"/>
                <w:szCs w:val="18"/>
                <w:lang w:eastAsia="en-GB"/>
              </w:rPr>
            </w:pPr>
            <w:r w:rsidRPr="009B339C">
              <w:rPr>
                <w:sz w:val="18"/>
                <w:szCs w:val="18"/>
              </w:rPr>
              <w:t>1,6,7,8,9,14,15,16,17,17,18,18-</w:t>
            </w:r>
            <w:r w:rsidR="000B0AF1">
              <w:rPr>
                <w:sz w:val="18"/>
                <w:szCs w:val="18"/>
              </w:rPr>
              <w:t>D</w:t>
            </w:r>
            <w:r w:rsidRPr="009B339C">
              <w:rPr>
                <w:sz w:val="18"/>
                <w:szCs w:val="18"/>
              </w:rPr>
              <w:t>odecachloro</w:t>
            </w:r>
            <w:r w:rsidR="004448DE">
              <w:rPr>
                <w:sz w:val="18"/>
                <w:szCs w:val="18"/>
              </w:rPr>
              <w:t>-</w:t>
            </w:r>
            <w:r w:rsidRPr="009B339C">
              <w:rPr>
                <w:sz w:val="18"/>
                <w:szCs w:val="18"/>
              </w:rPr>
              <w:t>pentacyclo[12.2.1.1</w:t>
            </w:r>
            <w:r w:rsidRPr="009B339C">
              <w:rPr>
                <w:sz w:val="18"/>
                <w:szCs w:val="18"/>
                <w:vertAlign w:val="superscript"/>
              </w:rPr>
              <w:t>6,9</w:t>
            </w:r>
            <w:r w:rsidRPr="009B339C">
              <w:rPr>
                <w:sz w:val="18"/>
                <w:szCs w:val="18"/>
              </w:rPr>
              <w:t>.0</w:t>
            </w:r>
            <w:r w:rsidRPr="009B339C">
              <w:rPr>
                <w:sz w:val="18"/>
                <w:szCs w:val="18"/>
                <w:vertAlign w:val="superscript"/>
              </w:rPr>
              <w:t>2,13</w:t>
            </w:r>
            <w:r w:rsidRPr="009B339C">
              <w:rPr>
                <w:sz w:val="18"/>
                <w:szCs w:val="18"/>
              </w:rPr>
              <w:t>.0</w:t>
            </w:r>
            <w:r w:rsidRPr="009B339C">
              <w:rPr>
                <w:sz w:val="18"/>
                <w:szCs w:val="18"/>
                <w:vertAlign w:val="superscript"/>
              </w:rPr>
              <w:t>5,10</w:t>
            </w:r>
            <w:r w:rsidRPr="009B339C">
              <w:rPr>
                <w:sz w:val="18"/>
                <w:szCs w:val="18"/>
              </w:rPr>
              <w:t>]octadeca-7,15-diene</w:t>
            </w:r>
          </w:p>
        </w:tc>
      </w:tr>
      <w:tr w:rsidR="00B12C39" w:rsidRPr="00F026DE" w14:paraId="67371BDF" w14:textId="77777777" w:rsidTr="002D039F">
        <w:trPr>
          <w:trHeight w:val="393"/>
        </w:trPr>
        <w:tc>
          <w:tcPr>
            <w:tcW w:w="3641" w:type="dxa"/>
            <w:tcMar>
              <w:top w:w="40" w:type="dxa"/>
              <w:left w:w="40" w:type="dxa"/>
              <w:bottom w:w="40" w:type="dxa"/>
              <w:right w:w="40" w:type="dxa"/>
            </w:tcMar>
          </w:tcPr>
          <w:p w14:paraId="5A318CE8" w14:textId="77777777" w:rsidR="00B12C39" w:rsidRPr="008D0DBB" w:rsidRDefault="00B12C39" w:rsidP="00B12C39">
            <w:pPr>
              <w:pStyle w:val="TableRowHeader"/>
              <w:rPr>
                <w:sz w:val="18"/>
                <w:szCs w:val="18"/>
              </w:rPr>
            </w:pPr>
            <w:r w:rsidRPr="008D0DBB">
              <w:rPr>
                <w:sz w:val="18"/>
                <w:szCs w:val="18"/>
              </w:rPr>
              <w:t>CAS number (in the EC inventory):</w:t>
            </w:r>
          </w:p>
        </w:tc>
        <w:tc>
          <w:tcPr>
            <w:tcW w:w="4678" w:type="dxa"/>
            <w:tcMar>
              <w:top w:w="40" w:type="dxa"/>
              <w:left w:w="40" w:type="dxa"/>
              <w:bottom w:w="40" w:type="dxa"/>
              <w:right w:w="40" w:type="dxa"/>
            </w:tcMar>
          </w:tcPr>
          <w:p w14:paraId="39F781B0" w14:textId="77777777" w:rsidR="00B12C39" w:rsidRPr="002D039F" w:rsidRDefault="005C2D8A" w:rsidP="002D039F">
            <w:pPr>
              <w:rPr>
                <w:sz w:val="18"/>
                <w:szCs w:val="18"/>
                <w:lang w:eastAsia="da-DK"/>
              </w:rPr>
            </w:pPr>
            <w:r w:rsidRPr="002D039F">
              <w:rPr>
                <w:sz w:val="18"/>
                <w:szCs w:val="18"/>
              </w:rPr>
              <w:t>13560-89-9</w:t>
            </w:r>
          </w:p>
        </w:tc>
      </w:tr>
      <w:tr w:rsidR="00E67A3F" w:rsidRPr="00F026DE" w14:paraId="1D81F4E0" w14:textId="77777777" w:rsidTr="00E67A3F">
        <w:tc>
          <w:tcPr>
            <w:tcW w:w="3641" w:type="dxa"/>
            <w:tcMar>
              <w:top w:w="40" w:type="dxa"/>
              <w:left w:w="40" w:type="dxa"/>
              <w:bottom w:w="40" w:type="dxa"/>
              <w:right w:w="40" w:type="dxa"/>
            </w:tcMar>
          </w:tcPr>
          <w:p w14:paraId="4835192C" w14:textId="77777777" w:rsidR="00E67A3F" w:rsidRPr="008D0DBB" w:rsidRDefault="00E67A3F" w:rsidP="00E67A3F">
            <w:pPr>
              <w:pStyle w:val="TableRowHeader"/>
              <w:rPr>
                <w:sz w:val="18"/>
                <w:szCs w:val="18"/>
              </w:rPr>
            </w:pPr>
            <w:r w:rsidRPr="008D0DBB">
              <w:rPr>
                <w:sz w:val="18"/>
                <w:szCs w:val="18"/>
              </w:rPr>
              <w:t>CAS number:</w:t>
            </w:r>
          </w:p>
          <w:p w14:paraId="38137AB0" w14:textId="77777777" w:rsidR="00E67A3F" w:rsidRPr="008D0DBB" w:rsidRDefault="00E67A3F" w:rsidP="00E67A3F">
            <w:pPr>
              <w:pStyle w:val="TableRowHeader"/>
              <w:rPr>
                <w:sz w:val="18"/>
                <w:szCs w:val="18"/>
              </w:rPr>
            </w:pPr>
            <w:r w:rsidRPr="008D0DBB">
              <w:rPr>
                <w:sz w:val="18"/>
                <w:szCs w:val="18"/>
              </w:rPr>
              <w:t>Deleted CAS numbers:</w:t>
            </w:r>
          </w:p>
        </w:tc>
        <w:tc>
          <w:tcPr>
            <w:tcW w:w="4678" w:type="dxa"/>
            <w:tcMar>
              <w:top w:w="40" w:type="dxa"/>
              <w:left w:w="40" w:type="dxa"/>
              <w:bottom w:w="40" w:type="dxa"/>
              <w:right w:w="40" w:type="dxa"/>
            </w:tcMar>
          </w:tcPr>
          <w:p w14:paraId="5E567346" w14:textId="77777777" w:rsidR="00E67A3F" w:rsidRDefault="00E67A3F" w:rsidP="00DA2190">
            <w:pPr>
              <w:spacing w:after="120"/>
              <w:rPr>
                <w:sz w:val="18"/>
                <w:szCs w:val="18"/>
              </w:rPr>
            </w:pPr>
            <w:r w:rsidRPr="002D039F">
              <w:rPr>
                <w:sz w:val="18"/>
                <w:szCs w:val="18"/>
              </w:rPr>
              <w:t>13560-89-9</w:t>
            </w:r>
          </w:p>
          <w:p w14:paraId="35912D41" w14:textId="77777777" w:rsidR="004448DE" w:rsidRPr="002D039F" w:rsidRDefault="004448DE" w:rsidP="00DA2190">
            <w:pPr>
              <w:spacing w:after="120"/>
              <w:rPr>
                <w:sz w:val="18"/>
                <w:szCs w:val="18"/>
              </w:rPr>
            </w:pPr>
            <w:r>
              <w:rPr>
                <w:sz w:val="18"/>
                <w:szCs w:val="18"/>
              </w:rPr>
              <w:t>-</w:t>
            </w:r>
          </w:p>
        </w:tc>
      </w:tr>
      <w:tr w:rsidR="00E67A3F" w:rsidRPr="00F026DE" w14:paraId="4FC409D4" w14:textId="77777777" w:rsidTr="002D039F">
        <w:trPr>
          <w:trHeight w:val="30"/>
        </w:trPr>
        <w:tc>
          <w:tcPr>
            <w:tcW w:w="3641" w:type="dxa"/>
            <w:tcMar>
              <w:top w:w="40" w:type="dxa"/>
              <w:left w:w="40" w:type="dxa"/>
              <w:bottom w:w="40" w:type="dxa"/>
              <w:right w:w="40" w:type="dxa"/>
            </w:tcMar>
          </w:tcPr>
          <w:p w14:paraId="1D9BFC2F" w14:textId="77777777" w:rsidR="00E67A3F" w:rsidRPr="008D0DBB" w:rsidRDefault="00E67A3F" w:rsidP="00E67A3F">
            <w:pPr>
              <w:pStyle w:val="TableRowHeader"/>
              <w:rPr>
                <w:sz w:val="18"/>
                <w:szCs w:val="18"/>
              </w:rPr>
            </w:pPr>
            <w:r w:rsidRPr="008D0DBB">
              <w:rPr>
                <w:sz w:val="18"/>
                <w:szCs w:val="18"/>
              </w:rPr>
              <w:t>CAS name:</w:t>
            </w:r>
          </w:p>
        </w:tc>
        <w:tc>
          <w:tcPr>
            <w:tcW w:w="4678" w:type="dxa"/>
            <w:tcMar>
              <w:top w:w="40" w:type="dxa"/>
              <w:left w:w="40" w:type="dxa"/>
              <w:bottom w:w="40" w:type="dxa"/>
              <w:right w:w="40" w:type="dxa"/>
            </w:tcMar>
          </w:tcPr>
          <w:p w14:paraId="04266381" w14:textId="77777777" w:rsidR="00E67A3F" w:rsidRPr="002D039F" w:rsidRDefault="00E67A3F" w:rsidP="00E67A3F">
            <w:pPr>
              <w:rPr>
                <w:sz w:val="18"/>
                <w:szCs w:val="18"/>
                <w:lang w:eastAsia="da-DK"/>
              </w:rPr>
            </w:pPr>
            <w:r w:rsidRPr="009B339C">
              <w:rPr>
                <w:rStyle w:val="summarytablecell"/>
                <w:sz w:val="18"/>
                <w:szCs w:val="18"/>
              </w:rPr>
              <w:t>1,</w:t>
            </w:r>
            <w:r w:rsidRPr="009B339C">
              <w:rPr>
                <w:rStyle w:val="summarytablecell"/>
                <w:rFonts w:ascii="Arial" w:hAnsi="Arial" w:cs="Arial"/>
                <w:sz w:val="18"/>
                <w:szCs w:val="18"/>
              </w:rPr>
              <w:t>​</w:t>
            </w:r>
            <w:r w:rsidRPr="009B339C">
              <w:rPr>
                <w:rStyle w:val="summarytablecell"/>
                <w:sz w:val="18"/>
                <w:szCs w:val="18"/>
              </w:rPr>
              <w:t>4:7,</w:t>
            </w:r>
            <w:r w:rsidRPr="009B339C">
              <w:rPr>
                <w:rStyle w:val="summarytablecell"/>
                <w:rFonts w:ascii="Arial" w:hAnsi="Arial" w:cs="Arial"/>
                <w:sz w:val="18"/>
                <w:szCs w:val="18"/>
              </w:rPr>
              <w:t>​</w:t>
            </w:r>
            <w:r w:rsidRPr="009B339C">
              <w:rPr>
                <w:rStyle w:val="summarytablecell"/>
                <w:sz w:val="18"/>
                <w:szCs w:val="18"/>
              </w:rPr>
              <w:t>10-</w:t>
            </w:r>
            <w:r w:rsidRPr="009B339C">
              <w:rPr>
                <w:rStyle w:val="summarytablecell"/>
                <w:rFonts w:ascii="Arial" w:hAnsi="Arial" w:cs="Arial"/>
                <w:sz w:val="18"/>
                <w:szCs w:val="18"/>
              </w:rPr>
              <w:t>​</w:t>
            </w:r>
            <w:r w:rsidRPr="009B339C">
              <w:rPr>
                <w:rStyle w:val="summarytablecell"/>
                <w:sz w:val="18"/>
                <w:szCs w:val="18"/>
              </w:rPr>
              <w:t>Dimethanodibenzo[</w:t>
            </w:r>
            <w:r w:rsidRPr="009B339C">
              <w:rPr>
                <w:rStyle w:val="Emphasis"/>
                <w:sz w:val="18"/>
                <w:szCs w:val="18"/>
              </w:rPr>
              <w:t>a</w:t>
            </w:r>
            <w:r w:rsidRPr="009B339C">
              <w:rPr>
                <w:rStyle w:val="summarytablecell"/>
                <w:sz w:val="18"/>
                <w:szCs w:val="18"/>
              </w:rPr>
              <w:t>,</w:t>
            </w:r>
            <w:r w:rsidRPr="009B339C">
              <w:rPr>
                <w:rStyle w:val="summarytablecell"/>
                <w:rFonts w:ascii="Arial" w:hAnsi="Arial" w:cs="Arial"/>
                <w:sz w:val="18"/>
                <w:szCs w:val="18"/>
              </w:rPr>
              <w:t>​</w:t>
            </w:r>
            <w:r w:rsidRPr="009B339C">
              <w:rPr>
                <w:rStyle w:val="Emphasis"/>
                <w:sz w:val="18"/>
                <w:szCs w:val="18"/>
              </w:rPr>
              <w:t>e</w:t>
            </w:r>
            <w:r w:rsidRPr="009B339C">
              <w:rPr>
                <w:rStyle w:val="summarytablecell"/>
                <w:sz w:val="18"/>
                <w:szCs w:val="18"/>
              </w:rPr>
              <w:t>]</w:t>
            </w:r>
            <w:r w:rsidRPr="009B339C">
              <w:rPr>
                <w:rStyle w:val="summarytablecell"/>
                <w:rFonts w:ascii="Arial" w:hAnsi="Arial" w:cs="Arial"/>
                <w:sz w:val="18"/>
                <w:szCs w:val="18"/>
              </w:rPr>
              <w:t>​</w:t>
            </w:r>
            <w:r w:rsidRPr="009B339C">
              <w:rPr>
                <w:rStyle w:val="summarytablecell"/>
                <w:sz w:val="18"/>
                <w:szCs w:val="18"/>
              </w:rPr>
              <w:t>cyclooctene, 1,</w:t>
            </w:r>
            <w:r w:rsidRPr="009B339C">
              <w:rPr>
                <w:rStyle w:val="summarytablecell"/>
                <w:rFonts w:ascii="Arial" w:hAnsi="Arial" w:cs="Arial"/>
                <w:sz w:val="18"/>
                <w:szCs w:val="18"/>
              </w:rPr>
              <w:t>​</w:t>
            </w:r>
            <w:r w:rsidRPr="009B339C">
              <w:rPr>
                <w:rStyle w:val="summarytablecell"/>
                <w:sz w:val="18"/>
                <w:szCs w:val="18"/>
              </w:rPr>
              <w:t>2,</w:t>
            </w:r>
            <w:r w:rsidRPr="009B339C">
              <w:rPr>
                <w:rStyle w:val="summarytablecell"/>
                <w:rFonts w:ascii="Arial" w:hAnsi="Arial" w:cs="Arial"/>
                <w:sz w:val="18"/>
                <w:szCs w:val="18"/>
              </w:rPr>
              <w:t>​</w:t>
            </w:r>
            <w:r w:rsidRPr="009B339C">
              <w:rPr>
                <w:rStyle w:val="summarytablecell"/>
                <w:sz w:val="18"/>
                <w:szCs w:val="18"/>
              </w:rPr>
              <w:t>3,</w:t>
            </w:r>
            <w:r w:rsidRPr="009B339C">
              <w:rPr>
                <w:rStyle w:val="summarytablecell"/>
                <w:rFonts w:ascii="Arial" w:hAnsi="Arial" w:cs="Arial"/>
                <w:sz w:val="18"/>
                <w:szCs w:val="18"/>
              </w:rPr>
              <w:t>​</w:t>
            </w:r>
            <w:r w:rsidRPr="009B339C">
              <w:rPr>
                <w:rStyle w:val="summarytablecell"/>
                <w:sz w:val="18"/>
                <w:szCs w:val="18"/>
              </w:rPr>
              <w:t>4,</w:t>
            </w:r>
            <w:r w:rsidRPr="009B339C">
              <w:rPr>
                <w:rStyle w:val="summarytablecell"/>
                <w:rFonts w:ascii="Arial" w:hAnsi="Arial" w:cs="Arial"/>
                <w:sz w:val="18"/>
                <w:szCs w:val="18"/>
              </w:rPr>
              <w:t>​</w:t>
            </w:r>
            <w:r w:rsidRPr="009B339C">
              <w:rPr>
                <w:rStyle w:val="summarytablecell"/>
                <w:sz w:val="18"/>
                <w:szCs w:val="18"/>
              </w:rPr>
              <w:t>7,</w:t>
            </w:r>
            <w:r w:rsidRPr="009B339C">
              <w:rPr>
                <w:rStyle w:val="summarytablecell"/>
                <w:rFonts w:ascii="Arial" w:hAnsi="Arial" w:cs="Arial"/>
                <w:sz w:val="18"/>
                <w:szCs w:val="18"/>
              </w:rPr>
              <w:t>​</w:t>
            </w:r>
            <w:r w:rsidRPr="009B339C">
              <w:rPr>
                <w:rStyle w:val="summarytablecell"/>
                <w:sz w:val="18"/>
                <w:szCs w:val="18"/>
              </w:rPr>
              <w:t>8,</w:t>
            </w:r>
            <w:r w:rsidRPr="009B339C">
              <w:rPr>
                <w:rStyle w:val="summarytablecell"/>
                <w:rFonts w:ascii="Arial" w:hAnsi="Arial" w:cs="Arial"/>
                <w:sz w:val="18"/>
                <w:szCs w:val="18"/>
              </w:rPr>
              <w:t>​</w:t>
            </w:r>
            <w:r w:rsidRPr="009B339C">
              <w:rPr>
                <w:rStyle w:val="summarytablecell"/>
                <w:sz w:val="18"/>
                <w:szCs w:val="18"/>
              </w:rPr>
              <w:t>9,</w:t>
            </w:r>
            <w:r w:rsidRPr="009B339C">
              <w:rPr>
                <w:rStyle w:val="summarytablecell"/>
                <w:rFonts w:ascii="Arial" w:hAnsi="Arial" w:cs="Arial"/>
                <w:sz w:val="18"/>
                <w:szCs w:val="18"/>
              </w:rPr>
              <w:t>​</w:t>
            </w:r>
            <w:r w:rsidRPr="009B339C">
              <w:rPr>
                <w:rStyle w:val="summarytablecell"/>
                <w:sz w:val="18"/>
                <w:szCs w:val="18"/>
              </w:rPr>
              <w:t>10,</w:t>
            </w:r>
            <w:r w:rsidRPr="009B339C">
              <w:rPr>
                <w:rStyle w:val="summarytablecell"/>
                <w:rFonts w:ascii="Arial" w:hAnsi="Arial" w:cs="Arial"/>
                <w:sz w:val="18"/>
                <w:szCs w:val="18"/>
              </w:rPr>
              <w:t>​</w:t>
            </w:r>
            <w:r w:rsidRPr="009B339C">
              <w:rPr>
                <w:rStyle w:val="summarytablecell"/>
                <w:sz w:val="18"/>
                <w:szCs w:val="18"/>
              </w:rPr>
              <w:t>13,</w:t>
            </w:r>
            <w:r w:rsidRPr="009B339C">
              <w:rPr>
                <w:rStyle w:val="summarytablecell"/>
                <w:rFonts w:ascii="Arial" w:hAnsi="Arial" w:cs="Arial"/>
                <w:sz w:val="18"/>
                <w:szCs w:val="18"/>
              </w:rPr>
              <w:t>​</w:t>
            </w:r>
            <w:r w:rsidRPr="009B339C">
              <w:rPr>
                <w:rStyle w:val="summarytablecell"/>
                <w:sz w:val="18"/>
                <w:szCs w:val="18"/>
              </w:rPr>
              <w:t>13,</w:t>
            </w:r>
            <w:r w:rsidRPr="009B339C">
              <w:rPr>
                <w:rStyle w:val="summarytablecell"/>
                <w:rFonts w:ascii="Arial" w:hAnsi="Arial" w:cs="Arial"/>
                <w:sz w:val="18"/>
                <w:szCs w:val="18"/>
              </w:rPr>
              <w:t>​</w:t>
            </w:r>
            <w:r w:rsidRPr="009B339C">
              <w:rPr>
                <w:rStyle w:val="summarytablecell"/>
                <w:sz w:val="18"/>
                <w:szCs w:val="18"/>
              </w:rPr>
              <w:t>14,</w:t>
            </w:r>
            <w:r w:rsidRPr="009B339C">
              <w:rPr>
                <w:rStyle w:val="summarytablecell"/>
                <w:rFonts w:ascii="Arial" w:hAnsi="Arial" w:cs="Arial"/>
                <w:sz w:val="18"/>
                <w:szCs w:val="18"/>
              </w:rPr>
              <w:t>​</w:t>
            </w:r>
            <w:r w:rsidRPr="009B339C">
              <w:rPr>
                <w:rStyle w:val="summarytablecell"/>
                <w:sz w:val="18"/>
                <w:szCs w:val="18"/>
              </w:rPr>
              <w:t>14-</w:t>
            </w:r>
            <w:r w:rsidRPr="009B339C">
              <w:rPr>
                <w:rStyle w:val="summarytablecell"/>
                <w:rFonts w:ascii="Arial" w:hAnsi="Arial" w:cs="Arial"/>
                <w:sz w:val="18"/>
                <w:szCs w:val="18"/>
              </w:rPr>
              <w:t>​</w:t>
            </w:r>
            <w:r w:rsidRPr="009B339C">
              <w:rPr>
                <w:rStyle w:val="summarytablecell"/>
                <w:sz w:val="18"/>
                <w:szCs w:val="18"/>
              </w:rPr>
              <w:t>dodecachloro-</w:t>
            </w:r>
            <w:r w:rsidRPr="009B339C">
              <w:rPr>
                <w:rStyle w:val="summarytablecell"/>
                <w:rFonts w:ascii="Arial" w:hAnsi="Arial" w:cs="Arial"/>
                <w:sz w:val="18"/>
                <w:szCs w:val="18"/>
              </w:rPr>
              <w:t>​</w:t>
            </w:r>
            <w:r w:rsidRPr="009B339C">
              <w:rPr>
                <w:rStyle w:val="summarytablecell"/>
                <w:sz w:val="18"/>
                <w:szCs w:val="18"/>
              </w:rPr>
              <w:t>1,</w:t>
            </w:r>
            <w:r w:rsidRPr="009B339C">
              <w:rPr>
                <w:rStyle w:val="summarytablecell"/>
                <w:rFonts w:ascii="Arial" w:hAnsi="Arial" w:cs="Arial"/>
                <w:sz w:val="18"/>
                <w:szCs w:val="18"/>
              </w:rPr>
              <w:t>​</w:t>
            </w:r>
            <w:r w:rsidRPr="009B339C">
              <w:rPr>
                <w:rStyle w:val="summarytablecell"/>
                <w:sz w:val="18"/>
                <w:szCs w:val="18"/>
              </w:rPr>
              <w:t>4,</w:t>
            </w:r>
            <w:r w:rsidRPr="009B339C">
              <w:rPr>
                <w:rStyle w:val="summarytablecell"/>
                <w:rFonts w:ascii="Arial" w:hAnsi="Arial" w:cs="Arial"/>
                <w:sz w:val="18"/>
                <w:szCs w:val="18"/>
              </w:rPr>
              <w:t>​</w:t>
            </w:r>
            <w:r w:rsidRPr="009B339C">
              <w:rPr>
                <w:rStyle w:val="summarytablecell"/>
                <w:sz w:val="18"/>
                <w:szCs w:val="18"/>
              </w:rPr>
              <w:t>4a,</w:t>
            </w:r>
            <w:r w:rsidRPr="009B339C">
              <w:rPr>
                <w:rStyle w:val="summarytablecell"/>
                <w:rFonts w:ascii="Arial" w:hAnsi="Arial" w:cs="Arial"/>
                <w:sz w:val="18"/>
                <w:szCs w:val="18"/>
              </w:rPr>
              <w:t>​</w:t>
            </w:r>
            <w:r w:rsidRPr="009B339C">
              <w:rPr>
                <w:rStyle w:val="summarytablecell"/>
                <w:sz w:val="18"/>
                <w:szCs w:val="18"/>
              </w:rPr>
              <w:t>5,</w:t>
            </w:r>
            <w:r w:rsidRPr="009B339C">
              <w:rPr>
                <w:rStyle w:val="summarytablecell"/>
                <w:rFonts w:ascii="Arial" w:hAnsi="Arial" w:cs="Arial"/>
                <w:sz w:val="18"/>
                <w:szCs w:val="18"/>
              </w:rPr>
              <w:t>​</w:t>
            </w:r>
            <w:r w:rsidRPr="009B339C">
              <w:rPr>
                <w:rStyle w:val="summarytablecell"/>
                <w:sz w:val="18"/>
                <w:szCs w:val="18"/>
              </w:rPr>
              <w:t>6,</w:t>
            </w:r>
            <w:r w:rsidRPr="009B339C">
              <w:rPr>
                <w:rStyle w:val="summarytablecell"/>
                <w:rFonts w:ascii="Arial" w:hAnsi="Arial" w:cs="Arial"/>
                <w:sz w:val="18"/>
                <w:szCs w:val="18"/>
              </w:rPr>
              <w:t>​</w:t>
            </w:r>
            <w:r w:rsidRPr="009B339C">
              <w:rPr>
                <w:rStyle w:val="summarytablecell"/>
                <w:sz w:val="18"/>
                <w:szCs w:val="18"/>
              </w:rPr>
              <w:t>6a,</w:t>
            </w:r>
            <w:r w:rsidRPr="009B339C">
              <w:rPr>
                <w:rStyle w:val="summarytablecell"/>
                <w:rFonts w:ascii="Arial" w:hAnsi="Arial" w:cs="Arial"/>
                <w:sz w:val="18"/>
                <w:szCs w:val="18"/>
              </w:rPr>
              <w:t>​</w:t>
            </w:r>
            <w:r w:rsidRPr="009B339C">
              <w:rPr>
                <w:rStyle w:val="summarytablecell"/>
                <w:sz w:val="18"/>
                <w:szCs w:val="18"/>
              </w:rPr>
              <w:t>7,</w:t>
            </w:r>
            <w:r w:rsidRPr="009B339C">
              <w:rPr>
                <w:rStyle w:val="summarytablecell"/>
                <w:rFonts w:ascii="Arial" w:hAnsi="Arial" w:cs="Arial"/>
                <w:sz w:val="18"/>
                <w:szCs w:val="18"/>
              </w:rPr>
              <w:t>​</w:t>
            </w:r>
            <w:r w:rsidRPr="009B339C">
              <w:rPr>
                <w:rStyle w:val="summarytablecell"/>
                <w:sz w:val="18"/>
                <w:szCs w:val="18"/>
              </w:rPr>
              <w:t>10,</w:t>
            </w:r>
            <w:r w:rsidRPr="009B339C">
              <w:rPr>
                <w:rStyle w:val="summarytablecell"/>
                <w:rFonts w:ascii="Arial" w:hAnsi="Arial" w:cs="Arial"/>
                <w:sz w:val="18"/>
                <w:szCs w:val="18"/>
              </w:rPr>
              <w:t>​</w:t>
            </w:r>
            <w:r w:rsidRPr="009B339C">
              <w:rPr>
                <w:rStyle w:val="summarytablecell"/>
                <w:sz w:val="18"/>
                <w:szCs w:val="18"/>
              </w:rPr>
              <w:t>10a,</w:t>
            </w:r>
            <w:r w:rsidRPr="009B339C">
              <w:rPr>
                <w:rStyle w:val="summarytablecell"/>
                <w:rFonts w:ascii="Arial" w:hAnsi="Arial" w:cs="Arial"/>
                <w:sz w:val="18"/>
                <w:szCs w:val="18"/>
              </w:rPr>
              <w:t>​</w:t>
            </w:r>
            <w:r w:rsidRPr="009B339C">
              <w:rPr>
                <w:rStyle w:val="summarytablecell"/>
                <w:sz w:val="18"/>
                <w:szCs w:val="18"/>
              </w:rPr>
              <w:t>11,</w:t>
            </w:r>
            <w:r w:rsidRPr="009B339C">
              <w:rPr>
                <w:rStyle w:val="summarytablecell"/>
                <w:rFonts w:ascii="Arial" w:hAnsi="Arial" w:cs="Arial"/>
                <w:sz w:val="18"/>
                <w:szCs w:val="18"/>
              </w:rPr>
              <w:t>​</w:t>
            </w:r>
            <w:r w:rsidRPr="009B339C">
              <w:rPr>
                <w:rStyle w:val="summarytablecell"/>
                <w:sz w:val="18"/>
                <w:szCs w:val="18"/>
              </w:rPr>
              <w:t>12,</w:t>
            </w:r>
            <w:r w:rsidRPr="009B339C">
              <w:rPr>
                <w:rStyle w:val="summarytablecell"/>
                <w:rFonts w:ascii="Arial" w:hAnsi="Arial" w:cs="Arial"/>
                <w:sz w:val="18"/>
                <w:szCs w:val="18"/>
              </w:rPr>
              <w:t>​</w:t>
            </w:r>
            <w:r w:rsidRPr="009B339C">
              <w:rPr>
                <w:rStyle w:val="summarytablecell"/>
                <w:sz w:val="18"/>
                <w:szCs w:val="18"/>
              </w:rPr>
              <w:t>12a-</w:t>
            </w:r>
            <w:r w:rsidRPr="009B339C">
              <w:rPr>
                <w:rStyle w:val="summarytablecell"/>
                <w:rFonts w:ascii="Arial" w:hAnsi="Arial" w:cs="Arial"/>
                <w:sz w:val="18"/>
                <w:szCs w:val="18"/>
              </w:rPr>
              <w:t>​</w:t>
            </w:r>
            <w:r w:rsidRPr="009B339C">
              <w:rPr>
                <w:rStyle w:val="summarytablecell"/>
                <w:sz w:val="18"/>
                <w:szCs w:val="18"/>
              </w:rPr>
              <w:t xml:space="preserve">dodecahydro- </w:t>
            </w:r>
          </w:p>
        </w:tc>
      </w:tr>
      <w:tr w:rsidR="00E67A3F" w:rsidRPr="00F026DE" w14:paraId="5AEE0CAF" w14:textId="77777777" w:rsidTr="002D039F">
        <w:tc>
          <w:tcPr>
            <w:tcW w:w="3641" w:type="dxa"/>
            <w:tcMar>
              <w:top w:w="40" w:type="dxa"/>
              <w:left w:w="40" w:type="dxa"/>
              <w:bottom w:w="40" w:type="dxa"/>
              <w:right w:w="40" w:type="dxa"/>
            </w:tcMar>
          </w:tcPr>
          <w:p w14:paraId="2EB9EC2C" w14:textId="77777777" w:rsidR="00E67A3F" w:rsidRPr="008D0DBB" w:rsidRDefault="00E67A3F" w:rsidP="00E67A3F">
            <w:pPr>
              <w:pStyle w:val="TableRowHeader"/>
              <w:rPr>
                <w:sz w:val="18"/>
                <w:szCs w:val="18"/>
              </w:rPr>
            </w:pPr>
            <w:r w:rsidRPr="008D0DBB">
              <w:rPr>
                <w:sz w:val="18"/>
                <w:szCs w:val="18"/>
              </w:rPr>
              <w:t>IUPAC name:</w:t>
            </w:r>
          </w:p>
        </w:tc>
        <w:tc>
          <w:tcPr>
            <w:tcW w:w="4678" w:type="dxa"/>
            <w:tcMar>
              <w:top w:w="40" w:type="dxa"/>
              <w:left w:w="40" w:type="dxa"/>
              <w:bottom w:w="40" w:type="dxa"/>
              <w:right w:w="40" w:type="dxa"/>
            </w:tcMar>
          </w:tcPr>
          <w:p w14:paraId="2DA62BE0" w14:textId="5D1B1F81" w:rsidR="00E67A3F" w:rsidRPr="002D039F" w:rsidRDefault="00E67A3F" w:rsidP="00E67A3F">
            <w:pPr>
              <w:rPr>
                <w:sz w:val="18"/>
                <w:szCs w:val="18"/>
                <w:lang w:eastAsia="da-DK"/>
              </w:rPr>
            </w:pPr>
            <w:r w:rsidRPr="009B339C">
              <w:rPr>
                <w:sz w:val="18"/>
                <w:szCs w:val="18"/>
              </w:rPr>
              <w:t>1,6,7,8,9,14,15,16,17,17,18,18-</w:t>
            </w:r>
            <w:r w:rsidR="000B0AF1">
              <w:rPr>
                <w:sz w:val="18"/>
                <w:szCs w:val="18"/>
              </w:rPr>
              <w:t>D</w:t>
            </w:r>
            <w:r w:rsidRPr="009B339C">
              <w:rPr>
                <w:sz w:val="18"/>
                <w:szCs w:val="18"/>
              </w:rPr>
              <w:t>odecachloropentacyclo[12.2.1.1</w:t>
            </w:r>
            <w:r w:rsidRPr="009B339C">
              <w:rPr>
                <w:sz w:val="18"/>
                <w:szCs w:val="18"/>
                <w:vertAlign w:val="superscript"/>
              </w:rPr>
              <w:t>6,9</w:t>
            </w:r>
            <w:r w:rsidRPr="009B339C">
              <w:rPr>
                <w:sz w:val="18"/>
                <w:szCs w:val="18"/>
              </w:rPr>
              <w:t>.0</w:t>
            </w:r>
            <w:r w:rsidRPr="009B339C">
              <w:rPr>
                <w:sz w:val="18"/>
                <w:szCs w:val="18"/>
                <w:vertAlign w:val="superscript"/>
              </w:rPr>
              <w:t>2,13</w:t>
            </w:r>
            <w:r w:rsidRPr="009B339C">
              <w:rPr>
                <w:sz w:val="18"/>
                <w:szCs w:val="18"/>
              </w:rPr>
              <w:t>.0</w:t>
            </w:r>
            <w:r w:rsidRPr="009B339C">
              <w:rPr>
                <w:sz w:val="18"/>
                <w:szCs w:val="18"/>
                <w:vertAlign w:val="superscript"/>
              </w:rPr>
              <w:t>5,10</w:t>
            </w:r>
            <w:r w:rsidRPr="009B339C">
              <w:rPr>
                <w:sz w:val="18"/>
                <w:szCs w:val="18"/>
              </w:rPr>
              <w:t>]octadeca-7,15-diene</w:t>
            </w:r>
          </w:p>
        </w:tc>
      </w:tr>
      <w:tr w:rsidR="00E67A3F" w:rsidRPr="00F026DE" w14:paraId="00F9BD85" w14:textId="77777777" w:rsidTr="002D039F">
        <w:tc>
          <w:tcPr>
            <w:tcW w:w="3641" w:type="dxa"/>
            <w:tcMar>
              <w:top w:w="40" w:type="dxa"/>
              <w:left w:w="40" w:type="dxa"/>
              <w:bottom w:w="40" w:type="dxa"/>
              <w:right w:w="40" w:type="dxa"/>
            </w:tcMar>
          </w:tcPr>
          <w:p w14:paraId="79698D62" w14:textId="77777777" w:rsidR="00E67A3F" w:rsidRPr="008D0DBB" w:rsidRDefault="00E67A3F" w:rsidP="00E67A3F">
            <w:pPr>
              <w:pStyle w:val="TableRowHeader"/>
              <w:rPr>
                <w:sz w:val="18"/>
                <w:szCs w:val="18"/>
              </w:rPr>
            </w:pPr>
            <w:r w:rsidRPr="008D0DBB">
              <w:rPr>
                <w:sz w:val="18"/>
                <w:szCs w:val="18"/>
              </w:rPr>
              <w:t>Index number in Annex VI of the CLP Regulation</w:t>
            </w:r>
          </w:p>
        </w:tc>
        <w:tc>
          <w:tcPr>
            <w:tcW w:w="4678" w:type="dxa"/>
            <w:tcMar>
              <w:top w:w="40" w:type="dxa"/>
              <w:left w:w="40" w:type="dxa"/>
              <w:bottom w:w="40" w:type="dxa"/>
              <w:right w:w="40" w:type="dxa"/>
            </w:tcMar>
          </w:tcPr>
          <w:p w14:paraId="6161D373" w14:textId="77777777" w:rsidR="00E67A3F" w:rsidRPr="002D039F" w:rsidRDefault="00E67A3F" w:rsidP="00E67A3F">
            <w:pPr>
              <w:rPr>
                <w:sz w:val="18"/>
                <w:szCs w:val="18"/>
                <w:lang w:eastAsia="da-DK"/>
              </w:rPr>
            </w:pPr>
            <w:r w:rsidRPr="002D039F">
              <w:rPr>
                <w:sz w:val="18"/>
                <w:szCs w:val="18"/>
                <w:lang w:eastAsia="da-DK"/>
              </w:rPr>
              <w:t>Not applicable</w:t>
            </w:r>
          </w:p>
        </w:tc>
      </w:tr>
      <w:tr w:rsidR="00E67A3F" w:rsidRPr="00F026DE" w14:paraId="7C37289E" w14:textId="77777777" w:rsidTr="002D039F">
        <w:tc>
          <w:tcPr>
            <w:tcW w:w="3641" w:type="dxa"/>
            <w:tcMar>
              <w:top w:w="40" w:type="dxa"/>
              <w:left w:w="40" w:type="dxa"/>
              <w:bottom w:w="40" w:type="dxa"/>
              <w:right w:w="40" w:type="dxa"/>
            </w:tcMar>
          </w:tcPr>
          <w:p w14:paraId="07E84986" w14:textId="77777777" w:rsidR="00E67A3F" w:rsidRPr="008D0DBB" w:rsidRDefault="00E67A3F" w:rsidP="00E67A3F">
            <w:pPr>
              <w:pStyle w:val="TableRowHeader"/>
              <w:rPr>
                <w:sz w:val="18"/>
                <w:szCs w:val="18"/>
              </w:rPr>
            </w:pPr>
            <w:r w:rsidRPr="008D0DBB">
              <w:rPr>
                <w:sz w:val="18"/>
                <w:szCs w:val="18"/>
              </w:rPr>
              <w:t>Molecular formula:</w:t>
            </w:r>
          </w:p>
        </w:tc>
        <w:tc>
          <w:tcPr>
            <w:tcW w:w="4678" w:type="dxa"/>
            <w:tcMar>
              <w:top w:w="40" w:type="dxa"/>
              <w:left w:w="40" w:type="dxa"/>
              <w:bottom w:w="40" w:type="dxa"/>
              <w:right w:w="40" w:type="dxa"/>
            </w:tcMar>
          </w:tcPr>
          <w:p w14:paraId="7559419D" w14:textId="77777777" w:rsidR="00E67A3F" w:rsidRPr="002D039F" w:rsidRDefault="00E67A3F" w:rsidP="00E67A3F">
            <w:pPr>
              <w:rPr>
                <w:sz w:val="18"/>
                <w:szCs w:val="18"/>
                <w:lang w:eastAsia="da-DK"/>
              </w:rPr>
            </w:pPr>
            <w:r w:rsidRPr="002D039F">
              <w:rPr>
                <w:rFonts w:eastAsia="Calibri"/>
                <w:sz w:val="18"/>
                <w:szCs w:val="18"/>
                <w:lang w:eastAsia="en-GB"/>
              </w:rPr>
              <w:t>C</w:t>
            </w:r>
            <w:r w:rsidRPr="002D039F">
              <w:rPr>
                <w:rFonts w:eastAsia="Calibri"/>
                <w:sz w:val="18"/>
                <w:szCs w:val="18"/>
                <w:vertAlign w:val="subscript"/>
                <w:lang w:eastAsia="en-GB"/>
              </w:rPr>
              <w:t>18</w:t>
            </w:r>
            <w:r w:rsidRPr="002D039F">
              <w:rPr>
                <w:rFonts w:eastAsia="Calibri"/>
                <w:sz w:val="18"/>
                <w:szCs w:val="18"/>
                <w:lang w:eastAsia="en-GB"/>
              </w:rPr>
              <w:t>H</w:t>
            </w:r>
            <w:r w:rsidRPr="002D039F">
              <w:rPr>
                <w:rFonts w:eastAsia="Calibri"/>
                <w:sz w:val="18"/>
                <w:szCs w:val="18"/>
                <w:vertAlign w:val="subscript"/>
                <w:lang w:eastAsia="en-GB"/>
              </w:rPr>
              <w:t>12</w:t>
            </w:r>
            <w:r w:rsidRPr="002D039F">
              <w:rPr>
                <w:rFonts w:eastAsia="Calibri"/>
                <w:sz w:val="18"/>
                <w:szCs w:val="18"/>
                <w:lang w:eastAsia="en-GB"/>
              </w:rPr>
              <w:t>Cl</w:t>
            </w:r>
            <w:r w:rsidRPr="002D039F">
              <w:rPr>
                <w:rFonts w:eastAsia="Calibri"/>
                <w:sz w:val="18"/>
                <w:szCs w:val="18"/>
                <w:vertAlign w:val="subscript"/>
                <w:lang w:eastAsia="en-GB"/>
              </w:rPr>
              <w:t>12</w:t>
            </w:r>
          </w:p>
        </w:tc>
      </w:tr>
      <w:tr w:rsidR="00E67A3F" w:rsidRPr="00F026DE" w14:paraId="49EE018B" w14:textId="77777777" w:rsidTr="002D039F">
        <w:trPr>
          <w:trHeight w:val="407"/>
        </w:trPr>
        <w:tc>
          <w:tcPr>
            <w:tcW w:w="3641" w:type="dxa"/>
            <w:tcMar>
              <w:top w:w="40" w:type="dxa"/>
              <w:left w:w="40" w:type="dxa"/>
              <w:bottom w:w="40" w:type="dxa"/>
              <w:right w:w="40" w:type="dxa"/>
            </w:tcMar>
          </w:tcPr>
          <w:p w14:paraId="6B1E324D" w14:textId="77777777" w:rsidR="00E67A3F" w:rsidRPr="008D0DBB" w:rsidRDefault="00E67A3F" w:rsidP="00E67A3F">
            <w:pPr>
              <w:pStyle w:val="TableRowHeader"/>
              <w:rPr>
                <w:sz w:val="18"/>
                <w:szCs w:val="18"/>
              </w:rPr>
            </w:pPr>
            <w:r w:rsidRPr="008D0DBB">
              <w:rPr>
                <w:sz w:val="18"/>
                <w:szCs w:val="18"/>
              </w:rPr>
              <w:t>Molecular weight range:</w:t>
            </w:r>
          </w:p>
        </w:tc>
        <w:tc>
          <w:tcPr>
            <w:tcW w:w="4678" w:type="dxa"/>
            <w:tcMar>
              <w:top w:w="40" w:type="dxa"/>
              <w:left w:w="40" w:type="dxa"/>
              <w:bottom w:w="40" w:type="dxa"/>
              <w:right w:w="40" w:type="dxa"/>
            </w:tcMar>
          </w:tcPr>
          <w:p w14:paraId="007CAC63" w14:textId="77777777" w:rsidR="00E67A3F" w:rsidRPr="002D039F" w:rsidRDefault="00E67A3F" w:rsidP="00E67A3F">
            <w:pPr>
              <w:rPr>
                <w:sz w:val="18"/>
                <w:szCs w:val="18"/>
                <w:lang w:eastAsia="da-DK"/>
              </w:rPr>
            </w:pPr>
            <w:r w:rsidRPr="002D039F">
              <w:rPr>
                <w:sz w:val="18"/>
                <w:szCs w:val="18"/>
              </w:rPr>
              <w:t>653.73</w:t>
            </w:r>
            <w:r w:rsidRPr="002D039F">
              <w:rPr>
                <w:bCs/>
                <w:sz w:val="18"/>
                <w:szCs w:val="18"/>
              </w:rPr>
              <w:t xml:space="preserve"> g/mole</w:t>
            </w:r>
          </w:p>
        </w:tc>
      </w:tr>
      <w:tr w:rsidR="00E67A3F" w:rsidRPr="00F026DE" w14:paraId="5A6E207A" w14:textId="77777777" w:rsidTr="002D039F">
        <w:trPr>
          <w:trHeight w:val="680"/>
        </w:trPr>
        <w:tc>
          <w:tcPr>
            <w:tcW w:w="3641" w:type="dxa"/>
            <w:tcMar>
              <w:top w:w="40" w:type="dxa"/>
              <w:left w:w="40" w:type="dxa"/>
              <w:bottom w:w="40" w:type="dxa"/>
              <w:right w:w="40" w:type="dxa"/>
            </w:tcMar>
          </w:tcPr>
          <w:p w14:paraId="4ABE1873" w14:textId="77777777" w:rsidR="00E67A3F" w:rsidRPr="008D0DBB" w:rsidRDefault="00E67A3F" w:rsidP="00E67A3F">
            <w:pPr>
              <w:pStyle w:val="TableRowHeader"/>
              <w:rPr>
                <w:sz w:val="18"/>
                <w:szCs w:val="18"/>
              </w:rPr>
            </w:pPr>
            <w:r w:rsidRPr="008D0DBB">
              <w:rPr>
                <w:sz w:val="18"/>
                <w:szCs w:val="18"/>
              </w:rPr>
              <w:t>Synonyms:</w:t>
            </w:r>
          </w:p>
        </w:tc>
        <w:tc>
          <w:tcPr>
            <w:tcW w:w="4678" w:type="dxa"/>
            <w:tcMar>
              <w:top w:w="40" w:type="dxa"/>
              <w:left w:w="40" w:type="dxa"/>
              <w:bottom w:w="40" w:type="dxa"/>
              <w:right w:w="40" w:type="dxa"/>
            </w:tcMar>
          </w:tcPr>
          <w:p w14:paraId="79BCC8BE" w14:textId="77777777" w:rsidR="00E67A3F" w:rsidRPr="002D039F" w:rsidRDefault="00E67A3F" w:rsidP="00E67A3F">
            <w:pPr>
              <w:rPr>
                <w:sz w:val="18"/>
                <w:szCs w:val="18"/>
              </w:rPr>
            </w:pPr>
            <w:r w:rsidRPr="002D039F">
              <w:rPr>
                <w:bCs/>
                <w:sz w:val="18"/>
                <w:szCs w:val="18"/>
              </w:rPr>
              <w:t>Bis(hexachlorocyclopentadieno)cyclooctane; 1,2,3,4,7,8,9,10,13,13,14,14-Dodecachloro-1,4,4a,5,6,6a,7,10,10a,11,12,12a-dodechydro-1,4:7,10-dimethanodibenzo[a,e]cyclooctene; Dodecachlorododecahydrodimethanodibenzocyclooctene;</w:t>
            </w:r>
            <w:r w:rsidRPr="002D039F">
              <w:rPr>
                <w:sz w:val="18"/>
                <w:szCs w:val="18"/>
              </w:rPr>
              <w:t xml:space="preserve"> Dechlorane Plus 25 (Dech Plus); Dechlorane Plus 35 (Dech Plus-2); DP-515; Dechlorane 605</w:t>
            </w:r>
            <w:r>
              <w:rPr>
                <w:sz w:val="18"/>
                <w:szCs w:val="18"/>
              </w:rPr>
              <w:t>; DP; DDC-CO</w:t>
            </w:r>
          </w:p>
        </w:tc>
      </w:tr>
    </w:tbl>
    <w:p w14:paraId="4DE0C11C" w14:textId="77777777" w:rsidR="00FF3BC4" w:rsidRPr="00652276" w:rsidRDefault="00652276" w:rsidP="00B12C39">
      <w:pPr>
        <w:widowControl/>
        <w:spacing w:after="180"/>
        <w:jc w:val="both"/>
        <w:rPr>
          <w:szCs w:val="24"/>
          <w:lang w:eastAsia="en-US"/>
        </w:rPr>
      </w:pPr>
      <w:r w:rsidRPr="002D039F">
        <w:rPr>
          <w:sz w:val="16"/>
          <w:szCs w:val="16"/>
          <w:lang w:eastAsia="en-GB"/>
        </w:rPr>
        <w:t xml:space="preserve">Note: </w:t>
      </w:r>
      <w:r w:rsidR="00FF3BC4" w:rsidRPr="0002109D">
        <w:rPr>
          <w:rFonts w:eastAsia="Calibri"/>
          <w:sz w:val="16"/>
          <w:szCs w:val="16"/>
          <w:lang w:eastAsia="en-GB"/>
        </w:rPr>
        <w:t>The academic literature usually refers to this substance by a registered trade name “Dechlorane Plus” (often abbreviated as DP, but sometimes DDC-CO), and this is the name used throughout this report for convenience.</w:t>
      </w:r>
    </w:p>
    <w:p w14:paraId="425D3261" w14:textId="77777777" w:rsidR="00E67A3F" w:rsidRDefault="00E67A3F">
      <w:pPr>
        <w:widowControl/>
        <w:rPr>
          <w:b/>
          <w:sz w:val="18"/>
          <w:szCs w:val="18"/>
        </w:rPr>
      </w:pPr>
      <w:r>
        <w:rPr>
          <w:b/>
          <w:sz w:val="18"/>
          <w:szCs w:val="18"/>
        </w:rPr>
        <w:br w:type="page"/>
      </w:r>
    </w:p>
    <w:p w14:paraId="0C627999" w14:textId="77777777" w:rsidR="00E67A3F" w:rsidRPr="00A86884" w:rsidRDefault="00E67A3F" w:rsidP="00054FEE">
      <w:pPr>
        <w:widowControl/>
        <w:rPr>
          <w:sz w:val="18"/>
          <w:szCs w:val="18"/>
        </w:rPr>
      </w:pPr>
      <w:bookmarkStart w:id="149" w:name="_Toc491778948"/>
      <w:r w:rsidRPr="00A86884">
        <w:rPr>
          <w:sz w:val="18"/>
          <w:szCs w:val="18"/>
        </w:rPr>
        <w:lastRenderedPageBreak/>
        <w:t>Table</w:t>
      </w:r>
      <w:r w:rsidRPr="008D0DBB">
        <w:rPr>
          <w:b/>
          <w:sz w:val="18"/>
          <w:szCs w:val="18"/>
        </w:rPr>
        <w:t xml:space="preserve"> </w:t>
      </w:r>
      <w:fldSimple w:instr=" SEQ Table \* ARABIC ">
        <w:r w:rsidR="00F0628F">
          <w:rPr>
            <w:noProof/>
          </w:rPr>
          <w:t>2</w:t>
        </w:r>
      </w:fldSimple>
      <w:r w:rsidRPr="008D0DBB">
        <w:rPr>
          <w:b/>
          <w:sz w:val="18"/>
          <w:szCs w:val="18"/>
        </w:rPr>
        <w:t xml:space="preserve">: </w:t>
      </w:r>
      <w:r w:rsidRPr="00A86884">
        <w:rPr>
          <w:sz w:val="18"/>
          <w:szCs w:val="18"/>
        </w:rPr>
        <w:t>Substance identity of (1S,2S,5S,6S,9R,10R,13R,14R)-1,6,7,8,9,14,15,16,17,17,18,18-dodecachloropentacyclo[12.2.1.1</w:t>
      </w:r>
      <w:r w:rsidRPr="00B74CC5">
        <w:rPr>
          <w:sz w:val="18"/>
          <w:szCs w:val="18"/>
          <w:vertAlign w:val="superscript"/>
        </w:rPr>
        <w:t>6,9</w:t>
      </w:r>
      <w:r w:rsidRPr="00A86884">
        <w:rPr>
          <w:sz w:val="18"/>
          <w:szCs w:val="18"/>
        </w:rPr>
        <w:t>.0</w:t>
      </w:r>
      <w:r w:rsidRPr="00B74CC5">
        <w:rPr>
          <w:sz w:val="18"/>
          <w:szCs w:val="18"/>
          <w:vertAlign w:val="superscript"/>
        </w:rPr>
        <w:t>2,13</w:t>
      </w:r>
      <w:r w:rsidRPr="00A86884">
        <w:rPr>
          <w:sz w:val="18"/>
          <w:szCs w:val="18"/>
        </w:rPr>
        <w:t>.0</w:t>
      </w:r>
      <w:r w:rsidRPr="00B74CC5">
        <w:rPr>
          <w:sz w:val="18"/>
          <w:szCs w:val="18"/>
          <w:vertAlign w:val="superscript"/>
        </w:rPr>
        <w:t>5,10</w:t>
      </w:r>
      <w:r w:rsidRPr="00A86884">
        <w:rPr>
          <w:sz w:val="18"/>
          <w:szCs w:val="18"/>
        </w:rPr>
        <w:t>]octadeca-7,15-diene,  anti- (or exo ) Dechlorane Plus [2</w:t>
      </w:r>
      <w:r w:rsidR="006F4FF6" w:rsidRPr="006F4FF6">
        <w:rPr>
          <w:sz w:val="18"/>
          <w:szCs w:val="18"/>
        </w:rPr>
        <w:t>, see structural formula below</w:t>
      </w:r>
      <w:r w:rsidRPr="00A86884">
        <w:rPr>
          <w:sz w:val="18"/>
          <w:szCs w:val="18"/>
        </w:rPr>
        <w:t>]</w:t>
      </w:r>
      <w:bookmarkEnd w:id="149"/>
    </w:p>
    <w:p w14:paraId="38DFAB90" w14:textId="77777777" w:rsidR="00E67A3F" w:rsidRDefault="00E67A3F" w:rsidP="00E67A3F">
      <w:pPr>
        <w:widowControl/>
        <w:rPr>
          <w:b/>
          <w:sz w:val="18"/>
          <w:szCs w:val="18"/>
        </w:rPr>
      </w:pPr>
    </w:p>
    <w:tbl>
      <w:tblPr>
        <w:tblW w:w="945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507"/>
        <w:gridCol w:w="6946"/>
      </w:tblGrid>
      <w:tr w:rsidR="00E67A3F" w:rsidRPr="002D039F" w14:paraId="34B1CC17" w14:textId="77777777" w:rsidTr="00E67A3F">
        <w:trPr>
          <w:trHeight w:val="363"/>
        </w:trPr>
        <w:tc>
          <w:tcPr>
            <w:tcW w:w="2507" w:type="dxa"/>
            <w:tcMar>
              <w:top w:w="40" w:type="dxa"/>
              <w:left w:w="40" w:type="dxa"/>
              <w:bottom w:w="40" w:type="dxa"/>
              <w:right w:w="40" w:type="dxa"/>
            </w:tcMar>
          </w:tcPr>
          <w:p w14:paraId="77C58A00" w14:textId="77777777" w:rsidR="00E67A3F" w:rsidRPr="008D0DBB" w:rsidRDefault="00E67A3F" w:rsidP="00E67A3F">
            <w:pPr>
              <w:pStyle w:val="TableRowHeader"/>
              <w:rPr>
                <w:sz w:val="18"/>
                <w:szCs w:val="18"/>
              </w:rPr>
            </w:pPr>
            <w:r w:rsidRPr="008D0DBB">
              <w:rPr>
                <w:sz w:val="18"/>
                <w:szCs w:val="18"/>
              </w:rPr>
              <w:t>EC number:</w:t>
            </w:r>
          </w:p>
        </w:tc>
        <w:tc>
          <w:tcPr>
            <w:tcW w:w="6946" w:type="dxa"/>
            <w:tcMar>
              <w:top w:w="40" w:type="dxa"/>
              <w:left w:w="40" w:type="dxa"/>
              <w:bottom w:w="40" w:type="dxa"/>
              <w:right w:w="40" w:type="dxa"/>
            </w:tcMar>
          </w:tcPr>
          <w:p w14:paraId="704C2845" w14:textId="77777777" w:rsidR="00E67A3F" w:rsidRPr="002D039F" w:rsidRDefault="00E67A3F" w:rsidP="00E67A3F">
            <w:pPr>
              <w:rPr>
                <w:sz w:val="18"/>
                <w:szCs w:val="18"/>
                <w:lang w:eastAsia="da-DK"/>
              </w:rPr>
            </w:pPr>
            <w:r>
              <w:rPr>
                <w:sz w:val="18"/>
                <w:szCs w:val="18"/>
                <w:lang w:eastAsia="da-DK"/>
              </w:rPr>
              <w:t>-</w:t>
            </w:r>
          </w:p>
        </w:tc>
      </w:tr>
      <w:tr w:rsidR="00E67A3F" w:rsidRPr="005264AE" w14:paraId="37E9B5EE" w14:textId="77777777" w:rsidTr="00E67A3F">
        <w:trPr>
          <w:trHeight w:val="371"/>
        </w:trPr>
        <w:tc>
          <w:tcPr>
            <w:tcW w:w="2507" w:type="dxa"/>
            <w:tcMar>
              <w:top w:w="40" w:type="dxa"/>
              <w:left w:w="40" w:type="dxa"/>
              <w:bottom w:w="40" w:type="dxa"/>
              <w:right w:w="40" w:type="dxa"/>
            </w:tcMar>
          </w:tcPr>
          <w:p w14:paraId="23EF4CEC" w14:textId="77777777" w:rsidR="00E67A3F" w:rsidRPr="008D0DBB" w:rsidRDefault="00E67A3F" w:rsidP="00E67A3F">
            <w:pPr>
              <w:pStyle w:val="TableRowHeader"/>
              <w:rPr>
                <w:sz w:val="18"/>
                <w:szCs w:val="18"/>
              </w:rPr>
            </w:pPr>
            <w:r w:rsidRPr="008D0DBB">
              <w:rPr>
                <w:sz w:val="18"/>
                <w:szCs w:val="18"/>
              </w:rPr>
              <w:t>EC name:</w:t>
            </w:r>
          </w:p>
        </w:tc>
        <w:tc>
          <w:tcPr>
            <w:tcW w:w="6946" w:type="dxa"/>
            <w:tcMar>
              <w:top w:w="40" w:type="dxa"/>
              <w:left w:w="40" w:type="dxa"/>
              <w:bottom w:w="40" w:type="dxa"/>
              <w:right w:w="40" w:type="dxa"/>
            </w:tcMar>
          </w:tcPr>
          <w:p w14:paraId="2E66C6E9" w14:textId="77777777" w:rsidR="00E67A3F" w:rsidRPr="005264AE" w:rsidRDefault="00E67A3F" w:rsidP="00E67A3F">
            <w:r>
              <w:t>-</w:t>
            </w:r>
          </w:p>
        </w:tc>
      </w:tr>
      <w:tr w:rsidR="00E67A3F" w:rsidRPr="002D039F" w14:paraId="0E714780" w14:textId="77777777" w:rsidTr="00E67A3F">
        <w:trPr>
          <w:trHeight w:val="760"/>
        </w:trPr>
        <w:tc>
          <w:tcPr>
            <w:tcW w:w="2507" w:type="dxa"/>
            <w:tcMar>
              <w:top w:w="40" w:type="dxa"/>
              <w:left w:w="40" w:type="dxa"/>
              <w:bottom w:w="40" w:type="dxa"/>
              <w:right w:w="40" w:type="dxa"/>
            </w:tcMar>
          </w:tcPr>
          <w:p w14:paraId="1BF54AC6" w14:textId="77777777" w:rsidR="00E67A3F" w:rsidRPr="008D0DBB" w:rsidRDefault="00E67A3F" w:rsidP="00E67A3F">
            <w:pPr>
              <w:pStyle w:val="TableRowHeader"/>
              <w:rPr>
                <w:sz w:val="18"/>
                <w:szCs w:val="18"/>
              </w:rPr>
            </w:pPr>
            <w:r w:rsidRPr="008D0DBB">
              <w:rPr>
                <w:sz w:val="18"/>
                <w:szCs w:val="18"/>
              </w:rPr>
              <w:t>CAS number:</w:t>
            </w:r>
          </w:p>
          <w:p w14:paraId="2C424335" w14:textId="77777777" w:rsidR="00E67A3F" w:rsidRPr="008D0DBB" w:rsidRDefault="00E67A3F" w:rsidP="00E67A3F">
            <w:pPr>
              <w:pStyle w:val="TableRowHeader"/>
              <w:rPr>
                <w:sz w:val="18"/>
                <w:szCs w:val="18"/>
              </w:rPr>
            </w:pPr>
            <w:r w:rsidRPr="008D0DBB">
              <w:rPr>
                <w:sz w:val="18"/>
                <w:szCs w:val="18"/>
              </w:rPr>
              <w:t>Deleted CAS numbers:</w:t>
            </w:r>
          </w:p>
        </w:tc>
        <w:tc>
          <w:tcPr>
            <w:tcW w:w="6946" w:type="dxa"/>
            <w:tcMar>
              <w:top w:w="40" w:type="dxa"/>
              <w:left w:w="40" w:type="dxa"/>
              <w:bottom w:w="40" w:type="dxa"/>
              <w:right w:w="40" w:type="dxa"/>
            </w:tcMar>
          </w:tcPr>
          <w:p w14:paraId="0519015A" w14:textId="77777777" w:rsidR="00E67A3F" w:rsidRPr="00DA2190" w:rsidRDefault="00E67A3F" w:rsidP="00DA2190">
            <w:pPr>
              <w:spacing w:after="120"/>
              <w:rPr>
                <w:sz w:val="18"/>
                <w:szCs w:val="18"/>
              </w:rPr>
            </w:pPr>
            <w:r w:rsidRPr="00DA2190">
              <w:rPr>
                <w:sz w:val="18"/>
                <w:szCs w:val="18"/>
              </w:rPr>
              <w:t>135821-74-8</w:t>
            </w:r>
          </w:p>
          <w:p w14:paraId="2B559CE8" w14:textId="77777777" w:rsidR="00E67A3F" w:rsidRPr="002D039F" w:rsidRDefault="00E67A3F" w:rsidP="00DA2190">
            <w:pPr>
              <w:rPr>
                <w:sz w:val="18"/>
                <w:szCs w:val="18"/>
                <w:lang w:eastAsia="da-DK"/>
              </w:rPr>
            </w:pPr>
            <w:r w:rsidRPr="00DA2190">
              <w:rPr>
                <w:sz w:val="18"/>
                <w:szCs w:val="18"/>
              </w:rPr>
              <w:t>-</w:t>
            </w:r>
          </w:p>
        </w:tc>
      </w:tr>
      <w:tr w:rsidR="00E67A3F" w:rsidRPr="002D039F" w14:paraId="3869EF1C" w14:textId="77777777" w:rsidTr="00E67A3F">
        <w:trPr>
          <w:trHeight w:val="30"/>
        </w:trPr>
        <w:tc>
          <w:tcPr>
            <w:tcW w:w="2507" w:type="dxa"/>
            <w:tcMar>
              <w:top w:w="40" w:type="dxa"/>
              <w:left w:w="40" w:type="dxa"/>
              <w:bottom w:w="40" w:type="dxa"/>
              <w:right w:w="40" w:type="dxa"/>
            </w:tcMar>
          </w:tcPr>
          <w:p w14:paraId="2AD0BD76" w14:textId="77777777" w:rsidR="00E67A3F" w:rsidRPr="008D0DBB" w:rsidRDefault="00E67A3F" w:rsidP="00E67A3F">
            <w:pPr>
              <w:pStyle w:val="TableRowHeader"/>
              <w:rPr>
                <w:sz w:val="18"/>
                <w:szCs w:val="18"/>
              </w:rPr>
            </w:pPr>
            <w:r w:rsidRPr="008D0DBB">
              <w:rPr>
                <w:sz w:val="18"/>
                <w:szCs w:val="18"/>
              </w:rPr>
              <w:t>CAS name:</w:t>
            </w:r>
          </w:p>
        </w:tc>
        <w:tc>
          <w:tcPr>
            <w:tcW w:w="6946" w:type="dxa"/>
            <w:tcMar>
              <w:top w:w="40" w:type="dxa"/>
              <w:left w:w="40" w:type="dxa"/>
              <w:bottom w:w="40" w:type="dxa"/>
              <w:right w:w="40" w:type="dxa"/>
            </w:tcMar>
          </w:tcPr>
          <w:p w14:paraId="2501280B" w14:textId="77777777" w:rsidR="00E67A3F" w:rsidRPr="004448DE" w:rsidRDefault="00E67A3F" w:rsidP="00E67A3F">
            <w:pPr>
              <w:rPr>
                <w:sz w:val="18"/>
                <w:szCs w:val="18"/>
                <w:lang w:eastAsia="da-DK"/>
              </w:rPr>
            </w:pPr>
            <w:r w:rsidRPr="000B0AF1">
              <w:rPr>
                <w:sz w:val="18"/>
                <w:szCs w:val="18"/>
              </w:rPr>
              <w:t>1,</w:t>
            </w:r>
            <w:r w:rsidRPr="000B0AF1">
              <w:rPr>
                <w:rFonts w:ascii="Arial" w:hAnsi="Arial" w:cs="Arial"/>
                <w:sz w:val="18"/>
                <w:szCs w:val="18"/>
              </w:rPr>
              <w:t>​</w:t>
            </w:r>
            <w:r w:rsidRPr="000B0AF1">
              <w:rPr>
                <w:sz w:val="18"/>
                <w:szCs w:val="18"/>
              </w:rPr>
              <w:t>4:7,</w:t>
            </w:r>
            <w:r w:rsidRPr="000B0AF1">
              <w:rPr>
                <w:rFonts w:ascii="Arial" w:hAnsi="Arial" w:cs="Arial"/>
                <w:sz w:val="18"/>
                <w:szCs w:val="18"/>
              </w:rPr>
              <w:t>​</w:t>
            </w:r>
            <w:r w:rsidRPr="000B0AF1">
              <w:rPr>
                <w:sz w:val="18"/>
                <w:szCs w:val="18"/>
              </w:rPr>
              <w:t>10-</w:t>
            </w:r>
            <w:r w:rsidRPr="000B0AF1">
              <w:rPr>
                <w:rFonts w:ascii="Arial" w:hAnsi="Arial" w:cs="Arial"/>
                <w:sz w:val="18"/>
                <w:szCs w:val="18"/>
              </w:rPr>
              <w:t>​</w:t>
            </w:r>
            <w:r w:rsidRPr="000B0AF1">
              <w:rPr>
                <w:sz w:val="18"/>
                <w:szCs w:val="18"/>
              </w:rPr>
              <w:t>Dimethanodibenzo[</w:t>
            </w:r>
            <w:r w:rsidRPr="000B0AF1">
              <w:rPr>
                <w:rStyle w:val="Emphasis"/>
                <w:sz w:val="18"/>
                <w:szCs w:val="18"/>
              </w:rPr>
              <w:t>a</w:t>
            </w:r>
            <w:r w:rsidRPr="000B0AF1">
              <w:rPr>
                <w:sz w:val="18"/>
                <w:szCs w:val="18"/>
              </w:rPr>
              <w:t>,</w:t>
            </w:r>
            <w:r w:rsidRPr="000B0AF1">
              <w:rPr>
                <w:rFonts w:ascii="Arial" w:hAnsi="Arial" w:cs="Arial"/>
                <w:sz w:val="18"/>
                <w:szCs w:val="18"/>
              </w:rPr>
              <w:t>​</w:t>
            </w:r>
            <w:r w:rsidRPr="000B0AF1">
              <w:rPr>
                <w:rStyle w:val="Emphasis"/>
                <w:sz w:val="18"/>
                <w:szCs w:val="18"/>
              </w:rPr>
              <w:t>e</w:t>
            </w:r>
            <w:r w:rsidRPr="000B0AF1">
              <w:rPr>
                <w:sz w:val="18"/>
                <w:szCs w:val="18"/>
              </w:rPr>
              <w:t>]</w:t>
            </w:r>
            <w:r w:rsidRPr="000B0AF1">
              <w:rPr>
                <w:rFonts w:ascii="Arial" w:hAnsi="Arial" w:cs="Arial"/>
                <w:sz w:val="18"/>
                <w:szCs w:val="18"/>
              </w:rPr>
              <w:t>​</w:t>
            </w:r>
            <w:r w:rsidRPr="000B0AF1">
              <w:rPr>
                <w:sz w:val="18"/>
                <w:szCs w:val="18"/>
              </w:rPr>
              <w:t>cyclooctene, 1,</w:t>
            </w:r>
            <w:r w:rsidRPr="000B0AF1">
              <w:rPr>
                <w:rFonts w:ascii="Arial" w:hAnsi="Arial" w:cs="Arial"/>
                <w:sz w:val="18"/>
                <w:szCs w:val="18"/>
              </w:rPr>
              <w:t>​</w:t>
            </w:r>
            <w:r w:rsidRPr="000B0AF1">
              <w:rPr>
                <w:sz w:val="18"/>
                <w:szCs w:val="18"/>
              </w:rPr>
              <w:t>2,</w:t>
            </w:r>
            <w:r w:rsidRPr="000B0AF1">
              <w:rPr>
                <w:rFonts w:ascii="Arial" w:hAnsi="Arial" w:cs="Arial"/>
                <w:sz w:val="18"/>
                <w:szCs w:val="18"/>
              </w:rPr>
              <w:t>​</w:t>
            </w:r>
            <w:r w:rsidRPr="000B0AF1">
              <w:rPr>
                <w:sz w:val="18"/>
                <w:szCs w:val="18"/>
              </w:rPr>
              <w:t>3,</w:t>
            </w:r>
            <w:r w:rsidRPr="00822BE8">
              <w:rPr>
                <w:rFonts w:ascii="Arial" w:hAnsi="Arial" w:cs="Arial"/>
                <w:sz w:val="18"/>
                <w:szCs w:val="18"/>
              </w:rPr>
              <w:t>​</w:t>
            </w:r>
            <w:r w:rsidRPr="00822BE8">
              <w:rPr>
                <w:sz w:val="18"/>
                <w:szCs w:val="18"/>
              </w:rPr>
              <w:t>4,</w:t>
            </w:r>
            <w:r w:rsidRPr="00822BE8">
              <w:rPr>
                <w:rFonts w:ascii="Arial" w:hAnsi="Arial" w:cs="Arial"/>
                <w:sz w:val="18"/>
                <w:szCs w:val="18"/>
              </w:rPr>
              <w:t>​</w:t>
            </w:r>
            <w:r w:rsidRPr="00F637E4">
              <w:rPr>
                <w:sz w:val="18"/>
                <w:szCs w:val="18"/>
              </w:rPr>
              <w:t>7,</w:t>
            </w:r>
            <w:r w:rsidRPr="00F637E4">
              <w:rPr>
                <w:rFonts w:ascii="Arial" w:hAnsi="Arial" w:cs="Arial"/>
                <w:sz w:val="18"/>
                <w:szCs w:val="18"/>
              </w:rPr>
              <w:t>​</w:t>
            </w:r>
            <w:r w:rsidRPr="004448DE">
              <w:rPr>
                <w:sz w:val="18"/>
                <w:szCs w:val="18"/>
              </w:rPr>
              <w:t>8,</w:t>
            </w:r>
            <w:r w:rsidRPr="004448DE">
              <w:rPr>
                <w:rFonts w:ascii="Arial" w:hAnsi="Arial" w:cs="Arial"/>
                <w:sz w:val="18"/>
                <w:szCs w:val="18"/>
              </w:rPr>
              <w:t>​</w:t>
            </w:r>
            <w:r w:rsidRPr="004448DE">
              <w:rPr>
                <w:sz w:val="18"/>
                <w:szCs w:val="18"/>
              </w:rPr>
              <w:t>9,</w:t>
            </w:r>
            <w:r w:rsidRPr="004448DE">
              <w:rPr>
                <w:rFonts w:ascii="Arial" w:hAnsi="Arial" w:cs="Arial"/>
                <w:sz w:val="18"/>
                <w:szCs w:val="18"/>
              </w:rPr>
              <w:t>​</w:t>
            </w:r>
            <w:r w:rsidRPr="004448DE">
              <w:rPr>
                <w:sz w:val="18"/>
                <w:szCs w:val="18"/>
              </w:rPr>
              <w:t>10,</w:t>
            </w:r>
            <w:r w:rsidRPr="004448DE">
              <w:rPr>
                <w:rFonts w:ascii="Arial" w:hAnsi="Arial" w:cs="Arial"/>
                <w:sz w:val="18"/>
                <w:szCs w:val="18"/>
              </w:rPr>
              <w:t>​</w:t>
            </w:r>
            <w:r w:rsidRPr="004448DE">
              <w:rPr>
                <w:sz w:val="18"/>
                <w:szCs w:val="18"/>
              </w:rPr>
              <w:t>13,</w:t>
            </w:r>
            <w:r w:rsidRPr="004448DE">
              <w:rPr>
                <w:rFonts w:ascii="Arial" w:hAnsi="Arial" w:cs="Arial"/>
                <w:sz w:val="18"/>
                <w:szCs w:val="18"/>
              </w:rPr>
              <w:t>​</w:t>
            </w:r>
            <w:r w:rsidRPr="004448DE">
              <w:rPr>
                <w:sz w:val="18"/>
                <w:szCs w:val="18"/>
              </w:rPr>
              <w:t>13,</w:t>
            </w:r>
            <w:r w:rsidRPr="004448DE">
              <w:rPr>
                <w:rFonts w:ascii="Arial" w:hAnsi="Arial" w:cs="Arial"/>
                <w:sz w:val="18"/>
                <w:szCs w:val="18"/>
              </w:rPr>
              <w:t>​</w:t>
            </w:r>
            <w:r w:rsidRPr="004448DE">
              <w:rPr>
                <w:sz w:val="18"/>
                <w:szCs w:val="18"/>
              </w:rPr>
              <w:t>14,</w:t>
            </w:r>
            <w:r w:rsidRPr="004448DE">
              <w:rPr>
                <w:rFonts w:ascii="Arial" w:hAnsi="Arial" w:cs="Arial"/>
                <w:sz w:val="18"/>
                <w:szCs w:val="18"/>
              </w:rPr>
              <w:t>​</w:t>
            </w:r>
            <w:r w:rsidRPr="004448DE">
              <w:rPr>
                <w:sz w:val="18"/>
                <w:szCs w:val="18"/>
              </w:rPr>
              <w:t>14-</w:t>
            </w:r>
            <w:r w:rsidRPr="004448DE">
              <w:rPr>
                <w:rFonts w:ascii="Arial" w:hAnsi="Arial" w:cs="Arial"/>
                <w:sz w:val="18"/>
                <w:szCs w:val="18"/>
              </w:rPr>
              <w:t>​</w:t>
            </w:r>
            <w:r w:rsidRPr="004448DE">
              <w:rPr>
                <w:sz w:val="18"/>
                <w:szCs w:val="18"/>
              </w:rPr>
              <w:t>dodecachloro-</w:t>
            </w:r>
            <w:r w:rsidRPr="004448DE">
              <w:rPr>
                <w:rFonts w:ascii="Arial" w:hAnsi="Arial" w:cs="Arial"/>
                <w:sz w:val="18"/>
                <w:szCs w:val="18"/>
              </w:rPr>
              <w:t>​</w:t>
            </w:r>
            <w:r w:rsidRPr="004448DE">
              <w:rPr>
                <w:sz w:val="18"/>
                <w:szCs w:val="18"/>
              </w:rPr>
              <w:t>1,</w:t>
            </w:r>
            <w:r w:rsidRPr="004448DE">
              <w:rPr>
                <w:rFonts w:ascii="Arial" w:hAnsi="Arial" w:cs="Arial"/>
                <w:sz w:val="18"/>
                <w:szCs w:val="18"/>
              </w:rPr>
              <w:t>​</w:t>
            </w:r>
            <w:r w:rsidRPr="004448DE">
              <w:rPr>
                <w:sz w:val="18"/>
                <w:szCs w:val="18"/>
              </w:rPr>
              <w:t>4,</w:t>
            </w:r>
            <w:r w:rsidRPr="004448DE">
              <w:rPr>
                <w:rFonts w:ascii="Arial" w:hAnsi="Arial" w:cs="Arial"/>
                <w:sz w:val="18"/>
                <w:szCs w:val="18"/>
              </w:rPr>
              <w:t>​</w:t>
            </w:r>
            <w:r w:rsidRPr="004448DE">
              <w:rPr>
                <w:sz w:val="18"/>
                <w:szCs w:val="18"/>
              </w:rPr>
              <w:t>4a,</w:t>
            </w:r>
            <w:r w:rsidRPr="004448DE">
              <w:rPr>
                <w:rFonts w:ascii="Arial" w:hAnsi="Arial" w:cs="Arial"/>
                <w:sz w:val="18"/>
                <w:szCs w:val="18"/>
              </w:rPr>
              <w:t>​</w:t>
            </w:r>
            <w:r w:rsidRPr="004448DE">
              <w:rPr>
                <w:sz w:val="18"/>
                <w:szCs w:val="18"/>
              </w:rPr>
              <w:t>5,</w:t>
            </w:r>
            <w:r w:rsidRPr="004448DE">
              <w:rPr>
                <w:rFonts w:ascii="Arial" w:hAnsi="Arial" w:cs="Arial"/>
                <w:sz w:val="18"/>
                <w:szCs w:val="18"/>
              </w:rPr>
              <w:t>​</w:t>
            </w:r>
            <w:r w:rsidRPr="004448DE">
              <w:rPr>
                <w:sz w:val="18"/>
                <w:szCs w:val="18"/>
              </w:rPr>
              <w:t>6,</w:t>
            </w:r>
            <w:r w:rsidRPr="004448DE">
              <w:rPr>
                <w:rFonts w:ascii="Arial" w:hAnsi="Arial" w:cs="Arial"/>
                <w:sz w:val="18"/>
                <w:szCs w:val="18"/>
              </w:rPr>
              <w:t>​</w:t>
            </w:r>
            <w:r w:rsidRPr="004448DE">
              <w:rPr>
                <w:sz w:val="18"/>
                <w:szCs w:val="18"/>
              </w:rPr>
              <w:t xml:space="preserve"> 6a,</w:t>
            </w:r>
            <w:r w:rsidRPr="004448DE">
              <w:rPr>
                <w:rFonts w:ascii="Arial" w:hAnsi="Arial" w:cs="Arial"/>
                <w:sz w:val="18"/>
                <w:szCs w:val="18"/>
              </w:rPr>
              <w:t>​</w:t>
            </w:r>
            <w:r w:rsidRPr="004448DE">
              <w:rPr>
                <w:sz w:val="18"/>
                <w:szCs w:val="18"/>
              </w:rPr>
              <w:t>7,</w:t>
            </w:r>
            <w:r w:rsidRPr="004448DE">
              <w:rPr>
                <w:rFonts w:ascii="Arial" w:hAnsi="Arial" w:cs="Arial"/>
                <w:sz w:val="18"/>
                <w:szCs w:val="18"/>
              </w:rPr>
              <w:t>​</w:t>
            </w:r>
            <w:r w:rsidRPr="004448DE">
              <w:rPr>
                <w:sz w:val="18"/>
                <w:szCs w:val="18"/>
              </w:rPr>
              <w:t>10,</w:t>
            </w:r>
            <w:r w:rsidRPr="004448DE">
              <w:rPr>
                <w:rFonts w:ascii="Arial" w:hAnsi="Arial" w:cs="Arial"/>
                <w:sz w:val="18"/>
                <w:szCs w:val="18"/>
              </w:rPr>
              <w:t>​</w:t>
            </w:r>
            <w:r w:rsidRPr="004448DE">
              <w:rPr>
                <w:sz w:val="18"/>
                <w:szCs w:val="18"/>
              </w:rPr>
              <w:t>10a,</w:t>
            </w:r>
            <w:r w:rsidRPr="004448DE">
              <w:rPr>
                <w:rFonts w:ascii="Arial" w:hAnsi="Arial" w:cs="Arial"/>
                <w:sz w:val="18"/>
                <w:szCs w:val="18"/>
              </w:rPr>
              <w:t>​</w:t>
            </w:r>
            <w:r w:rsidRPr="004448DE">
              <w:rPr>
                <w:sz w:val="18"/>
                <w:szCs w:val="18"/>
              </w:rPr>
              <w:t>11,</w:t>
            </w:r>
            <w:r w:rsidRPr="004448DE">
              <w:rPr>
                <w:rFonts w:ascii="Arial" w:hAnsi="Arial" w:cs="Arial"/>
                <w:sz w:val="18"/>
                <w:szCs w:val="18"/>
              </w:rPr>
              <w:t>​</w:t>
            </w:r>
            <w:r w:rsidRPr="004448DE">
              <w:rPr>
                <w:sz w:val="18"/>
                <w:szCs w:val="18"/>
              </w:rPr>
              <w:t>12,</w:t>
            </w:r>
            <w:r w:rsidRPr="004448DE">
              <w:rPr>
                <w:rFonts w:ascii="Arial" w:hAnsi="Arial" w:cs="Arial"/>
                <w:sz w:val="18"/>
                <w:szCs w:val="18"/>
              </w:rPr>
              <w:t>​</w:t>
            </w:r>
            <w:r w:rsidRPr="004448DE">
              <w:rPr>
                <w:sz w:val="18"/>
                <w:szCs w:val="18"/>
              </w:rPr>
              <w:t>12a-</w:t>
            </w:r>
            <w:r w:rsidRPr="004448DE">
              <w:rPr>
                <w:rFonts w:ascii="Arial" w:hAnsi="Arial" w:cs="Arial"/>
                <w:sz w:val="18"/>
                <w:szCs w:val="18"/>
              </w:rPr>
              <w:t>​</w:t>
            </w:r>
            <w:r w:rsidRPr="004448DE">
              <w:rPr>
                <w:sz w:val="18"/>
                <w:szCs w:val="18"/>
              </w:rPr>
              <w:t>dodecahydro-</w:t>
            </w:r>
            <w:r w:rsidRPr="004448DE">
              <w:rPr>
                <w:rFonts w:ascii="Arial" w:hAnsi="Arial" w:cs="Arial"/>
                <w:sz w:val="18"/>
                <w:szCs w:val="18"/>
              </w:rPr>
              <w:t>​</w:t>
            </w:r>
            <w:r w:rsidRPr="004448DE">
              <w:rPr>
                <w:sz w:val="18"/>
                <w:szCs w:val="18"/>
              </w:rPr>
              <w:t>, (1</w:t>
            </w:r>
            <w:r w:rsidRPr="004448DE">
              <w:rPr>
                <w:rStyle w:val="Emphasis"/>
                <w:sz w:val="18"/>
                <w:szCs w:val="18"/>
              </w:rPr>
              <w:t>R</w:t>
            </w:r>
            <w:r w:rsidRPr="004448DE">
              <w:rPr>
                <w:sz w:val="18"/>
                <w:szCs w:val="18"/>
              </w:rPr>
              <w:t>,</w:t>
            </w:r>
            <w:r w:rsidRPr="004448DE">
              <w:rPr>
                <w:rFonts w:ascii="Arial" w:hAnsi="Arial" w:cs="Arial"/>
                <w:sz w:val="18"/>
                <w:szCs w:val="18"/>
              </w:rPr>
              <w:t>​</w:t>
            </w:r>
            <w:r w:rsidRPr="004448DE">
              <w:rPr>
                <w:sz w:val="18"/>
                <w:szCs w:val="18"/>
              </w:rPr>
              <w:t>4</w:t>
            </w:r>
            <w:r w:rsidRPr="004448DE">
              <w:rPr>
                <w:rStyle w:val="Emphasis"/>
                <w:sz w:val="18"/>
                <w:szCs w:val="18"/>
              </w:rPr>
              <w:t>S</w:t>
            </w:r>
            <w:r w:rsidRPr="004448DE">
              <w:rPr>
                <w:sz w:val="18"/>
                <w:szCs w:val="18"/>
              </w:rPr>
              <w:t>,</w:t>
            </w:r>
            <w:r w:rsidRPr="004448DE">
              <w:rPr>
                <w:rFonts w:ascii="Arial" w:hAnsi="Arial" w:cs="Arial"/>
                <w:sz w:val="18"/>
                <w:szCs w:val="18"/>
              </w:rPr>
              <w:t>​</w:t>
            </w:r>
            <w:r w:rsidRPr="004448DE">
              <w:rPr>
                <w:sz w:val="18"/>
                <w:szCs w:val="18"/>
              </w:rPr>
              <w:t>4a</w:t>
            </w:r>
            <w:r w:rsidRPr="004448DE">
              <w:rPr>
                <w:rStyle w:val="Emphasis"/>
                <w:sz w:val="18"/>
                <w:szCs w:val="18"/>
              </w:rPr>
              <w:t>S</w:t>
            </w:r>
            <w:r w:rsidRPr="004448DE">
              <w:rPr>
                <w:sz w:val="18"/>
                <w:szCs w:val="18"/>
              </w:rPr>
              <w:t>,</w:t>
            </w:r>
            <w:r w:rsidRPr="004448DE">
              <w:rPr>
                <w:rFonts w:ascii="Arial" w:hAnsi="Arial" w:cs="Arial"/>
                <w:sz w:val="18"/>
                <w:szCs w:val="18"/>
              </w:rPr>
              <w:t>​</w:t>
            </w:r>
            <w:r w:rsidRPr="004448DE">
              <w:rPr>
                <w:sz w:val="18"/>
                <w:szCs w:val="18"/>
              </w:rPr>
              <w:t>6a</w:t>
            </w:r>
            <w:r w:rsidRPr="004448DE">
              <w:rPr>
                <w:rStyle w:val="Emphasis"/>
                <w:sz w:val="18"/>
                <w:szCs w:val="18"/>
              </w:rPr>
              <w:t>S</w:t>
            </w:r>
            <w:r w:rsidRPr="004448DE">
              <w:rPr>
                <w:sz w:val="18"/>
                <w:szCs w:val="18"/>
              </w:rPr>
              <w:t>,</w:t>
            </w:r>
            <w:r w:rsidRPr="004448DE">
              <w:rPr>
                <w:rFonts w:ascii="Arial" w:hAnsi="Arial" w:cs="Arial"/>
                <w:sz w:val="18"/>
                <w:szCs w:val="18"/>
              </w:rPr>
              <w:t>​</w:t>
            </w:r>
            <w:r w:rsidRPr="004448DE">
              <w:rPr>
                <w:sz w:val="18"/>
                <w:szCs w:val="18"/>
              </w:rPr>
              <w:t>7</w:t>
            </w:r>
            <w:r w:rsidRPr="004448DE">
              <w:rPr>
                <w:rStyle w:val="Emphasis"/>
                <w:sz w:val="18"/>
                <w:szCs w:val="18"/>
              </w:rPr>
              <w:t>S</w:t>
            </w:r>
            <w:r w:rsidRPr="004448DE">
              <w:rPr>
                <w:sz w:val="18"/>
                <w:szCs w:val="18"/>
              </w:rPr>
              <w:t>,</w:t>
            </w:r>
            <w:r w:rsidRPr="004448DE">
              <w:rPr>
                <w:rFonts w:ascii="Arial" w:hAnsi="Arial" w:cs="Arial"/>
                <w:sz w:val="18"/>
                <w:szCs w:val="18"/>
              </w:rPr>
              <w:t>​</w:t>
            </w:r>
            <w:r w:rsidRPr="004448DE">
              <w:rPr>
                <w:sz w:val="18"/>
                <w:szCs w:val="18"/>
              </w:rPr>
              <w:t>10</w:t>
            </w:r>
            <w:r w:rsidRPr="004448DE">
              <w:rPr>
                <w:rStyle w:val="Emphasis"/>
                <w:sz w:val="18"/>
                <w:szCs w:val="18"/>
              </w:rPr>
              <w:t>R</w:t>
            </w:r>
            <w:r w:rsidRPr="004448DE">
              <w:rPr>
                <w:sz w:val="18"/>
                <w:szCs w:val="18"/>
              </w:rPr>
              <w:t>,</w:t>
            </w:r>
            <w:r w:rsidRPr="004448DE">
              <w:rPr>
                <w:rFonts w:ascii="Arial" w:hAnsi="Arial" w:cs="Arial"/>
                <w:sz w:val="18"/>
                <w:szCs w:val="18"/>
              </w:rPr>
              <w:t>​</w:t>
            </w:r>
            <w:r w:rsidRPr="004448DE">
              <w:rPr>
                <w:sz w:val="18"/>
                <w:szCs w:val="18"/>
              </w:rPr>
              <w:t>10a</w:t>
            </w:r>
            <w:r w:rsidRPr="004448DE">
              <w:rPr>
                <w:rStyle w:val="Emphasis"/>
                <w:sz w:val="18"/>
                <w:szCs w:val="18"/>
              </w:rPr>
              <w:t>R</w:t>
            </w:r>
            <w:r w:rsidRPr="004448DE">
              <w:rPr>
                <w:sz w:val="18"/>
                <w:szCs w:val="18"/>
              </w:rPr>
              <w:t>,</w:t>
            </w:r>
            <w:r w:rsidRPr="004448DE">
              <w:rPr>
                <w:rFonts w:ascii="Arial" w:hAnsi="Arial" w:cs="Arial"/>
                <w:sz w:val="18"/>
                <w:szCs w:val="18"/>
              </w:rPr>
              <w:t>​</w:t>
            </w:r>
            <w:r w:rsidRPr="004448DE">
              <w:rPr>
                <w:sz w:val="18"/>
                <w:szCs w:val="18"/>
              </w:rPr>
              <w:t>12a</w:t>
            </w:r>
            <w:r w:rsidRPr="004448DE">
              <w:rPr>
                <w:rStyle w:val="Emphasis"/>
                <w:sz w:val="18"/>
                <w:szCs w:val="18"/>
              </w:rPr>
              <w:t>R</w:t>
            </w:r>
            <w:r w:rsidRPr="004448DE">
              <w:rPr>
                <w:sz w:val="18"/>
                <w:szCs w:val="18"/>
              </w:rPr>
              <w:t>)</w:t>
            </w:r>
            <w:r w:rsidRPr="004448DE">
              <w:rPr>
                <w:rFonts w:ascii="Arial" w:hAnsi="Arial" w:cs="Arial"/>
                <w:sz w:val="18"/>
                <w:szCs w:val="18"/>
              </w:rPr>
              <w:t>​</w:t>
            </w:r>
            <w:r w:rsidRPr="004448DE">
              <w:rPr>
                <w:sz w:val="18"/>
                <w:szCs w:val="18"/>
              </w:rPr>
              <w:t>-</w:t>
            </w:r>
            <w:r w:rsidRPr="004448DE">
              <w:rPr>
                <w:rFonts w:ascii="Arial" w:hAnsi="Arial" w:cs="Arial"/>
                <w:sz w:val="18"/>
                <w:szCs w:val="18"/>
              </w:rPr>
              <w:t>​</w:t>
            </w:r>
            <w:r w:rsidRPr="004448DE">
              <w:rPr>
                <w:rStyle w:val="Emphasis"/>
                <w:sz w:val="18"/>
                <w:szCs w:val="18"/>
              </w:rPr>
              <w:t>rel</w:t>
            </w:r>
            <w:r w:rsidRPr="004448DE">
              <w:rPr>
                <w:sz w:val="18"/>
                <w:szCs w:val="18"/>
              </w:rPr>
              <w:t>-</w:t>
            </w:r>
          </w:p>
        </w:tc>
      </w:tr>
      <w:tr w:rsidR="00E67A3F" w:rsidRPr="002D039F" w14:paraId="03612FDF" w14:textId="77777777" w:rsidTr="00E67A3F">
        <w:tc>
          <w:tcPr>
            <w:tcW w:w="2507" w:type="dxa"/>
            <w:tcMar>
              <w:top w:w="40" w:type="dxa"/>
              <w:left w:w="40" w:type="dxa"/>
              <w:bottom w:w="40" w:type="dxa"/>
              <w:right w:w="40" w:type="dxa"/>
            </w:tcMar>
          </w:tcPr>
          <w:p w14:paraId="5306D917" w14:textId="77777777" w:rsidR="00E67A3F" w:rsidRPr="008D0DBB" w:rsidRDefault="00E67A3F" w:rsidP="00E67A3F">
            <w:pPr>
              <w:pStyle w:val="TableRowHeader"/>
              <w:rPr>
                <w:sz w:val="18"/>
                <w:szCs w:val="18"/>
              </w:rPr>
            </w:pPr>
            <w:r w:rsidRPr="008D0DBB">
              <w:rPr>
                <w:sz w:val="18"/>
                <w:szCs w:val="18"/>
              </w:rPr>
              <w:t>IUPAC name:</w:t>
            </w:r>
          </w:p>
        </w:tc>
        <w:tc>
          <w:tcPr>
            <w:tcW w:w="6946" w:type="dxa"/>
            <w:tcMar>
              <w:top w:w="40" w:type="dxa"/>
              <w:left w:w="40" w:type="dxa"/>
              <w:bottom w:w="40" w:type="dxa"/>
              <w:right w:w="40" w:type="dxa"/>
            </w:tcMar>
          </w:tcPr>
          <w:p w14:paraId="48C331FA" w14:textId="74947632" w:rsidR="00E67A3F" w:rsidRPr="000B0AF1" w:rsidRDefault="00E67A3F" w:rsidP="00E67A3F">
            <w:pPr>
              <w:rPr>
                <w:sz w:val="18"/>
                <w:szCs w:val="18"/>
                <w:lang w:eastAsia="da-DK"/>
              </w:rPr>
            </w:pPr>
            <w:r w:rsidRPr="000B0AF1">
              <w:rPr>
                <w:sz w:val="18"/>
                <w:szCs w:val="18"/>
              </w:rPr>
              <w:t>(1S,2S,5S,6S,9R,10R,13R,14R)-1,6,7,8,9,14,15,16,17,17,18,18-</w:t>
            </w:r>
            <w:r w:rsidR="000B0AF1">
              <w:rPr>
                <w:sz w:val="18"/>
                <w:szCs w:val="18"/>
              </w:rPr>
              <w:t>D</w:t>
            </w:r>
            <w:r w:rsidRPr="00DA2190">
              <w:rPr>
                <w:sz w:val="18"/>
                <w:szCs w:val="18"/>
              </w:rPr>
              <w:t>odecachloropentacyclo[12.2.1.1</w:t>
            </w:r>
            <w:r w:rsidRPr="00DA2190">
              <w:rPr>
                <w:sz w:val="18"/>
                <w:szCs w:val="18"/>
                <w:vertAlign w:val="superscript"/>
              </w:rPr>
              <w:t>6,9</w:t>
            </w:r>
            <w:r w:rsidRPr="00DA2190">
              <w:rPr>
                <w:sz w:val="18"/>
                <w:szCs w:val="18"/>
              </w:rPr>
              <w:t>.0</w:t>
            </w:r>
            <w:r w:rsidRPr="00DA2190">
              <w:rPr>
                <w:sz w:val="18"/>
                <w:szCs w:val="18"/>
                <w:vertAlign w:val="superscript"/>
              </w:rPr>
              <w:t>2,13</w:t>
            </w:r>
            <w:r w:rsidRPr="00DA2190">
              <w:rPr>
                <w:sz w:val="18"/>
                <w:szCs w:val="18"/>
              </w:rPr>
              <w:t>.0</w:t>
            </w:r>
            <w:r w:rsidRPr="00DA2190">
              <w:rPr>
                <w:sz w:val="18"/>
                <w:szCs w:val="18"/>
                <w:vertAlign w:val="superscript"/>
              </w:rPr>
              <w:t>5,10</w:t>
            </w:r>
            <w:r w:rsidRPr="00DA2190">
              <w:rPr>
                <w:sz w:val="18"/>
                <w:szCs w:val="18"/>
              </w:rPr>
              <w:t>]octadeca-7,15-diene</w:t>
            </w:r>
          </w:p>
        </w:tc>
      </w:tr>
      <w:tr w:rsidR="00E67A3F" w:rsidRPr="002D039F" w14:paraId="45F9F92C" w14:textId="77777777" w:rsidTr="00E67A3F">
        <w:tc>
          <w:tcPr>
            <w:tcW w:w="2507" w:type="dxa"/>
            <w:tcMar>
              <w:top w:w="40" w:type="dxa"/>
              <w:left w:w="40" w:type="dxa"/>
              <w:bottom w:w="40" w:type="dxa"/>
              <w:right w:w="40" w:type="dxa"/>
            </w:tcMar>
          </w:tcPr>
          <w:p w14:paraId="42762EA4" w14:textId="77777777" w:rsidR="00E67A3F" w:rsidRPr="008D0DBB" w:rsidRDefault="00E67A3F" w:rsidP="00DA2190">
            <w:pPr>
              <w:pStyle w:val="TableRowHeader"/>
              <w:jc w:val="left"/>
              <w:rPr>
                <w:sz w:val="18"/>
                <w:szCs w:val="18"/>
              </w:rPr>
            </w:pPr>
            <w:r w:rsidRPr="008D0DBB">
              <w:rPr>
                <w:sz w:val="18"/>
                <w:szCs w:val="18"/>
              </w:rPr>
              <w:t>Index number in Annex VI of the CLP Regulation</w:t>
            </w:r>
          </w:p>
        </w:tc>
        <w:tc>
          <w:tcPr>
            <w:tcW w:w="6946" w:type="dxa"/>
            <w:tcMar>
              <w:top w:w="40" w:type="dxa"/>
              <w:left w:w="40" w:type="dxa"/>
              <w:bottom w:w="40" w:type="dxa"/>
              <w:right w:w="40" w:type="dxa"/>
            </w:tcMar>
          </w:tcPr>
          <w:p w14:paraId="4AE81EFF" w14:textId="77777777" w:rsidR="00E67A3F" w:rsidRPr="004448DE" w:rsidRDefault="00E67A3F" w:rsidP="00E67A3F">
            <w:pPr>
              <w:rPr>
                <w:sz w:val="18"/>
                <w:szCs w:val="18"/>
                <w:lang w:eastAsia="da-DK"/>
              </w:rPr>
            </w:pPr>
            <w:r w:rsidRPr="004448DE">
              <w:rPr>
                <w:sz w:val="18"/>
                <w:szCs w:val="18"/>
                <w:lang w:eastAsia="da-DK"/>
              </w:rPr>
              <w:t>Not applicable</w:t>
            </w:r>
          </w:p>
        </w:tc>
      </w:tr>
      <w:tr w:rsidR="00E67A3F" w:rsidRPr="002D039F" w14:paraId="51E7A348" w14:textId="77777777" w:rsidTr="00E67A3F">
        <w:tc>
          <w:tcPr>
            <w:tcW w:w="2507" w:type="dxa"/>
            <w:tcMar>
              <w:top w:w="40" w:type="dxa"/>
              <w:left w:w="40" w:type="dxa"/>
              <w:bottom w:w="40" w:type="dxa"/>
              <w:right w:w="40" w:type="dxa"/>
            </w:tcMar>
          </w:tcPr>
          <w:p w14:paraId="21D8F357" w14:textId="77777777" w:rsidR="00E67A3F" w:rsidRPr="008D0DBB" w:rsidRDefault="00E67A3F" w:rsidP="00DA2190">
            <w:pPr>
              <w:pStyle w:val="TableRowHeader"/>
              <w:jc w:val="left"/>
              <w:rPr>
                <w:sz w:val="18"/>
                <w:szCs w:val="18"/>
              </w:rPr>
            </w:pPr>
            <w:r w:rsidRPr="008D0DBB">
              <w:rPr>
                <w:sz w:val="18"/>
                <w:szCs w:val="18"/>
              </w:rPr>
              <w:t>Molecular formula:</w:t>
            </w:r>
          </w:p>
        </w:tc>
        <w:tc>
          <w:tcPr>
            <w:tcW w:w="6946" w:type="dxa"/>
            <w:tcMar>
              <w:top w:w="40" w:type="dxa"/>
              <w:left w:w="40" w:type="dxa"/>
              <w:bottom w:w="40" w:type="dxa"/>
              <w:right w:w="40" w:type="dxa"/>
            </w:tcMar>
          </w:tcPr>
          <w:p w14:paraId="1AFC08BB" w14:textId="77777777" w:rsidR="00E67A3F" w:rsidRPr="002D039F" w:rsidRDefault="00E67A3F" w:rsidP="00E67A3F">
            <w:pPr>
              <w:rPr>
                <w:sz w:val="18"/>
                <w:szCs w:val="18"/>
                <w:lang w:eastAsia="da-DK"/>
              </w:rPr>
            </w:pPr>
            <w:r w:rsidRPr="002D039F">
              <w:rPr>
                <w:rFonts w:eastAsia="Calibri"/>
                <w:sz w:val="18"/>
                <w:szCs w:val="18"/>
                <w:lang w:eastAsia="en-GB"/>
              </w:rPr>
              <w:t>C</w:t>
            </w:r>
            <w:r w:rsidRPr="002D039F">
              <w:rPr>
                <w:rFonts w:eastAsia="Calibri"/>
                <w:sz w:val="18"/>
                <w:szCs w:val="18"/>
                <w:vertAlign w:val="subscript"/>
                <w:lang w:eastAsia="en-GB"/>
              </w:rPr>
              <w:t>18</w:t>
            </w:r>
            <w:r w:rsidRPr="002D039F">
              <w:rPr>
                <w:rFonts w:eastAsia="Calibri"/>
                <w:sz w:val="18"/>
                <w:szCs w:val="18"/>
                <w:lang w:eastAsia="en-GB"/>
              </w:rPr>
              <w:t>H</w:t>
            </w:r>
            <w:r w:rsidRPr="002D039F">
              <w:rPr>
                <w:rFonts w:eastAsia="Calibri"/>
                <w:sz w:val="18"/>
                <w:szCs w:val="18"/>
                <w:vertAlign w:val="subscript"/>
                <w:lang w:eastAsia="en-GB"/>
              </w:rPr>
              <w:t>12</w:t>
            </w:r>
            <w:r w:rsidRPr="002D039F">
              <w:rPr>
                <w:rFonts w:eastAsia="Calibri"/>
                <w:sz w:val="18"/>
                <w:szCs w:val="18"/>
                <w:lang w:eastAsia="en-GB"/>
              </w:rPr>
              <w:t>Cl</w:t>
            </w:r>
            <w:r w:rsidRPr="002D039F">
              <w:rPr>
                <w:rFonts w:eastAsia="Calibri"/>
                <w:sz w:val="18"/>
                <w:szCs w:val="18"/>
                <w:vertAlign w:val="subscript"/>
                <w:lang w:eastAsia="en-GB"/>
              </w:rPr>
              <w:t>12</w:t>
            </w:r>
          </w:p>
        </w:tc>
      </w:tr>
      <w:tr w:rsidR="00E67A3F" w:rsidRPr="002D039F" w14:paraId="2DCC3FB9" w14:textId="77777777" w:rsidTr="00E67A3F">
        <w:trPr>
          <w:trHeight w:val="407"/>
        </w:trPr>
        <w:tc>
          <w:tcPr>
            <w:tcW w:w="2507" w:type="dxa"/>
            <w:tcMar>
              <w:top w:w="40" w:type="dxa"/>
              <w:left w:w="40" w:type="dxa"/>
              <w:bottom w:w="40" w:type="dxa"/>
              <w:right w:w="40" w:type="dxa"/>
            </w:tcMar>
          </w:tcPr>
          <w:p w14:paraId="3E6FE795" w14:textId="77777777" w:rsidR="00E67A3F" w:rsidRPr="008D0DBB" w:rsidRDefault="00E67A3F" w:rsidP="00DA2190">
            <w:pPr>
              <w:pStyle w:val="TableRowHeader"/>
              <w:jc w:val="left"/>
              <w:rPr>
                <w:sz w:val="18"/>
                <w:szCs w:val="18"/>
              </w:rPr>
            </w:pPr>
            <w:r w:rsidRPr="008D0DBB">
              <w:rPr>
                <w:sz w:val="18"/>
                <w:szCs w:val="18"/>
              </w:rPr>
              <w:t>Molecular weight range:</w:t>
            </w:r>
          </w:p>
        </w:tc>
        <w:tc>
          <w:tcPr>
            <w:tcW w:w="6946" w:type="dxa"/>
            <w:tcMar>
              <w:top w:w="40" w:type="dxa"/>
              <w:left w:w="40" w:type="dxa"/>
              <w:bottom w:w="40" w:type="dxa"/>
              <w:right w:w="40" w:type="dxa"/>
            </w:tcMar>
          </w:tcPr>
          <w:p w14:paraId="66142494" w14:textId="77777777" w:rsidR="00E67A3F" w:rsidRPr="002D039F" w:rsidRDefault="00E67A3F" w:rsidP="00E67A3F">
            <w:pPr>
              <w:rPr>
                <w:sz w:val="18"/>
                <w:szCs w:val="18"/>
                <w:lang w:eastAsia="da-DK"/>
              </w:rPr>
            </w:pPr>
            <w:r w:rsidRPr="002D039F">
              <w:rPr>
                <w:sz w:val="18"/>
                <w:szCs w:val="18"/>
              </w:rPr>
              <w:t>653.73</w:t>
            </w:r>
            <w:r w:rsidRPr="002D039F">
              <w:rPr>
                <w:bCs/>
                <w:sz w:val="18"/>
                <w:szCs w:val="18"/>
              </w:rPr>
              <w:t xml:space="preserve"> g/mole</w:t>
            </w:r>
          </w:p>
        </w:tc>
      </w:tr>
      <w:tr w:rsidR="00E67A3F" w:rsidRPr="002D039F" w14:paraId="6B2ADF5C" w14:textId="77777777" w:rsidTr="00E67A3F">
        <w:trPr>
          <w:trHeight w:val="338"/>
        </w:trPr>
        <w:tc>
          <w:tcPr>
            <w:tcW w:w="2507" w:type="dxa"/>
            <w:tcMar>
              <w:top w:w="40" w:type="dxa"/>
              <w:left w:w="40" w:type="dxa"/>
              <w:bottom w:w="40" w:type="dxa"/>
              <w:right w:w="40" w:type="dxa"/>
            </w:tcMar>
          </w:tcPr>
          <w:p w14:paraId="0FB55CA6" w14:textId="77777777" w:rsidR="00E67A3F" w:rsidRPr="008D0DBB" w:rsidRDefault="00E67A3F" w:rsidP="00E67A3F">
            <w:pPr>
              <w:pStyle w:val="TableRowHeader"/>
              <w:rPr>
                <w:sz w:val="18"/>
                <w:szCs w:val="18"/>
              </w:rPr>
            </w:pPr>
            <w:r w:rsidRPr="008D0DBB">
              <w:rPr>
                <w:sz w:val="18"/>
                <w:szCs w:val="18"/>
              </w:rPr>
              <w:t>Synonyms:</w:t>
            </w:r>
          </w:p>
        </w:tc>
        <w:tc>
          <w:tcPr>
            <w:tcW w:w="6946" w:type="dxa"/>
            <w:tcMar>
              <w:top w:w="40" w:type="dxa"/>
              <w:left w:w="40" w:type="dxa"/>
              <w:bottom w:w="40" w:type="dxa"/>
              <w:right w:w="40" w:type="dxa"/>
            </w:tcMar>
          </w:tcPr>
          <w:p w14:paraId="3BB007E0" w14:textId="77777777" w:rsidR="00E67A3F" w:rsidRPr="002D039F" w:rsidRDefault="00E67A3F" w:rsidP="00E67A3F">
            <w:pPr>
              <w:rPr>
                <w:sz w:val="18"/>
                <w:szCs w:val="18"/>
              </w:rPr>
            </w:pPr>
            <w:r w:rsidRPr="0035483E">
              <w:rPr>
                <w:sz w:val="18"/>
                <w:szCs w:val="18"/>
              </w:rPr>
              <w:t>anti-DP</w:t>
            </w:r>
            <w:r>
              <w:rPr>
                <w:sz w:val="18"/>
                <w:szCs w:val="18"/>
              </w:rPr>
              <w:t xml:space="preserve">, </w:t>
            </w:r>
            <w:r w:rsidRPr="0035483E">
              <w:rPr>
                <w:sz w:val="18"/>
                <w:szCs w:val="18"/>
              </w:rPr>
              <w:t>anti-Dechlorane plus</w:t>
            </w:r>
            <w:r>
              <w:rPr>
                <w:sz w:val="18"/>
                <w:szCs w:val="18"/>
              </w:rPr>
              <w:t xml:space="preserve">, </w:t>
            </w:r>
            <w:r w:rsidRPr="0035483E">
              <w:rPr>
                <w:sz w:val="18"/>
                <w:szCs w:val="18"/>
              </w:rPr>
              <w:t>anti-Dodecachloropentacyclooctadecadiene</w:t>
            </w:r>
          </w:p>
        </w:tc>
      </w:tr>
    </w:tbl>
    <w:p w14:paraId="66C7B518" w14:textId="77777777" w:rsidR="00E67A3F" w:rsidRDefault="00E67A3F" w:rsidP="00E67A3F">
      <w:pPr>
        <w:widowControl/>
        <w:rPr>
          <w:rStyle w:val="Strong"/>
          <w:bCs/>
        </w:rPr>
      </w:pPr>
    </w:p>
    <w:p w14:paraId="167B507C" w14:textId="77777777" w:rsidR="00E67A3F" w:rsidRDefault="00E67A3F" w:rsidP="00E67A3F">
      <w:pPr>
        <w:widowControl/>
        <w:rPr>
          <w:b/>
          <w:sz w:val="18"/>
          <w:szCs w:val="18"/>
        </w:rPr>
      </w:pPr>
    </w:p>
    <w:p w14:paraId="13CB54B4" w14:textId="77777777" w:rsidR="00E67A3F" w:rsidRDefault="00E67A3F">
      <w:pPr>
        <w:widowControl/>
        <w:rPr>
          <w:b/>
          <w:sz w:val="18"/>
          <w:szCs w:val="18"/>
        </w:rPr>
      </w:pPr>
      <w:r>
        <w:rPr>
          <w:b/>
          <w:sz w:val="18"/>
          <w:szCs w:val="18"/>
        </w:rPr>
        <w:br w:type="page"/>
      </w:r>
    </w:p>
    <w:p w14:paraId="7A7D44F2" w14:textId="77777777" w:rsidR="00E67A3F" w:rsidRPr="00A86884" w:rsidRDefault="00E67A3F" w:rsidP="00054FEE">
      <w:pPr>
        <w:widowControl/>
        <w:rPr>
          <w:sz w:val="18"/>
          <w:szCs w:val="18"/>
        </w:rPr>
      </w:pPr>
      <w:bookmarkStart w:id="150" w:name="_Toc491778949"/>
      <w:r w:rsidRPr="00A86884">
        <w:rPr>
          <w:sz w:val="18"/>
          <w:szCs w:val="18"/>
        </w:rPr>
        <w:lastRenderedPageBreak/>
        <w:t>Table</w:t>
      </w:r>
      <w:r w:rsidRPr="008D0DBB">
        <w:rPr>
          <w:b/>
          <w:sz w:val="18"/>
          <w:szCs w:val="18"/>
        </w:rPr>
        <w:t xml:space="preserve"> </w:t>
      </w:r>
      <w:fldSimple w:instr=" SEQ Table \* ARABIC ">
        <w:r w:rsidR="00F0628F">
          <w:rPr>
            <w:noProof/>
          </w:rPr>
          <w:t>3</w:t>
        </w:r>
      </w:fldSimple>
      <w:r w:rsidRPr="008D0DBB">
        <w:rPr>
          <w:b/>
          <w:sz w:val="18"/>
          <w:szCs w:val="18"/>
        </w:rPr>
        <w:t xml:space="preserve">: </w:t>
      </w:r>
      <w:r w:rsidRPr="00A86884">
        <w:rPr>
          <w:sz w:val="18"/>
          <w:szCs w:val="18"/>
        </w:rPr>
        <w:t>Substance identity of (1S,2S,5R,6R,9S,10S,13R,14R)-1,6,7,8,9,14,15,16,17,17,18,18-dodecachloropentacyclo[12.2.1.1</w:t>
      </w:r>
      <w:r w:rsidRPr="00B74CC5">
        <w:rPr>
          <w:sz w:val="18"/>
          <w:szCs w:val="18"/>
          <w:vertAlign w:val="superscript"/>
        </w:rPr>
        <w:t>6,9</w:t>
      </w:r>
      <w:r w:rsidRPr="00A86884">
        <w:rPr>
          <w:sz w:val="18"/>
          <w:szCs w:val="18"/>
        </w:rPr>
        <w:t>.0</w:t>
      </w:r>
      <w:r w:rsidRPr="00B74CC5">
        <w:rPr>
          <w:sz w:val="18"/>
          <w:szCs w:val="18"/>
          <w:vertAlign w:val="superscript"/>
        </w:rPr>
        <w:t>2,13</w:t>
      </w:r>
      <w:r w:rsidRPr="00A86884">
        <w:rPr>
          <w:sz w:val="18"/>
          <w:szCs w:val="18"/>
        </w:rPr>
        <w:t>.0</w:t>
      </w:r>
      <w:r w:rsidRPr="00B74CC5">
        <w:rPr>
          <w:sz w:val="18"/>
          <w:szCs w:val="18"/>
          <w:vertAlign w:val="superscript"/>
        </w:rPr>
        <w:t>5,10</w:t>
      </w:r>
      <w:r w:rsidRPr="00A86884">
        <w:rPr>
          <w:sz w:val="18"/>
          <w:szCs w:val="18"/>
        </w:rPr>
        <w:t>]octadeca-7,15-diene,  syn- (or endo ) Dechlorane Plus [3</w:t>
      </w:r>
      <w:r w:rsidR="002F12D4">
        <w:rPr>
          <w:sz w:val="18"/>
          <w:szCs w:val="18"/>
        </w:rPr>
        <w:t xml:space="preserve">, </w:t>
      </w:r>
      <w:r w:rsidR="002F12D4" w:rsidRPr="002F12D4">
        <w:rPr>
          <w:sz w:val="18"/>
          <w:szCs w:val="18"/>
        </w:rPr>
        <w:t>, see structural formula below</w:t>
      </w:r>
      <w:r w:rsidRPr="00A86884">
        <w:rPr>
          <w:sz w:val="18"/>
          <w:szCs w:val="18"/>
        </w:rPr>
        <w:t>]</w:t>
      </w:r>
      <w:bookmarkEnd w:id="150"/>
    </w:p>
    <w:p w14:paraId="32CAE3A9" w14:textId="77777777" w:rsidR="00E67A3F" w:rsidRDefault="00E67A3F" w:rsidP="00E67A3F">
      <w:pPr>
        <w:widowControl/>
        <w:rPr>
          <w:b/>
          <w:sz w:val="18"/>
          <w:szCs w:val="18"/>
        </w:rPr>
      </w:pPr>
    </w:p>
    <w:tbl>
      <w:tblPr>
        <w:tblW w:w="945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507"/>
        <w:gridCol w:w="6946"/>
      </w:tblGrid>
      <w:tr w:rsidR="00E67A3F" w:rsidRPr="002D039F" w14:paraId="26E0D09D" w14:textId="77777777" w:rsidTr="00E67A3F">
        <w:trPr>
          <w:trHeight w:val="363"/>
        </w:trPr>
        <w:tc>
          <w:tcPr>
            <w:tcW w:w="2507" w:type="dxa"/>
            <w:tcMar>
              <w:top w:w="40" w:type="dxa"/>
              <w:left w:w="40" w:type="dxa"/>
              <w:bottom w:w="40" w:type="dxa"/>
              <w:right w:w="40" w:type="dxa"/>
            </w:tcMar>
          </w:tcPr>
          <w:p w14:paraId="2C8CAC07" w14:textId="77777777" w:rsidR="00E67A3F" w:rsidRPr="008D0DBB" w:rsidRDefault="00E67A3F" w:rsidP="00E67A3F">
            <w:pPr>
              <w:pStyle w:val="TableRowHeader"/>
              <w:rPr>
                <w:sz w:val="18"/>
                <w:szCs w:val="18"/>
              </w:rPr>
            </w:pPr>
            <w:r w:rsidRPr="008D0DBB">
              <w:rPr>
                <w:sz w:val="18"/>
                <w:szCs w:val="18"/>
              </w:rPr>
              <w:t>EC number:</w:t>
            </w:r>
          </w:p>
        </w:tc>
        <w:tc>
          <w:tcPr>
            <w:tcW w:w="6946" w:type="dxa"/>
            <w:tcMar>
              <w:top w:w="40" w:type="dxa"/>
              <w:left w:w="40" w:type="dxa"/>
              <w:bottom w:w="40" w:type="dxa"/>
              <w:right w:w="40" w:type="dxa"/>
            </w:tcMar>
          </w:tcPr>
          <w:p w14:paraId="2BB05605" w14:textId="77777777" w:rsidR="00E67A3F" w:rsidRPr="002D039F" w:rsidRDefault="00E67A3F" w:rsidP="00E67A3F">
            <w:pPr>
              <w:rPr>
                <w:sz w:val="18"/>
                <w:szCs w:val="18"/>
                <w:lang w:eastAsia="da-DK"/>
              </w:rPr>
            </w:pPr>
            <w:r>
              <w:rPr>
                <w:rStyle w:val="reflink"/>
                <w:color w:val="000000" w:themeColor="text1"/>
                <w:sz w:val="18"/>
                <w:szCs w:val="18"/>
              </w:rPr>
              <w:t>-</w:t>
            </w:r>
          </w:p>
        </w:tc>
      </w:tr>
      <w:tr w:rsidR="00E67A3F" w:rsidRPr="005264AE" w14:paraId="2A7F3ED3" w14:textId="77777777" w:rsidTr="00E67A3F">
        <w:trPr>
          <w:trHeight w:val="371"/>
        </w:trPr>
        <w:tc>
          <w:tcPr>
            <w:tcW w:w="2507" w:type="dxa"/>
            <w:tcMar>
              <w:top w:w="40" w:type="dxa"/>
              <w:left w:w="40" w:type="dxa"/>
              <w:bottom w:w="40" w:type="dxa"/>
              <w:right w:w="40" w:type="dxa"/>
            </w:tcMar>
          </w:tcPr>
          <w:p w14:paraId="19AFE5DD" w14:textId="77777777" w:rsidR="00E67A3F" w:rsidRPr="008D0DBB" w:rsidRDefault="00E67A3F" w:rsidP="00E67A3F">
            <w:pPr>
              <w:pStyle w:val="TableRowHeader"/>
              <w:rPr>
                <w:sz w:val="18"/>
                <w:szCs w:val="18"/>
              </w:rPr>
            </w:pPr>
            <w:r w:rsidRPr="008D0DBB">
              <w:rPr>
                <w:sz w:val="18"/>
                <w:szCs w:val="18"/>
              </w:rPr>
              <w:t>EC name:</w:t>
            </w:r>
          </w:p>
        </w:tc>
        <w:tc>
          <w:tcPr>
            <w:tcW w:w="6946" w:type="dxa"/>
            <w:tcMar>
              <w:top w:w="40" w:type="dxa"/>
              <w:left w:w="40" w:type="dxa"/>
              <w:bottom w:w="40" w:type="dxa"/>
              <w:right w:w="40" w:type="dxa"/>
            </w:tcMar>
          </w:tcPr>
          <w:p w14:paraId="0C120610" w14:textId="77777777" w:rsidR="00E67A3F" w:rsidRPr="005264AE" w:rsidRDefault="00E67A3F" w:rsidP="00E67A3F">
            <w:r>
              <w:t>-</w:t>
            </w:r>
          </w:p>
        </w:tc>
      </w:tr>
      <w:tr w:rsidR="00E67A3F" w:rsidRPr="002D039F" w14:paraId="76B3C415" w14:textId="77777777" w:rsidTr="00E67A3F">
        <w:trPr>
          <w:trHeight w:val="760"/>
        </w:trPr>
        <w:tc>
          <w:tcPr>
            <w:tcW w:w="2507" w:type="dxa"/>
            <w:tcMar>
              <w:top w:w="40" w:type="dxa"/>
              <w:left w:w="40" w:type="dxa"/>
              <w:bottom w:w="40" w:type="dxa"/>
              <w:right w:w="40" w:type="dxa"/>
            </w:tcMar>
          </w:tcPr>
          <w:p w14:paraId="6E99E22A" w14:textId="77777777" w:rsidR="00E67A3F" w:rsidRPr="008D0DBB" w:rsidRDefault="00E67A3F" w:rsidP="00E67A3F">
            <w:pPr>
              <w:pStyle w:val="TableRowHeader"/>
              <w:rPr>
                <w:sz w:val="18"/>
                <w:szCs w:val="18"/>
              </w:rPr>
            </w:pPr>
            <w:r w:rsidRPr="008D0DBB">
              <w:rPr>
                <w:sz w:val="18"/>
                <w:szCs w:val="18"/>
              </w:rPr>
              <w:t>CAS number:</w:t>
            </w:r>
          </w:p>
          <w:p w14:paraId="20866A55" w14:textId="77777777" w:rsidR="00E67A3F" w:rsidRPr="008D0DBB" w:rsidRDefault="00E67A3F" w:rsidP="00E67A3F">
            <w:pPr>
              <w:pStyle w:val="TableRowHeader"/>
              <w:rPr>
                <w:sz w:val="18"/>
                <w:szCs w:val="18"/>
              </w:rPr>
            </w:pPr>
            <w:r w:rsidRPr="008D0DBB">
              <w:rPr>
                <w:sz w:val="18"/>
                <w:szCs w:val="18"/>
              </w:rPr>
              <w:t>Deleted CAS numbers:</w:t>
            </w:r>
          </w:p>
        </w:tc>
        <w:tc>
          <w:tcPr>
            <w:tcW w:w="6946" w:type="dxa"/>
            <w:tcMar>
              <w:top w:w="40" w:type="dxa"/>
              <w:left w:w="40" w:type="dxa"/>
              <w:bottom w:w="40" w:type="dxa"/>
              <w:right w:w="40" w:type="dxa"/>
            </w:tcMar>
          </w:tcPr>
          <w:p w14:paraId="5FAA0922" w14:textId="77777777" w:rsidR="00E67A3F" w:rsidRDefault="00E67A3F" w:rsidP="00DA2190">
            <w:pPr>
              <w:spacing w:after="120"/>
              <w:rPr>
                <w:sz w:val="18"/>
                <w:szCs w:val="18"/>
              </w:rPr>
            </w:pPr>
            <w:r w:rsidRPr="007515F3">
              <w:rPr>
                <w:sz w:val="18"/>
                <w:szCs w:val="18"/>
              </w:rPr>
              <w:t>135821-03-3</w:t>
            </w:r>
          </w:p>
          <w:p w14:paraId="192D376B" w14:textId="77777777" w:rsidR="004448DE" w:rsidRPr="002D039F" w:rsidRDefault="004448DE" w:rsidP="00DA2190">
            <w:pPr>
              <w:spacing w:after="120"/>
              <w:rPr>
                <w:sz w:val="18"/>
                <w:szCs w:val="18"/>
                <w:lang w:eastAsia="da-DK"/>
              </w:rPr>
            </w:pPr>
            <w:r>
              <w:rPr>
                <w:sz w:val="18"/>
                <w:szCs w:val="18"/>
              </w:rPr>
              <w:t>-</w:t>
            </w:r>
          </w:p>
        </w:tc>
      </w:tr>
      <w:tr w:rsidR="00E67A3F" w:rsidRPr="002D039F" w14:paraId="09F59AD0" w14:textId="77777777" w:rsidTr="00E67A3F">
        <w:trPr>
          <w:trHeight w:val="30"/>
        </w:trPr>
        <w:tc>
          <w:tcPr>
            <w:tcW w:w="2507" w:type="dxa"/>
            <w:tcMar>
              <w:top w:w="40" w:type="dxa"/>
              <w:left w:w="40" w:type="dxa"/>
              <w:bottom w:w="40" w:type="dxa"/>
              <w:right w:w="40" w:type="dxa"/>
            </w:tcMar>
          </w:tcPr>
          <w:p w14:paraId="69764D04" w14:textId="77777777" w:rsidR="00E67A3F" w:rsidRPr="008D0DBB" w:rsidRDefault="00E67A3F" w:rsidP="00E67A3F">
            <w:pPr>
              <w:pStyle w:val="TableRowHeader"/>
              <w:rPr>
                <w:sz w:val="18"/>
                <w:szCs w:val="18"/>
              </w:rPr>
            </w:pPr>
            <w:r w:rsidRPr="008D0DBB">
              <w:rPr>
                <w:sz w:val="18"/>
                <w:szCs w:val="18"/>
              </w:rPr>
              <w:t>CAS name:</w:t>
            </w:r>
          </w:p>
        </w:tc>
        <w:tc>
          <w:tcPr>
            <w:tcW w:w="6946" w:type="dxa"/>
            <w:tcMar>
              <w:top w:w="40" w:type="dxa"/>
              <w:left w:w="40" w:type="dxa"/>
              <w:bottom w:w="40" w:type="dxa"/>
              <w:right w:w="40" w:type="dxa"/>
            </w:tcMar>
          </w:tcPr>
          <w:p w14:paraId="7A75882A" w14:textId="77777777" w:rsidR="00E67A3F" w:rsidRPr="000B0AF1" w:rsidRDefault="00E67A3F" w:rsidP="00E67A3F">
            <w:pPr>
              <w:rPr>
                <w:sz w:val="18"/>
                <w:szCs w:val="18"/>
                <w:lang w:eastAsia="da-DK"/>
              </w:rPr>
            </w:pPr>
            <w:r w:rsidRPr="00DA2190">
              <w:rPr>
                <w:rStyle w:val="summarytablecell"/>
                <w:sz w:val="18"/>
                <w:szCs w:val="18"/>
              </w:rPr>
              <w:t>1,</w:t>
            </w:r>
            <w:r w:rsidRPr="00DA2190">
              <w:rPr>
                <w:rStyle w:val="summarytablecell"/>
                <w:rFonts w:ascii="Arial" w:hAnsi="Arial" w:cs="Arial"/>
                <w:sz w:val="18"/>
                <w:szCs w:val="18"/>
              </w:rPr>
              <w:t>​</w:t>
            </w:r>
            <w:r w:rsidRPr="00DA2190">
              <w:rPr>
                <w:rStyle w:val="summarytablecell"/>
                <w:sz w:val="18"/>
                <w:szCs w:val="18"/>
              </w:rPr>
              <w:t>4:7,</w:t>
            </w:r>
            <w:r w:rsidRPr="00DA2190">
              <w:rPr>
                <w:rStyle w:val="summarytablecell"/>
                <w:rFonts w:ascii="Arial" w:hAnsi="Arial" w:cs="Arial"/>
                <w:sz w:val="18"/>
                <w:szCs w:val="18"/>
              </w:rPr>
              <w:t>​</w:t>
            </w:r>
            <w:r w:rsidRPr="00DA2190">
              <w:rPr>
                <w:rStyle w:val="summarytablecell"/>
                <w:sz w:val="18"/>
                <w:szCs w:val="18"/>
              </w:rPr>
              <w:t>10-</w:t>
            </w:r>
            <w:r w:rsidRPr="00DA2190">
              <w:rPr>
                <w:rStyle w:val="summarytablecell"/>
                <w:rFonts w:ascii="Arial" w:hAnsi="Arial" w:cs="Arial"/>
                <w:sz w:val="18"/>
                <w:szCs w:val="18"/>
              </w:rPr>
              <w:t>​</w:t>
            </w:r>
            <w:r w:rsidRPr="00DA2190">
              <w:rPr>
                <w:rStyle w:val="summarytablecell"/>
                <w:sz w:val="18"/>
                <w:szCs w:val="18"/>
              </w:rPr>
              <w:t>Dimethanodibenzo[a,</w:t>
            </w:r>
            <w:r w:rsidRPr="00DA2190">
              <w:rPr>
                <w:rStyle w:val="summarytablecell"/>
                <w:rFonts w:ascii="Arial" w:hAnsi="Arial" w:cs="Arial"/>
                <w:sz w:val="18"/>
                <w:szCs w:val="18"/>
              </w:rPr>
              <w:t>​</w:t>
            </w:r>
            <w:r w:rsidRPr="00DA2190">
              <w:rPr>
                <w:rStyle w:val="summarytablecell"/>
                <w:sz w:val="18"/>
                <w:szCs w:val="18"/>
              </w:rPr>
              <w:t>e]</w:t>
            </w:r>
            <w:r w:rsidRPr="00DA2190">
              <w:rPr>
                <w:rStyle w:val="summarytablecell"/>
                <w:rFonts w:ascii="Arial" w:hAnsi="Arial" w:cs="Arial"/>
                <w:sz w:val="18"/>
                <w:szCs w:val="18"/>
              </w:rPr>
              <w:t>​</w:t>
            </w:r>
            <w:r w:rsidRPr="00DA2190">
              <w:rPr>
                <w:rStyle w:val="summarytablecell"/>
                <w:sz w:val="18"/>
                <w:szCs w:val="18"/>
              </w:rPr>
              <w:t>cyclooctene, 1,</w:t>
            </w:r>
            <w:r w:rsidRPr="00DA2190">
              <w:rPr>
                <w:rStyle w:val="summarytablecell"/>
                <w:rFonts w:ascii="Arial" w:hAnsi="Arial" w:cs="Arial"/>
                <w:sz w:val="18"/>
                <w:szCs w:val="18"/>
              </w:rPr>
              <w:t>​</w:t>
            </w:r>
            <w:r w:rsidRPr="00DA2190">
              <w:rPr>
                <w:rStyle w:val="summarytablecell"/>
                <w:sz w:val="18"/>
                <w:szCs w:val="18"/>
              </w:rPr>
              <w:t>2,</w:t>
            </w:r>
            <w:r w:rsidRPr="00DA2190">
              <w:rPr>
                <w:rStyle w:val="summarytablecell"/>
                <w:rFonts w:ascii="Arial" w:hAnsi="Arial" w:cs="Arial"/>
                <w:sz w:val="18"/>
                <w:szCs w:val="18"/>
              </w:rPr>
              <w:t>​</w:t>
            </w:r>
            <w:r w:rsidRPr="00DA2190">
              <w:rPr>
                <w:rStyle w:val="summarytablecell"/>
                <w:sz w:val="18"/>
                <w:szCs w:val="18"/>
              </w:rPr>
              <w:t>3,</w:t>
            </w:r>
            <w:r w:rsidRPr="00DA2190">
              <w:rPr>
                <w:rStyle w:val="summarytablecell"/>
                <w:rFonts w:ascii="Arial" w:hAnsi="Arial" w:cs="Arial"/>
                <w:sz w:val="18"/>
                <w:szCs w:val="18"/>
              </w:rPr>
              <w:t>​</w:t>
            </w:r>
            <w:r w:rsidRPr="00DA2190">
              <w:rPr>
                <w:rStyle w:val="summarytablecell"/>
                <w:sz w:val="18"/>
                <w:szCs w:val="18"/>
              </w:rPr>
              <w:t>4,</w:t>
            </w:r>
            <w:r w:rsidRPr="00DA2190">
              <w:rPr>
                <w:rStyle w:val="summarytablecell"/>
                <w:rFonts w:ascii="Arial" w:hAnsi="Arial" w:cs="Arial"/>
                <w:sz w:val="18"/>
                <w:szCs w:val="18"/>
              </w:rPr>
              <w:t>​</w:t>
            </w:r>
            <w:r w:rsidRPr="00DA2190">
              <w:rPr>
                <w:rStyle w:val="summarytablecell"/>
                <w:sz w:val="18"/>
                <w:szCs w:val="18"/>
              </w:rPr>
              <w:t>7,</w:t>
            </w:r>
            <w:r w:rsidRPr="00DA2190">
              <w:rPr>
                <w:rStyle w:val="summarytablecell"/>
                <w:rFonts w:ascii="Arial" w:hAnsi="Arial" w:cs="Arial"/>
                <w:sz w:val="18"/>
                <w:szCs w:val="18"/>
              </w:rPr>
              <w:t>​</w:t>
            </w:r>
            <w:r w:rsidRPr="00DA2190">
              <w:rPr>
                <w:rStyle w:val="summarytablecell"/>
                <w:sz w:val="18"/>
                <w:szCs w:val="18"/>
              </w:rPr>
              <w:t>8,</w:t>
            </w:r>
            <w:r w:rsidRPr="00DA2190">
              <w:rPr>
                <w:rStyle w:val="summarytablecell"/>
                <w:rFonts w:ascii="Arial" w:hAnsi="Arial" w:cs="Arial"/>
                <w:sz w:val="18"/>
                <w:szCs w:val="18"/>
              </w:rPr>
              <w:t>​</w:t>
            </w:r>
            <w:r w:rsidRPr="00DA2190">
              <w:rPr>
                <w:rStyle w:val="summarytablecell"/>
                <w:sz w:val="18"/>
                <w:szCs w:val="18"/>
              </w:rPr>
              <w:t>9,</w:t>
            </w:r>
            <w:r w:rsidRPr="00DA2190">
              <w:rPr>
                <w:rStyle w:val="summarytablecell"/>
                <w:rFonts w:ascii="Arial" w:hAnsi="Arial" w:cs="Arial"/>
                <w:sz w:val="18"/>
                <w:szCs w:val="18"/>
              </w:rPr>
              <w:t>​</w:t>
            </w:r>
            <w:r w:rsidRPr="00DA2190">
              <w:rPr>
                <w:rStyle w:val="summarytablecell"/>
                <w:sz w:val="18"/>
                <w:szCs w:val="18"/>
              </w:rPr>
              <w:t>10,</w:t>
            </w:r>
            <w:r w:rsidRPr="00DA2190">
              <w:rPr>
                <w:rStyle w:val="summarytablecell"/>
                <w:rFonts w:ascii="Arial" w:hAnsi="Arial" w:cs="Arial"/>
                <w:sz w:val="18"/>
                <w:szCs w:val="18"/>
              </w:rPr>
              <w:t>​</w:t>
            </w:r>
            <w:r w:rsidRPr="00DA2190">
              <w:rPr>
                <w:rStyle w:val="summarytablecell"/>
                <w:sz w:val="18"/>
                <w:szCs w:val="18"/>
              </w:rPr>
              <w:t>13,</w:t>
            </w:r>
            <w:r w:rsidRPr="00DA2190">
              <w:rPr>
                <w:rStyle w:val="summarytablecell"/>
                <w:rFonts w:ascii="Arial" w:hAnsi="Arial" w:cs="Arial"/>
                <w:sz w:val="18"/>
                <w:szCs w:val="18"/>
              </w:rPr>
              <w:t>​</w:t>
            </w:r>
            <w:r w:rsidRPr="00DA2190">
              <w:rPr>
                <w:rStyle w:val="summarytablecell"/>
                <w:sz w:val="18"/>
                <w:szCs w:val="18"/>
              </w:rPr>
              <w:t>13,</w:t>
            </w:r>
            <w:r w:rsidRPr="00DA2190">
              <w:rPr>
                <w:rStyle w:val="summarytablecell"/>
                <w:rFonts w:ascii="Arial" w:hAnsi="Arial" w:cs="Arial"/>
                <w:sz w:val="18"/>
                <w:szCs w:val="18"/>
              </w:rPr>
              <w:t>​</w:t>
            </w:r>
            <w:r w:rsidRPr="00DA2190">
              <w:rPr>
                <w:rStyle w:val="summarytablecell"/>
                <w:sz w:val="18"/>
                <w:szCs w:val="18"/>
              </w:rPr>
              <w:t>14,</w:t>
            </w:r>
            <w:r w:rsidRPr="00DA2190">
              <w:rPr>
                <w:rStyle w:val="summarytablecell"/>
                <w:rFonts w:ascii="Arial" w:hAnsi="Arial" w:cs="Arial"/>
                <w:sz w:val="18"/>
                <w:szCs w:val="18"/>
              </w:rPr>
              <w:t>​</w:t>
            </w:r>
            <w:r w:rsidRPr="00DA2190">
              <w:rPr>
                <w:rStyle w:val="summarytablecell"/>
                <w:sz w:val="18"/>
                <w:szCs w:val="18"/>
              </w:rPr>
              <w:t>14-</w:t>
            </w:r>
            <w:r w:rsidRPr="00DA2190">
              <w:rPr>
                <w:rStyle w:val="summarytablecell"/>
                <w:rFonts w:ascii="Arial" w:hAnsi="Arial" w:cs="Arial"/>
                <w:sz w:val="18"/>
                <w:szCs w:val="18"/>
              </w:rPr>
              <w:t>​</w:t>
            </w:r>
            <w:r w:rsidRPr="00DA2190">
              <w:rPr>
                <w:rStyle w:val="summarytablecell"/>
                <w:sz w:val="18"/>
                <w:szCs w:val="18"/>
              </w:rPr>
              <w:t>dodecachloro-</w:t>
            </w:r>
            <w:r w:rsidRPr="00DA2190">
              <w:rPr>
                <w:rStyle w:val="summarytablecell"/>
                <w:rFonts w:ascii="Arial" w:hAnsi="Arial" w:cs="Arial"/>
                <w:sz w:val="18"/>
                <w:szCs w:val="18"/>
              </w:rPr>
              <w:t>​</w:t>
            </w:r>
            <w:r w:rsidRPr="00DA2190">
              <w:rPr>
                <w:rStyle w:val="summarytablecell"/>
                <w:sz w:val="18"/>
                <w:szCs w:val="18"/>
              </w:rPr>
              <w:t>1,</w:t>
            </w:r>
            <w:r w:rsidRPr="00DA2190">
              <w:rPr>
                <w:rStyle w:val="summarytablecell"/>
                <w:rFonts w:ascii="Arial" w:hAnsi="Arial" w:cs="Arial"/>
                <w:sz w:val="18"/>
                <w:szCs w:val="18"/>
              </w:rPr>
              <w:t>​</w:t>
            </w:r>
            <w:r w:rsidRPr="00DA2190">
              <w:rPr>
                <w:rStyle w:val="summarytablecell"/>
                <w:sz w:val="18"/>
                <w:szCs w:val="18"/>
              </w:rPr>
              <w:t>4,</w:t>
            </w:r>
            <w:r w:rsidRPr="00DA2190">
              <w:rPr>
                <w:rStyle w:val="summarytablecell"/>
                <w:rFonts w:ascii="Arial" w:hAnsi="Arial" w:cs="Arial"/>
                <w:sz w:val="18"/>
                <w:szCs w:val="18"/>
              </w:rPr>
              <w:t>​</w:t>
            </w:r>
            <w:r w:rsidRPr="00DA2190">
              <w:rPr>
                <w:rStyle w:val="summarytablecell"/>
                <w:sz w:val="18"/>
                <w:szCs w:val="18"/>
              </w:rPr>
              <w:t>4a,</w:t>
            </w:r>
            <w:r w:rsidRPr="00DA2190">
              <w:rPr>
                <w:rStyle w:val="summarytablecell"/>
                <w:rFonts w:ascii="Arial" w:hAnsi="Arial" w:cs="Arial"/>
                <w:sz w:val="18"/>
                <w:szCs w:val="18"/>
              </w:rPr>
              <w:t>​</w:t>
            </w:r>
            <w:r w:rsidRPr="00DA2190">
              <w:rPr>
                <w:rStyle w:val="summarytablecell"/>
                <w:sz w:val="18"/>
                <w:szCs w:val="18"/>
              </w:rPr>
              <w:t>5,</w:t>
            </w:r>
            <w:r w:rsidRPr="00DA2190">
              <w:rPr>
                <w:rStyle w:val="summarytablecell"/>
                <w:rFonts w:ascii="Arial" w:hAnsi="Arial" w:cs="Arial"/>
                <w:sz w:val="18"/>
                <w:szCs w:val="18"/>
              </w:rPr>
              <w:t>​</w:t>
            </w:r>
            <w:r w:rsidRPr="00DA2190">
              <w:rPr>
                <w:rStyle w:val="summarytablecell"/>
                <w:sz w:val="18"/>
                <w:szCs w:val="18"/>
              </w:rPr>
              <w:t>6,</w:t>
            </w:r>
            <w:r w:rsidRPr="00DA2190">
              <w:rPr>
                <w:rStyle w:val="summarytablecell"/>
                <w:rFonts w:ascii="Arial" w:hAnsi="Arial" w:cs="Arial"/>
                <w:sz w:val="18"/>
                <w:szCs w:val="18"/>
              </w:rPr>
              <w:t>​</w:t>
            </w:r>
            <w:r w:rsidRPr="00DA2190">
              <w:rPr>
                <w:rStyle w:val="summarytablecell"/>
                <w:sz w:val="18"/>
                <w:szCs w:val="18"/>
              </w:rPr>
              <w:t>6a,</w:t>
            </w:r>
            <w:r w:rsidRPr="00DA2190">
              <w:rPr>
                <w:rStyle w:val="summarytablecell"/>
                <w:rFonts w:ascii="Arial" w:hAnsi="Arial" w:cs="Arial"/>
                <w:sz w:val="18"/>
                <w:szCs w:val="18"/>
              </w:rPr>
              <w:t>​</w:t>
            </w:r>
            <w:r w:rsidRPr="00DA2190">
              <w:rPr>
                <w:rStyle w:val="summarytablecell"/>
                <w:sz w:val="18"/>
                <w:szCs w:val="18"/>
              </w:rPr>
              <w:t>7,</w:t>
            </w:r>
            <w:r w:rsidRPr="00DA2190">
              <w:rPr>
                <w:rStyle w:val="summarytablecell"/>
                <w:rFonts w:ascii="Arial" w:hAnsi="Arial" w:cs="Arial"/>
                <w:sz w:val="18"/>
                <w:szCs w:val="18"/>
              </w:rPr>
              <w:t>​</w:t>
            </w:r>
            <w:r w:rsidRPr="00DA2190">
              <w:rPr>
                <w:rStyle w:val="summarytablecell"/>
                <w:sz w:val="18"/>
                <w:szCs w:val="18"/>
              </w:rPr>
              <w:t>10,</w:t>
            </w:r>
            <w:r w:rsidRPr="00DA2190">
              <w:rPr>
                <w:rStyle w:val="summarytablecell"/>
                <w:rFonts w:ascii="Arial" w:hAnsi="Arial" w:cs="Arial"/>
                <w:sz w:val="18"/>
                <w:szCs w:val="18"/>
              </w:rPr>
              <w:t>​</w:t>
            </w:r>
            <w:r w:rsidRPr="00DA2190">
              <w:rPr>
                <w:rStyle w:val="summarytablecell"/>
                <w:sz w:val="18"/>
                <w:szCs w:val="18"/>
              </w:rPr>
              <w:t>10a,</w:t>
            </w:r>
            <w:r w:rsidRPr="00DA2190">
              <w:rPr>
                <w:rStyle w:val="summarytablecell"/>
                <w:rFonts w:ascii="Arial" w:hAnsi="Arial" w:cs="Arial"/>
                <w:sz w:val="18"/>
                <w:szCs w:val="18"/>
              </w:rPr>
              <w:t>​</w:t>
            </w:r>
            <w:r w:rsidRPr="00DA2190">
              <w:rPr>
                <w:rStyle w:val="summarytablecell"/>
                <w:sz w:val="18"/>
                <w:szCs w:val="18"/>
              </w:rPr>
              <w:t>11,</w:t>
            </w:r>
            <w:r w:rsidRPr="00DA2190">
              <w:rPr>
                <w:rStyle w:val="summarytablecell"/>
                <w:rFonts w:ascii="Arial" w:hAnsi="Arial" w:cs="Arial"/>
                <w:sz w:val="18"/>
                <w:szCs w:val="18"/>
              </w:rPr>
              <w:t>​</w:t>
            </w:r>
            <w:r w:rsidRPr="00DA2190">
              <w:rPr>
                <w:rStyle w:val="summarytablecell"/>
                <w:sz w:val="18"/>
                <w:szCs w:val="18"/>
              </w:rPr>
              <w:t>12,</w:t>
            </w:r>
            <w:r w:rsidRPr="00DA2190">
              <w:rPr>
                <w:rStyle w:val="summarytablecell"/>
                <w:rFonts w:ascii="Arial" w:hAnsi="Arial" w:cs="Arial"/>
                <w:sz w:val="18"/>
                <w:szCs w:val="18"/>
              </w:rPr>
              <w:t>​</w:t>
            </w:r>
            <w:r w:rsidRPr="00DA2190">
              <w:rPr>
                <w:rStyle w:val="summarytablecell"/>
                <w:sz w:val="18"/>
                <w:szCs w:val="18"/>
              </w:rPr>
              <w:t>12a-</w:t>
            </w:r>
            <w:r w:rsidRPr="00DA2190">
              <w:rPr>
                <w:rStyle w:val="summarytablecell"/>
                <w:rFonts w:ascii="Arial" w:hAnsi="Arial" w:cs="Arial"/>
                <w:sz w:val="18"/>
                <w:szCs w:val="18"/>
              </w:rPr>
              <w:t>​</w:t>
            </w:r>
            <w:r w:rsidRPr="00DA2190">
              <w:rPr>
                <w:rStyle w:val="summarytablecell"/>
                <w:sz w:val="18"/>
                <w:szCs w:val="18"/>
              </w:rPr>
              <w:t>dodecahydro-</w:t>
            </w:r>
            <w:r w:rsidRPr="00DA2190">
              <w:rPr>
                <w:rStyle w:val="summarytablecell"/>
                <w:rFonts w:ascii="Arial" w:hAnsi="Arial" w:cs="Arial"/>
                <w:sz w:val="18"/>
                <w:szCs w:val="18"/>
              </w:rPr>
              <w:t>​</w:t>
            </w:r>
            <w:r w:rsidRPr="00DA2190">
              <w:rPr>
                <w:rStyle w:val="summarytablecell"/>
                <w:sz w:val="18"/>
                <w:szCs w:val="18"/>
              </w:rPr>
              <w:t>, (1</w:t>
            </w:r>
            <w:r w:rsidRPr="00DA2190">
              <w:rPr>
                <w:rStyle w:val="summarytablecell"/>
                <w:i/>
                <w:sz w:val="18"/>
                <w:szCs w:val="18"/>
              </w:rPr>
              <w:t>R</w:t>
            </w:r>
            <w:r w:rsidRPr="00DA2190">
              <w:rPr>
                <w:rStyle w:val="summarytablecell"/>
                <w:sz w:val="18"/>
                <w:szCs w:val="18"/>
              </w:rPr>
              <w:t>,</w:t>
            </w:r>
            <w:r w:rsidRPr="00DA2190">
              <w:rPr>
                <w:rStyle w:val="summarytablecell"/>
                <w:rFonts w:ascii="Arial" w:hAnsi="Arial" w:cs="Arial"/>
                <w:sz w:val="18"/>
                <w:szCs w:val="18"/>
              </w:rPr>
              <w:t>​</w:t>
            </w:r>
            <w:r w:rsidRPr="00DA2190">
              <w:rPr>
                <w:rStyle w:val="summarytablecell"/>
                <w:sz w:val="18"/>
                <w:szCs w:val="18"/>
              </w:rPr>
              <w:t>4</w:t>
            </w:r>
            <w:r w:rsidRPr="00DA2190">
              <w:rPr>
                <w:rStyle w:val="summarytablecell"/>
                <w:i/>
                <w:sz w:val="18"/>
                <w:szCs w:val="18"/>
              </w:rPr>
              <w:t>S</w:t>
            </w:r>
            <w:r w:rsidRPr="00DA2190">
              <w:rPr>
                <w:rStyle w:val="summarytablecell"/>
                <w:sz w:val="18"/>
                <w:szCs w:val="18"/>
              </w:rPr>
              <w:t>,</w:t>
            </w:r>
            <w:r w:rsidRPr="00DA2190">
              <w:rPr>
                <w:rStyle w:val="summarytablecell"/>
                <w:rFonts w:ascii="Arial" w:hAnsi="Arial" w:cs="Arial"/>
                <w:sz w:val="18"/>
                <w:szCs w:val="18"/>
              </w:rPr>
              <w:t>​</w:t>
            </w:r>
            <w:r w:rsidRPr="00DA2190">
              <w:rPr>
                <w:rStyle w:val="summarytablecell"/>
                <w:sz w:val="18"/>
                <w:szCs w:val="18"/>
              </w:rPr>
              <w:t>4a</w:t>
            </w:r>
            <w:r w:rsidRPr="00DA2190">
              <w:rPr>
                <w:rStyle w:val="summarytablecell"/>
                <w:i/>
                <w:sz w:val="18"/>
                <w:szCs w:val="18"/>
              </w:rPr>
              <w:t>S</w:t>
            </w:r>
            <w:r w:rsidRPr="00DA2190">
              <w:rPr>
                <w:rStyle w:val="summarytablecell"/>
                <w:sz w:val="18"/>
                <w:szCs w:val="18"/>
              </w:rPr>
              <w:t>,</w:t>
            </w:r>
            <w:r w:rsidRPr="00DA2190">
              <w:rPr>
                <w:rStyle w:val="summarytablecell"/>
                <w:rFonts w:ascii="Arial" w:hAnsi="Arial" w:cs="Arial"/>
                <w:sz w:val="18"/>
                <w:szCs w:val="18"/>
              </w:rPr>
              <w:t>​</w:t>
            </w:r>
            <w:r w:rsidRPr="00DA2190">
              <w:rPr>
                <w:rStyle w:val="summarytablecell"/>
                <w:sz w:val="18"/>
                <w:szCs w:val="18"/>
              </w:rPr>
              <w:t>6a</w:t>
            </w:r>
            <w:r w:rsidRPr="00DA2190">
              <w:rPr>
                <w:rStyle w:val="summarytablecell"/>
                <w:i/>
                <w:sz w:val="18"/>
                <w:szCs w:val="18"/>
              </w:rPr>
              <w:t>R</w:t>
            </w:r>
            <w:r w:rsidRPr="00DA2190">
              <w:rPr>
                <w:rStyle w:val="summarytablecell"/>
                <w:sz w:val="18"/>
                <w:szCs w:val="18"/>
              </w:rPr>
              <w:t>,</w:t>
            </w:r>
            <w:r w:rsidRPr="00DA2190">
              <w:rPr>
                <w:rStyle w:val="summarytablecell"/>
                <w:rFonts w:ascii="Arial" w:hAnsi="Arial" w:cs="Arial"/>
                <w:sz w:val="18"/>
                <w:szCs w:val="18"/>
              </w:rPr>
              <w:t>​</w:t>
            </w:r>
            <w:r w:rsidRPr="00DA2190">
              <w:rPr>
                <w:rStyle w:val="summarytablecell"/>
                <w:sz w:val="18"/>
                <w:szCs w:val="18"/>
              </w:rPr>
              <w:t>7</w:t>
            </w:r>
            <w:r w:rsidRPr="00DA2190">
              <w:rPr>
                <w:rStyle w:val="summarytablecell"/>
                <w:i/>
                <w:sz w:val="18"/>
                <w:szCs w:val="18"/>
              </w:rPr>
              <w:t>R</w:t>
            </w:r>
            <w:r w:rsidRPr="00DA2190">
              <w:rPr>
                <w:rStyle w:val="summarytablecell"/>
                <w:sz w:val="18"/>
                <w:szCs w:val="18"/>
              </w:rPr>
              <w:t>,</w:t>
            </w:r>
            <w:r w:rsidRPr="00DA2190">
              <w:rPr>
                <w:rStyle w:val="summarytablecell"/>
                <w:rFonts w:ascii="Arial" w:hAnsi="Arial" w:cs="Arial"/>
                <w:sz w:val="18"/>
                <w:szCs w:val="18"/>
              </w:rPr>
              <w:t>​</w:t>
            </w:r>
            <w:r w:rsidRPr="00DA2190">
              <w:rPr>
                <w:rStyle w:val="summarytablecell"/>
                <w:sz w:val="18"/>
                <w:szCs w:val="18"/>
              </w:rPr>
              <w:t>10</w:t>
            </w:r>
            <w:r w:rsidRPr="00DA2190">
              <w:rPr>
                <w:rStyle w:val="summarytablecell"/>
                <w:i/>
                <w:sz w:val="18"/>
                <w:szCs w:val="18"/>
              </w:rPr>
              <w:t>S</w:t>
            </w:r>
            <w:r w:rsidRPr="00DA2190">
              <w:rPr>
                <w:rStyle w:val="summarytablecell"/>
                <w:sz w:val="18"/>
                <w:szCs w:val="18"/>
              </w:rPr>
              <w:t>,</w:t>
            </w:r>
            <w:r w:rsidRPr="00DA2190">
              <w:rPr>
                <w:rStyle w:val="summarytablecell"/>
                <w:rFonts w:ascii="Arial" w:hAnsi="Arial" w:cs="Arial"/>
                <w:sz w:val="18"/>
                <w:szCs w:val="18"/>
              </w:rPr>
              <w:t>​</w:t>
            </w:r>
            <w:r w:rsidRPr="00DA2190">
              <w:rPr>
                <w:rStyle w:val="summarytablecell"/>
                <w:sz w:val="18"/>
                <w:szCs w:val="18"/>
              </w:rPr>
              <w:t>10a</w:t>
            </w:r>
            <w:r w:rsidRPr="00DA2190">
              <w:rPr>
                <w:rStyle w:val="summarytablecell"/>
                <w:i/>
                <w:sz w:val="18"/>
                <w:szCs w:val="18"/>
              </w:rPr>
              <w:t>S</w:t>
            </w:r>
            <w:r w:rsidRPr="00DA2190">
              <w:rPr>
                <w:rStyle w:val="summarytablecell"/>
                <w:sz w:val="18"/>
                <w:szCs w:val="18"/>
              </w:rPr>
              <w:t>,</w:t>
            </w:r>
            <w:r w:rsidRPr="00DA2190">
              <w:rPr>
                <w:rStyle w:val="summarytablecell"/>
                <w:rFonts w:ascii="Arial" w:hAnsi="Arial" w:cs="Arial"/>
                <w:sz w:val="18"/>
                <w:szCs w:val="18"/>
              </w:rPr>
              <w:t>​</w:t>
            </w:r>
            <w:r w:rsidRPr="00DA2190">
              <w:rPr>
                <w:rStyle w:val="summarytablecell"/>
                <w:sz w:val="18"/>
                <w:szCs w:val="18"/>
              </w:rPr>
              <w:t>12a</w:t>
            </w:r>
            <w:r w:rsidRPr="00DA2190">
              <w:rPr>
                <w:rStyle w:val="summarytablecell"/>
                <w:i/>
                <w:sz w:val="18"/>
                <w:szCs w:val="18"/>
              </w:rPr>
              <w:t>R</w:t>
            </w:r>
            <w:r w:rsidRPr="00DA2190">
              <w:rPr>
                <w:rStyle w:val="summarytablecell"/>
                <w:sz w:val="18"/>
                <w:szCs w:val="18"/>
              </w:rPr>
              <w:t>)</w:t>
            </w:r>
            <w:r w:rsidRPr="00DA2190">
              <w:rPr>
                <w:rStyle w:val="summarytablecell"/>
                <w:rFonts w:ascii="Arial" w:hAnsi="Arial" w:cs="Arial"/>
                <w:sz w:val="18"/>
                <w:szCs w:val="18"/>
              </w:rPr>
              <w:t>​</w:t>
            </w:r>
            <w:r w:rsidRPr="00DA2190">
              <w:rPr>
                <w:rStyle w:val="summarytablecell"/>
                <w:sz w:val="18"/>
                <w:szCs w:val="18"/>
              </w:rPr>
              <w:t>-</w:t>
            </w:r>
            <w:r w:rsidRPr="00DA2190">
              <w:rPr>
                <w:rStyle w:val="summarytablecell"/>
                <w:rFonts w:ascii="Arial" w:hAnsi="Arial" w:cs="Arial"/>
                <w:sz w:val="18"/>
                <w:szCs w:val="18"/>
              </w:rPr>
              <w:t>​</w:t>
            </w:r>
            <w:r w:rsidRPr="00DA2190">
              <w:rPr>
                <w:rStyle w:val="summarytablecell"/>
                <w:i/>
                <w:sz w:val="18"/>
                <w:szCs w:val="18"/>
              </w:rPr>
              <w:t>rel</w:t>
            </w:r>
            <w:r w:rsidRPr="00DA2190">
              <w:rPr>
                <w:rStyle w:val="summarytablecell"/>
                <w:sz w:val="18"/>
                <w:szCs w:val="18"/>
              </w:rPr>
              <w:t>-</w:t>
            </w:r>
          </w:p>
        </w:tc>
      </w:tr>
      <w:tr w:rsidR="00E67A3F" w:rsidRPr="002D039F" w14:paraId="0DE9ADFB" w14:textId="77777777" w:rsidTr="00E67A3F">
        <w:tc>
          <w:tcPr>
            <w:tcW w:w="2507" w:type="dxa"/>
            <w:tcMar>
              <w:top w:w="40" w:type="dxa"/>
              <w:left w:w="40" w:type="dxa"/>
              <w:bottom w:w="40" w:type="dxa"/>
              <w:right w:w="40" w:type="dxa"/>
            </w:tcMar>
          </w:tcPr>
          <w:p w14:paraId="2E40D23D" w14:textId="77777777" w:rsidR="00E67A3F" w:rsidRPr="008D0DBB" w:rsidRDefault="00E67A3F" w:rsidP="00E67A3F">
            <w:pPr>
              <w:pStyle w:val="TableRowHeader"/>
              <w:rPr>
                <w:sz w:val="18"/>
                <w:szCs w:val="18"/>
              </w:rPr>
            </w:pPr>
            <w:r w:rsidRPr="008D0DBB">
              <w:rPr>
                <w:sz w:val="18"/>
                <w:szCs w:val="18"/>
              </w:rPr>
              <w:t>IUPAC name:</w:t>
            </w:r>
          </w:p>
        </w:tc>
        <w:tc>
          <w:tcPr>
            <w:tcW w:w="6946" w:type="dxa"/>
            <w:tcMar>
              <w:top w:w="40" w:type="dxa"/>
              <w:left w:w="40" w:type="dxa"/>
              <w:bottom w:w="40" w:type="dxa"/>
              <w:right w:w="40" w:type="dxa"/>
            </w:tcMar>
          </w:tcPr>
          <w:p w14:paraId="07CE3C3D" w14:textId="7E87504D" w:rsidR="00E67A3F" w:rsidRPr="000B0AF1" w:rsidRDefault="00E67A3F" w:rsidP="00E67A3F">
            <w:pPr>
              <w:rPr>
                <w:sz w:val="18"/>
                <w:szCs w:val="18"/>
                <w:lang w:eastAsia="da-DK"/>
              </w:rPr>
            </w:pPr>
            <w:r w:rsidRPr="00DA2190">
              <w:rPr>
                <w:sz w:val="18"/>
                <w:szCs w:val="18"/>
              </w:rPr>
              <w:t>(1S,2S,5R,6R,9S,10S,13R,14R)-1,6,7,8,9,14,15,16,17,17,18,18-</w:t>
            </w:r>
            <w:r w:rsidR="000B0AF1">
              <w:rPr>
                <w:sz w:val="18"/>
                <w:szCs w:val="18"/>
              </w:rPr>
              <w:t>D</w:t>
            </w:r>
            <w:r w:rsidRPr="00DA2190">
              <w:rPr>
                <w:sz w:val="18"/>
                <w:szCs w:val="18"/>
              </w:rPr>
              <w:t>odecachloropentacyclo[12.2.1.1</w:t>
            </w:r>
            <w:r w:rsidRPr="00DA2190">
              <w:rPr>
                <w:sz w:val="18"/>
                <w:szCs w:val="18"/>
                <w:vertAlign w:val="superscript"/>
              </w:rPr>
              <w:t>6,9</w:t>
            </w:r>
            <w:r w:rsidRPr="00DA2190">
              <w:rPr>
                <w:sz w:val="18"/>
                <w:szCs w:val="18"/>
              </w:rPr>
              <w:t>.0</w:t>
            </w:r>
            <w:r w:rsidRPr="00DA2190">
              <w:rPr>
                <w:sz w:val="18"/>
                <w:szCs w:val="18"/>
                <w:vertAlign w:val="superscript"/>
              </w:rPr>
              <w:t>2,13</w:t>
            </w:r>
            <w:r w:rsidRPr="00DA2190">
              <w:rPr>
                <w:sz w:val="18"/>
                <w:szCs w:val="18"/>
              </w:rPr>
              <w:t>.0</w:t>
            </w:r>
            <w:r w:rsidRPr="00DA2190">
              <w:rPr>
                <w:sz w:val="18"/>
                <w:szCs w:val="18"/>
                <w:vertAlign w:val="superscript"/>
              </w:rPr>
              <w:t>5,10</w:t>
            </w:r>
            <w:r w:rsidRPr="00DA2190">
              <w:rPr>
                <w:sz w:val="18"/>
                <w:szCs w:val="18"/>
              </w:rPr>
              <w:t>]octadeca-7,15-diene</w:t>
            </w:r>
          </w:p>
        </w:tc>
      </w:tr>
      <w:tr w:rsidR="00E67A3F" w:rsidRPr="002D039F" w14:paraId="6E1101C3" w14:textId="77777777" w:rsidTr="00E67A3F">
        <w:tc>
          <w:tcPr>
            <w:tcW w:w="2507" w:type="dxa"/>
            <w:tcMar>
              <w:top w:w="40" w:type="dxa"/>
              <w:left w:w="40" w:type="dxa"/>
              <w:bottom w:w="40" w:type="dxa"/>
              <w:right w:w="40" w:type="dxa"/>
            </w:tcMar>
          </w:tcPr>
          <w:p w14:paraId="58C4240A" w14:textId="77777777" w:rsidR="00E67A3F" w:rsidRPr="008D0DBB" w:rsidRDefault="00E67A3F" w:rsidP="00DA2190">
            <w:pPr>
              <w:pStyle w:val="TableRowHeader"/>
              <w:jc w:val="left"/>
              <w:rPr>
                <w:sz w:val="18"/>
                <w:szCs w:val="18"/>
              </w:rPr>
            </w:pPr>
            <w:r w:rsidRPr="008D0DBB">
              <w:rPr>
                <w:sz w:val="18"/>
                <w:szCs w:val="18"/>
              </w:rPr>
              <w:t>Index number in Annex VI of the CLP Regulation</w:t>
            </w:r>
          </w:p>
        </w:tc>
        <w:tc>
          <w:tcPr>
            <w:tcW w:w="6946" w:type="dxa"/>
            <w:tcMar>
              <w:top w:w="40" w:type="dxa"/>
              <w:left w:w="40" w:type="dxa"/>
              <w:bottom w:w="40" w:type="dxa"/>
              <w:right w:w="40" w:type="dxa"/>
            </w:tcMar>
          </w:tcPr>
          <w:p w14:paraId="77A773C3" w14:textId="77777777" w:rsidR="00E67A3F" w:rsidRPr="002D039F" w:rsidRDefault="00E67A3F" w:rsidP="00E67A3F">
            <w:pPr>
              <w:rPr>
                <w:sz w:val="18"/>
                <w:szCs w:val="18"/>
                <w:lang w:eastAsia="da-DK"/>
              </w:rPr>
            </w:pPr>
            <w:r w:rsidRPr="002D039F">
              <w:rPr>
                <w:sz w:val="18"/>
                <w:szCs w:val="18"/>
                <w:lang w:eastAsia="da-DK"/>
              </w:rPr>
              <w:t>Not applicable</w:t>
            </w:r>
          </w:p>
        </w:tc>
      </w:tr>
      <w:tr w:rsidR="00E67A3F" w:rsidRPr="002D039F" w14:paraId="7A06BC21" w14:textId="77777777" w:rsidTr="00E67A3F">
        <w:tc>
          <w:tcPr>
            <w:tcW w:w="2507" w:type="dxa"/>
            <w:tcMar>
              <w:top w:w="40" w:type="dxa"/>
              <w:left w:w="40" w:type="dxa"/>
              <w:bottom w:w="40" w:type="dxa"/>
              <w:right w:w="40" w:type="dxa"/>
            </w:tcMar>
          </w:tcPr>
          <w:p w14:paraId="1D7D94D9" w14:textId="77777777" w:rsidR="00E67A3F" w:rsidRPr="008D0DBB" w:rsidRDefault="00E67A3F" w:rsidP="00DA2190">
            <w:pPr>
              <w:pStyle w:val="TableRowHeader"/>
              <w:jc w:val="left"/>
              <w:rPr>
                <w:sz w:val="18"/>
                <w:szCs w:val="18"/>
              </w:rPr>
            </w:pPr>
            <w:r w:rsidRPr="008D0DBB">
              <w:rPr>
                <w:sz w:val="18"/>
                <w:szCs w:val="18"/>
              </w:rPr>
              <w:t>Molecular formula:</w:t>
            </w:r>
          </w:p>
        </w:tc>
        <w:tc>
          <w:tcPr>
            <w:tcW w:w="6946" w:type="dxa"/>
            <w:tcMar>
              <w:top w:w="40" w:type="dxa"/>
              <w:left w:w="40" w:type="dxa"/>
              <w:bottom w:w="40" w:type="dxa"/>
              <w:right w:w="40" w:type="dxa"/>
            </w:tcMar>
          </w:tcPr>
          <w:p w14:paraId="75C3F7CF" w14:textId="77777777" w:rsidR="00E67A3F" w:rsidRPr="002D039F" w:rsidRDefault="00E67A3F" w:rsidP="00E67A3F">
            <w:pPr>
              <w:rPr>
                <w:sz w:val="18"/>
                <w:szCs w:val="18"/>
                <w:lang w:eastAsia="da-DK"/>
              </w:rPr>
            </w:pPr>
            <w:r w:rsidRPr="002D039F">
              <w:rPr>
                <w:rFonts w:eastAsia="Calibri"/>
                <w:sz w:val="18"/>
                <w:szCs w:val="18"/>
                <w:lang w:eastAsia="en-GB"/>
              </w:rPr>
              <w:t>C</w:t>
            </w:r>
            <w:r w:rsidRPr="002D039F">
              <w:rPr>
                <w:rFonts w:eastAsia="Calibri"/>
                <w:sz w:val="18"/>
                <w:szCs w:val="18"/>
                <w:vertAlign w:val="subscript"/>
                <w:lang w:eastAsia="en-GB"/>
              </w:rPr>
              <w:t>18</w:t>
            </w:r>
            <w:r w:rsidRPr="002D039F">
              <w:rPr>
                <w:rFonts w:eastAsia="Calibri"/>
                <w:sz w:val="18"/>
                <w:szCs w:val="18"/>
                <w:lang w:eastAsia="en-GB"/>
              </w:rPr>
              <w:t>H</w:t>
            </w:r>
            <w:r w:rsidRPr="002D039F">
              <w:rPr>
                <w:rFonts w:eastAsia="Calibri"/>
                <w:sz w:val="18"/>
                <w:szCs w:val="18"/>
                <w:vertAlign w:val="subscript"/>
                <w:lang w:eastAsia="en-GB"/>
              </w:rPr>
              <w:t>12</w:t>
            </w:r>
            <w:r w:rsidRPr="002D039F">
              <w:rPr>
                <w:rFonts w:eastAsia="Calibri"/>
                <w:sz w:val="18"/>
                <w:szCs w:val="18"/>
                <w:lang w:eastAsia="en-GB"/>
              </w:rPr>
              <w:t>Cl</w:t>
            </w:r>
            <w:r w:rsidRPr="002D039F">
              <w:rPr>
                <w:rFonts w:eastAsia="Calibri"/>
                <w:sz w:val="18"/>
                <w:szCs w:val="18"/>
                <w:vertAlign w:val="subscript"/>
                <w:lang w:eastAsia="en-GB"/>
              </w:rPr>
              <w:t>12</w:t>
            </w:r>
          </w:p>
        </w:tc>
      </w:tr>
      <w:tr w:rsidR="00E67A3F" w:rsidRPr="002D039F" w14:paraId="08164DC9" w14:textId="77777777" w:rsidTr="00E67A3F">
        <w:trPr>
          <w:trHeight w:val="407"/>
        </w:trPr>
        <w:tc>
          <w:tcPr>
            <w:tcW w:w="2507" w:type="dxa"/>
            <w:tcMar>
              <w:top w:w="40" w:type="dxa"/>
              <w:left w:w="40" w:type="dxa"/>
              <w:bottom w:w="40" w:type="dxa"/>
              <w:right w:w="40" w:type="dxa"/>
            </w:tcMar>
          </w:tcPr>
          <w:p w14:paraId="6F6C289C" w14:textId="77777777" w:rsidR="00E67A3F" w:rsidRPr="008D0DBB" w:rsidRDefault="00E67A3F" w:rsidP="00DA2190">
            <w:pPr>
              <w:pStyle w:val="TableRowHeader"/>
              <w:jc w:val="left"/>
              <w:rPr>
                <w:sz w:val="18"/>
                <w:szCs w:val="18"/>
              </w:rPr>
            </w:pPr>
            <w:r w:rsidRPr="008D0DBB">
              <w:rPr>
                <w:sz w:val="18"/>
                <w:szCs w:val="18"/>
              </w:rPr>
              <w:t>Molecular weight range:</w:t>
            </w:r>
          </w:p>
        </w:tc>
        <w:tc>
          <w:tcPr>
            <w:tcW w:w="6946" w:type="dxa"/>
            <w:tcMar>
              <w:top w:w="40" w:type="dxa"/>
              <w:left w:w="40" w:type="dxa"/>
              <w:bottom w:w="40" w:type="dxa"/>
              <w:right w:w="40" w:type="dxa"/>
            </w:tcMar>
          </w:tcPr>
          <w:p w14:paraId="235ED4CC" w14:textId="77777777" w:rsidR="00E67A3F" w:rsidRPr="002D039F" w:rsidRDefault="00E67A3F" w:rsidP="00E67A3F">
            <w:pPr>
              <w:rPr>
                <w:sz w:val="18"/>
                <w:szCs w:val="18"/>
                <w:lang w:eastAsia="da-DK"/>
              </w:rPr>
            </w:pPr>
            <w:r w:rsidRPr="002D039F">
              <w:rPr>
                <w:sz w:val="18"/>
                <w:szCs w:val="18"/>
              </w:rPr>
              <w:t>653.73</w:t>
            </w:r>
            <w:r w:rsidRPr="002D039F">
              <w:rPr>
                <w:bCs/>
                <w:sz w:val="18"/>
                <w:szCs w:val="18"/>
              </w:rPr>
              <w:t xml:space="preserve"> g/mole</w:t>
            </w:r>
          </w:p>
        </w:tc>
      </w:tr>
      <w:tr w:rsidR="00E67A3F" w:rsidRPr="002D039F" w14:paraId="4F6D66E2" w14:textId="77777777" w:rsidTr="00E67A3F">
        <w:trPr>
          <w:trHeight w:val="680"/>
        </w:trPr>
        <w:tc>
          <w:tcPr>
            <w:tcW w:w="2507" w:type="dxa"/>
            <w:tcMar>
              <w:top w:w="40" w:type="dxa"/>
              <w:left w:w="40" w:type="dxa"/>
              <w:bottom w:w="40" w:type="dxa"/>
              <w:right w:w="40" w:type="dxa"/>
            </w:tcMar>
          </w:tcPr>
          <w:p w14:paraId="5AB2C9EC" w14:textId="77777777" w:rsidR="00E67A3F" w:rsidRPr="008D0DBB" w:rsidRDefault="00E67A3F" w:rsidP="00E67A3F">
            <w:pPr>
              <w:pStyle w:val="TableRowHeader"/>
              <w:rPr>
                <w:sz w:val="18"/>
                <w:szCs w:val="18"/>
              </w:rPr>
            </w:pPr>
            <w:r w:rsidRPr="008D0DBB">
              <w:rPr>
                <w:sz w:val="18"/>
                <w:szCs w:val="18"/>
              </w:rPr>
              <w:t>Synonyms:</w:t>
            </w:r>
          </w:p>
        </w:tc>
        <w:tc>
          <w:tcPr>
            <w:tcW w:w="6946" w:type="dxa"/>
            <w:tcMar>
              <w:top w:w="40" w:type="dxa"/>
              <w:left w:w="40" w:type="dxa"/>
              <w:bottom w:w="40" w:type="dxa"/>
              <w:right w:w="40" w:type="dxa"/>
            </w:tcMar>
          </w:tcPr>
          <w:p w14:paraId="17F93B87" w14:textId="77777777" w:rsidR="00E67A3F" w:rsidRPr="002D039F" w:rsidRDefault="00E67A3F" w:rsidP="00E67A3F">
            <w:pPr>
              <w:rPr>
                <w:sz w:val="18"/>
                <w:szCs w:val="18"/>
              </w:rPr>
            </w:pPr>
            <w:r w:rsidRPr="00373CCC">
              <w:rPr>
                <w:bCs/>
                <w:sz w:val="18"/>
                <w:szCs w:val="18"/>
              </w:rPr>
              <w:t>syn-DP</w:t>
            </w:r>
            <w:r>
              <w:rPr>
                <w:bCs/>
                <w:sz w:val="18"/>
                <w:szCs w:val="18"/>
              </w:rPr>
              <w:t xml:space="preserve">, </w:t>
            </w:r>
            <w:r w:rsidRPr="00373CCC">
              <w:rPr>
                <w:bCs/>
                <w:sz w:val="18"/>
                <w:szCs w:val="18"/>
              </w:rPr>
              <w:t>syn-Dechlorane plus</w:t>
            </w:r>
            <w:r>
              <w:rPr>
                <w:bCs/>
                <w:sz w:val="18"/>
                <w:szCs w:val="18"/>
              </w:rPr>
              <w:t xml:space="preserve">, </w:t>
            </w:r>
            <w:r w:rsidRPr="00373CCC">
              <w:rPr>
                <w:bCs/>
                <w:sz w:val="18"/>
                <w:szCs w:val="18"/>
              </w:rPr>
              <w:t>syn-Dodecachloropentacyclooctadecadiene</w:t>
            </w:r>
          </w:p>
        </w:tc>
      </w:tr>
    </w:tbl>
    <w:p w14:paraId="3310D8D3" w14:textId="77777777" w:rsidR="00E67A3F" w:rsidRDefault="00E67A3F" w:rsidP="00E67A3F">
      <w:pPr>
        <w:widowControl/>
        <w:rPr>
          <w:rStyle w:val="Strong"/>
          <w:bCs/>
        </w:rPr>
      </w:pPr>
    </w:p>
    <w:p w14:paraId="285ADFA2" w14:textId="77777777" w:rsidR="00E67A3F" w:rsidRDefault="00E67A3F" w:rsidP="00E67A3F">
      <w:pPr>
        <w:widowControl/>
        <w:rPr>
          <w:rStyle w:val="Strong"/>
          <w:bCs/>
        </w:rPr>
      </w:pPr>
    </w:p>
    <w:p w14:paraId="4142208B" w14:textId="77777777" w:rsidR="00B12C39" w:rsidRDefault="00B12C39" w:rsidP="00E67A3F">
      <w:pPr>
        <w:widowControl/>
        <w:rPr>
          <w:rStyle w:val="Strong"/>
          <w:bCs/>
        </w:rPr>
      </w:pPr>
      <w:r w:rsidRPr="00127DF0">
        <w:rPr>
          <w:rStyle w:val="Strong"/>
          <w:bCs/>
        </w:rPr>
        <w:t>Structural formula:</w:t>
      </w:r>
    </w:p>
    <w:p w14:paraId="20E75468" w14:textId="77777777" w:rsidR="00BB0C44" w:rsidRDefault="00FC0298" w:rsidP="00B12C39">
      <w:pPr>
        <w:widowControl/>
        <w:spacing w:after="180"/>
        <w:jc w:val="both"/>
        <w:rPr>
          <w:rStyle w:val="Strong"/>
          <w:bCs/>
        </w:rPr>
      </w:pPr>
      <w:r w:rsidRPr="00627DA9">
        <w:rPr>
          <w:rFonts w:eastAsia="Calibri"/>
          <w:noProof/>
          <w:szCs w:val="24"/>
          <w:lang w:eastAsia="en-GB"/>
        </w:rPr>
        <w:drawing>
          <wp:anchor distT="0" distB="0" distL="114300" distR="114300" simplePos="0" relativeHeight="251730944" behindDoc="1" locked="0" layoutInCell="1" allowOverlap="1" wp14:anchorId="4F0D62DF" wp14:editId="4F96F03C">
            <wp:simplePos x="0" y="0"/>
            <wp:positionH relativeFrom="column">
              <wp:posOffset>1306830</wp:posOffset>
            </wp:positionH>
            <wp:positionV relativeFrom="paragraph">
              <wp:posOffset>91440</wp:posOffset>
            </wp:positionV>
            <wp:extent cx="2842260" cy="1550035"/>
            <wp:effectExtent l="0" t="0" r="0" b="0"/>
            <wp:wrapTight wrapText="bothSides">
              <wp:wrapPolygon edited="0">
                <wp:start x="0" y="0"/>
                <wp:lineTo x="0" y="21237"/>
                <wp:lineTo x="21426" y="21237"/>
                <wp:lineTo x="21426" y="0"/>
                <wp:lineTo x="0" y="0"/>
              </wp:wrapPolygon>
            </wp:wrapTight>
            <wp:docPr id="3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2260" cy="15500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59DE070" w14:textId="77777777" w:rsidR="00E67A3F" w:rsidRDefault="00E67A3F">
      <w:pPr>
        <w:widowControl/>
      </w:pPr>
      <w:bookmarkStart w:id="151" w:name="_Toc341888505"/>
      <w:bookmarkStart w:id="152" w:name="_Toc342400359"/>
      <w:bookmarkStart w:id="153" w:name="_Toc354499570"/>
      <w:bookmarkStart w:id="154" w:name="_Toc357083643"/>
      <w:bookmarkStart w:id="155" w:name="_Toc357184192"/>
      <w:bookmarkStart w:id="156" w:name="_Toc357184428"/>
      <w:bookmarkStart w:id="157" w:name="_Toc357185230"/>
      <w:bookmarkStart w:id="158" w:name="_Toc357186078"/>
      <w:bookmarkStart w:id="159" w:name="_Toc357186227"/>
      <w:bookmarkStart w:id="160" w:name="_Toc357437513"/>
      <w:bookmarkStart w:id="161" w:name="_Toc357590786"/>
      <w:bookmarkStart w:id="162" w:name="_Toc357692818"/>
      <w:bookmarkStart w:id="163" w:name="_Toc365649645"/>
      <w:bookmarkStart w:id="164" w:name="_Toc365649794"/>
      <w:bookmarkStart w:id="165" w:name="_Toc366489846"/>
      <w:bookmarkStart w:id="166" w:name="_Toc418498551"/>
      <w:bookmarkStart w:id="167" w:name="_Toc418505994"/>
    </w:p>
    <w:p w14:paraId="74B80D8A" w14:textId="77777777" w:rsidR="00E67A3F" w:rsidRDefault="00E67A3F">
      <w:pPr>
        <w:widowControl/>
      </w:pPr>
    </w:p>
    <w:p w14:paraId="53EC53B4" w14:textId="77777777" w:rsidR="00E67A3F" w:rsidRDefault="00E67A3F">
      <w:pPr>
        <w:widowControl/>
      </w:pPr>
    </w:p>
    <w:p w14:paraId="2C5401E0" w14:textId="77777777" w:rsidR="00E67A3F" w:rsidRDefault="00E67A3F">
      <w:pPr>
        <w:widowControl/>
      </w:pPr>
    </w:p>
    <w:p w14:paraId="2DD8ADEA" w14:textId="77777777" w:rsidR="00E67A3F" w:rsidRDefault="00E67A3F">
      <w:pPr>
        <w:widowControl/>
      </w:pPr>
    </w:p>
    <w:p w14:paraId="6C94C50B" w14:textId="77777777" w:rsidR="00E67A3F" w:rsidRDefault="00E67A3F">
      <w:pPr>
        <w:widowControl/>
      </w:pPr>
    </w:p>
    <w:p w14:paraId="22582B70" w14:textId="77777777" w:rsidR="00E67A3F" w:rsidRDefault="00E67A3F">
      <w:pPr>
        <w:widowControl/>
      </w:pPr>
    </w:p>
    <w:p w14:paraId="2B8725A8" w14:textId="77777777" w:rsidR="00E67A3F" w:rsidRDefault="00E67A3F">
      <w:pPr>
        <w:widowControl/>
      </w:pPr>
    </w:p>
    <w:p w14:paraId="7ABC59D2" w14:textId="77777777" w:rsidR="00E67A3F" w:rsidRDefault="00E67A3F">
      <w:pPr>
        <w:widowControl/>
      </w:pPr>
    </w:p>
    <w:p w14:paraId="26CECB8C" w14:textId="77777777" w:rsidR="00E67A3F" w:rsidRDefault="00E67A3F">
      <w:pPr>
        <w:widowControl/>
      </w:pPr>
    </w:p>
    <w:p w14:paraId="66636FE1" w14:textId="77777777" w:rsidR="001C6662" w:rsidRDefault="001C6662" w:rsidP="00E67A3F">
      <w:pPr>
        <w:widowControl/>
        <w:spacing w:after="180"/>
        <w:jc w:val="both"/>
        <w:rPr>
          <w:b/>
          <w:sz w:val="18"/>
          <w:szCs w:val="18"/>
        </w:rPr>
        <w:sectPr w:rsidR="001C6662" w:rsidSect="00063715">
          <w:pgSz w:w="11906" w:h="16838" w:code="9"/>
          <w:pgMar w:top="1440" w:right="1797" w:bottom="1440" w:left="1797" w:header="709" w:footer="709" w:gutter="0"/>
          <w:pgNumType w:start="1"/>
          <w:cols w:space="708"/>
          <w:docGrid w:linePitch="360"/>
        </w:sectPr>
      </w:pPr>
    </w:p>
    <w:p w14:paraId="0FC80985" w14:textId="77777777" w:rsidR="001C6662" w:rsidRDefault="000B0AF1" w:rsidP="00E67A3F">
      <w:pPr>
        <w:widowControl/>
        <w:spacing w:after="180"/>
        <w:jc w:val="both"/>
        <w:rPr>
          <w:b/>
          <w:sz w:val="18"/>
          <w:szCs w:val="18"/>
        </w:rPr>
      </w:pPr>
      <w:r>
        <w:rPr>
          <w:b/>
          <w:sz w:val="18"/>
          <w:szCs w:val="18"/>
        </w:rPr>
        <w:t xml:space="preserve">   </w:t>
      </w:r>
      <w:r w:rsidR="00E67A3F" w:rsidRPr="0035483E">
        <w:rPr>
          <w:b/>
          <w:sz w:val="18"/>
          <w:szCs w:val="18"/>
        </w:rPr>
        <w:t>anti- (or exo ) Dechlorane Plus</w:t>
      </w:r>
      <w:r w:rsidR="00E67A3F">
        <w:rPr>
          <w:b/>
          <w:sz w:val="18"/>
          <w:szCs w:val="18"/>
        </w:rPr>
        <w:t xml:space="preserve"> [2]</w:t>
      </w:r>
    </w:p>
    <w:p w14:paraId="0821F3AF" w14:textId="77777777" w:rsidR="001C6662" w:rsidRDefault="004448DE" w:rsidP="00E67A3F">
      <w:pPr>
        <w:widowControl/>
        <w:spacing w:after="180"/>
        <w:jc w:val="both"/>
        <w:rPr>
          <w:b/>
          <w:sz w:val="18"/>
          <w:szCs w:val="18"/>
        </w:rPr>
        <w:sectPr w:rsidR="001C6662" w:rsidSect="001C6662">
          <w:type w:val="continuous"/>
          <w:pgSz w:w="11906" w:h="16838" w:code="9"/>
          <w:pgMar w:top="1440" w:right="1797" w:bottom="1440" w:left="1797" w:header="709" w:footer="709" w:gutter="0"/>
          <w:pgNumType w:start="1"/>
          <w:cols w:num="2" w:space="708"/>
          <w:docGrid w:linePitch="360"/>
        </w:sectPr>
      </w:pPr>
      <w:r>
        <w:rPr>
          <w:b/>
          <w:sz w:val="18"/>
          <w:szCs w:val="18"/>
        </w:rPr>
        <w:t xml:space="preserve">    </w:t>
      </w:r>
      <w:r w:rsidR="00E67A3F">
        <w:rPr>
          <w:b/>
          <w:sz w:val="18"/>
          <w:szCs w:val="18"/>
        </w:rPr>
        <w:t>syn</w:t>
      </w:r>
      <w:r w:rsidR="00E67A3F" w:rsidRPr="0035483E">
        <w:rPr>
          <w:b/>
          <w:sz w:val="18"/>
          <w:szCs w:val="18"/>
        </w:rPr>
        <w:t>- (or e</w:t>
      </w:r>
      <w:r w:rsidR="00E67A3F">
        <w:rPr>
          <w:b/>
          <w:sz w:val="18"/>
          <w:szCs w:val="18"/>
        </w:rPr>
        <w:t>nd</w:t>
      </w:r>
      <w:r w:rsidR="00E67A3F" w:rsidRPr="0035483E">
        <w:rPr>
          <w:b/>
          <w:sz w:val="18"/>
          <w:szCs w:val="18"/>
        </w:rPr>
        <w:t>o )</w:t>
      </w:r>
      <w:r w:rsidR="00E67A3F" w:rsidRPr="00F1163D">
        <w:rPr>
          <w:b/>
          <w:sz w:val="18"/>
          <w:szCs w:val="18"/>
        </w:rPr>
        <w:t xml:space="preserve"> </w:t>
      </w:r>
      <w:r w:rsidR="00E67A3F" w:rsidRPr="0035483E">
        <w:rPr>
          <w:b/>
          <w:sz w:val="18"/>
          <w:szCs w:val="18"/>
        </w:rPr>
        <w:t>Dechlorane Plus</w:t>
      </w:r>
      <w:r w:rsidR="00E67A3F">
        <w:rPr>
          <w:b/>
          <w:sz w:val="18"/>
          <w:szCs w:val="18"/>
        </w:rPr>
        <w:t xml:space="preserve"> [3]</w:t>
      </w:r>
    </w:p>
    <w:p w14:paraId="198E352D" w14:textId="77777777" w:rsidR="00E67A3F" w:rsidRDefault="000B0AF1" w:rsidP="00E67A3F">
      <w:pPr>
        <w:widowControl/>
        <w:spacing w:after="180"/>
        <w:jc w:val="both"/>
      </w:pPr>
      <w:r>
        <w:rPr>
          <w:noProof/>
          <w:lang w:eastAsia="en-GB"/>
        </w:rPr>
        <w:drawing>
          <wp:anchor distT="0" distB="0" distL="114300" distR="114300" simplePos="0" relativeHeight="251798528" behindDoc="1" locked="0" layoutInCell="1" allowOverlap="1" wp14:anchorId="6C8B04DC" wp14:editId="2C466EAC">
            <wp:simplePos x="0" y="0"/>
            <wp:positionH relativeFrom="column">
              <wp:posOffset>2736479</wp:posOffset>
            </wp:positionH>
            <wp:positionV relativeFrom="paragraph">
              <wp:posOffset>238760</wp:posOffset>
            </wp:positionV>
            <wp:extent cx="2590800" cy="1457325"/>
            <wp:effectExtent l="0" t="0" r="0" b="9525"/>
            <wp:wrapTight wrapText="bothSides">
              <wp:wrapPolygon edited="0">
                <wp:start x="0" y="0"/>
                <wp:lineTo x="0" y="21459"/>
                <wp:lineTo x="21441" y="21459"/>
                <wp:lineTo x="2144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590800" cy="1457325"/>
                    </a:xfrm>
                    <a:prstGeom prst="rect">
                      <a:avLst/>
                    </a:prstGeom>
                  </pic:spPr>
                </pic:pic>
              </a:graphicData>
            </a:graphic>
            <wp14:sizeRelH relativeFrom="page">
              <wp14:pctWidth>0</wp14:pctWidth>
            </wp14:sizeRelH>
            <wp14:sizeRelV relativeFrom="page">
              <wp14:pctHeight>0</wp14:pctHeight>
            </wp14:sizeRelV>
          </wp:anchor>
        </w:drawing>
      </w:r>
      <w:r w:rsidR="004448DE">
        <w:rPr>
          <w:noProof/>
          <w:lang w:eastAsia="en-GB"/>
        </w:rPr>
        <w:drawing>
          <wp:anchor distT="0" distB="0" distL="114300" distR="114300" simplePos="0" relativeHeight="251799552" behindDoc="1" locked="0" layoutInCell="1" allowOverlap="1" wp14:anchorId="251094FA" wp14:editId="08300228">
            <wp:simplePos x="0" y="0"/>
            <wp:positionH relativeFrom="margin">
              <wp:align>left</wp:align>
            </wp:positionH>
            <wp:positionV relativeFrom="paragraph">
              <wp:posOffset>3055</wp:posOffset>
            </wp:positionV>
            <wp:extent cx="2571750" cy="1466850"/>
            <wp:effectExtent l="0" t="0" r="0" b="0"/>
            <wp:wrapTight wrapText="bothSides">
              <wp:wrapPolygon edited="0">
                <wp:start x="0" y="0"/>
                <wp:lineTo x="0" y="21319"/>
                <wp:lineTo x="21440" y="21319"/>
                <wp:lineTo x="2144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571750" cy="1466850"/>
                    </a:xfrm>
                    <a:prstGeom prst="rect">
                      <a:avLst/>
                    </a:prstGeom>
                  </pic:spPr>
                </pic:pic>
              </a:graphicData>
            </a:graphic>
            <wp14:sizeRelH relativeFrom="page">
              <wp14:pctWidth>0</wp14:pctWidth>
            </wp14:sizeRelH>
            <wp14:sizeRelV relativeFrom="page">
              <wp14:pctHeight>0</wp14:pctHeight>
            </wp14:sizeRelV>
          </wp:anchor>
        </w:drawing>
      </w:r>
      <w:r w:rsidR="004448DE">
        <w:rPr>
          <w:noProof/>
          <w:lang w:eastAsia="en-GB"/>
        </w:rPr>
        <w:t xml:space="preserve"> </w:t>
      </w:r>
    </w:p>
    <w:p w14:paraId="7F9AC673" w14:textId="77777777" w:rsidR="00F56672" w:rsidRDefault="00E67A3F" w:rsidP="00E67A3F">
      <w:pPr>
        <w:widowControl/>
        <w:rPr>
          <w:rFonts w:cs="Arial"/>
          <w:b/>
          <w:color w:val="0046AD"/>
          <w:sz w:val="24"/>
          <w:szCs w:val="22"/>
        </w:rPr>
      </w:pPr>
      <w:r>
        <w:tab/>
      </w:r>
      <w:r w:rsidR="00F56672">
        <w:br w:type="page"/>
      </w:r>
    </w:p>
    <w:p w14:paraId="6FBC3870" w14:textId="77777777" w:rsidR="00B12C39" w:rsidRDefault="00BB6734" w:rsidP="00BB6734">
      <w:pPr>
        <w:pStyle w:val="Heading2"/>
      </w:pPr>
      <w:bookmarkStart w:id="168" w:name="_Toc491862218"/>
      <w:r>
        <w:lastRenderedPageBreak/>
        <w:t xml:space="preserve">1.2 </w:t>
      </w:r>
      <w:r w:rsidR="00B12C39" w:rsidRPr="003F2F19">
        <w:t>Composition</w:t>
      </w:r>
      <w:r w:rsidR="00B12C39">
        <w:t xml:space="preserve"> </w:t>
      </w:r>
      <w:r w:rsidR="00B12C39" w:rsidRPr="003F2F19">
        <w:t>of the substance</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22CE1AE6" w14:textId="77777777" w:rsidR="00A86884" w:rsidRPr="00F0628F" w:rsidRDefault="00725169" w:rsidP="00A86884">
      <w:pPr>
        <w:widowControl/>
        <w:tabs>
          <w:tab w:val="left" w:pos="3261"/>
        </w:tabs>
        <w:spacing w:after="120"/>
        <w:rPr>
          <w:rStyle w:val="Strong"/>
          <w:bCs/>
        </w:rPr>
      </w:pPr>
      <w:r w:rsidRPr="00F0628F">
        <w:rPr>
          <w:rStyle w:val="Strong"/>
          <w:bCs/>
        </w:rPr>
        <w:t xml:space="preserve">Name: </w:t>
      </w:r>
      <w:r w:rsidR="00B02A4C" w:rsidRPr="00627DA9">
        <w:rPr>
          <w:rFonts w:eastAsia="Calibri"/>
          <w:b/>
          <w:szCs w:val="24"/>
          <w:lang w:eastAsia="en-GB"/>
        </w:rPr>
        <w:t>Dechlorane Plus</w:t>
      </w:r>
      <w:r w:rsidR="00B02A4C" w:rsidRPr="00627DA9">
        <w:rPr>
          <w:rFonts w:eastAsia="Calibri"/>
          <w:b/>
          <w:szCs w:val="24"/>
          <w:vertAlign w:val="superscript"/>
          <w:lang w:eastAsia="en-GB"/>
        </w:rPr>
        <w:t>TM</w:t>
      </w:r>
      <w:r w:rsidR="00B02A4C" w:rsidRPr="00F0628F">
        <w:rPr>
          <w:rStyle w:val="Strong"/>
          <w:bCs/>
        </w:rPr>
        <w:t xml:space="preserve"> </w:t>
      </w:r>
    </w:p>
    <w:p w14:paraId="57EAA6EB" w14:textId="77777777" w:rsidR="00625426" w:rsidRDefault="00725169" w:rsidP="00A86884">
      <w:pPr>
        <w:widowControl/>
        <w:tabs>
          <w:tab w:val="left" w:pos="3261"/>
        </w:tabs>
        <w:spacing w:after="180"/>
        <w:rPr>
          <w:rStyle w:val="Strong"/>
          <w:b w:val="0"/>
          <w:bCs/>
        </w:rPr>
      </w:pPr>
      <w:r w:rsidRPr="00625426">
        <w:rPr>
          <w:rStyle w:val="Strong"/>
          <w:bCs/>
        </w:rPr>
        <w:t xml:space="preserve">Substance type: </w:t>
      </w:r>
      <w:r w:rsidR="00CC7BB1" w:rsidRPr="007D7BB2">
        <w:rPr>
          <w:rStyle w:val="Strong"/>
          <w:b w:val="0"/>
          <w:bCs/>
        </w:rPr>
        <w:t>not applicable (group entry)</w:t>
      </w:r>
    </w:p>
    <w:p w14:paraId="60127C81" w14:textId="77777777" w:rsidR="00725169" w:rsidRPr="00625426" w:rsidRDefault="00625426" w:rsidP="00A86884">
      <w:pPr>
        <w:widowControl/>
        <w:tabs>
          <w:tab w:val="left" w:pos="3261"/>
        </w:tabs>
        <w:spacing w:after="180"/>
        <w:rPr>
          <w:rStyle w:val="Strong"/>
          <w:bCs/>
        </w:rPr>
      </w:pPr>
      <w:r>
        <w:rPr>
          <w:rStyle w:val="Strong"/>
          <w:b w:val="0"/>
          <w:bCs/>
        </w:rPr>
        <w:t xml:space="preserve">The information in this section </w:t>
      </w:r>
      <w:r w:rsidRPr="00314D9F">
        <w:t>is for the substance containing both the anti- and the syn- isomers as main constituents</w:t>
      </w:r>
      <w:r w:rsidR="000B0AF1">
        <w:t>.</w:t>
      </w:r>
      <w:r>
        <w:rPr>
          <w:rStyle w:val="Strong"/>
          <w:b w:val="0"/>
          <w:bCs/>
        </w:rPr>
        <w:t xml:space="preserve"> </w:t>
      </w:r>
    </w:p>
    <w:p w14:paraId="403F59B9" w14:textId="77777777" w:rsidR="00725169" w:rsidRPr="00F558AF" w:rsidRDefault="00725169" w:rsidP="00F558AF">
      <w:pPr>
        <w:pStyle w:val="Caption"/>
      </w:pPr>
      <w:bookmarkStart w:id="169" w:name="_Toc491778950"/>
      <w:r w:rsidRPr="00F558AF">
        <w:t xml:space="preserve">Table </w:t>
      </w:r>
      <w:fldSimple w:instr=" SEQ Table \* ARABIC ">
        <w:r w:rsidR="00F0628F">
          <w:rPr>
            <w:noProof/>
          </w:rPr>
          <w:t>4</w:t>
        </w:r>
      </w:fldSimple>
      <w:r w:rsidRPr="00F558AF">
        <w:t>: Constituents other than impurities/additives</w:t>
      </w:r>
      <w:bookmarkEnd w:id="169"/>
    </w:p>
    <w:tbl>
      <w:tblPr>
        <w:tblW w:w="82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6"/>
        <w:gridCol w:w="1701"/>
        <w:gridCol w:w="1952"/>
        <w:gridCol w:w="1592"/>
      </w:tblGrid>
      <w:tr w:rsidR="00725169" w:rsidRPr="0067016F" w14:paraId="76B9B0E9" w14:textId="77777777" w:rsidTr="00063715">
        <w:tc>
          <w:tcPr>
            <w:tcW w:w="3006" w:type="dxa"/>
            <w:tcBorders>
              <w:top w:val="single" w:sz="4" w:space="0" w:color="auto"/>
              <w:left w:val="single" w:sz="4" w:space="0" w:color="auto"/>
              <w:bottom w:val="single" w:sz="4" w:space="0" w:color="auto"/>
              <w:right w:val="single" w:sz="4" w:space="0" w:color="auto"/>
            </w:tcBorders>
          </w:tcPr>
          <w:p w14:paraId="5961E785" w14:textId="77777777" w:rsidR="00725169" w:rsidRPr="008D0DBB" w:rsidRDefault="00725169" w:rsidP="00021FE4">
            <w:pPr>
              <w:pStyle w:val="TableRowHeader"/>
              <w:jc w:val="center"/>
              <w:rPr>
                <w:sz w:val="18"/>
                <w:szCs w:val="18"/>
              </w:rPr>
            </w:pPr>
            <w:r w:rsidRPr="008D0DBB">
              <w:rPr>
                <w:sz w:val="18"/>
                <w:szCs w:val="18"/>
              </w:rPr>
              <w:t>Constituents</w:t>
            </w:r>
          </w:p>
        </w:tc>
        <w:tc>
          <w:tcPr>
            <w:tcW w:w="1701" w:type="dxa"/>
            <w:tcBorders>
              <w:top w:val="single" w:sz="4" w:space="0" w:color="auto"/>
              <w:left w:val="single" w:sz="4" w:space="0" w:color="auto"/>
              <w:bottom w:val="single" w:sz="4" w:space="0" w:color="auto"/>
              <w:right w:val="single" w:sz="4" w:space="0" w:color="auto"/>
            </w:tcBorders>
          </w:tcPr>
          <w:p w14:paraId="1BFBC6F0" w14:textId="77777777" w:rsidR="00725169" w:rsidRPr="008D0DBB" w:rsidRDefault="00725169" w:rsidP="00335776">
            <w:pPr>
              <w:pStyle w:val="TableRowHeader"/>
              <w:ind w:left="0"/>
              <w:jc w:val="center"/>
              <w:rPr>
                <w:sz w:val="18"/>
                <w:szCs w:val="18"/>
              </w:rPr>
            </w:pPr>
            <w:r w:rsidRPr="008D0DBB">
              <w:rPr>
                <w:sz w:val="18"/>
                <w:szCs w:val="18"/>
              </w:rPr>
              <w:t>Typical concentration</w:t>
            </w:r>
          </w:p>
        </w:tc>
        <w:tc>
          <w:tcPr>
            <w:tcW w:w="1952" w:type="dxa"/>
            <w:tcBorders>
              <w:top w:val="single" w:sz="4" w:space="0" w:color="auto"/>
              <w:left w:val="single" w:sz="4" w:space="0" w:color="auto"/>
              <w:bottom w:val="single" w:sz="4" w:space="0" w:color="auto"/>
              <w:right w:val="single" w:sz="4" w:space="0" w:color="auto"/>
            </w:tcBorders>
          </w:tcPr>
          <w:p w14:paraId="250BB510" w14:textId="77777777" w:rsidR="00725169" w:rsidRPr="008D0DBB" w:rsidRDefault="00725169" w:rsidP="00335776">
            <w:pPr>
              <w:pStyle w:val="TableRowHeader"/>
              <w:ind w:left="0"/>
              <w:jc w:val="center"/>
              <w:rPr>
                <w:sz w:val="18"/>
                <w:szCs w:val="18"/>
              </w:rPr>
            </w:pPr>
            <w:r w:rsidRPr="008D0DBB">
              <w:rPr>
                <w:sz w:val="18"/>
                <w:szCs w:val="18"/>
              </w:rPr>
              <w:t>Concentration range</w:t>
            </w:r>
            <w:r w:rsidR="00F56672">
              <w:rPr>
                <w:sz w:val="18"/>
                <w:szCs w:val="18"/>
              </w:rPr>
              <w:t xml:space="preserve"> (w/w)</w:t>
            </w:r>
          </w:p>
        </w:tc>
        <w:tc>
          <w:tcPr>
            <w:tcW w:w="1592" w:type="dxa"/>
            <w:tcBorders>
              <w:top w:val="single" w:sz="4" w:space="0" w:color="auto"/>
              <w:left w:val="single" w:sz="4" w:space="0" w:color="auto"/>
              <w:bottom w:val="single" w:sz="4" w:space="0" w:color="auto"/>
              <w:right w:val="single" w:sz="4" w:space="0" w:color="auto"/>
            </w:tcBorders>
          </w:tcPr>
          <w:p w14:paraId="4D2DF26A" w14:textId="77777777" w:rsidR="00725169" w:rsidRPr="008D0DBB" w:rsidRDefault="00725169" w:rsidP="00335776">
            <w:pPr>
              <w:pStyle w:val="TableRowHeader"/>
              <w:ind w:left="0"/>
              <w:jc w:val="center"/>
              <w:rPr>
                <w:sz w:val="18"/>
                <w:szCs w:val="18"/>
              </w:rPr>
            </w:pPr>
            <w:r w:rsidRPr="008D0DBB">
              <w:rPr>
                <w:sz w:val="18"/>
                <w:szCs w:val="18"/>
              </w:rPr>
              <w:t>Re</w:t>
            </w:r>
            <w:r w:rsidR="00F56672">
              <w:rPr>
                <w:sz w:val="18"/>
                <w:szCs w:val="18"/>
              </w:rPr>
              <w:t>ference</w:t>
            </w:r>
          </w:p>
        </w:tc>
      </w:tr>
      <w:tr w:rsidR="00725169" w:rsidRPr="0067016F" w14:paraId="2A817B69" w14:textId="77777777" w:rsidTr="00063715">
        <w:tc>
          <w:tcPr>
            <w:tcW w:w="3006" w:type="dxa"/>
            <w:tcBorders>
              <w:top w:val="single" w:sz="4" w:space="0" w:color="auto"/>
              <w:bottom w:val="single" w:sz="4" w:space="0" w:color="auto"/>
            </w:tcBorders>
          </w:tcPr>
          <w:p w14:paraId="4CC4C3C5" w14:textId="77777777" w:rsidR="00725169" w:rsidRPr="008D3677" w:rsidRDefault="00FF3BC4" w:rsidP="00335776">
            <w:pPr>
              <w:pStyle w:val="StyleTableRowHeaderItalic"/>
              <w:jc w:val="left"/>
              <w:rPr>
                <w:b w:val="0"/>
                <w:i w:val="0"/>
                <w:sz w:val="18"/>
                <w:szCs w:val="18"/>
              </w:rPr>
            </w:pPr>
            <w:r w:rsidRPr="002D039F">
              <w:rPr>
                <w:b w:val="0"/>
                <w:i w:val="0"/>
                <w:sz w:val="18"/>
                <w:szCs w:val="18"/>
              </w:rPr>
              <w:t>anti- (or exo</w:t>
            </w:r>
            <w:r w:rsidRPr="002D039F">
              <w:rPr>
                <w:b w:val="0"/>
                <w:i w:val="0"/>
                <w:sz w:val="18"/>
                <w:szCs w:val="18"/>
              </w:rPr>
              <w:noBreakHyphen/>
              <w:t>)Dechlorane Plus (</w:t>
            </w:r>
            <w:r w:rsidRPr="002D039F">
              <w:rPr>
                <w:b w:val="0"/>
                <w:i w:val="0"/>
                <w:sz w:val="18"/>
                <w:szCs w:val="18"/>
                <w:lang w:eastAsia="en-GB"/>
              </w:rPr>
              <w:t>CAS no. 135821</w:t>
            </w:r>
            <w:r w:rsidRPr="002D039F">
              <w:rPr>
                <w:b w:val="0"/>
                <w:i w:val="0"/>
                <w:sz w:val="18"/>
                <w:szCs w:val="18"/>
                <w:lang w:eastAsia="en-GB"/>
              </w:rPr>
              <w:noBreakHyphen/>
              <w:t>74</w:t>
            </w:r>
            <w:r w:rsidRPr="002D039F">
              <w:rPr>
                <w:b w:val="0"/>
                <w:i w:val="0"/>
                <w:sz w:val="18"/>
                <w:szCs w:val="18"/>
                <w:lang w:eastAsia="en-GB"/>
              </w:rPr>
              <w:noBreakHyphen/>
              <w:t>8</w:t>
            </w:r>
            <w:r w:rsidRPr="002D039F">
              <w:rPr>
                <w:b w:val="0"/>
                <w:i w:val="0"/>
                <w:sz w:val="18"/>
                <w:szCs w:val="18"/>
              </w:rPr>
              <w:t>)</w:t>
            </w:r>
          </w:p>
        </w:tc>
        <w:tc>
          <w:tcPr>
            <w:tcW w:w="1701" w:type="dxa"/>
            <w:tcBorders>
              <w:top w:val="single" w:sz="4" w:space="0" w:color="auto"/>
              <w:bottom w:val="single" w:sz="4" w:space="0" w:color="auto"/>
            </w:tcBorders>
          </w:tcPr>
          <w:p w14:paraId="3397306A" w14:textId="77777777" w:rsidR="00725169" w:rsidRPr="00F56672" w:rsidRDefault="00F56672" w:rsidP="00F56672">
            <w:pPr>
              <w:pStyle w:val="TableRowHeader"/>
              <w:ind w:left="0"/>
              <w:jc w:val="center"/>
              <w:rPr>
                <w:b w:val="0"/>
                <w:sz w:val="18"/>
                <w:szCs w:val="18"/>
              </w:rPr>
            </w:pPr>
            <w:r w:rsidRPr="00F56672">
              <w:rPr>
                <w:b w:val="0"/>
                <w:sz w:val="18"/>
                <w:szCs w:val="18"/>
              </w:rPr>
              <w:t>-</w:t>
            </w:r>
          </w:p>
        </w:tc>
        <w:tc>
          <w:tcPr>
            <w:tcW w:w="1952" w:type="dxa"/>
            <w:tcBorders>
              <w:top w:val="single" w:sz="4" w:space="0" w:color="auto"/>
              <w:bottom w:val="single" w:sz="4" w:space="0" w:color="auto"/>
            </w:tcBorders>
          </w:tcPr>
          <w:p w14:paraId="4A290FCD" w14:textId="77777777" w:rsidR="00725169" w:rsidRPr="00335776" w:rsidRDefault="006A66FD" w:rsidP="00335776">
            <w:pPr>
              <w:pStyle w:val="TableRowHeader"/>
              <w:ind w:left="0"/>
              <w:jc w:val="center"/>
              <w:rPr>
                <w:b w:val="0"/>
                <w:sz w:val="18"/>
                <w:szCs w:val="18"/>
              </w:rPr>
            </w:pPr>
            <w:r w:rsidRPr="00335776">
              <w:rPr>
                <w:b w:val="0"/>
                <w:sz w:val="18"/>
                <w:szCs w:val="18"/>
              </w:rPr>
              <w:t>60-80</w:t>
            </w:r>
            <w:r w:rsidR="00F56672">
              <w:rPr>
                <w:b w:val="0"/>
                <w:sz w:val="18"/>
                <w:szCs w:val="18"/>
              </w:rPr>
              <w:t xml:space="preserve"> </w:t>
            </w:r>
            <w:r w:rsidR="00FF3BC4" w:rsidRPr="00335776">
              <w:rPr>
                <w:b w:val="0"/>
                <w:sz w:val="18"/>
                <w:szCs w:val="18"/>
              </w:rPr>
              <w:t>%</w:t>
            </w:r>
          </w:p>
        </w:tc>
        <w:tc>
          <w:tcPr>
            <w:tcW w:w="1592" w:type="dxa"/>
            <w:tcBorders>
              <w:top w:val="single" w:sz="4" w:space="0" w:color="auto"/>
              <w:bottom w:val="single" w:sz="4" w:space="0" w:color="auto"/>
            </w:tcBorders>
          </w:tcPr>
          <w:p w14:paraId="244FF547" w14:textId="77777777" w:rsidR="00725169" w:rsidRPr="00335776" w:rsidRDefault="0002109D" w:rsidP="00335776">
            <w:pPr>
              <w:pStyle w:val="TableRowHeader"/>
              <w:ind w:left="0"/>
              <w:jc w:val="center"/>
              <w:rPr>
                <w:b w:val="0"/>
                <w:sz w:val="18"/>
                <w:szCs w:val="18"/>
              </w:rPr>
            </w:pPr>
            <w:r w:rsidRPr="00335776">
              <w:rPr>
                <w:b w:val="0"/>
                <w:sz w:val="18"/>
                <w:szCs w:val="18"/>
              </w:rPr>
              <w:t xml:space="preserve">Ben </w:t>
            </w:r>
            <w:r w:rsidR="00B93727" w:rsidRPr="00335776">
              <w:rPr>
                <w:b w:val="0"/>
                <w:i/>
                <w:sz w:val="18"/>
                <w:szCs w:val="18"/>
              </w:rPr>
              <w:t>et al</w:t>
            </w:r>
            <w:r w:rsidR="00B93727" w:rsidRPr="00335776">
              <w:rPr>
                <w:b w:val="0"/>
                <w:sz w:val="18"/>
                <w:szCs w:val="18"/>
              </w:rPr>
              <w:t>. (201</w:t>
            </w:r>
            <w:r w:rsidRPr="00335776">
              <w:rPr>
                <w:b w:val="0"/>
                <w:sz w:val="18"/>
                <w:szCs w:val="18"/>
              </w:rPr>
              <w:t>3</w:t>
            </w:r>
            <w:r w:rsidR="00B93727" w:rsidRPr="00335776">
              <w:rPr>
                <w:b w:val="0"/>
                <w:sz w:val="18"/>
                <w:szCs w:val="18"/>
              </w:rPr>
              <w:t>)</w:t>
            </w:r>
          </w:p>
        </w:tc>
      </w:tr>
      <w:tr w:rsidR="00725169" w:rsidRPr="0067016F" w14:paraId="5B2ECBE0" w14:textId="77777777" w:rsidTr="00063715">
        <w:tc>
          <w:tcPr>
            <w:tcW w:w="3006" w:type="dxa"/>
            <w:tcBorders>
              <w:top w:val="single" w:sz="4" w:space="0" w:color="auto"/>
              <w:bottom w:val="single" w:sz="4" w:space="0" w:color="auto"/>
            </w:tcBorders>
          </w:tcPr>
          <w:p w14:paraId="44684416" w14:textId="77777777" w:rsidR="00725169" w:rsidRPr="008D3677" w:rsidRDefault="00FF3BC4" w:rsidP="00335776">
            <w:pPr>
              <w:pStyle w:val="StyleTableRowHeaderItalic"/>
              <w:jc w:val="left"/>
              <w:rPr>
                <w:b w:val="0"/>
                <w:i w:val="0"/>
                <w:sz w:val="18"/>
                <w:szCs w:val="18"/>
              </w:rPr>
            </w:pPr>
            <w:r w:rsidRPr="002D039F">
              <w:rPr>
                <w:b w:val="0"/>
                <w:i w:val="0"/>
                <w:sz w:val="18"/>
                <w:szCs w:val="18"/>
              </w:rPr>
              <w:t>syn- (or endo-)Dechlorane Plus (</w:t>
            </w:r>
            <w:r w:rsidRPr="002D039F">
              <w:rPr>
                <w:b w:val="0"/>
                <w:i w:val="0"/>
                <w:sz w:val="18"/>
                <w:szCs w:val="18"/>
                <w:lang w:eastAsia="en-GB"/>
              </w:rPr>
              <w:t>CAS no. 135821-03-3</w:t>
            </w:r>
            <w:r w:rsidRPr="002D039F">
              <w:rPr>
                <w:b w:val="0"/>
                <w:i w:val="0"/>
                <w:sz w:val="18"/>
                <w:szCs w:val="18"/>
              </w:rPr>
              <w:t>)</w:t>
            </w:r>
          </w:p>
        </w:tc>
        <w:tc>
          <w:tcPr>
            <w:tcW w:w="1701" w:type="dxa"/>
            <w:tcBorders>
              <w:top w:val="single" w:sz="4" w:space="0" w:color="auto"/>
              <w:bottom w:val="single" w:sz="4" w:space="0" w:color="auto"/>
            </w:tcBorders>
          </w:tcPr>
          <w:p w14:paraId="6F08CAC5" w14:textId="77777777" w:rsidR="00725169" w:rsidRPr="00F56672" w:rsidRDefault="00F56672" w:rsidP="00F56672">
            <w:pPr>
              <w:pStyle w:val="TableRowHeader"/>
              <w:ind w:left="0"/>
              <w:jc w:val="center"/>
              <w:rPr>
                <w:b w:val="0"/>
                <w:sz w:val="18"/>
                <w:szCs w:val="18"/>
              </w:rPr>
            </w:pPr>
            <w:r w:rsidRPr="00F56672">
              <w:rPr>
                <w:b w:val="0"/>
                <w:sz w:val="18"/>
                <w:szCs w:val="18"/>
              </w:rPr>
              <w:t>-</w:t>
            </w:r>
          </w:p>
        </w:tc>
        <w:tc>
          <w:tcPr>
            <w:tcW w:w="1952" w:type="dxa"/>
            <w:tcBorders>
              <w:top w:val="single" w:sz="4" w:space="0" w:color="auto"/>
              <w:bottom w:val="single" w:sz="4" w:space="0" w:color="auto"/>
            </w:tcBorders>
          </w:tcPr>
          <w:p w14:paraId="3F57CC0C" w14:textId="77777777" w:rsidR="00725169" w:rsidRPr="00335776" w:rsidRDefault="006A66FD" w:rsidP="00335776">
            <w:pPr>
              <w:pStyle w:val="TableRowHeader"/>
              <w:ind w:left="0"/>
              <w:jc w:val="center"/>
              <w:rPr>
                <w:b w:val="0"/>
                <w:sz w:val="18"/>
                <w:szCs w:val="18"/>
              </w:rPr>
            </w:pPr>
            <w:r w:rsidRPr="00335776">
              <w:rPr>
                <w:b w:val="0"/>
                <w:sz w:val="18"/>
                <w:szCs w:val="18"/>
              </w:rPr>
              <w:t>20-40</w:t>
            </w:r>
            <w:r w:rsidR="00F56672">
              <w:rPr>
                <w:b w:val="0"/>
                <w:sz w:val="18"/>
                <w:szCs w:val="18"/>
              </w:rPr>
              <w:t xml:space="preserve"> </w:t>
            </w:r>
            <w:r w:rsidR="00FF3BC4" w:rsidRPr="00335776">
              <w:rPr>
                <w:b w:val="0"/>
                <w:sz w:val="18"/>
                <w:szCs w:val="18"/>
              </w:rPr>
              <w:t>%</w:t>
            </w:r>
          </w:p>
        </w:tc>
        <w:tc>
          <w:tcPr>
            <w:tcW w:w="1592" w:type="dxa"/>
            <w:tcBorders>
              <w:top w:val="single" w:sz="4" w:space="0" w:color="auto"/>
              <w:bottom w:val="single" w:sz="4" w:space="0" w:color="auto"/>
            </w:tcBorders>
          </w:tcPr>
          <w:p w14:paraId="263BB22A" w14:textId="77777777" w:rsidR="00725169" w:rsidRPr="00335776" w:rsidRDefault="0002109D" w:rsidP="00335776">
            <w:pPr>
              <w:pStyle w:val="TableRowHeader"/>
              <w:ind w:left="0"/>
              <w:jc w:val="center"/>
              <w:rPr>
                <w:b w:val="0"/>
                <w:sz w:val="18"/>
                <w:szCs w:val="18"/>
              </w:rPr>
            </w:pPr>
            <w:r w:rsidRPr="00335776">
              <w:rPr>
                <w:b w:val="0"/>
                <w:sz w:val="18"/>
                <w:szCs w:val="18"/>
              </w:rPr>
              <w:t xml:space="preserve">Ben </w:t>
            </w:r>
            <w:r w:rsidRPr="00335776">
              <w:rPr>
                <w:b w:val="0"/>
                <w:i/>
                <w:sz w:val="18"/>
                <w:szCs w:val="18"/>
              </w:rPr>
              <w:t>et al</w:t>
            </w:r>
            <w:r w:rsidRPr="00335776">
              <w:rPr>
                <w:b w:val="0"/>
                <w:sz w:val="18"/>
                <w:szCs w:val="18"/>
              </w:rPr>
              <w:t>. (2013)</w:t>
            </w:r>
          </w:p>
        </w:tc>
      </w:tr>
    </w:tbl>
    <w:p w14:paraId="2D502951" w14:textId="77777777" w:rsidR="003C3C62" w:rsidRDefault="003C3C62" w:rsidP="003C3C62">
      <w:pPr>
        <w:jc w:val="both"/>
      </w:pPr>
    </w:p>
    <w:p w14:paraId="774DD333" w14:textId="77777777" w:rsidR="0002109D" w:rsidRDefault="005C2D8A" w:rsidP="003C3C62">
      <w:pPr>
        <w:jc w:val="both"/>
      </w:pPr>
      <w:r w:rsidRPr="00BA0ECA">
        <w:t xml:space="preserve">The substance </w:t>
      </w:r>
      <w:r>
        <w:t>i</w:t>
      </w:r>
      <w:r w:rsidRPr="00BA0ECA">
        <w:t>s described as mono</w:t>
      </w:r>
      <w:r w:rsidR="00F56672">
        <w:t>-</w:t>
      </w:r>
      <w:r w:rsidRPr="00BA0ECA">
        <w:t>constituent by the</w:t>
      </w:r>
      <w:r w:rsidR="00F56672">
        <w:t xml:space="preserve"> lead</w:t>
      </w:r>
      <w:r w:rsidRPr="00BA0ECA">
        <w:t xml:space="preserve"> </w:t>
      </w:r>
      <w:r>
        <w:t>Registrant</w:t>
      </w:r>
      <w:r w:rsidRPr="00BA0ECA">
        <w:t>. However, two geometric isomers are present</w:t>
      </w:r>
      <w:r>
        <w:t xml:space="preserve"> in the commercial substance</w:t>
      </w:r>
      <w:r w:rsidRPr="00BA0ECA">
        <w:t xml:space="preserve"> (</w:t>
      </w:r>
      <w:r>
        <w:t xml:space="preserve">e.g. </w:t>
      </w:r>
      <w:r w:rsidRPr="00BA0ECA">
        <w:t xml:space="preserve">Chou </w:t>
      </w:r>
      <w:r w:rsidRPr="00BA0ECA">
        <w:rPr>
          <w:i/>
        </w:rPr>
        <w:t>et al</w:t>
      </w:r>
      <w:r w:rsidRPr="00BA0ECA">
        <w:t>., 1979</w:t>
      </w:r>
      <w:r>
        <w:t>;</w:t>
      </w:r>
      <w:r w:rsidRPr="00BA0ECA">
        <w:t xml:space="preserve"> Occidental, 2013). </w:t>
      </w:r>
      <w:r w:rsidR="00961E05">
        <w:t xml:space="preserve">This means that it </w:t>
      </w:r>
      <w:r w:rsidR="00F56672">
        <w:t>is</w:t>
      </w:r>
      <w:r w:rsidR="00961E05">
        <w:t xml:space="preserve"> multi-constituent. </w:t>
      </w:r>
      <w:r w:rsidRPr="00BA0ECA">
        <w:t>The structures of the two isomers are provided in Figure 1</w:t>
      </w:r>
      <w:r w:rsidRPr="000A6FDD">
        <w:t>.</w:t>
      </w:r>
      <w:bookmarkStart w:id="170" w:name="_Toc439772079"/>
    </w:p>
    <w:p w14:paraId="7FAC565E" w14:textId="77777777" w:rsidR="005C2D8A" w:rsidRPr="002F1DA3" w:rsidRDefault="005C2D8A" w:rsidP="00FC3757">
      <w:pPr>
        <w:pStyle w:val="Caption"/>
        <w:rPr>
          <w:szCs w:val="22"/>
        </w:rPr>
      </w:pPr>
      <w:bookmarkStart w:id="171" w:name="_Ref491779050"/>
      <w:bookmarkStart w:id="172" w:name="_Toc491779896"/>
      <w:r w:rsidRPr="002F1DA3">
        <w:t xml:space="preserve">Figure </w:t>
      </w:r>
      <w:fldSimple w:instr=" SEQ Figure \* ARABIC ">
        <w:r w:rsidR="00F0628F">
          <w:rPr>
            <w:noProof/>
          </w:rPr>
          <w:t>1</w:t>
        </w:r>
      </w:fldSimple>
      <w:bookmarkEnd w:id="171"/>
      <w:r w:rsidRPr="002F1DA3">
        <w:rPr>
          <w:szCs w:val="22"/>
        </w:rPr>
        <w:t xml:space="preserve">: </w:t>
      </w:r>
      <w:r w:rsidRPr="002F1DA3">
        <w:rPr>
          <w:szCs w:val="22"/>
        </w:rPr>
        <w:tab/>
      </w:r>
      <w:r w:rsidRPr="002F1DA3">
        <w:t>Geometric isomers of Dechlorane Plus</w:t>
      </w:r>
      <w:bookmarkEnd w:id="170"/>
      <w:bookmarkEnd w:id="172"/>
      <w:r w:rsidRPr="002F1DA3">
        <w:rPr>
          <w:szCs w:val="22"/>
        </w:rPr>
        <w:t xml:space="preserve"> </w:t>
      </w:r>
    </w:p>
    <w:p w14:paraId="117A4452" w14:textId="77777777" w:rsidR="00031C0C" w:rsidRPr="00031C0C" w:rsidRDefault="00031C0C" w:rsidP="00031C0C">
      <w:pPr>
        <w:rPr>
          <w:lang w:eastAsia="en-US"/>
        </w:rPr>
      </w:pPr>
    </w:p>
    <w:p w14:paraId="1A9BAE1F" w14:textId="77777777" w:rsidR="005C2D8A" w:rsidRDefault="00031C0C" w:rsidP="00FC3757">
      <w:pPr>
        <w:jc w:val="both"/>
      </w:pPr>
      <w:r>
        <w:rPr>
          <w:noProof/>
          <w:lang w:eastAsia="en-GB"/>
        </w:rPr>
        <w:drawing>
          <wp:inline distT="0" distB="0" distL="0" distR="0" wp14:anchorId="34CF6903" wp14:editId="13FC5F93">
            <wp:extent cx="2599690" cy="14190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2298" t="46236" r="66430" b="35185"/>
                    <a:stretch/>
                  </pic:blipFill>
                  <pic:spPr bwMode="auto">
                    <a:xfrm>
                      <a:off x="0" y="0"/>
                      <a:ext cx="2636188" cy="1439012"/>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en-GB"/>
        </w:rPr>
        <w:drawing>
          <wp:inline distT="0" distB="0" distL="0" distR="0" wp14:anchorId="53EB48D1" wp14:editId="04555F88">
            <wp:extent cx="2200275" cy="1333500"/>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2200275" cy="1333500"/>
                    </a:xfrm>
                    <a:prstGeom prst="rect">
                      <a:avLst/>
                    </a:prstGeom>
                    <a:noFill/>
                    <a:ln w="9525">
                      <a:noFill/>
                      <a:miter lim="800000"/>
                      <a:headEnd/>
                      <a:tailEnd/>
                    </a:ln>
                  </pic:spPr>
                </pic:pic>
              </a:graphicData>
            </a:graphic>
          </wp:inline>
        </w:drawing>
      </w:r>
    </w:p>
    <w:p w14:paraId="617394CE" w14:textId="77777777" w:rsidR="00031C0C" w:rsidRDefault="00031C0C" w:rsidP="00D13DAD">
      <w:pPr>
        <w:autoSpaceDE w:val="0"/>
        <w:autoSpaceDN w:val="0"/>
        <w:adjustRightInd w:val="0"/>
        <w:ind w:left="1134" w:right="657"/>
        <w:jc w:val="center"/>
        <w:rPr>
          <w:b/>
          <w:sz w:val="22"/>
          <w:szCs w:val="22"/>
        </w:rPr>
      </w:pPr>
    </w:p>
    <w:p w14:paraId="2A208FDC" w14:textId="77777777" w:rsidR="00D13DAD" w:rsidRPr="00A22CB5" w:rsidRDefault="00D13DAD" w:rsidP="00D13DAD">
      <w:pPr>
        <w:autoSpaceDE w:val="0"/>
        <w:autoSpaceDN w:val="0"/>
        <w:adjustRightInd w:val="0"/>
        <w:ind w:left="1134" w:right="657"/>
        <w:jc w:val="center"/>
        <w:rPr>
          <w:b/>
          <w:sz w:val="22"/>
          <w:szCs w:val="22"/>
        </w:rPr>
      </w:pPr>
      <w:r w:rsidRPr="00A22CB5">
        <w:rPr>
          <w:b/>
          <w:sz w:val="22"/>
          <w:szCs w:val="22"/>
        </w:rPr>
        <w:t>(</w:t>
      </w:r>
      <w:r w:rsidRPr="00A22CB5">
        <w:rPr>
          <w:b/>
          <w:sz w:val="18"/>
          <w:szCs w:val="18"/>
        </w:rPr>
        <w:t xml:space="preserve">reprinted from Muñoz-Arnanz </w:t>
      </w:r>
      <w:r w:rsidRPr="00A22CB5">
        <w:rPr>
          <w:b/>
          <w:i/>
          <w:sz w:val="18"/>
          <w:szCs w:val="18"/>
        </w:rPr>
        <w:t>et al</w:t>
      </w:r>
      <w:r w:rsidRPr="00A22CB5">
        <w:rPr>
          <w:b/>
          <w:sz w:val="18"/>
          <w:szCs w:val="18"/>
        </w:rPr>
        <w:t>. (2010). Copyright 2010: International Symposium on Halogenated Persistent Organic Pollutants</w:t>
      </w:r>
      <w:r w:rsidRPr="00A22CB5">
        <w:rPr>
          <w:b/>
          <w:sz w:val="22"/>
          <w:szCs w:val="22"/>
        </w:rPr>
        <w:t>)</w:t>
      </w:r>
    </w:p>
    <w:p w14:paraId="3E3BA96A" w14:textId="77777777" w:rsidR="00257DA6" w:rsidRDefault="00257DA6" w:rsidP="00FC3757">
      <w:pPr>
        <w:autoSpaceDE w:val="0"/>
        <w:autoSpaceDN w:val="0"/>
        <w:adjustRightInd w:val="0"/>
        <w:jc w:val="both"/>
        <w:rPr>
          <w:b/>
          <w:sz w:val="22"/>
          <w:szCs w:val="22"/>
        </w:rPr>
      </w:pPr>
    </w:p>
    <w:p w14:paraId="11DF0DB8" w14:textId="77777777" w:rsidR="005C2D8A" w:rsidRDefault="005C2D8A" w:rsidP="003C3C62">
      <w:pPr>
        <w:autoSpaceDE w:val="0"/>
        <w:autoSpaceDN w:val="0"/>
        <w:adjustRightInd w:val="0"/>
        <w:spacing w:after="120"/>
        <w:jc w:val="both"/>
      </w:pPr>
      <w:r w:rsidRPr="00BA0ECA">
        <w:t xml:space="preserve">Ben </w:t>
      </w:r>
      <w:r w:rsidRPr="00BA0ECA">
        <w:rPr>
          <w:i/>
        </w:rPr>
        <w:t>et al</w:t>
      </w:r>
      <w:r>
        <w:rPr>
          <w:i/>
        </w:rPr>
        <w:t>.</w:t>
      </w:r>
      <w:r w:rsidRPr="00BA0ECA">
        <w:t xml:space="preserve"> (2013) reported that the ant</w:t>
      </w:r>
      <w:r>
        <w:t>i- is</w:t>
      </w:r>
      <w:r w:rsidRPr="00BA0ECA">
        <w:t xml:space="preserve">omer fractional abundance </w:t>
      </w:r>
      <w:r>
        <w:t>(f</w:t>
      </w:r>
      <w:r w:rsidRPr="0077313E">
        <w:rPr>
          <w:vertAlign w:val="subscript"/>
        </w:rPr>
        <w:t>anti</w:t>
      </w:r>
      <w:r>
        <w:t xml:space="preserve">) </w:t>
      </w:r>
      <w:r w:rsidRPr="00BA0ECA">
        <w:t>value (defined as [ant</w:t>
      </w:r>
      <w:r>
        <w:t>i- is</w:t>
      </w:r>
      <w:r w:rsidRPr="00BA0ECA">
        <w:rPr>
          <w:rFonts w:eastAsiaTheme="minorHAnsi"/>
        </w:rPr>
        <w:t>omer</w:t>
      </w:r>
      <w:r w:rsidRPr="00BA0ECA">
        <w:t>]/([ant</w:t>
      </w:r>
      <w:r>
        <w:t>i- is</w:t>
      </w:r>
      <w:r w:rsidRPr="00BA0ECA">
        <w:rPr>
          <w:rFonts w:eastAsiaTheme="minorHAnsi"/>
        </w:rPr>
        <w:t>omer</w:t>
      </w:r>
      <w:r w:rsidRPr="00BA0ECA">
        <w:t xml:space="preserve">] </w:t>
      </w:r>
      <w:r w:rsidRPr="00BA0ECA">
        <w:rPr>
          <w:rFonts w:eastAsiaTheme="minorHAnsi"/>
        </w:rPr>
        <w:t xml:space="preserve">+ </w:t>
      </w:r>
      <w:r w:rsidRPr="00BA0ECA">
        <w:t>[sy</w:t>
      </w:r>
      <w:r>
        <w:t>n- i</w:t>
      </w:r>
      <w:r w:rsidRPr="00BA0ECA">
        <w:rPr>
          <w:rFonts w:eastAsiaTheme="minorHAnsi"/>
        </w:rPr>
        <w:t>somer</w:t>
      </w:r>
      <w:r w:rsidRPr="00BA0ECA">
        <w:t xml:space="preserve">])) is not constant in Chinese commercial products, and varies from 0.60 to 0.80. </w:t>
      </w:r>
      <w:r>
        <w:t>The f</w:t>
      </w:r>
      <w:r w:rsidRPr="00DA058C">
        <w:rPr>
          <w:vertAlign w:val="subscript"/>
        </w:rPr>
        <w:t>anti</w:t>
      </w:r>
      <w:r>
        <w:t xml:space="preserve"> value of </w:t>
      </w:r>
      <w:r w:rsidRPr="00DA058C">
        <w:t>OxyChem</w:t>
      </w:r>
      <w:r>
        <w:t xml:space="preserve"> </w:t>
      </w:r>
      <w:r w:rsidRPr="00BA0ECA">
        <w:t>commercial products</w:t>
      </w:r>
      <w:r>
        <w:t xml:space="preserve"> has also been reported by several authors to be in the range 0.64 to 0.80 (e.g. see references in Wang </w:t>
      </w:r>
      <w:r w:rsidRPr="00DA058C">
        <w:rPr>
          <w:i/>
        </w:rPr>
        <w:t>et al</w:t>
      </w:r>
      <w:r>
        <w:t>., 2010).</w:t>
      </w:r>
    </w:p>
    <w:p w14:paraId="351E06E3" w14:textId="77777777" w:rsidR="005C2D8A" w:rsidRDefault="005C2D8A" w:rsidP="00FC3757">
      <w:pPr>
        <w:autoSpaceDE w:val="0"/>
        <w:autoSpaceDN w:val="0"/>
        <w:adjustRightInd w:val="0"/>
        <w:spacing w:after="120"/>
        <w:jc w:val="both"/>
      </w:pPr>
      <w:r w:rsidRPr="00BA0ECA">
        <w:t xml:space="preserve">The substance is made </w:t>
      </w:r>
      <w:r>
        <w:t>by a</w:t>
      </w:r>
      <w:r w:rsidRPr="00BA0ECA">
        <w:t xml:space="preserve"> Diels-Alder reaction</w:t>
      </w:r>
      <w:r w:rsidRPr="00201B41">
        <w:t xml:space="preserve"> b</w:t>
      </w:r>
      <w:r>
        <w:t>etween</w:t>
      </w:r>
      <w:r w:rsidRPr="00201B41">
        <w:t xml:space="preserve"> </w:t>
      </w:r>
      <w:r w:rsidR="00EB21FE" w:rsidRPr="00201B41">
        <w:t xml:space="preserve">1,5-cyclooctadiene </w:t>
      </w:r>
      <w:r w:rsidR="00EB21FE">
        <w:t>and</w:t>
      </w:r>
      <w:r w:rsidR="00EB21FE" w:rsidRPr="00201B41">
        <w:t xml:space="preserve"> </w:t>
      </w:r>
      <w:r w:rsidRPr="00201B41">
        <w:t xml:space="preserve">hexachlorocyclopentadiene </w:t>
      </w:r>
      <w:r>
        <w:t>in</w:t>
      </w:r>
      <w:r w:rsidRPr="00201B41">
        <w:t xml:space="preserve"> a mol</w:t>
      </w:r>
      <w:r>
        <w:t>ar</w:t>
      </w:r>
      <w:r w:rsidRPr="00201B41">
        <w:t xml:space="preserve"> ratio</w:t>
      </w:r>
      <w:r>
        <w:t xml:space="preserve"> of</w:t>
      </w:r>
      <w:r w:rsidRPr="00201B41">
        <w:t xml:space="preserve"> 2:1. </w:t>
      </w:r>
      <w:r w:rsidR="00EB21FE">
        <w:t>C</w:t>
      </w:r>
      <w:r w:rsidR="00EB21FE" w:rsidRPr="00201B41">
        <w:t xml:space="preserve">yclooctadiene </w:t>
      </w:r>
      <w:r w:rsidRPr="00201B41">
        <w:t xml:space="preserve">can </w:t>
      </w:r>
      <w:r w:rsidR="00EB21FE">
        <w:t xml:space="preserve">also </w:t>
      </w:r>
      <w:r w:rsidRPr="00201B41">
        <w:t>exist as 1,4- and 1,3- isomers, and both these, 4-vinylcyclohexene and 1,2-divinylcyclobutane might be present as impurities in, or formed via thermal rearrangement of, the starting material</w:t>
      </w:r>
      <w:r>
        <w:t>s</w:t>
      </w:r>
      <w:r w:rsidRPr="00201B41">
        <w:t xml:space="preserve"> (Sverko </w:t>
      </w:r>
      <w:r w:rsidRPr="00201B41">
        <w:rPr>
          <w:i/>
        </w:rPr>
        <w:t>et al</w:t>
      </w:r>
      <w:r w:rsidRPr="00201B41">
        <w:t xml:space="preserve">., 2010b). Consequently, they can produce Diels-Alder reaction products with the same molecular weight as Dechlorane Plus. Sverko </w:t>
      </w:r>
      <w:r w:rsidRPr="00201B41">
        <w:rPr>
          <w:i/>
        </w:rPr>
        <w:t>et al</w:t>
      </w:r>
      <w:r w:rsidRPr="00201B41">
        <w:t xml:space="preserve">. (2010b) analysed a technical Dechlorane Plus product and detected four minor </w:t>
      </w:r>
      <w:r>
        <w:t xml:space="preserve">chromatographic </w:t>
      </w:r>
      <w:r w:rsidRPr="00201B41">
        <w:t>peaks</w:t>
      </w:r>
      <w:r>
        <w:t xml:space="preserve"> that are potentially related to these other substances. </w:t>
      </w:r>
    </w:p>
    <w:p w14:paraId="5BFB1166" w14:textId="77777777" w:rsidR="005C2D8A" w:rsidRDefault="005C2D8A" w:rsidP="00FC3757">
      <w:pPr>
        <w:spacing w:after="120"/>
        <w:jc w:val="both"/>
      </w:pPr>
      <w:r>
        <w:t>Compounds with a smaller number of chlorine atoms may</w:t>
      </w:r>
      <w:r w:rsidRPr="00BA0ECA">
        <w:t xml:space="preserve"> also be impurities in the commercial substance</w:t>
      </w:r>
      <w:r>
        <w:t xml:space="preserve">. For example, Li </w:t>
      </w:r>
      <w:r w:rsidRPr="006B662C">
        <w:rPr>
          <w:i/>
        </w:rPr>
        <w:t>et al</w:t>
      </w:r>
      <w:r>
        <w:t>. (2013b) found a mono-dechlorinated substance (DP-1Cl</w:t>
      </w:r>
      <w:r w:rsidR="00EB71FE">
        <w:t>; see Section 1.3</w:t>
      </w:r>
      <w:r>
        <w:t xml:space="preserve">) in the commercial substance produced by </w:t>
      </w:r>
      <w:r w:rsidRPr="00896E5C">
        <w:lastRenderedPageBreak/>
        <w:t>Jiangsu</w:t>
      </w:r>
      <w:r>
        <w:t xml:space="preserve"> </w:t>
      </w:r>
      <w:r w:rsidRPr="00896E5C">
        <w:t>Anpon Co. Ltd</w:t>
      </w:r>
      <w:r>
        <w:t xml:space="preserve">., China; in contrast, </w:t>
      </w:r>
      <w:r>
        <w:rPr>
          <w:rFonts w:eastAsiaTheme="minorHAnsi"/>
        </w:rPr>
        <w:t xml:space="preserve">Peng </w:t>
      </w:r>
      <w:r w:rsidRPr="00423C91">
        <w:rPr>
          <w:rFonts w:eastAsiaTheme="minorHAnsi"/>
          <w:i/>
        </w:rPr>
        <w:t>et al</w:t>
      </w:r>
      <w:r>
        <w:rPr>
          <w:rFonts w:eastAsiaTheme="minorHAnsi"/>
        </w:rPr>
        <w:t xml:space="preserve">. (2014) could not detect </w:t>
      </w:r>
      <w:r w:rsidR="00EB71FE">
        <w:rPr>
          <w:color w:val="000000"/>
        </w:rPr>
        <w:t>DP</w:t>
      </w:r>
      <w:r w:rsidR="00EB71FE">
        <w:rPr>
          <w:color w:val="000000"/>
        </w:rPr>
        <w:noBreakHyphen/>
      </w:r>
      <w:r>
        <w:rPr>
          <w:color w:val="000000"/>
        </w:rPr>
        <w:t>1Cl in samples</w:t>
      </w:r>
      <w:r w:rsidRPr="0072657B">
        <w:rPr>
          <w:rFonts w:eastAsiaTheme="minorHAnsi"/>
        </w:rPr>
        <w:t xml:space="preserve"> from </w:t>
      </w:r>
      <w:r>
        <w:rPr>
          <w:rFonts w:eastAsiaTheme="minorHAnsi"/>
        </w:rPr>
        <w:t>the same source (although this might reflect differences in detection limits)</w:t>
      </w:r>
      <w:r w:rsidRPr="00BA0ECA">
        <w:t>.</w:t>
      </w:r>
    </w:p>
    <w:p w14:paraId="49D75537" w14:textId="16A3820A" w:rsidR="007D4C2B" w:rsidRDefault="007D4C2B" w:rsidP="00FC3757">
      <w:pPr>
        <w:spacing w:after="120"/>
        <w:jc w:val="both"/>
      </w:pPr>
      <w:r w:rsidRPr="007D4C2B">
        <w:t>Based on the variation of isomer</w:t>
      </w:r>
      <w:r w:rsidR="000B0AF1">
        <w:t>-</w:t>
      </w:r>
      <w:r w:rsidRPr="007D4C2B">
        <w:t xml:space="preserve">specific properties and the available test results, the </w:t>
      </w:r>
      <w:r w:rsidR="000B0AF1">
        <w:t>study</w:t>
      </w:r>
      <w:r w:rsidRPr="007D4C2B">
        <w:t xml:space="preserve"> </w:t>
      </w:r>
      <w:r>
        <w:t>outcomes reported in Sections 3</w:t>
      </w:r>
      <w:r w:rsidRPr="007D4C2B">
        <w:t xml:space="preserve"> can be considered to reflect with sufficient certainty the P</w:t>
      </w:r>
      <w:r w:rsidR="000C6044">
        <w:t xml:space="preserve"> and </w:t>
      </w:r>
      <w:r w:rsidRPr="007D4C2B">
        <w:t>B properties of this group entry. The Annex XV entry covers the identity of the assessed s</w:t>
      </w:r>
      <w:r>
        <w:t>ubstance to the level possible.</w:t>
      </w:r>
    </w:p>
    <w:p w14:paraId="64ECECAE" w14:textId="77777777" w:rsidR="007D4C2B" w:rsidRDefault="007D4C2B" w:rsidP="00FC3757">
      <w:pPr>
        <w:spacing w:after="120"/>
        <w:jc w:val="both"/>
      </w:pPr>
    </w:p>
    <w:p w14:paraId="7040B6E9" w14:textId="77777777" w:rsidR="007D4C2B" w:rsidRDefault="007D4C2B" w:rsidP="00FC3757">
      <w:pPr>
        <w:spacing w:after="120"/>
        <w:jc w:val="both"/>
      </w:pPr>
    </w:p>
    <w:p w14:paraId="7DB5F177" w14:textId="77777777" w:rsidR="001F5783" w:rsidRPr="00D721C0" w:rsidRDefault="00BB6734" w:rsidP="002D039F">
      <w:pPr>
        <w:pStyle w:val="Heading2"/>
        <w:jc w:val="both"/>
      </w:pPr>
      <w:bookmarkStart w:id="173" w:name="_Toc357083644"/>
      <w:bookmarkStart w:id="174" w:name="_Toc357184193"/>
      <w:bookmarkStart w:id="175" w:name="_Toc357184429"/>
      <w:bookmarkStart w:id="176" w:name="_Toc357185231"/>
      <w:bookmarkStart w:id="177" w:name="_Toc357186079"/>
      <w:bookmarkStart w:id="178" w:name="_Toc357186228"/>
      <w:bookmarkStart w:id="179" w:name="_Toc357437514"/>
      <w:bookmarkStart w:id="180" w:name="_Toc357590787"/>
      <w:bookmarkStart w:id="181" w:name="_Toc357692819"/>
      <w:bookmarkStart w:id="182" w:name="_Toc365649646"/>
      <w:bookmarkStart w:id="183" w:name="_Toc365649795"/>
      <w:bookmarkStart w:id="184" w:name="_Toc366489847"/>
      <w:bookmarkStart w:id="185" w:name="_Toc418498552"/>
      <w:bookmarkStart w:id="186" w:name="_Toc418505995"/>
      <w:bookmarkStart w:id="187" w:name="_Toc491862219"/>
      <w:r>
        <w:t xml:space="preserve">1.3 </w:t>
      </w:r>
      <w:r w:rsidR="001F5783" w:rsidRPr="00D721C0">
        <w:t>Identity and composition of degradation products/metabolites relevant for the SVHC assessment</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47FD66EE" w14:textId="77777777" w:rsidR="005C2D8A" w:rsidRDefault="00063715" w:rsidP="00FC3757">
      <w:pPr>
        <w:tabs>
          <w:tab w:val="left" w:pos="8080"/>
        </w:tabs>
        <w:jc w:val="both"/>
      </w:pPr>
      <w:r w:rsidRPr="00BA0ECA">
        <w:t>Th</w:t>
      </w:r>
      <w:r>
        <w:t>r</w:t>
      </w:r>
      <w:r w:rsidRPr="00BA0ECA">
        <w:t xml:space="preserve">ee substances are relevant to this evaluation </w:t>
      </w:r>
      <w:r>
        <w:t xml:space="preserve">because they </w:t>
      </w:r>
      <w:r w:rsidRPr="00BA0ECA">
        <w:t xml:space="preserve">have been detected in various monitoring studies (e.g. </w:t>
      </w:r>
      <w:r>
        <w:t xml:space="preserve">Sverko </w:t>
      </w:r>
      <w:r w:rsidRPr="00F44C5C">
        <w:rPr>
          <w:i/>
        </w:rPr>
        <w:t>et al</w:t>
      </w:r>
      <w:r>
        <w:t xml:space="preserve">., 2008 &amp; 2010b; </w:t>
      </w:r>
      <w:r w:rsidRPr="00BA0ECA">
        <w:t xml:space="preserve">Muñoz-Arnanz </w:t>
      </w:r>
      <w:r w:rsidRPr="00BA0ECA">
        <w:rPr>
          <w:i/>
        </w:rPr>
        <w:t>et al</w:t>
      </w:r>
      <w:r w:rsidRPr="00BA0ECA">
        <w:t xml:space="preserve">., 2010; </w:t>
      </w:r>
      <w:r w:rsidRPr="00697AE3">
        <w:rPr>
          <w:rFonts w:eastAsia="Calibri"/>
        </w:rPr>
        <w:t>M</w:t>
      </w:r>
      <w:r w:rsidRPr="00697AE3">
        <w:rPr>
          <w:rFonts w:ascii="Calibri" w:eastAsia="Calibri" w:hAnsi="Calibri" w:cs="Calibri"/>
        </w:rPr>
        <w:t>ӧ</w:t>
      </w:r>
      <w:r w:rsidRPr="00697AE3">
        <w:rPr>
          <w:rFonts w:eastAsia="Calibri"/>
        </w:rPr>
        <w:t>ller</w:t>
      </w:r>
      <w:r w:rsidRPr="00697AE3">
        <w:rPr>
          <w:rFonts w:ascii="AdvOT863180fb" w:hAnsi="AdvOT863180fb" w:cs="AdvOT863180fb"/>
          <w:i/>
          <w:color w:val="000000"/>
          <w:lang w:eastAsia="en-GB"/>
        </w:rPr>
        <w:t xml:space="preserve"> </w:t>
      </w:r>
      <w:r w:rsidRPr="00EB71FE">
        <w:rPr>
          <w:i/>
        </w:rPr>
        <w:t>et al</w:t>
      </w:r>
      <w:r w:rsidRPr="00697AE3">
        <w:rPr>
          <w:rFonts w:ascii="AdvOT863180fb" w:hAnsi="AdvOT863180fb" w:cs="AdvOT863180fb"/>
          <w:color w:val="000000"/>
          <w:lang w:eastAsia="en-GB"/>
        </w:rPr>
        <w:t>.</w:t>
      </w:r>
      <w:r>
        <w:rPr>
          <w:rFonts w:ascii="AdvOT863180fb" w:hAnsi="AdvOT863180fb" w:cs="AdvOT863180fb"/>
          <w:color w:val="000000"/>
          <w:lang w:eastAsia="en-GB"/>
        </w:rPr>
        <w:t>,</w:t>
      </w:r>
      <w:r w:rsidRPr="00697AE3">
        <w:rPr>
          <w:rFonts w:ascii="AdvOT863180fb" w:hAnsi="AdvOT863180fb" w:cs="AdvOT863180fb"/>
          <w:color w:val="000000"/>
          <w:lang w:eastAsia="en-GB"/>
        </w:rPr>
        <w:t xml:space="preserve"> </w:t>
      </w:r>
      <w:r w:rsidRPr="00697AE3">
        <w:rPr>
          <w:rFonts w:eastAsia="Calibri"/>
        </w:rPr>
        <w:t>2010;</w:t>
      </w:r>
      <w:r>
        <w:rPr>
          <w:rFonts w:eastAsia="Calibri"/>
        </w:rPr>
        <w:t xml:space="preserve"> </w:t>
      </w:r>
      <w:r w:rsidRPr="009E6AF9">
        <w:rPr>
          <w:color w:val="000000"/>
        </w:rPr>
        <w:t xml:space="preserve">Guerra </w:t>
      </w:r>
      <w:r w:rsidRPr="009E6AF9">
        <w:rPr>
          <w:i/>
          <w:color w:val="000000"/>
        </w:rPr>
        <w:t>et al</w:t>
      </w:r>
      <w:r w:rsidRPr="009E6AF9">
        <w:rPr>
          <w:color w:val="000000"/>
        </w:rPr>
        <w:t>.</w:t>
      </w:r>
      <w:r>
        <w:rPr>
          <w:color w:val="000000"/>
        </w:rPr>
        <w:t xml:space="preserve">, </w:t>
      </w:r>
      <w:r w:rsidRPr="009E6AF9">
        <w:rPr>
          <w:color w:val="000000"/>
        </w:rPr>
        <w:t>2011</w:t>
      </w:r>
      <w:r>
        <w:rPr>
          <w:color w:val="000000"/>
        </w:rPr>
        <w:t>;</w:t>
      </w:r>
      <w:r w:rsidRPr="00BA0ECA">
        <w:t xml:space="preserve"> </w:t>
      </w:r>
      <w:r w:rsidRPr="00495C8C">
        <w:t xml:space="preserve">Sun </w:t>
      </w:r>
      <w:r w:rsidRPr="00495C8C">
        <w:rPr>
          <w:i/>
        </w:rPr>
        <w:t>et al</w:t>
      </w:r>
      <w:r w:rsidRPr="00495C8C">
        <w:t>.</w:t>
      </w:r>
      <w:r>
        <w:t>,</w:t>
      </w:r>
      <w:r w:rsidRPr="00495C8C">
        <w:t xml:space="preserve"> 2012</w:t>
      </w:r>
      <w:r>
        <w:t>;</w:t>
      </w:r>
      <w:r w:rsidRPr="00495C8C">
        <w:t xml:space="preserve"> </w:t>
      </w:r>
      <w:r w:rsidRPr="00BA0ECA">
        <w:t xml:space="preserve">Chen </w:t>
      </w:r>
      <w:r w:rsidRPr="00BA0ECA">
        <w:rPr>
          <w:i/>
        </w:rPr>
        <w:t>et al</w:t>
      </w:r>
      <w:r w:rsidRPr="00BA0ECA">
        <w:t>., 2013</w:t>
      </w:r>
      <w:r>
        <w:t>b</w:t>
      </w:r>
      <w:r w:rsidRPr="00BA0ECA">
        <w:t xml:space="preserve">; Yu </w:t>
      </w:r>
      <w:r w:rsidRPr="00BA0ECA">
        <w:rPr>
          <w:i/>
        </w:rPr>
        <w:t>et al</w:t>
      </w:r>
      <w:r w:rsidRPr="00BA0ECA">
        <w:t xml:space="preserve">., 2013; Ben </w:t>
      </w:r>
      <w:r w:rsidRPr="00BA0ECA">
        <w:rPr>
          <w:i/>
        </w:rPr>
        <w:t>et al</w:t>
      </w:r>
      <w:r w:rsidRPr="00BA0ECA">
        <w:t xml:space="preserve">., </w:t>
      </w:r>
      <w:r>
        <w:t xml:space="preserve">2013 &amp; </w:t>
      </w:r>
      <w:r w:rsidRPr="00BA0ECA">
        <w:t>2014</w:t>
      </w:r>
      <w:r>
        <w:t xml:space="preserve">; </w:t>
      </w:r>
      <w:r w:rsidRPr="00444091">
        <w:rPr>
          <w:lang w:eastAsia="en-GB"/>
        </w:rPr>
        <w:t xml:space="preserve">Zheng </w:t>
      </w:r>
      <w:r w:rsidRPr="00444091">
        <w:rPr>
          <w:i/>
          <w:lang w:eastAsia="en-GB"/>
        </w:rPr>
        <w:t>et al</w:t>
      </w:r>
      <w:r w:rsidRPr="00444091">
        <w:rPr>
          <w:lang w:eastAsia="en-GB"/>
        </w:rPr>
        <w:t>.</w:t>
      </w:r>
      <w:r>
        <w:rPr>
          <w:lang w:eastAsia="en-GB"/>
        </w:rPr>
        <w:t>,</w:t>
      </w:r>
      <w:r w:rsidRPr="00444091">
        <w:rPr>
          <w:lang w:eastAsia="en-GB"/>
        </w:rPr>
        <w:t xml:space="preserve"> 2014a</w:t>
      </w:r>
      <w:r>
        <w:rPr>
          <w:lang w:eastAsia="en-GB"/>
        </w:rPr>
        <w:t>;</w:t>
      </w:r>
      <w:r w:rsidRPr="00444091">
        <w:rPr>
          <w:lang w:eastAsia="en-GB"/>
        </w:rPr>
        <w:t xml:space="preserve"> </w:t>
      </w:r>
      <w:r>
        <w:rPr>
          <w:color w:val="000000"/>
        </w:rPr>
        <w:t xml:space="preserve">Wang </w:t>
      </w:r>
      <w:r w:rsidRPr="009E6AF9">
        <w:rPr>
          <w:i/>
          <w:color w:val="000000"/>
        </w:rPr>
        <w:t>et al</w:t>
      </w:r>
      <w:r>
        <w:rPr>
          <w:color w:val="000000"/>
        </w:rPr>
        <w:t>., 2015</w:t>
      </w:r>
      <w:r>
        <w:t>)</w:t>
      </w:r>
      <w:r w:rsidRPr="00BA0ECA">
        <w:t xml:space="preserve">. </w:t>
      </w:r>
      <w:r>
        <w:t xml:space="preserve">These are </w:t>
      </w:r>
      <w:r w:rsidR="005F4ABE">
        <w:t>1,3-</w:t>
      </w:r>
      <w:r w:rsidR="005F4ABE" w:rsidRPr="00BA0ECA">
        <w:t>Dechlorane Plus monoadduct</w:t>
      </w:r>
      <w:r w:rsidR="005F4ABE" w:rsidRPr="00BA0ECA" w:rsidDel="00A16FEA">
        <w:t xml:space="preserve"> </w:t>
      </w:r>
      <w:r w:rsidR="005F4ABE" w:rsidRPr="00BA0ECA">
        <w:t>(</w:t>
      </w:r>
      <w:r w:rsidR="005F4ABE">
        <w:t>1,3-</w:t>
      </w:r>
      <w:r w:rsidR="005F4ABE" w:rsidRPr="00BA0ECA">
        <w:t>DPMA)</w:t>
      </w:r>
      <w:r w:rsidR="005F4ABE">
        <w:t xml:space="preserve">, </w:t>
      </w:r>
      <w:r w:rsidR="005C2D8A" w:rsidRPr="00BA0ECA">
        <w:t>1,5-Dechlorane Plus monoadduct</w:t>
      </w:r>
      <w:r w:rsidR="005C2D8A" w:rsidRPr="00BA0ECA" w:rsidDel="00A16FEA">
        <w:t xml:space="preserve"> </w:t>
      </w:r>
      <w:r w:rsidR="005C2D8A" w:rsidRPr="00BA0ECA">
        <w:t>(</w:t>
      </w:r>
      <w:r w:rsidR="005F4ABE">
        <w:t>1,5-</w:t>
      </w:r>
      <w:r w:rsidR="005C2D8A" w:rsidRPr="00BA0ECA">
        <w:t>DPMA)</w:t>
      </w:r>
      <w:r w:rsidR="00335776">
        <w:t xml:space="preserve"> </w:t>
      </w:r>
      <w:r>
        <w:t xml:space="preserve">and two substances formed through </w:t>
      </w:r>
      <w:r w:rsidR="005C2D8A" w:rsidRPr="00BA0ECA">
        <w:t>dehalogenation</w:t>
      </w:r>
      <w:r>
        <w:t>:</w:t>
      </w:r>
      <w:r w:rsidR="005C2D8A" w:rsidRPr="00BA0ECA">
        <w:t xml:space="preserve"> </w:t>
      </w:r>
      <w:r>
        <w:t>one</w:t>
      </w:r>
      <w:r w:rsidR="005C2D8A" w:rsidRPr="00BA0ECA">
        <w:t xml:space="preserve"> that has </w:t>
      </w:r>
      <w:r>
        <w:t>a single</w:t>
      </w:r>
      <w:r w:rsidR="005C2D8A" w:rsidRPr="00BA0ECA">
        <w:t xml:space="preserve"> chlorine atom replaced by hydrogen (DP-1Cl or </w:t>
      </w:r>
      <w:r w:rsidR="005C2D8A" w:rsidRPr="00BA0ECA">
        <w:rPr>
          <w:rFonts w:eastAsiaTheme="minorHAnsi"/>
          <w:color w:val="000000"/>
        </w:rPr>
        <w:t>Cl</w:t>
      </w:r>
      <w:r w:rsidR="005C2D8A" w:rsidRPr="00BA0ECA">
        <w:rPr>
          <w:rFonts w:eastAsiaTheme="minorHAnsi"/>
          <w:color w:val="000000"/>
          <w:vertAlign w:val="subscript"/>
        </w:rPr>
        <w:t>11</w:t>
      </w:r>
      <w:r w:rsidR="005C2D8A" w:rsidRPr="00BA0ECA">
        <w:rPr>
          <w:rFonts w:eastAsiaTheme="minorHAnsi"/>
          <w:color w:val="000000"/>
        </w:rPr>
        <w:t>-DP</w:t>
      </w:r>
      <w:r w:rsidR="005C2D8A" w:rsidRPr="00BA0ECA">
        <w:t xml:space="preserve">) and another in which two adjacent chlorine atoms are replaced by hydrogen (DP-2Cl or </w:t>
      </w:r>
      <w:r w:rsidR="005C2D8A" w:rsidRPr="00BA0ECA">
        <w:rPr>
          <w:rFonts w:eastAsiaTheme="minorHAnsi"/>
          <w:color w:val="000000"/>
        </w:rPr>
        <w:t>Cl</w:t>
      </w:r>
      <w:r w:rsidR="005C2D8A" w:rsidRPr="00BA0ECA">
        <w:rPr>
          <w:rFonts w:eastAsiaTheme="minorHAnsi"/>
          <w:color w:val="000000"/>
          <w:vertAlign w:val="subscript"/>
        </w:rPr>
        <w:t>10</w:t>
      </w:r>
      <w:r w:rsidR="005C2D8A" w:rsidRPr="00BA0ECA">
        <w:rPr>
          <w:rFonts w:eastAsiaTheme="minorHAnsi"/>
          <w:color w:val="000000"/>
        </w:rPr>
        <w:t>-DP</w:t>
      </w:r>
      <w:r w:rsidR="005C2D8A" w:rsidRPr="00BA0ECA">
        <w:t xml:space="preserve">). The structures of these three substances are provided in Figure 2. Other substances could include hydroxyl or other substituents in place of the hydrogen atoms. </w:t>
      </w:r>
    </w:p>
    <w:p w14:paraId="5F62864F" w14:textId="77777777" w:rsidR="005C2D8A" w:rsidRPr="002F1DA3" w:rsidRDefault="00CA56BB" w:rsidP="007D4C2B">
      <w:pPr>
        <w:pStyle w:val="Caption"/>
        <w:ind w:left="0"/>
      </w:pPr>
      <w:bookmarkStart w:id="188" w:name="_Toc439772080"/>
      <w:bookmarkStart w:id="189" w:name="_Toc491779897"/>
      <w:r>
        <w:rPr>
          <w:noProof/>
          <w:lang w:eastAsia="en-GB"/>
        </w:rPr>
        <w:drawing>
          <wp:anchor distT="0" distB="0" distL="114300" distR="114300" simplePos="0" relativeHeight="251793408" behindDoc="0" locked="0" layoutInCell="1" allowOverlap="1" wp14:anchorId="5A3EA392" wp14:editId="3015F69A">
            <wp:simplePos x="0" y="0"/>
            <wp:positionH relativeFrom="column">
              <wp:posOffset>657644</wp:posOffset>
            </wp:positionH>
            <wp:positionV relativeFrom="paragraph">
              <wp:posOffset>461645</wp:posOffset>
            </wp:positionV>
            <wp:extent cx="4140835" cy="1247775"/>
            <wp:effectExtent l="0" t="0" r="0" b="9525"/>
            <wp:wrapTopAndBottom/>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46179"/>
                    <a:stretch/>
                  </pic:blipFill>
                  <pic:spPr bwMode="auto">
                    <a:xfrm>
                      <a:off x="0" y="0"/>
                      <a:ext cx="4140835" cy="124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2D8A" w:rsidRPr="002F1DA3">
        <w:t xml:space="preserve">Figure </w:t>
      </w:r>
      <w:fldSimple w:instr=" SEQ Figure \* ARABIC ">
        <w:r w:rsidR="00F0628F">
          <w:rPr>
            <w:noProof/>
          </w:rPr>
          <w:t>2</w:t>
        </w:r>
      </w:fldSimple>
      <w:r w:rsidR="005C2D8A" w:rsidRPr="002F1DA3">
        <w:t xml:space="preserve">: </w:t>
      </w:r>
      <w:r w:rsidR="005C2D8A" w:rsidRPr="002F1DA3">
        <w:tab/>
        <w:t xml:space="preserve">Potential </w:t>
      </w:r>
      <w:r>
        <w:t xml:space="preserve">dechlorinated </w:t>
      </w:r>
      <w:r w:rsidR="005C2D8A" w:rsidRPr="002F1DA3">
        <w:t>transformation products of Dechlorane Plus</w:t>
      </w:r>
      <w:bookmarkEnd w:id="188"/>
      <w:bookmarkEnd w:id="189"/>
      <w:r w:rsidR="005C2D8A" w:rsidRPr="002F1DA3">
        <w:t xml:space="preserve"> </w:t>
      </w:r>
    </w:p>
    <w:p w14:paraId="61C77A56" w14:textId="77777777" w:rsidR="005C2D8A" w:rsidRDefault="005C2D8A" w:rsidP="002D039F">
      <w:pPr>
        <w:jc w:val="both"/>
        <w:rPr>
          <w:b/>
        </w:rPr>
      </w:pPr>
    </w:p>
    <w:p w14:paraId="3CAD15D3" w14:textId="77777777" w:rsidR="005C2D8A" w:rsidRDefault="005C2D8A" w:rsidP="002D039F">
      <w:pPr>
        <w:autoSpaceDE w:val="0"/>
        <w:autoSpaceDN w:val="0"/>
        <w:adjustRightInd w:val="0"/>
        <w:ind w:left="1134" w:right="657"/>
        <w:jc w:val="both"/>
        <w:rPr>
          <w:b/>
          <w:sz w:val="22"/>
          <w:szCs w:val="22"/>
        </w:rPr>
      </w:pPr>
      <w:r w:rsidRPr="00A22CB5">
        <w:rPr>
          <w:b/>
          <w:sz w:val="22"/>
          <w:szCs w:val="22"/>
        </w:rPr>
        <w:t>(</w:t>
      </w:r>
      <w:r w:rsidRPr="00A22CB5">
        <w:rPr>
          <w:b/>
          <w:sz w:val="18"/>
          <w:szCs w:val="18"/>
        </w:rPr>
        <w:t xml:space="preserve">reprinted from Muñoz-Arnanz </w:t>
      </w:r>
      <w:r w:rsidRPr="00A22CB5">
        <w:rPr>
          <w:b/>
          <w:i/>
          <w:sz w:val="18"/>
          <w:szCs w:val="18"/>
        </w:rPr>
        <w:t>et al</w:t>
      </w:r>
      <w:r w:rsidRPr="00A22CB5">
        <w:rPr>
          <w:b/>
          <w:sz w:val="18"/>
          <w:szCs w:val="18"/>
        </w:rPr>
        <w:t>. (2010). Copyright 2010: International Symposium on Halogenated Persistent Organic Pollutants</w:t>
      </w:r>
      <w:r w:rsidRPr="00A22CB5">
        <w:rPr>
          <w:b/>
          <w:sz w:val="22"/>
          <w:szCs w:val="22"/>
        </w:rPr>
        <w:t>)</w:t>
      </w:r>
    </w:p>
    <w:p w14:paraId="572B1EA9" w14:textId="77777777" w:rsidR="007D4C2B" w:rsidRPr="00A22CB5" w:rsidRDefault="007D4C2B" w:rsidP="002D039F">
      <w:pPr>
        <w:autoSpaceDE w:val="0"/>
        <w:autoSpaceDN w:val="0"/>
        <w:adjustRightInd w:val="0"/>
        <w:ind w:left="1134" w:right="657"/>
        <w:jc w:val="both"/>
        <w:rPr>
          <w:b/>
          <w:sz w:val="22"/>
          <w:szCs w:val="22"/>
        </w:rPr>
      </w:pPr>
    </w:p>
    <w:p w14:paraId="2C441F86" w14:textId="77777777" w:rsidR="007D4C2B" w:rsidRDefault="007D4C2B">
      <w:pPr>
        <w:widowControl/>
      </w:pPr>
      <w:r>
        <w:br w:type="page"/>
      </w:r>
    </w:p>
    <w:p w14:paraId="4C7A2142" w14:textId="77777777" w:rsidR="007D4C2B" w:rsidRDefault="007D4C2B" w:rsidP="007D4C2B">
      <w:pPr>
        <w:autoSpaceDE w:val="0"/>
        <w:autoSpaceDN w:val="0"/>
        <w:adjustRightInd w:val="0"/>
        <w:jc w:val="both"/>
      </w:pPr>
      <w:bookmarkStart w:id="190" w:name="_Toc491779898"/>
      <w:r w:rsidRPr="002F1DA3">
        <w:lastRenderedPageBreak/>
        <w:t xml:space="preserve">Figure </w:t>
      </w:r>
      <w:fldSimple w:instr=" SEQ Figure \* ARABIC ">
        <w:r w:rsidR="00281744">
          <w:rPr>
            <w:noProof/>
          </w:rPr>
          <w:t>3</w:t>
        </w:r>
      </w:fldSimple>
      <w:r w:rsidRPr="002F1DA3">
        <w:t xml:space="preserve">: </w:t>
      </w:r>
      <w:r w:rsidRPr="002F1DA3">
        <w:tab/>
        <w:t xml:space="preserve">Potential </w:t>
      </w:r>
      <w:r>
        <w:t xml:space="preserve">mono-adduct </w:t>
      </w:r>
      <w:r w:rsidRPr="002F1DA3">
        <w:t>transformation products of Dechlorane Plus</w:t>
      </w:r>
      <w:bookmarkEnd w:id="190"/>
      <w:r w:rsidRPr="00CA56BB">
        <w:rPr>
          <w:noProof/>
          <w:lang w:eastAsia="en-GB"/>
        </w:rPr>
        <w:t xml:space="preserve"> </w:t>
      </w:r>
    </w:p>
    <w:p w14:paraId="045AC90E" w14:textId="77777777" w:rsidR="005C2D8A" w:rsidRDefault="000B0AF1" w:rsidP="00FC3757">
      <w:pPr>
        <w:autoSpaceDE w:val="0"/>
        <w:autoSpaceDN w:val="0"/>
        <w:adjustRightInd w:val="0"/>
        <w:jc w:val="both"/>
      </w:pPr>
      <w:r w:rsidRPr="00CA56BB">
        <w:rPr>
          <w:noProof/>
          <w:lang w:eastAsia="en-GB"/>
        </w:rPr>
        <w:drawing>
          <wp:anchor distT="0" distB="0" distL="114300" distR="114300" simplePos="0" relativeHeight="251797504" behindDoc="1" locked="0" layoutInCell="1" allowOverlap="1" wp14:anchorId="55A22E43" wp14:editId="49D5A2A5">
            <wp:simplePos x="0" y="0"/>
            <wp:positionH relativeFrom="margin">
              <wp:posOffset>3033946</wp:posOffset>
            </wp:positionH>
            <wp:positionV relativeFrom="paragraph">
              <wp:posOffset>180759</wp:posOffset>
            </wp:positionV>
            <wp:extent cx="1518920" cy="1423670"/>
            <wp:effectExtent l="0" t="0" r="5080" b="508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2">
                      <a:extLst>
                        <a:ext uri="{28A0092B-C50C-407E-A947-70E740481C1C}">
                          <a14:useLocalDpi xmlns:a14="http://schemas.microsoft.com/office/drawing/2010/main" val="0"/>
                        </a:ext>
                      </a:extLst>
                    </a:blip>
                    <a:srcRect l="5866" t="51947" r="5028" b="3275"/>
                    <a:stretch/>
                  </pic:blipFill>
                  <pic:spPr bwMode="auto">
                    <a:xfrm>
                      <a:off x="0" y="0"/>
                      <a:ext cx="1518920" cy="1423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A56BB">
        <w:rPr>
          <w:noProof/>
          <w:lang w:eastAsia="en-GB"/>
        </w:rPr>
        <w:drawing>
          <wp:anchor distT="0" distB="0" distL="114300" distR="114300" simplePos="0" relativeHeight="251795456" behindDoc="1" locked="0" layoutInCell="1" allowOverlap="1" wp14:anchorId="23CD79C5" wp14:editId="1CC54EA3">
            <wp:simplePos x="0" y="0"/>
            <wp:positionH relativeFrom="margin">
              <wp:posOffset>832557</wp:posOffset>
            </wp:positionH>
            <wp:positionV relativeFrom="paragraph">
              <wp:posOffset>220273</wp:posOffset>
            </wp:positionV>
            <wp:extent cx="1504315" cy="1423670"/>
            <wp:effectExtent l="0" t="0" r="635" b="508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2">
                      <a:extLst>
                        <a:ext uri="{28A0092B-C50C-407E-A947-70E740481C1C}">
                          <a14:useLocalDpi xmlns:a14="http://schemas.microsoft.com/office/drawing/2010/main" val="0"/>
                        </a:ext>
                      </a:extLst>
                    </a:blip>
                    <a:srcRect l="6705" t="2096" r="5028" b="53144"/>
                    <a:stretch/>
                  </pic:blipFill>
                  <pic:spPr bwMode="auto">
                    <a:xfrm>
                      <a:off x="0" y="0"/>
                      <a:ext cx="1504315" cy="1423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DFDD07" w14:textId="77777777" w:rsidR="000B0AF1" w:rsidRPr="00AF5743" w:rsidRDefault="000B0AF1" w:rsidP="00DA2190">
      <w:pPr>
        <w:autoSpaceDE w:val="0"/>
        <w:autoSpaceDN w:val="0"/>
        <w:adjustRightInd w:val="0"/>
        <w:ind w:left="1304"/>
        <w:jc w:val="both"/>
        <w:rPr>
          <w:b/>
          <w:sz w:val="18"/>
          <w:szCs w:val="18"/>
        </w:rPr>
      </w:pPr>
      <w:r>
        <w:rPr>
          <w:b/>
          <w:sz w:val="18"/>
          <w:szCs w:val="18"/>
        </w:rPr>
        <w:t xml:space="preserve">          </w:t>
      </w:r>
      <w:r w:rsidRPr="00AF5743">
        <w:rPr>
          <w:b/>
          <w:sz w:val="18"/>
          <w:szCs w:val="18"/>
        </w:rPr>
        <w:t>1,3-DPMA</w:t>
      </w:r>
      <w:r>
        <w:rPr>
          <w:b/>
          <w:sz w:val="18"/>
          <w:szCs w:val="18"/>
        </w:rPr>
        <w:tab/>
      </w:r>
      <w:r>
        <w:rPr>
          <w:b/>
          <w:sz w:val="18"/>
          <w:szCs w:val="18"/>
        </w:rPr>
        <w:tab/>
        <w:t xml:space="preserve">      </w:t>
      </w:r>
      <w:r w:rsidRPr="00AF5743">
        <w:rPr>
          <w:b/>
          <w:sz w:val="18"/>
          <w:szCs w:val="18"/>
        </w:rPr>
        <w:t>1,</w:t>
      </w:r>
      <w:r>
        <w:rPr>
          <w:b/>
          <w:sz w:val="18"/>
          <w:szCs w:val="18"/>
        </w:rPr>
        <w:t>5</w:t>
      </w:r>
      <w:r w:rsidRPr="00AF5743">
        <w:rPr>
          <w:b/>
          <w:sz w:val="18"/>
          <w:szCs w:val="18"/>
        </w:rPr>
        <w:t>-DPMA</w:t>
      </w:r>
    </w:p>
    <w:p w14:paraId="06CCB036" w14:textId="55E15BD9" w:rsidR="00CA56BB" w:rsidRPr="00DA2190" w:rsidRDefault="00CA56BB" w:rsidP="00DA2190">
      <w:pPr>
        <w:autoSpaceDE w:val="0"/>
        <w:autoSpaceDN w:val="0"/>
        <w:adjustRightInd w:val="0"/>
        <w:ind w:left="1134" w:right="657"/>
        <w:jc w:val="both"/>
        <w:rPr>
          <w:b/>
          <w:sz w:val="18"/>
          <w:szCs w:val="18"/>
        </w:rPr>
      </w:pPr>
      <w:r w:rsidRPr="00DA2190">
        <w:rPr>
          <w:b/>
          <w:sz w:val="18"/>
          <w:szCs w:val="18"/>
        </w:rPr>
        <w:t xml:space="preserve">(adapted with permission from Sverko </w:t>
      </w:r>
      <w:r w:rsidRPr="00DA2190">
        <w:rPr>
          <w:b/>
          <w:i/>
          <w:sz w:val="18"/>
          <w:szCs w:val="18"/>
        </w:rPr>
        <w:t>et al</w:t>
      </w:r>
      <w:r w:rsidR="000B0AF1" w:rsidRPr="00DA2190">
        <w:rPr>
          <w:b/>
          <w:sz w:val="18"/>
          <w:szCs w:val="18"/>
        </w:rPr>
        <w:t>. (</w:t>
      </w:r>
      <w:r w:rsidRPr="00DA2190">
        <w:rPr>
          <w:b/>
          <w:sz w:val="18"/>
          <w:szCs w:val="18"/>
        </w:rPr>
        <w:t>2010</w:t>
      </w:r>
      <w:r w:rsidR="000B0AF1" w:rsidRPr="00DA2190">
        <w:rPr>
          <w:b/>
          <w:sz w:val="18"/>
          <w:szCs w:val="18"/>
        </w:rPr>
        <w:t>)</w:t>
      </w:r>
      <w:r w:rsidR="00F84B3C" w:rsidRPr="00DA2190">
        <w:rPr>
          <w:b/>
          <w:sz w:val="18"/>
          <w:szCs w:val="18"/>
        </w:rPr>
        <w:t xml:space="preserve">. Copyright </w:t>
      </w:r>
      <w:r w:rsidRPr="00DA2190">
        <w:rPr>
          <w:b/>
          <w:sz w:val="18"/>
          <w:szCs w:val="18"/>
        </w:rPr>
        <w:t>20</w:t>
      </w:r>
      <w:r w:rsidR="00F84B3C" w:rsidRPr="00DA2190">
        <w:rPr>
          <w:b/>
          <w:sz w:val="18"/>
          <w:szCs w:val="18"/>
        </w:rPr>
        <w:t>1</w:t>
      </w:r>
      <w:r w:rsidR="007D4C2B" w:rsidRPr="00DA2190">
        <w:rPr>
          <w:b/>
          <w:sz w:val="18"/>
          <w:szCs w:val="18"/>
        </w:rPr>
        <w:t>0</w:t>
      </w:r>
      <w:r w:rsidR="000B0AF1">
        <w:rPr>
          <w:b/>
          <w:sz w:val="18"/>
          <w:szCs w:val="18"/>
        </w:rPr>
        <w:t>:</w:t>
      </w:r>
      <w:r w:rsidRPr="00DA2190">
        <w:rPr>
          <w:b/>
          <w:sz w:val="18"/>
          <w:szCs w:val="18"/>
        </w:rPr>
        <w:t xml:space="preserve"> American Chemical Society</w:t>
      </w:r>
      <w:r w:rsidR="000B0AF1" w:rsidRPr="00DA2190">
        <w:rPr>
          <w:b/>
          <w:sz w:val="18"/>
          <w:szCs w:val="18"/>
        </w:rPr>
        <w:t>)</w:t>
      </w:r>
    </w:p>
    <w:p w14:paraId="7590C26F" w14:textId="77777777" w:rsidR="00CA56BB" w:rsidRDefault="00CA56BB" w:rsidP="00FC3757">
      <w:pPr>
        <w:autoSpaceDE w:val="0"/>
        <w:autoSpaceDN w:val="0"/>
        <w:adjustRightInd w:val="0"/>
        <w:jc w:val="both"/>
      </w:pPr>
    </w:p>
    <w:p w14:paraId="4D800CB7" w14:textId="77777777" w:rsidR="00CA56BB" w:rsidRDefault="00CA56BB" w:rsidP="00FC3757">
      <w:pPr>
        <w:autoSpaceDE w:val="0"/>
        <w:autoSpaceDN w:val="0"/>
        <w:adjustRightInd w:val="0"/>
        <w:jc w:val="both"/>
      </w:pPr>
    </w:p>
    <w:p w14:paraId="4474B401" w14:textId="77777777" w:rsidR="005C2D8A" w:rsidRPr="000A6FDD" w:rsidRDefault="00063715" w:rsidP="00FC3757">
      <w:pPr>
        <w:autoSpaceDE w:val="0"/>
        <w:autoSpaceDN w:val="0"/>
        <w:adjustRightInd w:val="0"/>
        <w:jc w:val="both"/>
        <w:rPr>
          <w:highlight w:val="yellow"/>
        </w:rPr>
      </w:pPr>
      <w:r>
        <w:t>T</w:t>
      </w:r>
      <w:r w:rsidR="005C2D8A" w:rsidRPr="00BA0ECA">
        <w:t xml:space="preserve">here is no information about their rates of formation or the conditions under which they are formed. They </w:t>
      </w:r>
      <w:r>
        <w:t>might</w:t>
      </w:r>
      <w:r w:rsidR="005C2D8A" w:rsidRPr="00BA0ECA">
        <w:t xml:space="preserve"> also be impurities in the commercial substance</w:t>
      </w:r>
      <w:r w:rsidR="005C2D8A">
        <w:t xml:space="preserve"> (see </w:t>
      </w:r>
      <w:r w:rsidR="00EB71FE">
        <w:t>Section 1.2</w:t>
      </w:r>
      <w:r w:rsidR="005C2D8A">
        <w:t>)</w:t>
      </w:r>
      <w:r w:rsidR="005C2D8A" w:rsidRPr="00BA0ECA">
        <w:t xml:space="preserve">. </w:t>
      </w:r>
      <w:r w:rsidR="00B256E1">
        <w:t>Their properties</w:t>
      </w:r>
      <w:r w:rsidR="005C2D8A">
        <w:t xml:space="preserve"> have been estimated </w:t>
      </w:r>
      <w:r w:rsidR="00EB71FE">
        <w:t xml:space="preserve">for the purposes of this </w:t>
      </w:r>
      <w:r>
        <w:t>document</w:t>
      </w:r>
      <w:r w:rsidR="00EB71FE">
        <w:t xml:space="preserve"> </w:t>
      </w:r>
      <w:r w:rsidR="005C2D8A">
        <w:t>(see Appendix 2).</w:t>
      </w:r>
    </w:p>
    <w:p w14:paraId="4C2A56F1" w14:textId="77777777" w:rsidR="001F5783" w:rsidRPr="00982C8A" w:rsidRDefault="001F5783" w:rsidP="002D039F">
      <w:pPr>
        <w:pStyle w:val="BodyText"/>
        <w:jc w:val="both"/>
        <w:rPr>
          <w:b/>
        </w:rPr>
      </w:pPr>
    </w:p>
    <w:p w14:paraId="0F562775" w14:textId="77777777" w:rsidR="00192A2A" w:rsidRDefault="00192A2A">
      <w:pPr>
        <w:widowControl/>
      </w:pPr>
      <w:bookmarkStart w:id="191" w:name="_Toc357083645"/>
      <w:bookmarkStart w:id="192" w:name="_Toc357184194"/>
      <w:bookmarkStart w:id="193" w:name="_Toc357184430"/>
      <w:bookmarkStart w:id="194" w:name="_Toc357185232"/>
      <w:bookmarkStart w:id="195" w:name="_Toc357186080"/>
      <w:bookmarkStart w:id="196" w:name="_Toc357186229"/>
      <w:bookmarkStart w:id="197" w:name="_Toc357437515"/>
      <w:bookmarkStart w:id="198" w:name="_Toc357590788"/>
      <w:bookmarkStart w:id="199" w:name="_Toc357692820"/>
      <w:bookmarkStart w:id="200" w:name="_Toc365649647"/>
      <w:bookmarkStart w:id="201" w:name="_Toc365649796"/>
      <w:bookmarkStart w:id="202" w:name="_Toc366489848"/>
      <w:bookmarkStart w:id="203" w:name="_Toc418498553"/>
      <w:bookmarkStart w:id="204" w:name="_Toc418505996"/>
    </w:p>
    <w:p w14:paraId="7734670D" w14:textId="77777777" w:rsidR="00112CE4" w:rsidRPr="00F558AF" w:rsidRDefault="00112CE4" w:rsidP="00112CE4">
      <w:pPr>
        <w:pStyle w:val="Caption"/>
      </w:pPr>
      <w:bookmarkStart w:id="205" w:name="_Toc491778951"/>
      <w:r w:rsidRPr="00F558AF">
        <w:t xml:space="preserve">Table </w:t>
      </w:r>
      <w:fldSimple w:instr=" SEQ Table \* ARABIC ">
        <w:r>
          <w:rPr>
            <w:noProof/>
          </w:rPr>
          <w:t>4</w:t>
        </w:r>
      </w:fldSimple>
      <w:r w:rsidRPr="00F558AF">
        <w:t xml:space="preserve">: </w:t>
      </w:r>
      <w:r>
        <w:t xml:space="preserve">Identity of </w:t>
      </w:r>
      <w:r w:rsidRPr="00112CE4">
        <w:t>1,3-DPMA</w:t>
      </w:r>
      <w:bookmarkEnd w:id="205"/>
    </w:p>
    <w:p w14:paraId="30625CBA" w14:textId="77777777" w:rsidR="002E01E5" w:rsidRDefault="002E01E5">
      <w:pPr>
        <w:widowControl/>
      </w:pPr>
    </w:p>
    <w:tbl>
      <w:tblPr>
        <w:tblW w:w="9655"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518"/>
        <w:gridCol w:w="5137"/>
      </w:tblGrid>
      <w:tr w:rsidR="002E01E5" w:rsidRPr="00C94F15" w14:paraId="61529FE0" w14:textId="77777777" w:rsidTr="002E01E5">
        <w:tc>
          <w:tcPr>
            <w:tcW w:w="4518" w:type="dxa"/>
            <w:tcMar>
              <w:top w:w="40" w:type="dxa"/>
              <w:left w:w="40" w:type="dxa"/>
              <w:bottom w:w="40" w:type="dxa"/>
              <w:right w:w="40" w:type="dxa"/>
            </w:tcMar>
          </w:tcPr>
          <w:p w14:paraId="488C20EA" w14:textId="77777777" w:rsidR="002E01E5" w:rsidRPr="008D0DBB" w:rsidRDefault="002E01E5" w:rsidP="00562EB7">
            <w:pPr>
              <w:pStyle w:val="Tabletext0"/>
              <w:rPr>
                <w:b/>
                <w:bCs/>
                <w:sz w:val="18"/>
                <w:szCs w:val="18"/>
              </w:rPr>
            </w:pPr>
            <w:r w:rsidRPr="008D0DBB">
              <w:rPr>
                <w:b/>
                <w:bCs/>
                <w:sz w:val="18"/>
                <w:szCs w:val="18"/>
              </w:rPr>
              <w:t>EC number:</w:t>
            </w:r>
          </w:p>
        </w:tc>
        <w:tc>
          <w:tcPr>
            <w:tcW w:w="5137" w:type="dxa"/>
            <w:tcMar>
              <w:top w:w="40" w:type="dxa"/>
              <w:left w:w="40" w:type="dxa"/>
              <w:bottom w:w="40" w:type="dxa"/>
              <w:right w:w="40" w:type="dxa"/>
            </w:tcMar>
          </w:tcPr>
          <w:p w14:paraId="42D78693" w14:textId="77777777" w:rsidR="002E01E5" w:rsidRPr="008D0DBB" w:rsidRDefault="002E01E5" w:rsidP="00562EB7">
            <w:pPr>
              <w:rPr>
                <w:sz w:val="18"/>
                <w:szCs w:val="18"/>
              </w:rPr>
            </w:pPr>
            <w:r>
              <w:rPr>
                <w:rStyle w:val="reflink"/>
                <w:color w:val="000000" w:themeColor="text1"/>
                <w:sz w:val="18"/>
                <w:szCs w:val="18"/>
              </w:rPr>
              <w:t>Not available</w:t>
            </w:r>
          </w:p>
        </w:tc>
      </w:tr>
      <w:tr w:rsidR="002E01E5" w:rsidRPr="00C94F15" w14:paraId="10FA04D4" w14:textId="77777777" w:rsidTr="002E01E5">
        <w:tc>
          <w:tcPr>
            <w:tcW w:w="4518" w:type="dxa"/>
            <w:tcMar>
              <w:top w:w="40" w:type="dxa"/>
              <w:left w:w="40" w:type="dxa"/>
              <w:bottom w:w="40" w:type="dxa"/>
              <w:right w:w="40" w:type="dxa"/>
            </w:tcMar>
          </w:tcPr>
          <w:p w14:paraId="39CC327C" w14:textId="77777777" w:rsidR="002E01E5" w:rsidRPr="008D0DBB" w:rsidRDefault="002E01E5" w:rsidP="00562EB7">
            <w:pPr>
              <w:pStyle w:val="Tabletext0"/>
              <w:rPr>
                <w:b/>
                <w:bCs/>
                <w:sz w:val="18"/>
                <w:szCs w:val="18"/>
              </w:rPr>
            </w:pPr>
            <w:r w:rsidRPr="008D0DBB">
              <w:rPr>
                <w:b/>
                <w:bCs/>
                <w:sz w:val="18"/>
                <w:szCs w:val="18"/>
              </w:rPr>
              <w:t>EC name:</w:t>
            </w:r>
          </w:p>
        </w:tc>
        <w:tc>
          <w:tcPr>
            <w:tcW w:w="5137" w:type="dxa"/>
            <w:tcMar>
              <w:top w:w="40" w:type="dxa"/>
              <w:left w:w="40" w:type="dxa"/>
              <w:bottom w:w="40" w:type="dxa"/>
              <w:right w:w="40" w:type="dxa"/>
            </w:tcMar>
          </w:tcPr>
          <w:p w14:paraId="69B99E47" w14:textId="77777777" w:rsidR="002E01E5" w:rsidRPr="000B0AF1" w:rsidRDefault="002E01E5" w:rsidP="00562EB7">
            <w:pPr>
              <w:rPr>
                <w:sz w:val="18"/>
                <w:szCs w:val="18"/>
              </w:rPr>
            </w:pPr>
            <w:r w:rsidRPr="000B0AF1">
              <w:rPr>
                <w:rStyle w:val="reflink"/>
                <w:color w:val="000000" w:themeColor="text1"/>
                <w:sz w:val="18"/>
                <w:szCs w:val="18"/>
              </w:rPr>
              <w:t>Not available</w:t>
            </w:r>
          </w:p>
        </w:tc>
      </w:tr>
      <w:tr w:rsidR="002E01E5" w:rsidRPr="00C94F15" w14:paraId="507A0797" w14:textId="77777777" w:rsidTr="002E01E5">
        <w:tc>
          <w:tcPr>
            <w:tcW w:w="4518" w:type="dxa"/>
            <w:tcMar>
              <w:top w:w="40" w:type="dxa"/>
              <w:left w:w="40" w:type="dxa"/>
              <w:bottom w:w="40" w:type="dxa"/>
              <w:right w:w="40" w:type="dxa"/>
            </w:tcMar>
          </w:tcPr>
          <w:p w14:paraId="6297F63B" w14:textId="77777777" w:rsidR="002E01E5" w:rsidRPr="008D0DBB" w:rsidRDefault="002E01E5" w:rsidP="00562EB7">
            <w:pPr>
              <w:pStyle w:val="Tabletext0"/>
              <w:rPr>
                <w:b/>
                <w:bCs/>
                <w:sz w:val="18"/>
                <w:szCs w:val="18"/>
              </w:rPr>
            </w:pPr>
            <w:r w:rsidRPr="008D0DBB">
              <w:rPr>
                <w:b/>
                <w:bCs/>
                <w:sz w:val="18"/>
                <w:szCs w:val="18"/>
              </w:rPr>
              <w:t>SMILES:</w:t>
            </w:r>
          </w:p>
        </w:tc>
        <w:tc>
          <w:tcPr>
            <w:tcW w:w="5137" w:type="dxa"/>
            <w:tcMar>
              <w:top w:w="40" w:type="dxa"/>
              <w:left w:w="40" w:type="dxa"/>
              <w:bottom w:w="40" w:type="dxa"/>
              <w:right w:w="40" w:type="dxa"/>
            </w:tcMar>
          </w:tcPr>
          <w:p w14:paraId="7ACE1EA1" w14:textId="77777777" w:rsidR="002E01E5" w:rsidRPr="000B0AF1" w:rsidRDefault="005F4ABE" w:rsidP="002E01E5">
            <w:pPr>
              <w:tabs>
                <w:tab w:val="left" w:pos="1985"/>
              </w:tabs>
              <w:rPr>
                <w:sz w:val="18"/>
                <w:szCs w:val="18"/>
              </w:rPr>
            </w:pPr>
            <w:r w:rsidRPr="000B0AF1">
              <w:rPr>
                <w:sz w:val="18"/>
                <w:szCs w:val="18"/>
              </w:rPr>
              <w:t>C32(Cl)C(Cl)(Cl)C(Cl)(C(Cl)=C3Cl)C1C2CCCCC=C1</w:t>
            </w:r>
          </w:p>
        </w:tc>
      </w:tr>
      <w:tr w:rsidR="002E01E5" w:rsidRPr="00C94F15" w14:paraId="2386D188" w14:textId="77777777" w:rsidTr="002E01E5">
        <w:tc>
          <w:tcPr>
            <w:tcW w:w="4518" w:type="dxa"/>
            <w:tcMar>
              <w:top w:w="40" w:type="dxa"/>
              <w:left w:w="40" w:type="dxa"/>
              <w:bottom w:w="40" w:type="dxa"/>
              <w:right w:w="40" w:type="dxa"/>
            </w:tcMar>
          </w:tcPr>
          <w:p w14:paraId="7482047E" w14:textId="77777777" w:rsidR="002E01E5" w:rsidRPr="008D0DBB" w:rsidRDefault="002E01E5" w:rsidP="00562EB7">
            <w:pPr>
              <w:pStyle w:val="Tabletext0"/>
              <w:rPr>
                <w:b/>
                <w:bCs/>
                <w:sz w:val="18"/>
                <w:szCs w:val="18"/>
              </w:rPr>
            </w:pPr>
            <w:r w:rsidRPr="008D0DBB">
              <w:rPr>
                <w:b/>
                <w:bCs/>
                <w:sz w:val="18"/>
                <w:szCs w:val="18"/>
              </w:rPr>
              <w:t>CAS number (in the EC inventory):</w:t>
            </w:r>
          </w:p>
        </w:tc>
        <w:tc>
          <w:tcPr>
            <w:tcW w:w="5137" w:type="dxa"/>
            <w:tcMar>
              <w:top w:w="40" w:type="dxa"/>
              <w:left w:w="40" w:type="dxa"/>
              <w:bottom w:w="40" w:type="dxa"/>
              <w:right w:w="40" w:type="dxa"/>
            </w:tcMar>
          </w:tcPr>
          <w:p w14:paraId="3AF35168" w14:textId="77777777" w:rsidR="002E01E5" w:rsidRPr="000B0AF1" w:rsidRDefault="002E01E5" w:rsidP="00562EB7">
            <w:pPr>
              <w:rPr>
                <w:sz w:val="18"/>
                <w:szCs w:val="18"/>
              </w:rPr>
            </w:pPr>
            <w:r w:rsidRPr="000B0AF1">
              <w:rPr>
                <w:rStyle w:val="reflink"/>
                <w:color w:val="000000" w:themeColor="text1"/>
                <w:sz w:val="18"/>
                <w:szCs w:val="18"/>
              </w:rPr>
              <w:t>Not available</w:t>
            </w:r>
          </w:p>
        </w:tc>
      </w:tr>
      <w:tr w:rsidR="002E01E5" w:rsidRPr="00C94F15" w14:paraId="471A64B2" w14:textId="77777777" w:rsidTr="002E01E5">
        <w:tc>
          <w:tcPr>
            <w:tcW w:w="4518" w:type="dxa"/>
            <w:tcMar>
              <w:top w:w="40" w:type="dxa"/>
              <w:left w:w="40" w:type="dxa"/>
              <w:bottom w:w="40" w:type="dxa"/>
              <w:right w:w="40" w:type="dxa"/>
            </w:tcMar>
          </w:tcPr>
          <w:p w14:paraId="06212494" w14:textId="77777777" w:rsidR="002E01E5" w:rsidRPr="008D0DBB" w:rsidRDefault="002E01E5" w:rsidP="002E01E5">
            <w:pPr>
              <w:pStyle w:val="Tabletext0"/>
              <w:rPr>
                <w:b/>
                <w:bCs/>
                <w:sz w:val="18"/>
                <w:szCs w:val="18"/>
              </w:rPr>
            </w:pPr>
            <w:r w:rsidRPr="008D0DBB">
              <w:rPr>
                <w:b/>
                <w:bCs/>
                <w:sz w:val="18"/>
                <w:szCs w:val="18"/>
              </w:rPr>
              <w:t>CAS number:</w:t>
            </w:r>
          </w:p>
        </w:tc>
        <w:tc>
          <w:tcPr>
            <w:tcW w:w="5137" w:type="dxa"/>
            <w:tcMar>
              <w:top w:w="40" w:type="dxa"/>
              <w:left w:w="40" w:type="dxa"/>
              <w:bottom w:w="40" w:type="dxa"/>
              <w:right w:w="40" w:type="dxa"/>
            </w:tcMar>
          </w:tcPr>
          <w:p w14:paraId="4084F0E5" w14:textId="77777777" w:rsidR="002E01E5" w:rsidRPr="000B0AF1" w:rsidRDefault="002E01E5" w:rsidP="002E01E5">
            <w:pPr>
              <w:rPr>
                <w:sz w:val="18"/>
                <w:szCs w:val="18"/>
              </w:rPr>
            </w:pPr>
            <w:r w:rsidRPr="000B0AF1">
              <w:rPr>
                <w:rStyle w:val="reflink"/>
                <w:color w:val="000000" w:themeColor="text1"/>
                <w:sz w:val="18"/>
                <w:szCs w:val="18"/>
              </w:rPr>
              <w:t>Not available</w:t>
            </w:r>
          </w:p>
        </w:tc>
      </w:tr>
      <w:tr w:rsidR="002E01E5" w:rsidRPr="00C94F15" w14:paraId="61DBACE9" w14:textId="77777777" w:rsidTr="002E01E5">
        <w:trPr>
          <w:trHeight w:val="30"/>
        </w:trPr>
        <w:tc>
          <w:tcPr>
            <w:tcW w:w="4518" w:type="dxa"/>
            <w:tcMar>
              <w:top w:w="40" w:type="dxa"/>
              <w:left w:w="40" w:type="dxa"/>
              <w:bottom w:w="40" w:type="dxa"/>
              <w:right w:w="40" w:type="dxa"/>
            </w:tcMar>
          </w:tcPr>
          <w:p w14:paraId="5A95E2E5" w14:textId="77777777" w:rsidR="002E01E5" w:rsidRPr="008D0DBB" w:rsidRDefault="002E01E5" w:rsidP="002E01E5">
            <w:pPr>
              <w:pStyle w:val="Tabletext0"/>
              <w:rPr>
                <w:b/>
                <w:bCs/>
                <w:sz w:val="18"/>
                <w:szCs w:val="18"/>
              </w:rPr>
            </w:pPr>
            <w:r w:rsidRPr="008D0DBB">
              <w:rPr>
                <w:b/>
                <w:bCs/>
                <w:sz w:val="18"/>
                <w:szCs w:val="18"/>
              </w:rPr>
              <w:t>CAS name:</w:t>
            </w:r>
          </w:p>
        </w:tc>
        <w:tc>
          <w:tcPr>
            <w:tcW w:w="5137" w:type="dxa"/>
            <w:tcMar>
              <w:top w:w="40" w:type="dxa"/>
              <w:left w:w="40" w:type="dxa"/>
              <w:bottom w:w="40" w:type="dxa"/>
              <w:right w:w="40" w:type="dxa"/>
            </w:tcMar>
          </w:tcPr>
          <w:p w14:paraId="432E4A0D" w14:textId="77777777" w:rsidR="002E01E5" w:rsidRPr="000B0AF1" w:rsidRDefault="005F4ABE" w:rsidP="002E01E5">
            <w:pPr>
              <w:rPr>
                <w:sz w:val="18"/>
                <w:szCs w:val="18"/>
              </w:rPr>
            </w:pPr>
            <w:r w:rsidRPr="000B0AF1">
              <w:rPr>
                <w:rStyle w:val="reflink"/>
                <w:color w:val="000000" w:themeColor="text1"/>
                <w:sz w:val="18"/>
                <w:szCs w:val="18"/>
              </w:rPr>
              <w:t>Not available</w:t>
            </w:r>
          </w:p>
        </w:tc>
      </w:tr>
      <w:tr w:rsidR="002E01E5" w:rsidRPr="00C94F15" w14:paraId="37F93FF4" w14:textId="77777777" w:rsidTr="002E01E5">
        <w:tc>
          <w:tcPr>
            <w:tcW w:w="4518" w:type="dxa"/>
            <w:tcMar>
              <w:top w:w="40" w:type="dxa"/>
              <w:left w:w="40" w:type="dxa"/>
              <w:bottom w:w="40" w:type="dxa"/>
              <w:right w:w="40" w:type="dxa"/>
            </w:tcMar>
          </w:tcPr>
          <w:p w14:paraId="43855ED4" w14:textId="77777777" w:rsidR="002E01E5" w:rsidRPr="008D0DBB" w:rsidRDefault="002E01E5" w:rsidP="002E01E5">
            <w:pPr>
              <w:pStyle w:val="Tabletext0"/>
              <w:rPr>
                <w:b/>
                <w:bCs/>
                <w:sz w:val="18"/>
                <w:szCs w:val="18"/>
              </w:rPr>
            </w:pPr>
            <w:r w:rsidRPr="008D0DBB">
              <w:rPr>
                <w:b/>
                <w:bCs/>
                <w:sz w:val="18"/>
                <w:szCs w:val="18"/>
              </w:rPr>
              <w:t>IUPAC name:</w:t>
            </w:r>
          </w:p>
        </w:tc>
        <w:tc>
          <w:tcPr>
            <w:tcW w:w="5137" w:type="dxa"/>
            <w:tcMar>
              <w:top w:w="40" w:type="dxa"/>
              <w:left w:w="40" w:type="dxa"/>
              <w:bottom w:w="40" w:type="dxa"/>
              <w:right w:w="40" w:type="dxa"/>
            </w:tcMar>
          </w:tcPr>
          <w:p w14:paraId="6E93D257" w14:textId="075DE4D1" w:rsidR="002E01E5" w:rsidRPr="000B0AF1" w:rsidRDefault="002E01E5" w:rsidP="00C90A64">
            <w:pPr>
              <w:rPr>
                <w:sz w:val="18"/>
                <w:szCs w:val="18"/>
              </w:rPr>
            </w:pPr>
            <w:r w:rsidRPr="00DA2190">
              <w:rPr>
                <w:rStyle w:val="summarytablecell"/>
                <w:sz w:val="18"/>
                <w:szCs w:val="18"/>
              </w:rPr>
              <w:t>1,10,11,12,13</w:t>
            </w:r>
            <w:r w:rsidR="00443EAE">
              <w:rPr>
                <w:rStyle w:val="summarytablecell"/>
                <w:sz w:val="18"/>
                <w:szCs w:val="18"/>
              </w:rPr>
              <w:t>,</w:t>
            </w:r>
            <w:r w:rsidRPr="00DA2190">
              <w:rPr>
                <w:rStyle w:val="summarytablecell"/>
                <w:sz w:val="18"/>
                <w:szCs w:val="18"/>
              </w:rPr>
              <w:t>-</w:t>
            </w:r>
            <w:r w:rsidR="00443EAE">
              <w:rPr>
                <w:rStyle w:val="summarytablecell"/>
                <w:sz w:val="18"/>
                <w:szCs w:val="18"/>
              </w:rPr>
              <w:t>13-</w:t>
            </w:r>
            <w:r w:rsidR="00C90A64">
              <w:rPr>
                <w:rStyle w:val="summarytablecell"/>
                <w:sz w:val="18"/>
                <w:szCs w:val="18"/>
              </w:rPr>
              <w:t>H</w:t>
            </w:r>
            <w:r w:rsidRPr="00DA2190">
              <w:rPr>
                <w:rStyle w:val="summarytablecell"/>
                <w:sz w:val="18"/>
                <w:szCs w:val="18"/>
              </w:rPr>
              <w:t>exachlorotricyclo[8.21.0</w:t>
            </w:r>
            <w:r w:rsidRPr="00DA2190">
              <w:rPr>
                <w:rStyle w:val="summarytablecell"/>
                <w:sz w:val="18"/>
                <w:szCs w:val="18"/>
                <w:vertAlign w:val="superscript"/>
              </w:rPr>
              <w:t>2,9</w:t>
            </w:r>
            <w:r w:rsidRPr="00DA2190">
              <w:rPr>
                <w:rStyle w:val="summarytablecell"/>
                <w:sz w:val="18"/>
                <w:szCs w:val="18"/>
              </w:rPr>
              <w:t>]-trideca-3,11-diene</w:t>
            </w:r>
          </w:p>
        </w:tc>
      </w:tr>
      <w:tr w:rsidR="002E01E5" w:rsidRPr="00C94F15" w14:paraId="71B064D7" w14:textId="77777777" w:rsidTr="002E01E5">
        <w:tc>
          <w:tcPr>
            <w:tcW w:w="4518" w:type="dxa"/>
            <w:tcMar>
              <w:top w:w="40" w:type="dxa"/>
              <w:left w:w="40" w:type="dxa"/>
              <w:bottom w:w="40" w:type="dxa"/>
              <w:right w:w="40" w:type="dxa"/>
            </w:tcMar>
          </w:tcPr>
          <w:p w14:paraId="7017404A" w14:textId="77777777" w:rsidR="002E01E5" w:rsidRPr="008D0DBB" w:rsidRDefault="002E01E5" w:rsidP="002E01E5">
            <w:pPr>
              <w:pStyle w:val="Tabletext0"/>
              <w:rPr>
                <w:b/>
                <w:bCs/>
                <w:sz w:val="18"/>
                <w:szCs w:val="18"/>
              </w:rPr>
            </w:pPr>
            <w:r w:rsidRPr="008D0DBB">
              <w:rPr>
                <w:b/>
                <w:bCs/>
                <w:sz w:val="18"/>
                <w:szCs w:val="18"/>
              </w:rPr>
              <w:t>Index number in Annex VI of the CLP Regulation</w:t>
            </w:r>
          </w:p>
        </w:tc>
        <w:tc>
          <w:tcPr>
            <w:tcW w:w="5137" w:type="dxa"/>
            <w:tcMar>
              <w:top w:w="40" w:type="dxa"/>
              <w:left w:w="40" w:type="dxa"/>
              <w:bottom w:w="40" w:type="dxa"/>
              <w:right w:w="40" w:type="dxa"/>
            </w:tcMar>
          </w:tcPr>
          <w:p w14:paraId="470A501E" w14:textId="77777777" w:rsidR="002E01E5" w:rsidRPr="000B0AF1" w:rsidRDefault="002E01E5" w:rsidP="002E01E5">
            <w:pPr>
              <w:rPr>
                <w:sz w:val="18"/>
                <w:szCs w:val="18"/>
              </w:rPr>
            </w:pPr>
            <w:r w:rsidRPr="000B0AF1">
              <w:rPr>
                <w:sz w:val="18"/>
                <w:szCs w:val="18"/>
                <w:lang w:eastAsia="da-DK"/>
              </w:rPr>
              <w:t>Not applicable</w:t>
            </w:r>
          </w:p>
        </w:tc>
      </w:tr>
      <w:tr w:rsidR="002E01E5" w:rsidRPr="00C94F15" w14:paraId="64BF647D" w14:textId="77777777" w:rsidTr="002E01E5">
        <w:tc>
          <w:tcPr>
            <w:tcW w:w="4518" w:type="dxa"/>
            <w:tcMar>
              <w:top w:w="40" w:type="dxa"/>
              <w:left w:w="40" w:type="dxa"/>
              <w:bottom w:w="40" w:type="dxa"/>
              <w:right w:w="40" w:type="dxa"/>
            </w:tcMar>
          </w:tcPr>
          <w:p w14:paraId="1719730F" w14:textId="77777777" w:rsidR="002E01E5" w:rsidRPr="008D0DBB" w:rsidRDefault="002E01E5" w:rsidP="002E01E5">
            <w:pPr>
              <w:pStyle w:val="Tabletext0"/>
              <w:rPr>
                <w:b/>
                <w:bCs/>
                <w:sz w:val="18"/>
                <w:szCs w:val="18"/>
              </w:rPr>
            </w:pPr>
            <w:r w:rsidRPr="008D0DBB">
              <w:rPr>
                <w:b/>
                <w:bCs/>
                <w:sz w:val="18"/>
                <w:szCs w:val="18"/>
              </w:rPr>
              <w:t>Molecular formula:</w:t>
            </w:r>
          </w:p>
        </w:tc>
        <w:tc>
          <w:tcPr>
            <w:tcW w:w="5137" w:type="dxa"/>
            <w:tcMar>
              <w:top w:w="40" w:type="dxa"/>
              <w:left w:w="40" w:type="dxa"/>
              <w:bottom w:w="40" w:type="dxa"/>
              <w:right w:w="40" w:type="dxa"/>
            </w:tcMar>
          </w:tcPr>
          <w:p w14:paraId="465FD01B" w14:textId="77777777" w:rsidR="002E01E5" w:rsidRPr="000B0AF1" w:rsidRDefault="002E01E5" w:rsidP="002E01E5">
            <w:pPr>
              <w:rPr>
                <w:sz w:val="18"/>
                <w:szCs w:val="18"/>
              </w:rPr>
            </w:pPr>
            <w:r w:rsidRPr="00DA2190">
              <w:rPr>
                <w:sz w:val="18"/>
                <w:szCs w:val="18"/>
              </w:rPr>
              <w:t>C</w:t>
            </w:r>
            <w:r w:rsidRPr="00DA2190">
              <w:rPr>
                <w:sz w:val="18"/>
                <w:szCs w:val="18"/>
                <w:vertAlign w:val="subscript"/>
              </w:rPr>
              <w:t>13</w:t>
            </w:r>
            <w:r w:rsidRPr="00DA2190">
              <w:rPr>
                <w:sz w:val="18"/>
                <w:szCs w:val="18"/>
              </w:rPr>
              <w:t>H</w:t>
            </w:r>
            <w:r w:rsidRPr="00DA2190">
              <w:rPr>
                <w:sz w:val="18"/>
                <w:szCs w:val="18"/>
                <w:vertAlign w:val="subscript"/>
              </w:rPr>
              <w:t>12</w:t>
            </w:r>
            <w:r w:rsidRPr="00DA2190">
              <w:rPr>
                <w:sz w:val="18"/>
                <w:szCs w:val="18"/>
              </w:rPr>
              <w:t>Cl</w:t>
            </w:r>
            <w:r w:rsidRPr="00DA2190">
              <w:rPr>
                <w:sz w:val="18"/>
                <w:szCs w:val="18"/>
                <w:vertAlign w:val="subscript"/>
              </w:rPr>
              <w:t>6</w:t>
            </w:r>
          </w:p>
        </w:tc>
      </w:tr>
      <w:tr w:rsidR="002E01E5" w:rsidRPr="00C94F15" w14:paraId="2E627969" w14:textId="77777777" w:rsidTr="002E01E5">
        <w:tc>
          <w:tcPr>
            <w:tcW w:w="4518" w:type="dxa"/>
            <w:tcMar>
              <w:top w:w="40" w:type="dxa"/>
              <w:left w:w="40" w:type="dxa"/>
              <w:bottom w:w="40" w:type="dxa"/>
              <w:right w:w="40" w:type="dxa"/>
            </w:tcMar>
          </w:tcPr>
          <w:p w14:paraId="1D7EF098" w14:textId="77777777" w:rsidR="002E01E5" w:rsidRPr="008D0DBB" w:rsidRDefault="002E01E5" w:rsidP="002E01E5">
            <w:pPr>
              <w:pStyle w:val="Tabletext0"/>
              <w:rPr>
                <w:b/>
                <w:bCs/>
                <w:sz w:val="18"/>
                <w:szCs w:val="18"/>
              </w:rPr>
            </w:pPr>
            <w:r w:rsidRPr="008D0DBB">
              <w:rPr>
                <w:b/>
                <w:bCs/>
                <w:sz w:val="18"/>
                <w:szCs w:val="18"/>
              </w:rPr>
              <w:t>Molecular weight range:</w:t>
            </w:r>
          </w:p>
        </w:tc>
        <w:tc>
          <w:tcPr>
            <w:tcW w:w="5137" w:type="dxa"/>
            <w:tcMar>
              <w:top w:w="40" w:type="dxa"/>
              <w:left w:w="40" w:type="dxa"/>
              <w:bottom w:w="40" w:type="dxa"/>
              <w:right w:w="40" w:type="dxa"/>
            </w:tcMar>
          </w:tcPr>
          <w:p w14:paraId="29E0C140" w14:textId="77777777" w:rsidR="002E01E5" w:rsidRPr="000B0AF1" w:rsidRDefault="002E01E5" w:rsidP="002E01E5">
            <w:pPr>
              <w:rPr>
                <w:sz w:val="18"/>
                <w:szCs w:val="18"/>
              </w:rPr>
            </w:pPr>
            <w:r w:rsidRPr="00DA2190">
              <w:rPr>
                <w:sz w:val="18"/>
                <w:szCs w:val="18"/>
              </w:rPr>
              <w:t>380.96</w:t>
            </w:r>
            <w:r w:rsidRPr="000B0AF1">
              <w:rPr>
                <w:bCs/>
                <w:sz w:val="18"/>
                <w:szCs w:val="18"/>
              </w:rPr>
              <w:t xml:space="preserve"> g/mole</w:t>
            </w:r>
          </w:p>
        </w:tc>
      </w:tr>
      <w:tr w:rsidR="002E01E5" w:rsidRPr="00C94F15" w14:paraId="5FCA8216" w14:textId="77777777" w:rsidTr="002E01E5">
        <w:tc>
          <w:tcPr>
            <w:tcW w:w="4518" w:type="dxa"/>
            <w:tcMar>
              <w:top w:w="40" w:type="dxa"/>
              <w:left w:w="40" w:type="dxa"/>
              <w:bottom w:w="40" w:type="dxa"/>
              <w:right w:w="40" w:type="dxa"/>
            </w:tcMar>
          </w:tcPr>
          <w:p w14:paraId="12D87DB9" w14:textId="77777777" w:rsidR="002E01E5" w:rsidRPr="008D0DBB" w:rsidRDefault="002E01E5" w:rsidP="002E01E5">
            <w:pPr>
              <w:pStyle w:val="Tabletext0"/>
              <w:rPr>
                <w:b/>
                <w:bCs/>
                <w:sz w:val="18"/>
                <w:szCs w:val="18"/>
              </w:rPr>
            </w:pPr>
            <w:r w:rsidRPr="008D0DBB">
              <w:rPr>
                <w:b/>
                <w:sz w:val="18"/>
                <w:szCs w:val="18"/>
              </w:rPr>
              <w:t>Synonyms:</w:t>
            </w:r>
          </w:p>
        </w:tc>
        <w:tc>
          <w:tcPr>
            <w:tcW w:w="5137" w:type="dxa"/>
            <w:tcMar>
              <w:top w:w="40" w:type="dxa"/>
              <w:left w:w="40" w:type="dxa"/>
              <w:bottom w:w="40" w:type="dxa"/>
              <w:right w:w="40" w:type="dxa"/>
            </w:tcMar>
          </w:tcPr>
          <w:p w14:paraId="165BEE1D" w14:textId="381FDB5A" w:rsidR="002E01E5" w:rsidRPr="000B0AF1" w:rsidRDefault="002E01E5" w:rsidP="00543150">
            <w:pPr>
              <w:rPr>
                <w:i/>
                <w:sz w:val="18"/>
                <w:szCs w:val="18"/>
              </w:rPr>
            </w:pPr>
            <w:r w:rsidRPr="000B0AF1">
              <w:rPr>
                <w:sz w:val="18"/>
                <w:szCs w:val="18"/>
              </w:rPr>
              <w:t>1,3-DPMA</w:t>
            </w:r>
            <w:r w:rsidR="005F4ABE" w:rsidRPr="000B0AF1">
              <w:rPr>
                <w:sz w:val="18"/>
                <w:szCs w:val="18"/>
              </w:rPr>
              <w:t>,</w:t>
            </w:r>
            <w:r w:rsidRPr="000B0AF1">
              <w:rPr>
                <w:sz w:val="18"/>
                <w:szCs w:val="18"/>
              </w:rPr>
              <w:t xml:space="preserve"> 1,3-Dechlorane Plus mono-adduct</w:t>
            </w:r>
          </w:p>
        </w:tc>
      </w:tr>
    </w:tbl>
    <w:p w14:paraId="76ED5EA1" w14:textId="77777777" w:rsidR="002E01E5" w:rsidRDefault="002E01E5">
      <w:pPr>
        <w:widowControl/>
      </w:pPr>
    </w:p>
    <w:p w14:paraId="0B544220" w14:textId="77777777" w:rsidR="002E01E5" w:rsidRDefault="002E01E5">
      <w:pPr>
        <w:widowControl/>
      </w:pPr>
    </w:p>
    <w:p w14:paraId="3A796E03" w14:textId="77777777" w:rsidR="002E01E5" w:rsidRDefault="002E01E5">
      <w:pPr>
        <w:widowControl/>
      </w:pPr>
    </w:p>
    <w:p w14:paraId="5F7E3F41" w14:textId="77777777" w:rsidR="00192A2A" w:rsidRDefault="00192A2A">
      <w:pPr>
        <w:widowControl/>
      </w:pPr>
    </w:p>
    <w:p w14:paraId="094D9C79" w14:textId="77777777" w:rsidR="000B0AF1" w:rsidRDefault="000B0AF1">
      <w:pPr>
        <w:widowControl/>
        <w:rPr>
          <w:bCs/>
          <w:sz w:val="22"/>
          <w:szCs w:val="24"/>
          <w:lang w:eastAsia="en-US"/>
        </w:rPr>
      </w:pPr>
      <w:r>
        <w:br w:type="page"/>
      </w:r>
    </w:p>
    <w:p w14:paraId="01788B1A" w14:textId="77777777" w:rsidR="00112CE4" w:rsidRPr="00F558AF" w:rsidRDefault="00112CE4" w:rsidP="00112CE4">
      <w:pPr>
        <w:pStyle w:val="Caption"/>
      </w:pPr>
      <w:bookmarkStart w:id="206" w:name="_Toc491778952"/>
      <w:r w:rsidRPr="00F558AF">
        <w:lastRenderedPageBreak/>
        <w:t xml:space="preserve">Table </w:t>
      </w:r>
      <w:fldSimple w:instr=" SEQ Table \* ARABIC ">
        <w:r>
          <w:rPr>
            <w:noProof/>
          </w:rPr>
          <w:t>4</w:t>
        </w:r>
      </w:fldSimple>
      <w:r w:rsidRPr="00F558AF">
        <w:t xml:space="preserve">: </w:t>
      </w:r>
      <w:r>
        <w:t xml:space="preserve">Identity of </w:t>
      </w:r>
      <w:r w:rsidRPr="00112CE4">
        <w:t>1,</w:t>
      </w:r>
      <w:r>
        <w:t>5</w:t>
      </w:r>
      <w:r w:rsidRPr="00112CE4">
        <w:t>-DPMA</w:t>
      </w:r>
      <w:bookmarkEnd w:id="206"/>
    </w:p>
    <w:p w14:paraId="087D2051" w14:textId="77777777" w:rsidR="00192A2A" w:rsidRDefault="00192A2A">
      <w:pPr>
        <w:widowControl/>
      </w:pPr>
    </w:p>
    <w:tbl>
      <w:tblPr>
        <w:tblW w:w="9655"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518"/>
        <w:gridCol w:w="5137"/>
      </w:tblGrid>
      <w:tr w:rsidR="002E01E5" w:rsidRPr="00C94F15" w14:paraId="75EF661A" w14:textId="77777777" w:rsidTr="00562EB7">
        <w:tc>
          <w:tcPr>
            <w:tcW w:w="4518" w:type="dxa"/>
            <w:tcMar>
              <w:top w:w="40" w:type="dxa"/>
              <w:left w:w="40" w:type="dxa"/>
              <w:bottom w:w="40" w:type="dxa"/>
              <w:right w:w="40" w:type="dxa"/>
            </w:tcMar>
          </w:tcPr>
          <w:p w14:paraId="434D7BEC" w14:textId="77777777" w:rsidR="002E01E5" w:rsidRPr="008D0DBB" w:rsidRDefault="002E01E5" w:rsidP="00562EB7">
            <w:pPr>
              <w:pStyle w:val="Tabletext0"/>
              <w:rPr>
                <w:b/>
                <w:bCs/>
                <w:sz w:val="18"/>
                <w:szCs w:val="18"/>
              </w:rPr>
            </w:pPr>
            <w:r w:rsidRPr="008D0DBB">
              <w:rPr>
                <w:b/>
                <w:bCs/>
                <w:sz w:val="18"/>
                <w:szCs w:val="18"/>
              </w:rPr>
              <w:t>EC number:</w:t>
            </w:r>
          </w:p>
        </w:tc>
        <w:tc>
          <w:tcPr>
            <w:tcW w:w="5137" w:type="dxa"/>
            <w:tcMar>
              <w:top w:w="40" w:type="dxa"/>
              <w:left w:w="40" w:type="dxa"/>
              <w:bottom w:w="40" w:type="dxa"/>
              <w:right w:w="40" w:type="dxa"/>
            </w:tcMar>
          </w:tcPr>
          <w:p w14:paraId="0E97F06E" w14:textId="77777777" w:rsidR="002E01E5" w:rsidRPr="000B0AF1" w:rsidRDefault="002E01E5" w:rsidP="00562EB7">
            <w:pPr>
              <w:rPr>
                <w:sz w:val="18"/>
                <w:szCs w:val="18"/>
              </w:rPr>
            </w:pPr>
            <w:r w:rsidRPr="000B0AF1">
              <w:rPr>
                <w:rStyle w:val="reflink"/>
                <w:color w:val="000000" w:themeColor="text1"/>
                <w:sz w:val="18"/>
                <w:szCs w:val="18"/>
              </w:rPr>
              <w:t>Not available</w:t>
            </w:r>
          </w:p>
        </w:tc>
      </w:tr>
      <w:tr w:rsidR="002E01E5" w:rsidRPr="00C94F15" w14:paraId="35445AC8" w14:textId="77777777" w:rsidTr="00562EB7">
        <w:tc>
          <w:tcPr>
            <w:tcW w:w="4518" w:type="dxa"/>
            <w:tcMar>
              <w:top w:w="40" w:type="dxa"/>
              <w:left w:w="40" w:type="dxa"/>
              <w:bottom w:w="40" w:type="dxa"/>
              <w:right w:w="40" w:type="dxa"/>
            </w:tcMar>
          </w:tcPr>
          <w:p w14:paraId="7C2CF1D9" w14:textId="77777777" w:rsidR="002E01E5" w:rsidRPr="008D0DBB" w:rsidRDefault="002E01E5" w:rsidP="00562EB7">
            <w:pPr>
              <w:pStyle w:val="Tabletext0"/>
              <w:rPr>
                <w:b/>
                <w:bCs/>
                <w:sz w:val="18"/>
                <w:szCs w:val="18"/>
              </w:rPr>
            </w:pPr>
            <w:r w:rsidRPr="008D0DBB">
              <w:rPr>
                <w:b/>
                <w:bCs/>
                <w:sz w:val="18"/>
                <w:szCs w:val="18"/>
              </w:rPr>
              <w:t>EC name:</w:t>
            </w:r>
          </w:p>
        </w:tc>
        <w:tc>
          <w:tcPr>
            <w:tcW w:w="5137" w:type="dxa"/>
            <w:tcMar>
              <w:top w:w="40" w:type="dxa"/>
              <w:left w:w="40" w:type="dxa"/>
              <w:bottom w:w="40" w:type="dxa"/>
              <w:right w:w="40" w:type="dxa"/>
            </w:tcMar>
          </w:tcPr>
          <w:p w14:paraId="6346FC27" w14:textId="77777777" w:rsidR="002E01E5" w:rsidRPr="000B0AF1" w:rsidRDefault="002E01E5" w:rsidP="00562EB7">
            <w:pPr>
              <w:rPr>
                <w:sz w:val="18"/>
                <w:szCs w:val="18"/>
              </w:rPr>
            </w:pPr>
            <w:r w:rsidRPr="000B0AF1">
              <w:rPr>
                <w:rStyle w:val="reflink"/>
                <w:color w:val="000000" w:themeColor="text1"/>
                <w:sz w:val="18"/>
                <w:szCs w:val="18"/>
              </w:rPr>
              <w:t>Not available</w:t>
            </w:r>
          </w:p>
        </w:tc>
      </w:tr>
      <w:tr w:rsidR="002E01E5" w:rsidRPr="00C94F15" w14:paraId="7480CA06" w14:textId="77777777" w:rsidTr="00562EB7">
        <w:tc>
          <w:tcPr>
            <w:tcW w:w="4518" w:type="dxa"/>
            <w:tcMar>
              <w:top w:w="40" w:type="dxa"/>
              <w:left w:w="40" w:type="dxa"/>
              <w:bottom w:w="40" w:type="dxa"/>
              <w:right w:w="40" w:type="dxa"/>
            </w:tcMar>
          </w:tcPr>
          <w:p w14:paraId="1A5B72BD" w14:textId="77777777" w:rsidR="002E01E5" w:rsidRPr="008D0DBB" w:rsidRDefault="002E01E5" w:rsidP="00562EB7">
            <w:pPr>
              <w:pStyle w:val="Tabletext0"/>
              <w:rPr>
                <w:b/>
                <w:bCs/>
                <w:sz w:val="18"/>
                <w:szCs w:val="18"/>
              </w:rPr>
            </w:pPr>
            <w:r w:rsidRPr="008D0DBB">
              <w:rPr>
                <w:b/>
                <w:bCs/>
                <w:sz w:val="18"/>
                <w:szCs w:val="18"/>
              </w:rPr>
              <w:t>SMILES:</w:t>
            </w:r>
          </w:p>
        </w:tc>
        <w:tc>
          <w:tcPr>
            <w:tcW w:w="5137" w:type="dxa"/>
            <w:tcMar>
              <w:top w:w="40" w:type="dxa"/>
              <w:left w:w="40" w:type="dxa"/>
              <w:bottom w:w="40" w:type="dxa"/>
              <w:right w:w="40" w:type="dxa"/>
            </w:tcMar>
          </w:tcPr>
          <w:p w14:paraId="414D8C76" w14:textId="77777777" w:rsidR="002E01E5" w:rsidRPr="00BC7A84" w:rsidRDefault="002E01E5" w:rsidP="00562EB7">
            <w:pPr>
              <w:tabs>
                <w:tab w:val="left" w:pos="1985"/>
              </w:tabs>
              <w:rPr>
                <w:sz w:val="18"/>
                <w:szCs w:val="18"/>
              </w:rPr>
            </w:pPr>
            <w:r w:rsidRPr="00BC7A84">
              <w:rPr>
                <w:sz w:val="18"/>
                <w:szCs w:val="18"/>
              </w:rPr>
              <w:t>C32(Cl)C(Cl)(Cl)C(Cl)(C(Cl)=C3Cl)C1C2CCC=CCC1</w:t>
            </w:r>
          </w:p>
          <w:p w14:paraId="57124F80" w14:textId="77777777" w:rsidR="002E01E5" w:rsidRPr="000B0AF1" w:rsidRDefault="002E01E5" w:rsidP="00562EB7">
            <w:pPr>
              <w:rPr>
                <w:sz w:val="18"/>
                <w:szCs w:val="18"/>
              </w:rPr>
            </w:pPr>
          </w:p>
        </w:tc>
      </w:tr>
      <w:tr w:rsidR="002E01E5" w:rsidRPr="00C94F15" w14:paraId="323503C9" w14:textId="77777777" w:rsidTr="00562EB7">
        <w:tc>
          <w:tcPr>
            <w:tcW w:w="4518" w:type="dxa"/>
            <w:tcMar>
              <w:top w:w="40" w:type="dxa"/>
              <w:left w:w="40" w:type="dxa"/>
              <w:bottom w:w="40" w:type="dxa"/>
              <w:right w:w="40" w:type="dxa"/>
            </w:tcMar>
          </w:tcPr>
          <w:p w14:paraId="0BD330EF" w14:textId="77777777" w:rsidR="002E01E5" w:rsidRPr="008D0DBB" w:rsidRDefault="002E01E5" w:rsidP="00562EB7">
            <w:pPr>
              <w:pStyle w:val="Tabletext0"/>
              <w:rPr>
                <w:b/>
                <w:bCs/>
                <w:sz w:val="18"/>
                <w:szCs w:val="18"/>
              </w:rPr>
            </w:pPr>
            <w:r w:rsidRPr="008D0DBB">
              <w:rPr>
                <w:b/>
                <w:bCs/>
                <w:sz w:val="18"/>
                <w:szCs w:val="18"/>
              </w:rPr>
              <w:t>CAS number (in the EC inventory):</w:t>
            </w:r>
          </w:p>
        </w:tc>
        <w:tc>
          <w:tcPr>
            <w:tcW w:w="5137" w:type="dxa"/>
            <w:tcMar>
              <w:top w:w="40" w:type="dxa"/>
              <w:left w:w="40" w:type="dxa"/>
              <w:bottom w:w="40" w:type="dxa"/>
              <w:right w:w="40" w:type="dxa"/>
            </w:tcMar>
          </w:tcPr>
          <w:p w14:paraId="4008F1E7" w14:textId="77777777" w:rsidR="002E01E5" w:rsidRPr="000B0AF1" w:rsidRDefault="002E01E5" w:rsidP="00562EB7">
            <w:pPr>
              <w:rPr>
                <w:sz w:val="18"/>
                <w:szCs w:val="18"/>
              </w:rPr>
            </w:pPr>
            <w:r w:rsidRPr="000B0AF1">
              <w:rPr>
                <w:rStyle w:val="reflink"/>
                <w:color w:val="000000" w:themeColor="text1"/>
                <w:sz w:val="18"/>
                <w:szCs w:val="18"/>
              </w:rPr>
              <w:t>Not available</w:t>
            </w:r>
          </w:p>
        </w:tc>
      </w:tr>
      <w:tr w:rsidR="002E01E5" w:rsidRPr="00C94F15" w14:paraId="15F3D0C2" w14:textId="77777777" w:rsidTr="00562EB7">
        <w:tc>
          <w:tcPr>
            <w:tcW w:w="4518" w:type="dxa"/>
            <w:tcMar>
              <w:top w:w="40" w:type="dxa"/>
              <w:left w:w="40" w:type="dxa"/>
              <w:bottom w:w="40" w:type="dxa"/>
              <w:right w:w="40" w:type="dxa"/>
            </w:tcMar>
          </w:tcPr>
          <w:p w14:paraId="36DEF9D5" w14:textId="77777777" w:rsidR="002E01E5" w:rsidRPr="008D0DBB" w:rsidRDefault="002E01E5" w:rsidP="00562EB7">
            <w:pPr>
              <w:pStyle w:val="Tabletext0"/>
              <w:rPr>
                <w:b/>
                <w:bCs/>
                <w:sz w:val="18"/>
                <w:szCs w:val="18"/>
              </w:rPr>
            </w:pPr>
            <w:r w:rsidRPr="008D0DBB">
              <w:rPr>
                <w:b/>
                <w:bCs/>
                <w:sz w:val="18"/>
                <w:szCs w:val="18"/>
              </w:rPr>
              <w:t>CAS number:</w:t>
            </w:r>
          </w:p>
        </w:tc>
        <w:tc>
          <w:tcPr>
            <w:tcW w:w="5137" w:type="dxa"/>
            <w:tcMar>
              <w:top w:w="40" w:type="dxa"/>
              <w:left w:w="40" w:type="dxa"/>
              <w:bottom w:w="40" w:type="dxa"/>
              <w:right w:w="40" w:type="dxa"/>
            </w:tcMar>
          </w:tcPr>
          <w:p w14:paraId="2323229E" w14:textId="77777777" w:rsidR="002E01E5" w:rsidRPr="000B0AF1" w:rsidRDefault="002E01E5" w:rsidP="00562EB7">
            <w:pPr>
              <w:rPr>
                <w:sz w:val="18"/>
                <w:szCs w:val="18"/>
              </w:rPr>
            </w:pPr>
            <w:r w:rsidRPr="000B0AF1">
              <w:rPr>
                <w:rStyle w:val="reflink"/>
                <w:color w:val="000000" w:themeColor="text1"/>
                <w:sz w:val="18"/>
                <w:szCs w:val="18"/>
              </w:rPr>
              <w:t>Not available</w:t>
            </w:r>
          </w:p>
        </w:tc>
      </w:tr>
      <w:tr w:rsidR="002E01E5" w:rsidRPr="00C94F15" w14:paraId="779A5D2E" w14:textId="77777777" w:rsidTr="00562EB7">
        <w:trPr>
          <w:trHeight w:val="30"/>
        </w:trPr>
        <w:tc>
          <w:tcPr>
            <w:tcW w:w="4518" w:type="dxa"/>
            <w:tcMar>
              <w:top w:w="40" w:type="dxa"/>
              <w:left w:w="40" w:type="dxa"/>
              <w:bottom w:w="40" w:type="dxa"/>
              <w:right w:w="40" w:type="dxa"/>
            </w:tcMar>
          </w:tcPr>
          <w:p w14:paraId="459C4F49" w14:textId="77777777" w:rsidR="002E01E5" w:rsidRPr="008D0DBB" w:rsidRDefault="002E01E5" w:rsidP="00562EB7">
            <w:pPr>
              <w:pStyle w:val="Tabletext0"/>
              <w:rPr>
                <w:b/>
                <w:bCs/>
                <w:sz w:val="18"/>
                <w:szCs w:val="18"/>
              </w:rPr>
            </w:pPr>
            <w:r w:rsidRPr="008D0DBB">
              <w:rPr>
                <w:b/>
                <w:bCs/>
                <w:sz w:val="18"/>
                <w:szCs w:val="18"/>
              </w:rPr>
              <w:t>CAS name:</w:t>
            </w:r>
          </w:p>
        </w:tc>
        <w:tc>
          <w:tcPr>
            <w:tcW w:w="5137" w:type="dxa"/>
            <w:tcMar>
              <w:top w:w="40" w:type="dxa"/>
              <w:left w:w="40" w:type="dxa"/>
              <w:bottom w:w="40" w:type="dxa"/>
              <w:right w:w="40" w:type="dxa"/>
            </w:tcMar>
          </w:tcPr>
          <w:p w14:paraId="189A6ED3" w14:textId="77777777" w:rsidR="002E01E5" w:rsidRPr="000B0AF1" w:rsidRDefault="005F4ABE" w:rsidP="00562EB7">
            <w:pPr>
              <w:rPr>
                <w:sz w:val="18"/>
                <w:szCs w:val="18"/>
              </w:rPr>
            </w:pPr>
            <w:r w:rsidRPr="000B0AF1">
              <w:rPr>
                <w:rStyle w:val="reflink"/>
                <w:color w:val="000000" w:themeColor="text1"/>
                <w:sz w:val="18"/>
                <w:szCs w:val="18"/>
              </w:rPr>
              <w:t>Not available</w:t>
            </w:r>
          </w:p>
        </w:tc>
      </w:tr>
      <w:tr w:rsidR="002E01E5" w:rsidRPr="00C94F15" w14:paraId="5284552B" w14:textId="77777777" w:rsidTr="00562EB7">
        <w:tc>
          <w:tcPr>
            <w:tcW w:w="4518" w:type="dxa"/>
            <w:tcMar>
              <w:top w:w="40" w:type="dxa"/>
              <w:left w:w="40" w:type="dxa"/>
              <w:bottom w:w="40" w:type="dxa"/>
              <w:right w:w="40" w:type="dxa"/>
            </w:tcMar>
          </w:tcPr>
          <w:p w14:paraId="77F5A751" w14:textId="77777777" w:rsidR="002E01E5" w:rsidRPr="008D0DBB" w:rsidRDefault="002E01E5" w:rsidP="00562EB7">
            <w:pPr>
              <w:pStyle w:val="Tabletext0"/>
              <w:rPr>
                <w:b/>
                <w:bCs/>
                <w:sz w:val="18"/>
                <w:szCs w:val="18"/>
              </w:rPr>
            </w:pPr>
            <w:r w:rsidRPr="008D0DBB">
              <w:rPr>
                <w:b/>
                <w:bCs/>
                <w:sz w:val="18"/>
                <w:szCs w:val="18"/>
              </w:rPr>
              <w:t>IUPAC name:</w:t>
            </w:r>
          </w:p>
        </w:tc>
        <w:tc>
          <w:tcPr>
            <w:tcW w:w="5137" w:type="dxa"/>
            <w:tcMar>
              <w:top w:w="40" w:type="dxa"/>
              <w:left w:w="40" w:type="dxa"/>
              <w:bottom w:w="40" w:type="dxa"/>
              <w:right w:w="40" w:type="dxa"/>
            </w:tcMar>
          </w:tcPr>
          <w:p w14:paraId="2620C723" w14:textId="68CE4E61" w:rsidR="002E01E5" w:rsidRPr="000B0AF1" w:rsidRDefault="002E01E5" w:rsidP="00C90A64">
            <w:pPr>
              <w:rPr>
                <w:sz w:val="18"/>
                <w:szCs w:val="18"/>
              </w:rPr>
            </w:pPr>
            <w:r w:rsidRPr="00DA2190">
              <w:rPr>
                <w:rStyle w:val="summarytablecell"/>
                <w:sz w:val="18"/>
                <w:szCs w:val="18"/>
              </w:rPr>
              <w:t>1,10,11,12,13</w:t>
            </w:r>
            <w:r w:rsidR="00443EAE">
              <w:rPr>
                <w:rStyle w:val="summarytablecell"/>
                <w:sz w:val="18"/>
                <w:szCs w:val="18"/>
              </w:rPr>
              <w:t>,-13</w:t>
            </w:r>
            <w:r w:rsidRPr="00DA2190">
              <w:rPr>
                <w:rStyle w:val="summarytablecell"/>
                <w:sz w:val="18"/>
                <w:szCs w:val="18"/>
              </w:rPr>
              <w:t>-</w:t>
            </w:r>
            <w:r w:rsidR="00C90A64">
              <w:rPr>
                <w:rStyle w:val="summarytablecell"/>
                <w:sz w:val="18"/>
                <w:szCs w:val="18"/>
              </w:rPr>
              <w:t>H</w:t>
            </w:r>
            <w:r w:rsidRPr="00DA2190">
              <w:rPr>
                <w:rStyle w:val="summarytablecell"/>
                <w:sz w:val="18"/>
                <w:szCs w:val="18"/>
              </w:rPr>
              <w:t>exachlorotricyclo[8.21.0</w:t>
            </w:r>
            <w:r w:rsidRPr="00DA2190">
              <w:rPr>
                <w:rStyle w:val="summarytablecell"/>
                <w:sz w:val="18"/>
                <w:szCs w:val="18"/>
                <w:vertAlign w:val="superscript"/>
              </w:rPr>
              <w:t>2,9</w:t>
            </w:r>
            <w:r w:rsidRPr="00DA2190">
              <w:rPr>
                <w:rStyle w:val="summarytablecell"/>
                <w:sz w:val="18"/>
                <w:szCs w:val="18"/>
              </w:rPr>
              <w:t>]</w:t>
            </w:r>
            <w:r w:rsidR="00543150" w:rsidRPr="00DA2190">
              <w:rPr>
                <w:rStyle w:val="summarytablecell"/>
                <w:sz w:val="18"/>
                <w:szCs w:val="18"/>
              </w:rPr>
              <w:t>-trideca-5</w:t>
            </w:r>
            <w:r w:rsidRPr="00DA2190">
              <w:rPr>
                <w:rStyle w:val="summarytablecell"/>
                <w:sz w:val="18"/>
                <w:szCs w:val="18"/>
              </w:rPr>
              <w:t>,11-diene</w:t>
            </w:r>
          </w:p>
        </w:tc>
      </w:tr>
      <w:tr w:rsidR="002E01E5" w:rsidRPr="00C94F15" w14:paraId="1D57F672" w14:textId="77777777" w:rsidTr="00562EB7">
        <w:tc>
          <w:tcPr>
            <w:tcW w:w="4518" w:type="dxa"/>
            <w:tcMar>
              <w:top w:w="40" w:type="dxa"/>
              <w:left w:w="40" w:type="dxa"/>
              <w:bottom w:w="40" w:type="dxa"/>
              <w:right w:w="40" w:type="dxa"/>
            </w:tcMar>
          </w:tcPr>
          <w:p w14:paraId="39C42917" w14:textId="77777777" w:rsidR="002E01E5" w:rsidRPr="008D0DBB" w:rsidRDefault="002E01E5" w:rsidP="00562EB7">
            <w:pPr>
              <w:pStyle w:val="Tabletext0"/>
              <w:rPr>
                <w:b/>
                <w:bCs/>
                <w:sz w:val="18"/>
                <w:szCs w:val="18"/>
              </w:rPr>
            </w:pPr>
            <w:r w:rsidRPr="008D0DBB">
              <w:rPr>
                <w:b/>
                <w:bCs/>
                <w:sz w:val="18"/>
                <w:szCs w:val="18"/>
              </w:rPr>
              <w:t>Index number in Annex VI of the CLP Regulation</w:t>
            </w:r>
          </w:p>
        </w:tc>
        <w:tc>
          <w:tcPr>
            <w:tcW w:w="5137" w:type="dxa"/>
            <w:tcMar>
              <w:top w:w="40" w:type="dxa"/>
              <w:left w:w="40" w:type="dxa"/>
              <w:bottom w:w="40" w:type="dxa"/>
              <w:right w:w="40" w:type="dxa"/>
            </w:tcMar>
          </w:tcPr>
          <w:p w14:paraId="3569225C" w14:textId="77777777" w:rsidR="002E01E5" w:rsidRPr="000B0AF1" w:rsidRDefault="002E01E5" w:rsidP="00562EB7">
            <w:pPr>
              <w:rPr>
                <w:sz w:val="18"/>
                <w:szCs w:val="18"/>
              </w:rPr>
            </w:pPr>
            <w:r w:rsidRPr="000B0AF1">
              <w:rPr>
                <w:sz w:val="18"/>
                <w:szCs w:val="18"/>
                <w:lang w:eastAsia="da-DK"/>
              </w:rPr>
              <w:t>Not applicable</w:t>
            </w:r>
          </w:p>
        </w:tc>
      </w:tr>
      <w:tr w:rsidR="002E01E5" w:rsidRPr="00C94F15" w14:paraId="5CDA0375" w14:textId="77777777" w:rsidTr="00562EB7">
        <w:tc>
          <w:tcPr>
            <w:tcW w:w="4518" w:type="dxa"/>
            <w:tcMar>
              <w:top w:w="40" w:type="dxa"/>
              <w:left w:w="40" w:type="dxa"/>
              <w:bottom w:w="40" w:type="dxa"/>
              <w:right w:w="40" w:type="dxa"/>
            </w:tcMar>
          </w:tcPr>
          <w:p w14:paraId="529630C8" w14:textId="77777777" w:rsidR="002E01E5" w:rsidRPr="008D0DBB" w:rsidRDefault="002E01E5" w:rsidP="00562EB7">
            <w:pPr>
              <w:pStyle w:val="Tabletext0"/>
              <w:rPr>
                <w:b/>
                <w:bCs/>
                <w:sz w:val="18"/>
                <w:szCs w:val="18"/>
              </w:rPr>
            </w:pPr>
            <w:r w:rsidRPr="008D0DBB">
              <w:rPr>
                <w:b/>
                <w:bCs/>
                <w:sz w:val="18"/>
                <w:szCs w:val="18"/>
              </w:rPr>
              <w:t>Molecular formula:</w:t>
            </w:r>
          </w:p>
        </w:tc>
        <w:tc>
          <w:tcPr>
            <w:tcW w:w="5137" w:type="dxa"/>
            <w:tcMar>
              <w:top w:w="40" w:type="dxa"/>
              <w:left w:w="40" w:type="dxa"/>
              <w:bottom w:w="40" w:type="dxa"/>
              <w:right w:w="40" w:type="dxa"/>
            </w:tcMar>
          </w:tcPr>
          <w:p w14:paraId="66DA396D" w14:textId="77777777" w:rsidR="002E01E5" w:rsidRPr="000B0AF1" w:rsidRDefault="002E01E5" w:rsidP="00562EB7">
            <w:pPr>
              <w:rPr>
                <w:sz w:val="18"/>
                <w:szCs w:val="18"/>
              </w:rPr>
            </w:pPr>
            <w:r w:rsidRPr="00DA2190">
              <w:rPr>
                <w:sz w:val="18"/>
                <w:szCs w:val="18"/>
              </w:rPr>
              <w:t>C</w:t>
            </w:r>
            <w:r w:rsidRPr="00DA2190">
              <w:rPr>
                <w:sz w:val="18"/>
                <w:szCs w:val="18"/>
                <w:vertAlign w:val="subscript"/>
              </w:rPr>
              <w:t>13</w:t>
            </w:r>
            <w:r w:rsidRPr="00DA2190">
              <w:rPr>
                <w:sz w:val="18"/>
                <w:szCs w:val="18"/>
              </w:rPr>
              <w:t>H</w:t>
            </w:r>
            <w:r w:rsidRPr="00DA2190">
              <w:rPr>
                <w:sz w:val="18"/>
                <w:szCs w:val="18"/>
                <w:vertAlign w:val="subscript"/>
              </w:rPr>
              <w:t>12</w:t>
            </w:r>
            <w:r w:rsidRPr="00DA2190">
              <w:rPr>
                <w:sz w:val="18"/>
                <w:szCs w:val="18"/>
              </w:rPr>
              <w:t>Cl</w:t>
            </w:r>
            <w:r w:rsidRPr="00DA2190">
              <w:rPr>
                <w:sz w:val="18"/>
                <w:szCs w:val="18"/>
                <w:vertAlign w:val="subscript"/>
              </w:rPr>
              <w:t>6</w:t>
            </w:r>
          </w:p>
        </w:tc>
      </w:tr>
      <w:tr w:rsidR="002E01E5" w:rsidRPr="00C94F15" w14:paraId="3E9FE5BC" w14:textId="77777777" w:rsidTr="00562EB7">
        <w:tc>
          <w:tcPr>
            <w:tcW w:w="4518" w:type="dxa"/>
            <w:tcMar>
              <w:top w:w="40" w:type="dxa"/>
              <w:left w:w="40" w:type="dxa"/>
              <w:bottom w:w="40" w:type="dxa"/>
              <w:right w:w="40" w:type="dxa"/>
            </w:tcMar>
          </w:tcPr>
          <w:p w14:paraId="32C378D2" w14:textId="77777777" w:rsidR="002E01E5" w:rsidRPr="008D0DBB" w:rsidRDefault="002E01E5" w:rsidP="00562EB7">
            <w:pPr>
              <w:pStyle w:val="Tabletext0"/>
              <w:rPr>
                <w:b/>
                <w:bCs/>
                <w:sz w:val="18"/>
                <w:szCs w:val="18"/>
              </w:rPr>
            </w:pPr>
            <w:r w:rsidRPr="008D0DBB">
              <w:rPr>
                <w:b/>
                <w:bCs/>
                <w:sz w:val="18"/>
                <w:szCs w:val="18"/>
              </w:rPr>
              <w:t>Molecular weight range:</w:t>
            </w:r>
          </w:p>
        </w:tc>
        <w:tc>
          <w:tcPr>
            <w:tcW w:w="5137" w:type="dxa"/>
            <w:tcMar>
              <w:top w:w="40" w:type="dxa"/>
              <w:left w:w="40" w:type="dxa"/>
              <w:bottom w:w="40" w:type="dxa"/>
              <w:right w:w="40" w:type="dxa"/>
            </w:tcMar>
          </w:tcPr>
          <w:p w14:paraId="0FFED78D" w14:textId="77777777" w:rsidR="002E01E5" w:rsidRPr="000B0AF1" w:rsidRDefault="002E01E5" w:rsidP="00562EB7">
            <w:pPr>
              <w:rPr>
                <w:sz w:val="18"/>
                <w:szCs w:val="18"/>
              </w:rPr>
            </w:pPr>
            <w:r w:rsidRPr="00DA2190">
              <w:rPr>
                <w:sz w:val="18"/>
                <w:szCs w:val="18"/>
              </w:rPr>
              <w:t>380.96</w:t>
            </w:r>
            <w:r w:rsidRPr="000B0AF1">
              <w:rPr>
                <w:bCs/>
                <w:sz w:val="18"/>
                <w:szCs w:val="18"/>
              </w:rPr>
              <w:t xml:space="preserve"> g/mole</w:t>
            </w:r>
          </w:p>
        </w:tc>
      </w:tr>
      <w:tr w:rsidR="002E01E5" w:rsidRPr="00C94F15" w14:paraId="40741721" w14:textId="77777777" w:rsidTr="00562EB7">
        <w:tc>
          <w:tcPr>
            <w:tcW w:w="4518" w:type="dxa"/>
            <w:tcMar>
              <w:top w:w="40" w:type="dxa"/>
              <w:left w:w="40" w:type="dxa"/>
              <w:bottom w:w="40" w:type="dxa"/>
              <w:right w:w="40" w:type="dxa"/>
            </w:tcMar>
          </w:tcPr>
          <w:p w14:paraId="173D28E7" w14:textId="77777777" w:rsidR="002E01E5" w:rsidRPr="008D0DBB" w:rsidRDefault="002E01E5" w:rsidP="00562EB7">
            <w:pPr>
              <w:pStyle w:val="Tabletext0"/>
              <w:rPr>
                <w:b/>
                <w:bCs/>
                <w:sz w:val="18"/>
                <w:szCs w:val="18"/>
              </w:rPr>
            </w:pPr>
            <w:r w:rsidRPr="008D0DBB">
              <w:rPr>
                <w:b/>
                <w:sz w:val="18"/>
                <w:szCs w:val="18"/>
              </w:rPr>
              <w:t>Synonyms:</w:t>
            </w:r>
          </w:p>
        </w:tc>
        <w:tc>
          <w:tcPr>
            <w:tcW w:w="5137" w:type="dxa"/>
            <w:tcMar>
              <w:top w:w="40" w:type="dxa"/>
              <w:left w:w="40" w:type="dxa"/>
              <w:bottom w:w="40" w:type="dxa"/>
              <w:right w:w="40" w:type="dxa"/>
            </w:tcMar>
          </w:tcPr>
          <w:p w14:paraId="2056E3F6" w14:textId="4DA1CEF5" w:rsidR="005F4ABE" w:rsidRPr="000B0AF1" w:rsidRDefault="002E01E5" w:rsidP="00543150">
            <w:pPr>
              <w:rPr>
                <w:i/>
                <w:sz w:val="18"/>
                <w:szCs w:val="18"/>
              </w:rPr>
            </w:pPr>
            <w:r w:rsidRPr="000B0AF1">
              <w:rPr>
                <w:bCs/>
                <w:sz w:val="18"/>
                <w:szCs w:val="18"/>
              </w:rPr>
              <w:t>1,5-DPMA, 1,5-</w:t>
            </w:r>
            <w:r w:rsidRPr="000B0AF1">
              <w:rPr>
                <w:sz w:val="18"/>
                <w:szCs w:val="18"/>
              </w:rPr>
              <w:t>Dechlorane Plus mono-adduct</w:t>
            </w:r>
          </w:p>
        </w:tc>
      </w:tr>
    </w:tbl>
    <w:p w14:paraId="40A820C2" w14:textId="77777777" w:rsidR="00192A2A" w:rsidRDefault="008E617A">
      <w:pPr>
        <w:widowControl/>
      </w:pPr>
      <w:r>
        <w:br w:type="page"/>
      </w:r>
    </w:p>
    <w:p w14:paraId="0CFD8F2B" w14:textId="77777777" w:rsidR="00112CE4" w:rsidRPr="00F558AF" w:rsidRDefault="00112CE4" w:rsidP="00112CE4">
      <w:pPr>
        <w:pStyle w:val="Caption"/>
      </w:pPr>
      <w:bookmarkStart w:id="207" w:name="_Toc491778953"/>
      <w:r w:rsidRPr="00F558AF">
        <w:lastRenderedPageBreak/>
        <w:t xml:space="preserve">Table </w:t>
      </w:r>
      <w:fldSimple w:instr=" SEQ Table \* ARABIC ">
        <w:r>
          <w:rPr>
            <w:noProof/>
          </w:rPr>
          <w:t>4</w:t>
        </w:r>
      </w:fldSimple>
      <w:r w:rsidRPr="00F558AF">
        <w:t xml:space="preserve">: </w:t>
      </w:r>
      <w:r>
        <w:t xml:space="preserve">Identity of </w:t>
      </w:r>
      <w:r w:rsidRPr="00BA0ECA">
        <w:t>DP-1Cl</w:t>
      </w:r>
      <w:bookmarkEnd w:id="207"/>
    </w:p>
    <w:p w14:paraId="766A0C2E" w14:textId="77777777" w:rsidR="00192A2A" w:rsidRDefault="00192A2A">
      <w:pPr>
        <w:widowControl/>
        <w:rPr>
          <w:rFonts w:cs="Arial"/>
          <w:b/>
          <w:color w:val="0046AD"/>
          <w:sz w:val="24"/>
          <w:szCs w:val="22"/>
        </w:rPr>
      </w:pPr>
    </w:p>
    <w:tbl>
      <w:tblPr>
        <w:tblW w:w="9655"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518"/>
        <w:gridCol w:w="5137"/>
      </w:tblGrid>
      <w:tr w:rsidR="002E01E5" w:rsidRPr="008D0DBB" w14:paraId="054B4BB9" w14:textId="77777777" w:rsidTr="00562EB7">
        <w:tc>
          <w:tcPr>
            <w:tcW w:w="4518" w:type="dxa"/>
            <w:tcMar>
              <w:top w:w="40" w:type="dxa"/>
              <w:left w:w="40" w:type="dxa"/>
              <w:bottom w:w="40" w:type="dxa"/>
              <w:right w:w="40" w:type="dxa"/>
            </w:tcMar>
          </w:tcPr>
          <w:p w14:paraId="5D623D51" w14:textId="77777777" w:rsidR="002E01E5" w:rsidRPr="008D0DBB" w:rsidRDefault="002E01E5" w:rsidP="00562EB7">
            <w:pPr>
              <w:pStyle w:val="Tabletext0"/>
              <w:rPr>
                <w:b/>
                <w:bCs/>
                <w:sz w:val="18"/>
                <w:szCs w:val="18"/>
              </w:rPr>
            </w:pPr>
            <w:r w:rsidRPr="008D0DBB">
              <w:rPr>
                <w:b/>
                <w:bCs/>
                <w:sz w:val="18"/>
                <w:szCs w:val="18"/>
              </w:rPr>
              <w:t>EC number:</w:t>
            </w:r>
          </w:p>
        </w:tc>
        <w:tc>
          <w:tcPr>
            <w:tcW w:w="5137" w:type="dxa"/>
            <w:tcMar>
              <w:top w:w="40" w:type="dxa"/>
              <w:left w:w="40" w:type="dxa"/>
              <w:bottom w:w="40" w:type="dxa"/>
              <w:right w:w="40" w:type="dxa"/>
            </w:tcMar>
          </w:tcPr>
          <w:p w14:paraId="1CD728F7" w14:textId="77777777" w:rsidR="002E01E5" w:rsidRPr="008D0DBB" w:rsidRDefault="002E01E5" w:rsidP="00562EB7">
            <w:pPr>
              <w:rPr>
                <w:sz w:val="18"/>
                <w:szCs w:val="18"/>
              </w:rPr>
            </w:pPr>
            <w:r>
              <w:rPr>
                <w:rStyle w:val="reflink"/>
                <w:color w:val="000000" w:themeColor="text1"/>
                <w:sz w:val="18"/>
                <w:szCs w:val="18"/>
              </w:rPr>
              <w:t>Not available</w:t>
            </w:r>
          </w:p>
        </w:tc>
      </w:tr>
      <w:tr w:rsidR="002E01E5" w:rsidRPr="008D0DBB" w14:paraId="757E317F" w14:textId="77777777" w:rsidTr="00562EB7">
        <w:tc>
          <w:tcPr>
            <w:tcW w:w="4518" w:type="dxa"/>
            <w:tcMar>
              <w:top w:w="40" w:type="dxa"/>
              <w:left w:w="40" w:type="dxa"/>
              <w:bottom w:w="40" w:type="dxa"/>
              <w:right w:w="40" w:type="dxa"/>
            </w:tcMar>
          </w:tcPr>
          <w:p w14:paraId="34A4B054" w14:textId="77777777" w:rsidR="002E01E5" w:rsidRPr="008D0DBB" w:rsidRDefault="002E01E5" w:rsidP="00562EB7">
            <w:pPr>
              <w:pStyle w:val="Tabletext0"/>
              <w:rPr>
                <w:b/>
                <w:bCs/>
                <w:sz w:val="18"/>
                <w:szCs w:val="18"/>
              </w:rPr>
            </w:pPr>
            <w:r w:rsidRPr="008D0DBB">
              <w:rPr>
                <w:b/>
                <w:bCs/>
                <w:sz w:val="18"/>
                <w:szCs w:val="18"/>
              </w:rPr>
              <w:t>EC name:</w:t>
            </w:r>
          </w:p>
        </w:tc>
        <w:tc>
          <w:tcPr>
            <w:tcW w:w="5137" w:type="dxa"/>
            <w:tcMar>
              <w:top w:w="40" w:type="dxa"/>
              <w:left w:w="40" w:type="dxa"/>
              <w:bottom w:w="40" w:type="dxa"/>
              <w:right w:w="40" w:type="dxa"/>
            </w:tcMar>
          </w:tcPr>
          <w:p w14:paraId="2D0D623B" w14:textId="77777777" w:rsidR="002E01E5" w:rsidRPr="008D0DBB" w:rsidRDefault="002E01E5" w:rsidP="00562EB7">
            <w:pPr>
              <w:rPr>
                <w:sz w:val="18"/>
                <w:szCs w:val="18"/>
              </w:rPr>
            </w:pPr>
            <w:r>
              <w:rPr>
                <w:rStyle w:val="reflink"/>
                <w:color w:val="000000" w:themeColor="text1"/>
                <w:sz w:val="18"/>
                <w:szCs w:val="18"/>
              </w:rPr>
              <w:t>Not available</w:t>
            </w:r>
          </w:p>
        </w:tc>
      </w:tr>
      <w:tr w:rsidR="002E01E5" w:rsidRPr="008D0DBB" w14:paraId="309F5DF5" w14:textId="77777777" w:rsidTr="00562EB7">
        <w:tc>
          <w:tcPr>
            <w:tcW w:w="4518" w:type="dxa"/>
            <w:tcMar>
              <w:top w:w="40" w:type="dxa"/>
              <w:left w:w="40" w:type="dxa"/>
              <w:bottom w:w="40" w:type="dxa"/>
              <w:right w:w="40" w:type="dxa"/>
            </w:tcMar>
          </w:tcPr>
          <w:p w14:paraId="053DBA98" w14:textId="77777777" w:rsidR="002E01E5" w:rsidRPr="008D0DBB" w:rsidRDefault="002E01E5" w:rsidP="00562EB7">
            <w:pPr>
              <w:pStyle w:val="Tabletext0"/>
              <w:rPr>
                <w:b/>
                <w:bCs/>
                <w:sz w:val="18"/>
                <w:szCs w:val="18"/>
              </w:rPr>
            </w:pPr>
            <w:r w:rsidRPr="008D0DBB">
              <w:rPr>
                <w:b/>
                <w:bCs/>
                <w:sz w:val="18"/>
                <w:szCs w:val="18"/>
              </w:rPr>
              <w:t>SMILES:</w:t>
            </w:r>
          </w:p>
        </w:tc>
        <w:tc>
          <w:tcPr>
            <w:tcW w:w="5137" w:type="dxa"/>
            <w:tcMar>
              <w:top w:w="40" w:type="dxa"/>
              <w:left w:w="40" w:type="dxa"/>
              <w:bottom w:w="40" w:type="dxa"/>
              <w:right w:w="40" w:type="dxa"/>
            </w:tcMar>
          </w:tcPr>
          <w:p w14:paraId="2C2C0A99" w14:textId="77777777" w:rsidR="002E01E5" w:rsidRPr="008D0DBB" w:rsidRDefault="00785575" w:rsidP="00785575">
            <w:pPr>
              <w:tabs>
                <w:tab w:val="left" w:pos="1985"/>
              </w:tabs>
              <w:rPr>
                <w:sz w:val="18"/>
                <w:szCs w:val="18"/>
              </w:rPr>
            </w:pPr>
            <w:r w:rsidRPr="00785575">
              <w:rPr>
                <w:sz w:val="18"/>
                <w:szCs w:val="18"/>
              </w:rPr>
              <w:t>C(=C(C(C1(CL)CL)(C(C2CCC(C(C(=C(C34CL)CL)CL)(C3(H)CL)CL)C4C5)C5)CL)CL)(C12CL)CL</w:t>
            </w:r>
          </w:p>
        </w:tc>
      </w:tr>
      <w:tr w:rsidR="002E01E5" w:rsidRPr="008D0DBB" w14:paraId="4F0EBBB0" w14:textId="77777777" w:rsidTr="00562EB7">
        <w:tc>
          <w:tcPr>
            <w:tcW w:w="4518" w:type="dxa"/>
            <w:tcMar>
              <w:top w:w="40" w:type="dxa"/>
              <w:left w:w="40" w:type="dxa"/>
              <w:bottom w:w="40" w:type="dxa"/>
              <w:right w:w="40" w:type="dxa"/>
            </w:tcMar>
          </w:tcPr>
          <w:p w14:paraId="6CE459B1" w14:textId="77777777" w:rsidR="002E01E5" w:rsidRPr="008D0DBB" w:rsidRDefault="002E01E5" w:rsidP="00562EB7">
            <w:pPr>
              <w:pStyle w:val="Tabletext0"/>
              <w:rPr>
                <w:b/>
                <w:bCs/>
                <w:sz w:val="18"/>
                <w:szCs w:val="18"/>
              </w:rPr>
            </w:pPr>
            <w:r w:rsidRPr="008D0DBB">
              <w:rPr>
                <w:b/>
                <w:bCs/>
                <w:sz w:val="18"/>
                <w:szCs w:val="18"/>
              </w:rPr>
              <w:t>CAS number (in the EC inventory):</w:t>
            </w:r>
          </w:p>
        </w:tc>
        <w:tc>
          <w:tcPr>
            <w:tcW w:w="5137" w:type="dxa"/>
            <w:tcMar>
              <w:top w:w="40" w:type="dxa"/>
              <w:left w:w="40" w:type="dxa"/>
              <w:bottom w:w="40" w:type="dxa"/>
              <w:right w:w="40" w:type="dxa"/>
            </w:tcMar>
          </w:tcPr>
          <w:p w14:paraId="0F51C567" w14:textId="77777777" w:rsidR="002E01E5" w:rsidRPr="008D0DBB" w:rsidRDefault="002E01E5" w:rsidP="00562EB7">
            <w:pPr>
              <w:rPr>
                <w:sz w:val="18"/>
                <w:szCs w:val="18"/>
              </w:rPr>
            </w:pPr>
            <w:r>
              <w:rPr>
                <w:rStyle w:val="reflink"/>
                <w:color w:val="000000" w:themeColor="text1"/>
                <w:sz w:val="18"/>
                <w:szCs w:val="18"/>
              </w:rPr>
              <w:t>Not available</w:t>
            </w:r>
          </w:p>
        </w:tc>
      </w:tr>
      <w:tr w:rsidR="002E01E5" w:rsidRPr="008D0DBB" w14:paraId="36C13C2A" w14:textId="77777777" w:rsidTr="00562EB7">
        <w:tc>
          <w:tcPr>
            <w:tcW w:w="4518" w:type="dxa"/>
            <w:tcMar>
              <w:top w:w="40" w:type="dxa"/>
              <w:left w:w="40" w:type="dxa"/>
              <w:bottom w:w="40" w:type="dxa"/>
              <w:right w:w="40" w:type="dxa"/>
            </w:tcMar>
          </w:tcPr>
          <w:p w14:paraId="03431C6B" w14:textId="77777777" w:rsidR="002E01E5" w:rsidRPr="008D0DBB" w:rsidRDefault="002E01E5" w:rsidP="00562EB7">
            <w:pPr>
              <w:pStyle w:val="Tabletext0"/>
              <w:rPr>
                <w:b/>
                <w:bCs/>
                <w:sz w:val="18"/>
                <w:szCs w:val="18"/>
              </w:rPr>
            </w:pPr>
            <w:r w:rsidRPr="008D0DBB">
              <w:rPr>
                <w:b/>
                <w:bCs/>
                <w:sz w:val="18"/>
                <w:szCs w:val="18"/>
              </w:rPr>
              <w:t>CAS number:</w:t>
            </w:r>
          </w:p>
        </w:tc>
        <w:tc>
          <w:tcPr>
            <w:tcW w:w="5137" w:type="dxa"/>
            <w:tcMar>
              <w:top w:w="40" w:type="dxa"/>
              <w:left w:w="40" w:type="dxa"/>
              <w:bottom w:w="40" w:type="dxa"/>
              <w:right w:w="40" w:type="dxa"/>
            </w:tcMar>
          </w:tcPr>
          <w:p w14:paraId="40A5E14E" w14:textId="77777777" w:rsidR="002E01E5" w:rsidRPr="008D0DBB" w:rsidRDefault="002E01E5" w:rsidP="00562EB7">
            <w:pPr>
              <w:rPr>
                <w:sz w:val="18"/>
                <w:szCs w:val="18"/>
              </w:rPr>
            </w:pPr>
            <w:r>
              <w:rPr>
                <w:rStyle w:val="reflink"/>
                <w:color w:val="000000" w:themeColor="text1"/>
                <w:sz w:val="18"/>
                <w:szCs w:val="18"/>
              </w:rPr>
              <w:t>Not available</w:t>
            </w:r>
          </w:p>
        </w:tc>
      </w:tr>
      <w:tr w:rsidR="002E01E5" w:rsidRPr="008D0DBB" w14:paraId="0744B61C" w14:textId="77777777" w:rsidTr="00562EB7">
        <w:trPr>
          <w:trHeight w:val="30"/>
        </w:trPr>
        <w:tc>
          <w:tcPr>
            <w:tcW w:w="4518" w:type="dxa"/>
            <w:tcMar>
              <w:top w:w="40" w:type="dxa"/>
              <w:left w:w="40" w:type="dxa"/>
              <w:bottom w:w="40" w:type="dxa"/>
              <w:right w:w="40" w:type="dxa"/>
            </w:tcMar>
          </w:tcPr>
          <w:p w14:paraId="2E2DE509" w14:textId="77777777" w:rsidR="002E01E5" w:rsidRPr="008D0DBB" w:rsidRDefault="002E01E5" w:rsidP="00562EB7">
            <w:pPr>
              <w:pStyle w:val="Tabletext0"/>
              <w:rPr>
                <w:b/>
                <w:bCs/>
                <w:sz w:val="18"/>
                <w:szCs w:val="18"/>
              </w:rPr>
            </w:pPr>
            <w:r w:rsidRPr="008D0DBB">
              <w:rPr>
                <w:b/>
                <w:bCs/>
                <w:sz w:val="18"/>
                <w:szCs w:val="18"/>
              </w:rPr>
              <w:t>CAS name:</w:t>
            </w:r>
          </w:p>
        </w:tc>
        <w:tc>
          <w:tcPr>
            <w:tcW w:w="5137" w:type="dxa"/>
            <w:tcMar>
              <w:top w:w="40" w:type="dxa"/>
              <w:left w:w="40" w:type="dxa"/>
              <w:bottom w:w="40" w:type="dxa"/>
              <w:right w:w="40" w:type="dxa"/>
            </w:tcMar>
          </w:tcPr>
          <w:p w14:paraId="31B85294" w14:textId="77777777" w:rsidR="002E01E5" w:rsidRPr="008D0DBB" w:rsidRDefault="005F4ABE" w:rsidP="00562EB7">
            <w:pPr>
              <w:rPr>
                <w:sz w:val="18"/>
                <w:szCs w:val="18"/>
              </w:rPr>
            </w:pPr>
            <w:r>
              <w:rPr>
                <w:rStyle w:val="reflink"/>
                <w:color w:val="000000" w:themeColor="text1"/>
                <w:sz w:val="18"/>
                <w:szCs w:val="18"/>
              </w:rPr>
              <w:t>Not available</w:t>
            </w:r>
          </w:p>
        </w:tc>
      </w:tr>
      <w:tr w:rsidR="0029259B" w:rsidRPr="008D0DBB" w14:paraId="0AA0715E" w14:textId="77777777" w:rsidTr="00562EB7">
        <w:tc>
          <w:tcPr>
            <w:tcW w:w="4518" w:type="dxa"/>
            <w:tcMar>
              <w:top w:w="40" w:type="dxa"/>
              <w:left w:w="40" w:type="dxa"/>
              <w:bottom w:w="40" w:type="dxa"/>
              <w:right w:w="40" w:type="dxa"/>
            </w:tcMar>
          </w:tcPr>
          <w:p w14:paraId="720B0871" w14:textId="77777777" w:rsidR="0029259B" w:rsidRPr="008D0DBB" w:rsidRDefault="0029259B" w:rsidP="0029259B">
            <w:pPr>
              <w:pStyle w:val="Tabletext0"/>
              <w:rPr>
                <w:b/>
                <w:bCs/>
                <w:sz w:val="18"/>
                <w:szCs w:val="18"/>
              </w:rPr>
            </w:pPr>
            <w:r w:rsidRPr="008D0DBB">
              <w:rPr>
                <w:b/>
                <w:bCs/>
                <w:sz w:val="18"/>
                <w:szCs w:val="18"/>
              </w:rPr>
              <w:t>IUPAC name:</w:t>
            </w:r>
          </w:p>
        </w:tc>
        <w:tc>
          <w:tcPr>
            <w:tcW w:w="5137" w:type="dxa"/>
            <w:tcMar>
              <w:top w:w="40" w:type="dxa"/>
              <w:left w:w="40" w:type="dxa"/>
              <w:bottom w:w="40" w:type="dxa"/>
              <w:right w:w="40" w:type="dxa"/>
            </w:tcMar>
          </w:tcPr>
          <w:p w14:paraId="2C4FC0B4" w14:textId="1CB8796A" w:rsidR="0029259B" w:rsidRPr="008D0DBB" w:rsidRDefault="0029259B" w:rsidP="00443EAE">
            <w:pPr>
              <w:rPr>
                <w:sz w:val="18"/>
                <w:szCs w:val="18"/>
              </w:rPr>
            </w:pPr>
            <w:r w:rsidRPr="009B339C">
              <w:rPr>
                <w:sz w:val="18"/>
                <w:szCs w:val="18"/>
              </w:rPr>
              <w:t>1,6,7,8,9,14,15,16,17,1</w:t>
            </w:r>
            <w:r w:rsidR="00443EAE">
              <w:rPr>
                <w:sz w:val="18"/>
                <w:szCs w:val="18"/>
              </w:rPr>
              <w:t>7</w:t>
            </w:r>
            <w:r w:rsidRPr="009B339C">
              <w:rPr>
                <w:sz w:val="18"/>
                <w:szCs w:val="18"/>
              </w:rPr>
              <w:t>,18-</w:t>
            </w:r>
            <w:r w:rsidR="00443EAE">
              <w:rPr>
                <w:sz w:val="18"/>
                <w:szCs w:val="18"/>
              </w:rPr>
              <w:t>Un</w:t>
            </w:r>
            <w:r w:rsidRPr="009B339C">
              <w:rPr>
                <w:sz w:val="18"/>
                <w:szCs w:val="18"/>
              </w:rPr>
              <w:t>decachloropenta</w:t>
            </w:r>
            <w:r w:rsidR="00C90A64">
              <w:rPr>
                <w:sz w:val="18"/>
                <w:szCs w:val="18"/>
              </w:rPr>
              <w:t>-</w:t>
            </w:r>
            <w:r w:rsidRPr="009B339C">
              <w:rPr>
                <w:sz w:val="18"/>
                <w:szCs w:val="18"/>
              </w:rPr>
              <w:t>cyclo[12.2.1.1</w:t>
            </w:r>
            <w:r w:rsidRPr="009B339C">
              <w:rPr>
                <w:sz w:val="18"/>
                <w:szCs w:val="18"/>
                <w:vertAlign w:val="superscript"/>
              </w:rPr>
              <w:t>6,9</w:t>
            </w:r>
            <w:r w:rsidRPr="009B339C">
              <w:rPr>
                <w:sz w:val="18"/>
                <w:szCs w:val="18"/>
              </w:rPr>
              <w:t>.0</w:t>
            </w:r>
            <w:r w:rsidRPr="009B339C">
              <w:rPr>
                <w:sz w:val="18"/>
                <w:szCs w:val="18"/>
                <w:vertAlign w:val="superscript"/>
              </w:rPr>
              <w:t>2,13</w:t>
            </w:r>
            <w:r w:rsidRPr="009B339C">
              <w:rPr>
                <w:sz w:val="18"/>
                <w:szCs w:val="18"/>
              </w:rPr>
              <w:t>.0</w:t>
            </w:r>
            <w:r w:rsidRPr="009B339C">
              <w:rPr>
                <w:sz w:val="18"/>
                <w:szCs w:val="18"/>
                <w:vertAlign w:val="superscript"/>
              </w:rPr>
              <w:t>5,10</w:t>
            </w:r>
            <w:r w:rsidRPr="009B339C">
              <w:rPr>
                <w:sz w:val="18"/>
                <w:szCs w:val="18"/>
              </w:rPr>
              <w:t>]octadeca-7,15-diene</w:t>
            </w:r>
          </w:p>
        </w:tc>
      </w:tr>
      <w:tr w:rsidR="0029259B" w:rsidRPr="008D0DBB" w14:paraId="4939981A" w14:textId="77777777" w:rsidTr="00562EB7">
        <w:tc>
          <w:tcPr>
            <w:tcW w:w="4518" w:type="dxa"/>
            <w:tcMar>
              <w:top w:w="40" w:type="dxa"/>
              <w:left w:w="40" w:type="dxa"/>
              <w:bottom w:w="40" w:type="dxa"/>
              <w:right w:w="40" w:type="dxa"/>
            </w:tcMar>
          </w:tcPr>
          <w:p w14:paraId="4829CA90" w14:textId="77777777" w:rsidR="0029259B" w:rsidRPr="008D0DBB" w:rsidRDefault="0029259B" w:rsidP="0029259B">
            <w:pPr>
              <w:pStyle w:val="Tabletext0"/>
              <w:rPr>
                <w:b/>
                <w:bCs/>
                <w:sz w:val="18"/>
                <w:szCs w:val="18"/>
              </w:rPr>
            </w:pPr>
            <w:r w:rsidRPr="008D0DBB">
              <w:rPr>
                <w:b/>
                <w:bCs/>
                <w:sz w:val="18"/>
                <w:szCs w:val="18"/>
              </w:rPr>
              <w:t>Index number in Annex VI of the CLP Regulation</w:t>
            </w:r>
          </w:p>
        </w:tc>
        <w:tc>
          <w:tcPr>
            <w:tcW w:w="5137" w:type="dxa"/>
            <w:tcMar>
              <w:top w:w="40" w:type="dxa"/>
              <w:left w:w="40" w:type="dxa"/>
              <w:bottom w:w="40" w:type="dxa"/>
              <w:right w:w="40" w:type="dxa"/>
            </w:tcMar>
          </w:tcPr>
          <w:p w14:paraId="064CBE9F" w14:textId="77777777" w:rsidR="0029259B" w:rsidRPr="008D0DBB" w:rsidRDefault="0029259B" w:rsidP="0029259B">
            <w:pPr>
              <w:rPr>
                <w:sz w:val="18"/>
                <w:szCs w:val="18"/>
              </w:rPr>
            </w:pPr>
            <w:r w:rsidRPr="002D039F">
              <w:rPr>
                <w:sz w:val="18"/>
                <w:szCs w:val="18"/>
                <w:lang w:eastAsia="da-DK"/>
              </w:rPr>
              <w:t>Not applicable</w:t>
            </w:r>
          </w:p>
        </w:tc>
      </w:tr>
      <w:tr w:rsidR="0029259B" w:rsidRPr="008D0DBB" w14:paraId="5E251331" w14:textId="77777777" w:rsidTr="00562EB7">
        <w:tc>
          <w:tcPr>
            <w:tcW w:w="4518" w:type="dxa"/>
            <w:tcMar>
              <w:top w:w="40" w:type="dxa"/>
              <w:left w:w="40" w:type="dxa"/>
              <w:bottom w:w="40" w:type="dxa"/>
              <w:right w:w="40" w:type="dxa"/>
            </w:tcMar>
          </w:tcPr>
          <w:p w14:paraId="418CFC14" w14:textId="77777777" w:rsidR="0029259B" w:rsidRPr="008D0DBB" w:rsidRDefault="0029259B" w:rsidP="0029259B">
            <w:pPr>
              <w:pStyle w:val="Tabletext0"/>
              <w:rPr>
                <w:b/>
                <w:bCs/>
                <w:sz w:val="18"/>
                <w:szCs w:val="18"/>
              </w:rPr>
            </w:pPr>
            <w:r w:rsidRPr="008D0DBB">
              <w:rPr>
                <w:b/>
                <w:bCs/>
                <w:sz w:val="18"/>
                <w:szCs w:val="18"/>
              </w:rPr>
              <w:t>Molecular formula:</w:t>
            </w:r>
          </w:p>
        </w:tc>
        <w:tc>
          <w:tcPr>
            <w:tcW w:w="5137" w:type="dxa"/>
            <w:tcMar>
              <w:top w:w="40" w:type="dxa"/>
              <w:left w:w="40" w:type="dxa"/>
              <w:bottom w:w="40" w:type="dxa"/>
              <w:right w:w="40" w:type="dxa"/>
            </w:tcMar>
          </w:tcPr>
          <w:p w14:paraId="58AF74EA" w14:textId="77777777" w:rsidR="0029259B" w:rsidRPr="008D0DBB" w:rsidRDefault="0029259B" w:rsidP="0029259B">
            <w:pPr>
              <w:rPr>
                <w:sz w:val="18"/>
                <w:szCs w:val="18"/>
              </w:rPr>
            </w:pPr>
            <w:r w:rsidRPr="002D039F">
              <w:rPr>
                <w:rFonts w:eastAsia="Calibri"/>
                <w:sz w:val="18"/>
                <w:szCs w:val="18"/>
                <w:lang w:eastAsia="en-GB"/>
              </w:rPr>
              <w:t>C</w:t>
            </w:r>
            <w:r w:rsidRPr="002D039F">
              <w:rPr>
                <w:rFonts w:eastAsia="Calibri"/>
                <w:sz w:val="18"/>
                <w:szCs w:val="18"/>
                <w:vertAlign w:val="subscript"/>
                <w:lang w:eastAsia="en-GB"/>
              </w:rPr>
              <w:t>18</w:t>
            </w:r>
            <w:r w:rsidRPr="002D039F">
              <w:rPr>
                <w:rFonts w:eastAsia="Calibri"/>
                <w:sz w:val="18"/>
                <w:szCs w:val="18"/>
                <w:lang w:eastAsia="en-GB"/>
              </w:rPr>
              <w:t>H</w:t>
            </w:r>
            <w:r w:rsidRPr="002D039F">
              <w:rPr>
                <w:rFonts w:eastAsia="Calibri"/>
                <w:sz w:val="18"/>
                <w:szCs w:val="18"/>
                <w:vertAlign w:val="subscript"/>
                <w:lang w:eastAsia="en-GB"/>
              </w:rPr>
              <w:t>1</w:t>
            </w:r>
            <w:r>
              <w:rPr>
                <w:rFonts w:eastAsia="Calibri"/>
                <w:sz w:val="18"/>
                <w:szCs w:val="18"/>
                <w:vertAlign w:val="subscript"/>
                <w:lang w:eastAsia="en-GB"/>
              </w:rPr>
              <w:t>3</w:t>
            </w:r>
            <w:r w:rsidRPr="002D039F">
              <w:rPr>
                <w:rFonts w:eastAsia="Calibri"/>
                <w:sz w:val="18"/>
                <w:szCs w:val="18"/>
                <w:lang w:eastAsia="en-GB"/>
              </w:rPr>
              <w:t>Cl</w:t>
            </w:r>
            <w:r>
              <w:rPr>
                <w:rFonts w:eastAsia="Calibri"/>
                <w:sz w:val="18"/>
                <w:szCs w:val="18"/>
                <w:vertAlign w:val="subscript"/>
                <w:lang w:eastAsia="en-GB"/>
              </w:rPr>
              <w:t>11</w:t>
            </w:r>
          </w:p>
        </w:tc>
      </w:tr>
      <w:tr w:rsidR="0029259B" w:rsidRPr="008D0DBB" w14:paraId="48A53999" w14:textId="77777777" w:rsidTr="00562EB7">
        <w:tc>
          <w:tcPr>
            <w:tcW w:w="4518" w:type="dxa"/>
            <w:tcMar>
              <w:top w:w="40" w:type="dxa"/>
              <w:left w:w="40" w:type="dxa"/>
              <w:bottom w:w="40" w:type="dxa"/>
              <w:right w:w="40" w:type="dxa"/>
            </w:tcMar>
          </w:tcPr>
          <w:p w14:paraId="4F5E2501" w14:textId="77777777" w:rsidR="0029259B" w:rsidRPr="008D0DBB" w:rsidRDefault="0029259B" w:rsidP="0029259B">
            <w:pPr>
              <w:pStyle w:val="Tabletext0"/>
              <w:rPr>
                <w:b/>
                <w:bCs/>
                <w:sz w:val="18"/>
                <w:szCs w:val="18"/>
              </w:rPr>
            </w:pPr>
            <w:r w:rsidRPr="008D0DBB">
              <w:rPr>
                <w:b/>
                <w:bCs/>
                <w:sz w:val="18"/>
                <w:szCs w:val="18"/>
              </w:rPr>
              <w:t>Molecular weight range:</w:t>
            </w:r>
          </w:p>
        </w:tc>
        <w:tc>
          <w:tcPr>
            <w:tcW w:w="5137" w:type="dxa"/>
            <w:tcMar>
              <w:top w:w="40" w:type="dxa"/>
              <w:left w:w="40" w:type="dxa"/>
              <w:bottom w:w="40" w:type="dxa"/>
              <w:right w:w="40" w:type="dxa"/>
            </w:tcMar>
          </w:tcPr>
          <w:p w14:paraId="69BE67E9" w14:textId="77777777" w:rsidR="0029259B" w:rsidRPr="008D0DBB" w:rsidRDefault="0029259B" w:rsidP="0029259B">
            <w:pPr>
              <w:rPr>
                <w:sz w:val="18"/>
                <w:szCs w:val="18"/>
              </w:rPr>
            </w:pPr>
            <w:r w:rsidRPr="002D039F">
              <w:rPr>
                <w:sz w:val="18"/>
                <w:szCs w:val="18"/>
              </w:rPr>
              <w:t>6</w:t>
            </w:r>
            <w:r>
              <w:rPr>
                <w:sz w:val="18"/>
                <w:szCs w:val="18"/>
              </w:rPr>
              <w:t>19.29</w:t>
            </w:r>
            <w:r w:rsidRPr="002D039F">
              <w:rPr>
                <w:bCs/>
                <w:sz w:val="18"/>
                <w:szCs w:val="18"/>
              </w:rPr>
              <w:t xml:space="preserve"> g/mole</w:t>
            </w:r>
          </w:p>
        </w:tc>
      </w:tr>
      <w:tr w:rsidR="0029259B" w:rsidRPr="008D0DBB" w14:paraId="7EF25464" w14:textId="77777777" w:rsidTr="00562EB7">
        <w:tc>
          <w:tcPr>
            <w:tcW w:w="4518" w:type="dxa"/>
            <w:tcMar>
              <w:top w:w="40" w:type="dxa"/>
              <w:left w:w="40" w:type="dxa"/>
              <w:bottom w:w="40" w:type="dxa"/>
              <w:right w:w="40" w:type="dxa"/>
            </w:tcMar>
          </w:tcPr>
          <w:p w14:paraId="059F8843" w14:textId="77777777" w:rsidR="0029259B" w:rsidRPr="008D0DBB" w:rsidRDefault="0029259B" w:rsidP="0029259B">
            <w:pPr>
              <w:pStyle w:val="Tabletext0"/>
              <w:rPr>
                <w:b/>
                <w:bCs/>
                <w:sz w:val="18"/>
                <w:szCs w:val="18"/>
              </w:rPr>
            </w:pPr>
            <w:r w:rsidRPr="008D0DBB">
              <w:rPr>
                <w:b/>
                <w:sz w:val="18"/>
                <w:szCs w:val="18"/>
              </w:rPr>
              <w:t>Synonyms:</w:t>
            </w:r>
          </w:p>
        </w:tc>
        <w:tc>
          <w:tcPr>
            <w:tcW w:w="5137" w:type="dxa"/>
            <w:tcMar>
              <w:top w:w="40" w:type="dxa"/>
              <w:left w:w="40" w:type="dxa"/>
              <w:bottom w:w="40" w:type="dxa"/>
              <w:right w:w="40" w:type="dxa"/>
            </w:tcMar>
          </w:tcPr>
          <w:p w14:paraId="543B3879" w14:textId="77777777" w:rsidR="0029259B" w:rsidRPr="008D0DBB" w:rsidRDefault="0029259B" w:rsidP="0029259B">
            <w:pPr>
              <w:rPr>
                <w:i/>
                <w:sz w:val="18"/>
                <w:szCs w:val="18"/>
              </w:rPr>
            </w:pPr>
            <w:r w:rsidRPr="00BA0ECA">
              <w:t xml:space="preserve">DP-1Cl or </w:t>
            </w:r>
            <w:r w:rsidRPr="00BA0ECA">
              <w:rPr>
                <w:rFonts w:eastAsiaTheme="minorHAnsi"/>
                <w:color w:val="000000"/>
              </w:rPr>
              <w:t>Cl</w:t>
            </w:r>
            <w:r w:rsidRPr="00BA0ECA">
              <w:rPr>
                <w:rFonts w:eastAsiaTheme="minorHAnsi"/>
                <w:color w:val="000000"/>
                <w:vertAlign w:val="subscript"/>
              </w:rPr>
              <w:t>11</w:t>
            </w:r>
            <w:r w:rsidRPr="00BA0ECA">
              <w:rPr>
                <w:rFonts w:eastAsiaTheme="minorHAnsi"/>
                <w:color w:val="000000"/>
              </w:rPr>
              <w:t>-DP</w:t>
            </w:r>
          </w:p>
        </w:tc>
      </w:tr>
    </w:tbl>
    <w:p w14:paraId="319C89BF" w14:textId="77777777" w:rsidR="002E01E5" w:rsidRDefault="002E01E5">
      <w:pPr>
        <w:widowControl/>
        <w:rPr>
          <w:rFonts w:cs="Arial"/>
          <w:b/>
          <w:color w:val="0046AD"/>
          <w:sz w:val="24"/>
          <w:szCs w:val="22"/>
        </w:rPr>
      </w:pPr>
    </w:p>
    <w:p w14:paraId="5D5D4352" w14:textId="77777777" w:rsidR="002E01E5" w:rsidRDefault="002E01E5">
      <w:pPr>
        <w:widowControl/>
        <w:rPr>
          <w:rFonts w:cs="Arial"/>
          <w:b/>
          <w:color w:val="0046AD"/>
          <w:sz w:val="24"/>
          <w:szCs w:val="22"/>
        </w:rPr>
      </w:pPr>
    </w:p>
    <w:p w14:paraId="5DEC7FF2" w14:textId="77777777" w:rsidR="00112CE4" w:rsidRPr="00F558AF" w:rsidRDefault="00112CE4" w:rsidP="00112CE4">
      <w:pPr>
        <w:pStyle w:val="Caption"/>
      </w:pPr>
      <w:bookmarkStart w:id="208" w:name="_Toc491778954"/>
      <w:r w:rsidRPr="00F558AF">
        <w:t xml:space="preserve">Table </w:t>
      </w:r>
      <w:fldSimple w:instr=" SEQ Table \* ARABIC ">
        <w:r>
          <w:rPr>
            <w:noProof/>
          </w:rPr>
          <w:t>4</w:t>
        </w:r>
      </w:fldSimple>
      <w:r w:rsidRPr="00F558AF">
        <w:t xml:space="preserve">: </w:t>
      </w:r>
      <w:r>
        <w:t xml:space="preserve">Identity of </w:t>
      </w:r>
      <w:r w:rsidRPr="00BA0ECA">
        <w:t>DP-</w:t>
      </w:r>
      <w:r>
        <w:t>2</w:t>
      </w:r>
      <w:r w:rsidRPr="00BA0ECA">
        <w:t>Cl</w:t>
      </w:r>
      <w:bookmarkEnd w:id="208"/>
    </w:p>
    <w:p w14:paraId="63B01085" w14:textId="77777777" w:rsidR="002E01E5" w:rsidRDefault="002E01E5">
      <w:pPr>
        <w:widowControl/>
        <w:rPr>
          <w:rFonts w:cs="Arial"/>
          <w:b/>
          <w:color w:val="0046AD"/>
          <w:sz w:val="24"/>
          <w:szCs w:val="22"/>
        </w:rPr>
      </w:pPr>
    </w:p>
    <w:tbl>
      <w:tblPr>
        <w:tblW w:w="9655"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518"/>
        <w:gridCol w:w="5137"/>
      </w:tblGrid>
      <w:tr w:rsidR="002E01E5" w:rsidRPr="008D0DBB" w14:paraId="4A224690" w14:textId="77777777" w:rsidTr="00562EB7">
        <w:tc>
          <w:tcPr>
            <w:tcW w:w="4518" w:type="dxa"/>
            <w:tcMar>
              <w:top w:w="40" w:type="dxa"/>
              <w:left w:w="40" w:type="dxa"/>
              <w:bottom w:w="40" w:type="dxa"/>
              <w:right w:w="40" w:type="dxa"/>
            </w:tcMar>
          </w:tcPr>
          <w:p w14:paraId="7476A723" w14:textId="77777777" w:rsidR="002E01E5" w:rsidRPr="008D0DBB" w:rsidRDefault="002E01E5" w:rsidP="00562EB7">
            <w:pPr>
              <w:pStyle w:val="Tabletext0"/>
              <w:rPr>
                <w:b/>
                <w:bCs/>
                <w:sz w:val="18"/>
                <w:szCs w:val="18"/>
              </w:rPr>
            </w:pPr>
            <w:r w:rsidRPr="008D0DBB">
              <w:rPr>
                <w:b/>
                <w:bCs/>
                <w:sz w:val="18"/>
                <w:szCs w:val="18"/>
              </w:rPr>
              <w:t>EC number:</w:t>
            </w:r>
          </w:p>
        </w:tc>
        <w:tc>
          <w:tcPr>
            <w:tcW w:w="5137" w:type="dxa"/>
            <w:tcMar>
              <w:top w:w="40" w:type="dxa"/>
              <w:left w:w="40" w:type="dxa"/>
              <w:bottom w:w="40" w:type="dxa"/>
              <w:right w:w="40" w:type="dxa"/>
            </w:tcMar>
          </w:tcPr>
          <w:p w14:paraId="06F6EE57" w14:textId="77777777" w:rsidR="002E01E5" w:rsidRPr="008D0DBB" w:rsidRDefault="002E01E5" w:rsidP="00562EB7">
            <w:pPr>
              <w:rPr>
                <w:sz w:val="18"/>
                <w:szCs w:val="18"/>
              </w:rPr>
            </w:pPr>
            <w:r>
              <w:rPr>
                <w:rStyle w:val="reflink"/>
                <w:color w:val="000000" w:themeColor="text1"/>
                <w:sz w:val="18"/>
                <w:szCs w:val="18"/>
              </w:rPr>
              <w:t>Not available</w:t>
            </w:r>
          </w:p>
        </w:tc>
      </w:tr>
      <w:tr w:rsidR="002E01E5" w:rsidRPr="008D0DBB" w14:paraId="709117BA" w14:textId="77777777" w:rsidTr="00562EB7">
        <w:tc>
          <w:tcPr>
            <w:tcW w:w="4518" w:type="dxa"/>
            <w:tcMar>
              <w:top w:w="40" w:type="dxa"/>
              <w:left w:w="40" w:type="dxa"/>
              <w:bottom w:w="40" w:type="dxa"/>
              <w:right w:w="40" w:type="dxa"/>
            </w:tcMar>
          </w:tcPr>
          <w:p w14:paraId="1FF9DCAE" w14:textId="77777777" w:rsidR="002E01E5" w:rsidRPr="008D0DBB" w:rsidRDefault="002E01E5" w:rsidP="00562EB7">
            <w:pPr>
              <w:pStyle w:val="Tabletext0"/>
              <w:rPr>
                <w:b/>
                <w:bCs/>
                <w:sz w:val="18"/>
                <w:szCs w:val="18"/>
              </w:rPr>
            </w:pPr>
            <w:r w:rsidRPr="008D0DBB">
              <w:rPr>
                <w:b/>
                <w:bCs/>
                <w:sz w:val="18"/>
                <w:szCs w:val="18"/>
              </w:rPr>
              <w:t>EC name:</w:t>
            </w:r>
          </w:p>
        </w:tc>
        <w:tc>
          <w:tcPr>
            <w:tcW w:w="5137" w:type="dxa"/>
            <w:tcMar>
              <w:top w:w="40" w:type="dxa"/>
              <w:left w:w="40" w:type="dxa"/>
              <w:bottom w:w="40" w:type="dxa"/>
              <w:right w:w="40" w:type="dxa"/>
            </w:tcMar>
          </w:tcPr>
          <w:p w14:paraId="4F93B4EF" w14:textId="77777777" w:rsidR="002E01E5" w:rsidRPr="008D0DBB" w:rsidRDefault="002E01E5" w:rsidP="00562EB7">
            <w:pPr>
              <w:rPr>
                <w:sz w:val="18"/>
                <w:szCs w:val="18"/>
              </w:rPr>
            </w:pPr>
            <w:r>
              <w:rPr>
                <w:rStyle w:val="reflink"/>
                <w:color w:val="000000" w:themeColor="text1"/>
                <w:sz w:val="18"/>
                <w:szCs w:val="18"/>
              </w:rPr>
              <w:t>Not available</w:t>
            </w:r>
          </w:p>
        </w:tc>
      </w:tr>
      <w:tr w:rsidR="002E01E5" w:rsidRPr="008D0DBB" w14:paraId="79AA1D53" w14:textId="77777777" w:rsidTr="00562EB7">
        <w:tc>
          <w:tcPr>
            <w:tcW w:w="4518" w:type="dxa"/>
            <w:tcMar>
              <w:top w:w="40" w:type="dxa"/>
              <w:left w:w="40" w:type="dxa"/>
              <w:bottom w:w="40" w:type="dxa"/>
              <w:right w:w="40" w:type="dxa"/>
            </w:tcMar>
          </w:tcPr>
          <w:p w14:paraId="094831C9" w14:textId="77777777" w:rsidR="002E01E5" w:rsidRPr="008D0DBB" w:rsidRDefault="002E01E5" w:rsidP="00562EB7">
            <w:pPr>
              <w:pStyle w:val="Tabletext0"/>
              <w:rPr>
                <w:b/>
                <w:bCs/>
                <w:sz w:val="18"/>
                <w:szCs w:val="18"/>
              </w:rPr>
            </w:pPr>
            <w:r w:rsidRPr="008D0DBB">
              <w:rPr>
                <w:b/>
                <w:bCs/>
                <w:sz w:val="18"/>
                <w:szCs w:val="18"/>
              </w:rPr>
              <w:t>SMILES:</w:t>
            </w:r>
          </w:p>
        </w:tc>
        <w:tc>
          <w:tcPr>
            <w:tcW w:w="5137" w:type="dxa"/>
            <w:tcMar>
              <w:top w:w="40" w:type="dxa"/>
              <w:left w:w="40" w:type="dxa"/>
              <w:bottom w:w="40" w:type="dxa"/>
              <w:right w:w="40" w:type="dxa"/>
            </w:tcMar>
          </w:tcPr>
          <w:p w14:paraId="31AA9F32" w14:textId="77777777" w:rsidR="002E01E5" w:rsidRPr="008D0DBB" w:rsidRDefault="00785575" w:rsidP="002E01E5">
            <w:pPr>
              <w:tabs>
                <w:tab w:val="left" w:pos="1985"/>
              </w:tabs>
              <w:rPr>
                <w:sz w:val="18"/>
                <w:szCs w:val="18"/>
              </w:rPr>
            </w:pPr>
            <w:r w:rsidRPr="00785575">
              <w:rPr>
                <w:sz w:val="18"/>
                <w:szCs w:val="18"/>
              </w:rPr>
              <w:t>C(=C(C(C1(CL)CL)(C(C2CCC(C(C(=C(C34CL)CL)CL)(C3(H)H)CL)C4C5)C5)CL)CL)(C12CL)CL</w:t>
            </w:r>
          </w:p>
        </w:tc>
      </w:tr>
      <w:tr w:rsidR="002E01E5" w:rsidRPr="008D0DBB" w14:paraId="4FAC20C7" w14:textId="77777777" w:rsidTr="00562EB7">
        <w:tc>
          <w:tcPr>
            <w:tcW w:w="4518" w:type="dxa"/>
            <w:tcMar>
              <w:top w:w="40" w:type="dxa"/>
              <w:left w:w="40" w:type="dxa"/>
              <w:bottom w:w="40" w:type="dxa"/>
              <w:right w:w="40" w:type="dxa"/>
            </w:tcMar>
          </w:tcPr>
          <w:p w14:paraId="0E33E308" w14:textId="77777777" w:rsidR="002E01E5" w:rsidRPr="008D0DBB" w:rsidRDefault="002E01E5" w:rsidP="00562EB7">
            <w:pPr>
              <w:pStyle w:val="Tabletext0"/>
              <w:rPr>
                <w:b/>
                <w:bCs/>
                <w:sz w:val="18"/>
                <w:szCs w:val="18"/>
              </w:rPr>
            </w:pPr>
            <w:r w:rsidRPr="008D0DBB">
              <w:rPr>
                <w:b/>
                <w:bCs/>
                <w:sz w:val="18"/>
                <w:szCs w:val="18"/>
              </w:rPr>
              <w:t>CAS number (in the EC inventory):</w:t>
            </w:r>
          </w:p>
        </w:tc>
        <w:tc>
          <w:tcPr>
            <w:tcW w:w="5137" w:type="dxa"/>
            <w:tcMar>
              <w:top w:w="40" w:type="dxa"/>
              <w:left w:w="40" w:type="dxa"/>
              <w:bottom w:w="40" w:type="dxa"/>
              <w:right w:w="40" w:type="dxa"/>
            </w:tcMar>
          </w:tcPr>
          <w:p w14:paraId="77995057" w14:textId="77777777" w:rsidR="002E01E5" w:rsidRPr="008D0DBB" w:rsidRDefault="002E01E5" w:rsidP="00562EB7">
            <w:pPr>
              <w:rPr>
                <w:sz w:val="18"/>
                <w:szCs w:val="18"/>
              </w:rPr>
            </w:pPr>
            <w:r>
              <w:rPr>
                <w:rStyle w:val="reflink"/>
                <w:color w:val="000000" w:themeColor="text1"/>
                <w:sz w:val="18"/>
                <w:szCs w:val="18"/>
              </w:rPr>
              <w:t>Not available</w:t>
            </w:r>
          </w:p>
        </w:tc>
      </w:tr>
      <w:tr w:rsidR="002E01E5" w:rsidRPr="008D0DBB" w14:paraId="05099781" w14:textId="77777777" w:rsidTr="00562EB7">
        <w:tc>
          <w:tcPr>
            <w:tcW w:w="4518" w:type="dxa"/>
            <w:tcMar>
              <w:top w:w="40" w:type="dxa"/>
              <w:left w:w="40" w:type="dxa"/>
              <w:bottom w:w="40" w:type="dxa"/>
              <w:right w:w="40" w:type="dxa"/>
            </w:tcMar>
          </w:tcPr>
          <w:p w14:paraId="19723FD9" w14:textId="77777777" w:rsidR="002E01E5" w:rsidRPr="008D0DBB" w:rsidRDefault="002E01E5" w:rsidP="00562EB7">
            <w:pPr>
              <w:pStyle w:val="Tabletext0"/>
              <w:rPr>
                <w:b/>
                <w:bCs/>
                <w:sz w:val="18"/>
                <w:szCs w:val="18"/>
              </w:rPr>
            </w:pPr>
            <w:r w:rsidRPr="008D0DBB">
              <w:rPr>
                <w:b/>
                <w:bCs/>
                <w:sz w:val="18"/>
                <w:szCs w:val="18"/>
              </w:rPr>
              <w:t>CAS number:</w:t>
            </w:r>
          </w:p>
        </w:tc>
        <w:tc>
          <w:tcPr>
            <w:tcW w:w="5137" w:type="dxa"/>
            <w:tcMar>
              <w:top w:w="40" w:type="dxa"/>
              <w:left w:w="40" w:type="dxa"/>
              <w:bottom w:w="40" w:type="dxa"/>
              <w:right w:w="40" w:type="dxa"/>
            </w:tcMar>
          </w:tcPr>
          <w:p w14:paraId="4F081B3B" w14:textId="77777777" w:rsidR="002E01E5" w:rsidRPr="008D0DBB" w:rsidRDefault="002E01E5" w:rsidP="00562EB7">
            <w:pPr>
              <w:rPr>
                <w:sz w:val="18"/>
                <w:szCs w:val="18"/>
              </w:rPr>
            </w:pPr>
            <w:r>
              <w:rPr>
                <w:rStyle w:val="reflink"/>
                <w:color w:val="000000" w:themeColor="text1"/>
                <w:sz w:val="18"/>
                <w:szCs w:val="18"/>
              </w:rPr>
              <w:t>Not available</w:t>
            </w:r>
          </w:p>
        </w:tc>
      </w:tr>
      <w:tr w:rsidR="002E01E5" w:rsidRPr="008D0DBB" w14:paraId="5BAE8BD3" w14:textId="77777777" w:rsidTr="00562EB7">
        <w:trPr>
          <w:trHeight w:val="30"/>
        </w:trPr>
        <w:tc>
          <w:tcPr>
            <w:tcW w:w="4518" w:type="dxa"/>
            <w:tcMar>
              <w:top w:w="40" w:type="dxa"/>
              <w:left w:w="40" w:type="dxa"/>
              <w:bottom w:w="40" w:type="dxa"/>
              <w:right w:w="40" w:type="dxa"/>
            </w:tcMar>
          </w:tcPr>
          <w:p w14:paraId="5C05E702" w14:textId="77777777" w:rsidR="002E01E5" w:rsidRPr="008D0DBB" w:rsidRDefault="002E01E5" w:rsidP="00562EB7">
            <w:pPr>
              <w:pStyle w:val="Tabletext0"/>
              <w:rPr>
                <w:b/>
                <w:bCs/>
                <w:sz w:val="18"/>
                <w:szCs w:val="18"/>
              </w:rPr>
            </w:pPr>
            <w:r w:rsidRPr="008D0DBB">
              <w:rPr>
                <w:b/>
                <w:bCs/>
                <w:sz w:val="18"/>
                <w:szCs w:val="18"/>
              </w:rPr>
              <w:t>CAS name:</w:t>
            </w:r>
          </w:p>
        </w:tc>
        <w:tc>
          <w:tcPr>
            <w:tcW w:w="5137" w:type="dxa"/>
            <w:tcMar>
              <w:top w:w="40" w:type="dxa"/>
              <w:left w:w="40" w:type="dxa"/>
              <w:bottom w:w="40" w:type="dxa"/>
              <w:right w:w="40" w:type="dxa"/>
            </w:tcMar>
          </w:tcPr>
          <w:p w14:paraId="697C2BF0" w14:textId="77777777" w:rsidR="002E01E5" w:rsidRPr="008D0DBB" w:rsidRDefault="005F4ABE" w:rsidP="00562EB7">
            <w:pPr>
              <w:rPr>
                <w:sz w:val="18"/>
                <w:szCs w:val="18"/>
              </w:rPr>
            </w:pPr>
            <w:r>
              <w:rPr>
                <w:rStyle w:val="reflink"/>
                <w:color w:val="000000" w:themeColor="text1"/>
                <w:sz w:val="18"/>
                <w:szCs w:val="18"/>
              </w:rPr>
              <w:t>Not available</w:t>
            </w:r>
          </w:p>
        </w:tc>
      </w:tr>
      <w:tr w:rsidR="002E01E5" w:rsidRPr="008D0DBB" w14:paraId="59781EF6" w14:textId="77777777" w:rsidTr="00562EB7">
        <w:tc>
          <w:tcPr>
            <w:tcW w:w="4518" w:type="dxa"/>
            <w:tcMar>
              <w:top w:w="40" w:type="dxa"/>
              <w:left w:w="40" w:type="dxa"/>
              <w:bottom w:w="40" w:type="dxa"/>
              <w:right w:w="40" w:type="dxa"/>
            </w:tcMar>
          </w:tcPr>
          <w:p w14:paraId="5236FE3C" w14:textId="77777777" w:rsidR="002E01E5" w:rsidRPr="008D0DBB" w:rsidRDefault="002E01E5" w:rsidP="00562EB7">
            <w:pPr>
              <w:pStyle w:val="Tabletext0"/>
              <w:rPr>
                <w:b/>
                <w:bCs/>
                <w:sz w:val="18"/>
                <w:szCs w:val="18"/>
              </w:rPr>
            </w:pPr>
            <w:r w:rsidRPr="008D0DBB">
              <w:rPr>
                <w:b/>
                <w:bCs/>
                <w:sz w:val="18"/>
                <w:szCs w:val="18"/>
              </w:rPr>
              <w:t>IUPAC name:</w:t>
            </w:r>
          </w:p>
        </w:tc>
        <w:tc>
          <w:tcPr>
            <w:tcW w:w="5137" w:type="dxa"/>
            <w:tcMar>
              <w:top w:w="40" w:type="dxa"/>
              <w:left w:w="40" w:type="dxa"/>
              <w:bottom w:w="40" w:type="dxa"/>
              <w:right w:w="40" w:type="dxa"/>
            </w:tcMar>
          </w:tcPr>
          <w:p w14:paraId="22C422CF" w14:textId="6C169925" w:rsidR="002E01E5" w:rsidRPr="008D0DBB" w:rsidRDefault="0029259B" w:rsidP="00443EAE">
            <w:pPr>
              <w:rPr>
                <w:sz w:val="18"/>
                <w:szCs w:val="18"/>
              </w:rPr>
            </w:pPr>
            <w:r>
              <w:rPr>
                <w:sz w:val="18"/>
                <w:szCs w:val="18"/>
              </w:rPr>
              <w:t>1,6,7,8,9,14,15,16</w:t>
            </w:r>
            <w:r w:rsidRPr="009B339C">
              <w:rPr>
                <w:sz w:val="18"/>
                <w:szCs w:val="18"/>
              </w:rPr>
              <w:t>,1</w:t>
            </w:r>
            <w:r w:rsidR="00443EAE">
              <w:rPr>
                <w:sz w:val="18"/>
                <w:szCs w:val="18"/>
              </w:rPr>
              <w:t>7</w:t>
            </w:r>
            <w:r w:rsidRPr="009B339C">
              <w:rPr>
                <w:sz w:val="18"/>
                <w:szCs w:val="18"/>
              </w:rPr>
              <w:t>,1</w:t>
            </w:r>
            <w:r w:rsidR="00443EAE">
              <w:rPr>
                <w:sz w:val="18"/>
                <w:szCs w:val="18"/>
              </w:rPr>
              <w:t>7</w:t>
            </w:r>
            <w:r w:rsidRPr="009B339C">
              <w:rPr>
                <w:sz w:val="18"/>
                <w:szCs w:val="18"/>
              </w:rPr>
              <w:t>-</w:t>
            </w:r>
            <w:r w:rsidR="00443EAE">
              <w:rPr>
                <w:sz w:val="18"/>
                <w:szCs w:val="18"/>
              </w:rPr>
              <w:t>D</w:t>
            </w:r>
            <w:r w:rsidRPr="009B339C">
              <w:rPr>
                <w:sz w:val="18"/>
                <w:szCs w:val="18"/>
              </w:rPr>
              <w:t>ecachloropenta</w:t>
            </w:r>
            <w:r w:rsidR="00C90A64">
              <w:rPr>
                <w:sz w:val="18"/>
                <w:szCs w:val="18"/>
              </w:rPr>
              <w:t>-</w:t>
            </w:r>
            <w:r w:rsidRPr="009B339C">
              <w:rPr>
                <w:sz w:val="18"/>
                <w:szCs w:val="18"/>
              </w:rPr>
              <w:t>cyclo[12.2.1.1</w:t>
            </w:r>
            <w:r w:rsidRPr="009B339C">
              <w:rPr>
                <w:sz w:val="18"/>
                <w:szCs w:val="18"/>
                <w:vertAlign w:val="superscript"/>
              </w:rPr>
              <w:t>6,9</w:t>
            </w:r>
            <w:r w:rsidRPr="009B339C">
              <w:rPr>
                <w:sz w:val="18"/>
                <w:szCs w:val="18"/>
              </w:rPr>
              <w:t>.0</w:t>
            </w:r>
            <w:r w:rsidRPr="009B339C">
              <w:rPr>
                <w:sz w:val="18"/>
                <w:szCs w:val="18"/>
                <w:vertAlign w:val="superscript"/>
              </w:rPr>
              <w:t>2,13</w:t>
            </w:r>
            <w:r w:rsidRPr="009B339C">
              <w:rPr>
                <w:sz w:val="18"/>
                <w:szCs w:val="18"/>
              </w:rPr>
              <w:t>.0</w:t>
            </w:r>
            <w:r w:rsidRPr="009B339C">
              <w:rPr>
                <w:sz w:val="18"/>
                <w:szCs w:val="18"/>
                <w:vertAlign w:val="superscript"/>
              </w:rPr>
              <w:t>5,10</w:t>
            </w:r>
            <w:r w:rsidRPr="009B339C">
              <w:rPr>
                <w:sz w:val="18"/>
                <w:szCs w:val="18"/>
              </w:rPr>
              <w:t>]octadeca-7,15-diene</w:t>
            </w:r>
          </w:p>
        </w:tc>
      </w:tr>
      <w:tr w:rsidR="002E01E5" w:rsidRPr="008D0DBB" w14:paraId="01972250" w14:textId="77777777" w:rsidTr="00562EB7">
        <w:tc>
          <w:tcPr>
            <w:tcW w:w="4518" w:type="dxa"/>
            <w:tcMar>
              <w:top w:w="40" w:type="dxa"/>
              <w:left w:w="40" w:type="dxa"/>
              <w:bottom w:w="40" w:type="dxa"/>
              <w:right w:w="40" w:type="dxa"/>
            </w:tcMar>
          </w:tcPr>
          <w:p w14:paraId="7048B34F" w14:textId="77777777" w:rsidR="002E01E5" w:rsidRPr="008D0DBB" w:rsidRDefault="002E01E5" w:rsidP="00562EB7">
            <w:pPr>
              <w:pStyle w:val="Tabletext0"/>
              <w:rPr>
                <w:b/>
                <w:bCs/>
                <w:sz w:val="18"/>
                <w:szCs w:val="18"/>
              </w:rPr>
            </w:pPr>
            <w:r w:rsidRPr="008D0DBB">
              <w:rPr>
                <w:b/>
                <w:bCs/>
                <w:sz w:val="18"/>
                <w:szCs w:val="18"/>
              </w:rPr>
              <w:t>Index number in Annex VI of the CLP Regulation</w:t>
            </w:r>
          </w:p>
        </w:tc>
        <w:tc>
          <w:tcPr>
            <w:tcW w:w="5137" w:type="dxa"/>
            <w:tcMar>
              <w:top w:w="40" w:type="dxa"/>
              <w:left w:w="40" w:type="dxa"/>
              <w:bottom w:w="40" w:type="dxa"/>
              <w:right w:w="40" w:type="dxa"/>
            </w:tcMar>
          </w:tcPr>
          <w:p w14:paraId="3013C5C7" w14:textId="77777777" w:rsidR="002E01E5" w:rsidRPr="008D0DBB" w:rsidRDefault="002E01E5" w:rsidP="00562EB7">
            <w:pPr>
              <w:rPr>
                <w:sz w:val="18"/>
                <w:szCs w:val="18"/>
              </w:rPr>
            </w:pPr>
            <w:r w:rsidRPr="002D039F">
              <w:rPr>
                <w:sz w:val="18"/>
                <w:szCs w:val="18"/>
                <w:lang w:eastAsia="da-DK"/>
              </w:rPr>
              <w:t>Not applicable</w:t>
            </w:r>
          </w:p>
        </w:tc>
      </w:tr>
      <w:tr w:rsidR="005F4ABE" w:rsidRPr="008D0DBB" w14:paraId="6431E02C" w14:textId="77777777" w:rsidTr="00562EB7">
        <w:tc>
          <w:tcPr>
            <w:tcW w:w="4518" w:type="dxa"/>
            <w:tcMar>
              <w:top w:w="40" w:type="dxa"/>
              <w:left w:w="40" w:type="dxa"/>
              <w:bottom w:w="40" w:type="dxa"/>
              <w:right w:w="40" w:type="dxa"/>
            </w:tcMar>
          </w:tcPr>
          <w:p w14:paraId="1E0C0153" w14:textId="77777777" w:rsidR="005F4ABE" w:rsidRPr="008D0DBB" w:rsidRDefault="005F4ABE" w:rsidP="005F4ABE">
            <w:pPr>
              <w:pStyle w:val="Tabletext0"/>
              <w:rPr>
                <w:b/>
                <w:bCs/>
                <w:sz w:val="18"/>
                <w:szCs w:val="18"/>
              </w:rPr>
            </w:pPr>
            <w:r w:rsidRPr="008D0DBB">
              <w:rPr>
                <w:b/>
                <w:bCs/>
                <w:sz w:val="18"/>
                <w:szCs w:val="18"/>
              </w:rPr>
              <w:t>Molecular formula:</w:t>
            </w:r>
          </w:p>
        </w:tc>
        <w:tc>
          <w:tcPr>
            <w:tcW w:w="5137" w:type="dxa"/>
            <w:tcMar>
              <w:top w:w="40" w:type="dxa"/>
              <w:left w:w="40" w:type="dxa"/>
              <w:bottom w:w="40" w:type="dxa"/>
              <w:right w:w="40" w:type="dxa"/>
            </w:tcMar>
          </w:tcPr>
          <w:p w14:paraId="4D9B91B6" w14:textId="77777777" w:rsidR="005F4ABE" w:rsidRPr="008D0DBB" w:rsidRDefault="005F4ABE" w:rsidP="005F4ABE">
            <w:pPr>
              <w:rPr>
                <w:sz w:val="18"/>
                <w:szCs w:val="18"/>
              </w:rPr>
            </w:pPr>
            <w:r w:rsidRPr="002D039F">
              <w:rPr>
                <w:rFonts w:eastAsia="Calibri"/>
                <w:sz w:val="18"/>
                <w:szCs w:val="18"/>
                <w:lang w:eastAsia="en-GB"/>
              </w:rPr>
              <w:t>C</w:t>
            </w:r>
            <w:r w:rsidRPr="002D039F">
              <w:rPr>
                <w:rFonts w:eastAsia="Calibri"/>
                <w:sz w:val="18"/>
                <w:szCs w:val="18"/>
                <w:vertAlign w:val="subscript"/>
                <w:lang w:eastAsia="en-GB"/>
              </w:rPr>
              <w:t>18</w:t>
            </w:r>
            <w:r w:rsidRPr="002D039F">
              <w:rPr>
                <w:rFonts w:eastAsia="Calibri"/>
                <w:sz w:val="18"/>
                <w:szCs w:val="18"/>
                <w:lang w:eastAsia="en-GB"/>
              </w:rPr>
              <w:t>H</w:t>
            </w:r>
            <w:r w:rsidRPr="002D039F">
              <w:rPr>
                <w:rFonts w:eastAsia="Calibri"/>
                <w:sz w:val="18"/>
                <w:szCs w:val="18"/>
                <w:vertAlign w:val="subscript"/>
                <w:lang w:eastAsia="en-GB"/>
              </w:rPr>
              <w:t>1</w:t>
            </w:r>
            <w:r>
              <w:rPr>
                <w:rFonts w:eastAsia="Calibri"/>
                <w:sz w:val="18"/>
                <w:szCs w:val="18"/>
                <w:vertAlign w:val="subscript"/>
                <w:lang w:eastAsia="en-GB"/>
              </w:rPr>
              <w:t>4</w:t>
            </w:r>
            <w:r w:rsidRPr="002D039F">
              <w:rPr>
                <w:rFonts w:eastAsia="Calibri"/>
                <w:sz w:val="18"/>
                <w:szCs w:val="18"/>
                <w:lang w:eastAsia="en-GB"/>
              </w:rPr>
              <w:t>Cl</w:t>
            </w:r>
            <w:r w:rsidRPr="002D039F">
              <w:rPr>
                <w:rFonts w:eastAsia="Calibri"/>
                <w:sz w:val="18"/>
                <w:szCs w:val="18"/>
                <w:vertAlign w:val="subscript"/>
                <w:lang w:eastAsia="en-GB"/>
              </w:rPr>
              <w:t>1</w:t>
            </w:r>
            <w:r>
              <w:rPr>
                <w:rFonts w:eastAsia="Calibri"/>
                <w:sz w:val="18"/>
                <w:szCs w:val="18"/>
                <w:vertAlign w:val="subscript"/>
                <w:lang w:eastAsia="en-GB"/>
              </w:rPr>
              <w:t>0</w:t>
            </w:r>
          </w:p>
        </w:tc>
      </w:tr>
      <w:tr w:rsidR="005F4ABE" w:rsidRPr="008D0DBB" w14:paraId="7407CB72" w14:textId="77777777" w:rsidTr="00562EB7">
        <w:tc>
          <w:tcPr>
            <w:tcW w:w="4518" w:type="dxa"/>
            <w:tcMar>
              <w:top w:w="40" w:type="dxa"/>
              <w:left w:w="40" w:type="dxa"/>
              <w:bottom w:w="40" w:type="dxa"/>
              <w:right w:w="40" w:type="dxa"/>
            </w:tcMar>
          </w:tcPr>
          <w:p w14:paraId="6871F377" w14:textId="77777777" w:rsidR="005F4ABE" w:rsidRPr="008D0DBB" w:rsidRDefault="005F4ABE" w:rsidP="005F4ABE">
            <w:pPr>
              <w:pStyle w:val="Tabletext0"/>
              <w:rPr>
                <w:b/>
                <w:bCs/>
                <w:sz w:val="18"/>
                <w:szCs w:val="18"/>
              </w:rPr>
            </w:pPr>
            <w:r w:rsidRPr="008D0DBB">
              <w:rPr>
                <w:b/>
                <w:bCs/>
                <w:sz w:val="18"/>
                <w:szCs w:val="18"/>
              </w:rPr>
              <w:t>Molecular weight range:</w:t>
            </w:r>
          </w:p>
        </w:tc>
        <w:tc>
          <w:tcPr>
            <w:tcW w:w="5137" w:type="dxa"/>
            <w:tcMar>
              <w:top w:w="40" w:type="dxa"/>
              <w:left w:w="40" w:type="dxa"/>
              <w:bottom w:w="40" w:type="dxa"/>
              <w:right w:w="40" w:type="dxa"/>
            </w:tcMar>
          </w:tcPr>
          <w:p w14:paraId="76960341" w14:textId="77777777" w:rsidR="005F4ABE" w:rsidRPr="008D0DBB" w:rsidRDefault="005F4ABE" w:rsidP="005F4ABE">
            <w:pPr>
              <w:rPr>
                <w:sz w:val="18"/>
                <w:szCs w:val="18"/>
              </w:rPr>
            </w:pPr>
            <w:r>
              <w:rPr>
                <w:sz w:val="18"/>
                <w:szCs w:val="18"/>
              </w:rPr>
              <w:t>584.84</w:t>
            </w:r>
            <w:r w:rsidRPr="002D039F">
              <w:rPr>
                <w:bCs/>
                <w:sz w:val="18"/>
                <w:szCs w:val="18"/>
              </w:rPr>
              <w:t xml:space="preserve"> g/mole</w:t>
            </w:r>
          </w:p>
        </w:tc>
      </w:tr>
      <w:tr w:rsidR="002E01E5" w:rsidRPr="008D0DBB" w14:paraId="2D2735FD" w14:textId="77777777" w:rsidTr="00562EB7">
        <w:tc>
          <w:tcPr>
            <w:tcW w:w="4518" w:type="dxa"/>
            <w:tcMar>
              <w:top w:w="40" w:type="dxa"/>
              <w:left w:w="40" w:type="dxa"/>
              <w:bottom w:w="40" w:type="dxa"/>
              <w:right w:w="40" w:type="dxa"/>
            </w:tcMar>
          </w:tcPr>
          <w:p w14:paraId="6A14D7E9" w14:textId="77777777" w:rsidR="002E01E5" w:rsidRPr="008D0DBB" w:rsidRDefault="002E01E5" w:rsidP="00562EB7">
            <w:pPr>
              <w:pStyle w:val="Tabletext0"/>
              <w:rPr>
                <w:b/>
                <w:bCs/>
                <w:sz w:val="18"/>
                <w:szCs w:val="18"/>
              </w:rPr>
            </w:pPr>
            <w:r w:rsidRPr="008D0DBB">
              <w:rPr>
                <w:b/>
                <w:sz w:val="18"/>
                <w:szCs w:val="18"/>
              </w:rPr>
              <w:t>Synonyms:</w:t>
            </w:r>
          </w:p>
        </w:tc>
        <w:tc>
          <w:tcPr>
            <w:tcW w:w="5137" w:type="dxa"/>
            <w:tcMar>
              <w:top w:w="40" w:type="dxa"/>
              <w:left w:w="40" w:type="dxa"/>
              <w:bottom w:w="40" w:type="dxa"/>
              <w:right w:w="40" w:type="dxa"/>
            </w:tcMar>
          </w:tcPr>
          <w:p w14:paraId="3CABFD75" w14:textId="77777777" w:rsidR="002E01E5" w:rsidRPr="008D0DBB" w:rsidRDefault="002E01E5" w:rsidP="00562EB7">
            <w:pPr>
              <w:rPr>
                <w:i/>
                <w:sz w:val="18"/>
                <w:szCs w:val="18"/>
              </w:rPr>
            </w:pPr>
            <w:r w:rsidRPr="00BA0ECA">
              <w:t xml:space="preserve">DP-2Cl or </w:t>
            </w:r>
            <w:r w:rsidRPr="00BA0ECA">
              <w:rPr>
                <w:rFonts w:eastAsiaTheme="minorHAnsi"/>
                <w:color w:val="000000"/>
              </w:rPr>
              <w:t>Cl</w:t>
            </w:r>
            <w:r w:rsidRPr="00BA0ECA">
              <w:rPr>
                <w:rFonts w:eastAsiaTheme="minorHAnsi"/>
                <w:color w:val="000000"/>
                <w:vertAlign w:val="subscript"/>
              </w:rPr>
              <w:t>10</w:t>
            </w:r>
            <w:r w:rsidRPr="00BA0ECA">
              <w:rPr>
                <w:rFonts w:eastAsiaTheme="minorHAnsi"/>
                <w:color w:val="000000"/>
              </w:rPr>
              <w:t>-DP</w:t>
            </w:r>
          </w:p>
        </w:tc>
      </w:tr>
    </w:tbl>
    <w:p w14:paraId="544F057F" w14:textId="77777777" w:rsidR="002E01E5" w:rsidRDefault="002E01E5">
      <w:pPr>
        <w:widowControl/>
        <w:rPr>
          <w:rFonts w:cs="Arial"/>
          <w:b/>
          <w:color w:val="0046AD"/>
          <w:sz w:val="24"/>
          <w:szCs w:val="22"/>
        </w:rPr>
      </w:pPr>
    </w:p>
    <w:p w14:paraId="7692CA20" w14:textId="77777777" w:rsidR="00192A2A" w:rsidRDefault="00192A2A">
      <w:pPr>
        <w:widowControl/>
        <w:rPr>
          <w:rFonts w:cs="Arial"/>
          <w:b/>
          <w:color w:val="0046AD"/>
          <w:sz w:val="24"/>
          <w:szCs w:val="22"/>
        </w:rPr>
      </w:pPr>
    </w:p>
    <w:p w14:paraId="7C13BA64" w14:textId="77777777" w:rsidR="00C42CB2" w:rsidRDefault="00C42CB2">
      <w:pPr>
        <w:widowControl/>
        <w:rPr>
          <w:rFonts w:cs="Arial"/>
          <w:b/>
          <w:color w:val="0046AD"/>
          <w:sz w:val="24"/>
          <w:szCs w:val="22"/>
        </w:rPr>
      </w:pPr>
      <w:r>
        <w:br w:type="page"/>
      </w:r>
    </w:p>
    <w:p w14:paraId="78612A87" w14:textId="39FDFEC7" w:rsidR="001F5783" w:rsidRDefault="00BB6734" w:rsidP="002D039F">
      <w:pPr>
        <w:pStyle w:val="Heading2"/>
        <w:jc w:val="both"/>
      </w:pPr>
      <w:bookmarkStart w:id="209" w:name="_Toc491862220"/>
      <w:r>
        <w:lastRenderedPageBreak/>
        <w:t xml:space="preserve">1.4 </w:t>
      </w:r>
      <w:r w:rsidR="001F5783">
        <w:t xml:space="preserve">Identity and composition of structurally related substances </w:t>
      </w:r>
      <w:r w:rsidR="00AC2CA3">
        <w:t>(</w:t>
      </w:r>
      <w:r w:rsidR="00FF688C">
        <w:t xml:space="preserve">used in a </w:t>
      </w:r>
      <w:r w:rsidR="00C86568">
        <w:t xml:space="preserve">benchmarking </w:t>
      </w:r>
      <w:r w:rsidR="0016056A">
        <w:t xml:space="preserve">or read-across </w:t>
      </w:r>
      <w:r w:rsidR="001F5783">
        <w:t>approach)</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9"/>
    </w:p>
    <w:p w14:paraId="42A97574" w14:textId="77777777" w:rsidR="00013416" w:rsidRPr="000A6FDD" w:rsidRDefault="004F19C3" w:rsidP="0099322E">
      <w:pPr>
        <w:pStyle w:val="BodyText"/>
        <w:spacing w:after="120"/>
        <w:jc w:val="both"/>
      </w:pPr>
      <w:r>
        <w:t>Ten</w:t>
      </w:r>
      <w:r w:rsidR="00644376">
        <w:t xml:space="preserve"> </w:t>
      </w:r>
      <w:r w:rsidR="00644376" w:rsidRPr="0099322E">
        <w:rPr>
          <w:bCs/>
        </w:rPr>
        <w:t>substances</w:t>
      </w:r>
      <w:r w:rsidR="00644376">
        <w:t xml:space="preserve"> shar</w:t>
      </w:r>
      <w:r w:rsidR="008E617A">
        <w:t>ing</w:t>
      </w:r>
      <w:r w:rsidR="00644376">
        <w:t xml:space="preserve"> the </w:t>
      </w:r>
      <w:r w:rsidR="00042A57">
        <w:t>hexa</w:t>
      </w:r>
      <w:r w:rsidR="008B4A04">
        <w:t>chlorinated norborne</w:t>
      </w:r>
      <w:r w:rsidR="008E617A">
        <w:t xml:space="preserve">ne moiety </w:t>
      </w:r>
      <w:r w:rsidR="00013416">
        <w:rPr>
          <w:bCs/>
        </w:rPr>
        <w:t>are</w:t>
      </w:r>
      <w:r w:rsidR="00013416">
        <w:t xml:space="preserve"> </w:t>
      </w:r>
      <w:r w:rsidR="00AF5464">
        <w:t>list</w:t>
      </w:r>
      <w:r w:rsidR="00013416">
        <w:t xml:space="preserve">ed in Table </w:t>
      </w:r>
      <w:r w:rsidR="00A86884">
        <w:t>5</w:t>
      </w:r>
      <w:r w:rsidR="00013416">
        <w:t xml:space="preserve"> along with data for key physico-</w:t>
      </w:r>
      <w:r w:rsidR="00013416" w:rsidRPr="00BA0ECA">
        <w:t xml:space="preserve">chemical </w:t>
      </w:r>
      <w:r w:rsidR="00013416">
        <w:t>end points.</w:t>
      </w:r>
      <w:r w:rsidR="00042A57" w:rsidRPr="0010322C">
        <w:rPr>
          <w:rStyle w:val="FootnoteReference"/>
          <w:rFonts w:ascii="Verdana" w:hAnsi="Verdana"/>
          <w:sz w:val="18"/>
          <w:szCs w:val="18"/>
        </w:rPr>
        <w:footnoteReference w:id="1"/>
      </w:r>
      <w:r w:rsidR="00013416">
        <w:t xml:space="preserve"> </w:t>
      </w:r>
      <w:r w:rsidR="00013416" w:rsidRPr="000A6FDD">
        <w:rPr>
          <w:bCs/>
        </w:rPr>
        <w:t xml:space="preserve">The measured data are </w:t>
      </w:r>
      <w:r w:rsidR="00013416">
        <w:rPr>
          <w:bCs/>
        </w:rPr>
        <w:t xml:space="preserve">taken </w:t>
      </w:r>
      <w:r w:rsidR="00013416" w:rsidRPr="000A6FDD">
        <w:rPr>
          <w:bCs/>
        </w:rPr>
        <w:t>from</w:t>
      </w:r>
      <w:r w:rsidR="00013416">
        <w:rPr>
          <w:bCs/>
        </w:rPr>
        <w:t xml:space="preserve"> the</w:t>
      </w:r>
      <w:r w:rsidR="00013416" w:rsidRPr="000A6FDD">
        <w:rPr>
          <w:bCs/>
        </w:rPr>
        <w:t xml:space="preserve"> 13</w:t>
      </w:r>
      <w:r w:rsidR="00013416" w:rsidRPr="000A6FDD">
        <w:rPr>
          <w:bCs/>
          <w:vertAlign w:val="superscript"/>
        </w:rPr>
        <w:t>th</w:t>
      </w:r>
      <w:r w:rsidR="00013416" w:rsidRPr="000A6FDD">
        <w:rPr>
          <w:bCs/>
        </w:rPr>
        <w:t xml:space="preserve"> (Budavari, 2001) and 15</w:t>
      </w:r>
      <w:r w:rsidR="00013416" w:rsidRPr="000A6FDD">
        <w:rPr>
          <w:bCs/>
          <w:vertAlign w:val="superscript"/>
        </w:rPr>
        <w:t>th</w:t>
      </w:r>
      <w:r w:rsidR="00013416" w:rsidRPr="000A6FDD">
        <w:rPr>
          <w:bCs/>
        </w:rPr>
        <w:t xml:space="preserve"> (O’Neil, 2013) editions of </w:t>
      </w:r>
      <w:r w:rsidR="00013416" w:rsidRPr="00BA0ECA">
        <w:rPr>
          <w:bCs/>
          <w:i/>
        </w:rPr>
        <w:t>The Merck Index</w:t>
      </w:r>
      <w:r w:rsidR="00013416" w:rsidRPr="00BA0ECA">
        <w:rPr>
          <w:bCs/>
        </w:rPr>
        <w:t xml:space="preserve"> </w:t>
      </w:r>
      <w:r w:rsidR="00990CA9">
        <w:rPr>
          <w:bCs/>
        </w:rPr>
        <w:t xml:space="preserve">(and subsequently </w:t>
      </w:r>
      <w:hyperlink r:id="rId23" w:history="1">
        <w:r w:rsidR="00990CA9" w:rsidRPr="00220C3D">
          <w:rPr>
            <w:rStyle w:val="Hyperlink"/>
            <w:bCs/>
          </w:rPr>
          <w:t>https://www.rsc.org/Merck-Index/</w:t>
        </w:r>
      </w:hyperlink>
      <w:r w:rsidR="00990CA9">
        <w:rPr>
          <w:bCs/>
        </w:rPr>
        <w:t xml:space="preserve">) </w:t>
      </w:r>
      <w:r w:rsidR="00013416" w:rsidRPr="00BA0ECA">
        <w:rPr>
          <w:bCs/>
        </w:rPr>
        <w:t xml:space="preserve">and the experimental database within </w:t>
      </w:r>
      <w:r w:rsidR="00013416" w:rsidRPr="00BA0ECA">
        <w:rPr>
          <w:bCs/>
          <w:i/>
        </w:rPr>
        <w:t xml:space="preserve">EPI Suite v4.11 </w:t>
      </w:r>
      <w:r w:rsidR="00013416" w:rsidRPr="00BA0ECA">
        <w:rPr>
          <w:bCs/>
        </w:rPr>
        <w:t>(U.S. EPA, 2012)</w:t>
      </w:r>
      <w:r w:rsidR="00013416" w:rsidRPr="00BA0ECA">
        <w:rPr>
          <w:bCs/>
          <w:i/>
        </w:rPr>
        <w:t>.</w:t>
      </w:r>
      <w:r w:rsidR="00013416" w:rsidRPr="00BA0ECA">
        <w:rPr>
          <w:bCs/>
        </w:rPr>
        <w:t xml:space="preserve"> </w:t>
      </w:r>
      <w:r>
        <w:rPr>
          <w:bCs/>
        </w:rPr>
        <w:t>Data</w:t>
      </w:r>
      <w:r w:rsidR="00013416" w:rsidRPr="00BA0ECA">
        <w:rPr>
          <w:bCs/>
        </w:rPr>
        <w:t xml:space="preserve"> were </w:t>
      </w:r>
      <w:r>
        <w:rPr>
          <w:bCs/>
        </w:rPr>
        <w:t>e</w:t>
      </w:r>
      <w:r w:rsidRPr="00BA0ECA">
        <w:rPr>
          <w:bCs/>
        </w:rPr>
        <w:t>stimat</w:t>
      </w:r>
      <w:r>
        <w:rPr>
          <w:bCs/>
        </w:rPr>
        <w:t>ed using</w:t>
      </w:r>
      <w:r w:rsidR="00013416" w:rsidRPr="00BA0ECA">
        <w:rPr>
          <w:bCs/>
        </w:rPr>
        <w:t xml:space="preserve"> </w:t>
      </w:r>
      <w:r>
        <w:rPr>
          <w:bCs/>
          <w:i/>
        </w:rPr>
        <w:t>EPI Suite v4.11</w:t>
      </w:r>
      <w:r w:rsidR="00AF5464">
        <w:rPr>
          <w:bCs/>
        </w:rPr>
        <w:t xml:space="preserve"> for consistency reasons</w:t>
      </w:r>
      <w:r w:rsidR="00013416" w:rsidRPr="00BA0ECA">
        <w:rPr>
          <w:bCs/>
        </w:rPr>
        <w:t xml:space="preserve">. </w:t>
      </w:r>
    </w:p>
    <w:p w14:paraId="7A0BB915" w14:textId="77777777" w:rsidR="008E617A" w:rsidRDefault="004F19C3" w:rsidP="0099322E">
      <w:pPr>
        <w:pStyle w:val="BodyText"/>
        <w:spacing w:after="120"/>
        <w:jc w:val="both"/>
        <w:rPr>
          <w:bCs/>
        </w:rPr>
      </w:pPr>
      <w:r w:rsidRPr="00BA0ECA">
        <w:rPr>
          <w:bCs/>
        </w:rPr>
        <w:t xml:space="preserve">Dechlorane Plus contains two </w:t>
      </w:r>
      <w:r w:rsidR="008B4A04">
        <w:t>chlorinated norborne</w:t>
      </w:r>
      <w:r>
        <w:t xml:space="preserve">ne </w:t>
      </w:r>
      <w:r w:rsidRPr="00BA0ECA">
        <w:rPr>
          <w:bCs/>
        </w:rPr>
        <w:t xml:space="preserve">groups, </w:t>
      </w:r>
      <w:r>
        <w:rPr>
          <w:bCs/>
        </w:rPr>
        <w:t xml:space="preserve">whereas </w:t>
      </w:r>
      <w:r w:rsidR="00FA0DAD">
        <w:rPr>
          <w:bCs/>
        </w:rPr>
        <w:t>seven of the</w:t>
      </w:r>
      <w:r>
        <w:rPr>
          <w:bCs/>
        </w:rPr>
        <w:t xml:space="preserve"> potential </w:t>
      </w:r>
      <w:r w:rsidRPr="00BA0ECA">
        <w:rPr>
          <w:bCs/>
        </w:rPr>
        <w:t>analogue</w:t>
      </w:r>
      <w:r>
        <w:rPr>
          <w:bCs/>
        </w:rPr>
        <w:t>s only contain one</w:t>
      </w:r>
      <w:r w:rsidR="00FA0DAD">
        <w:rPr>
          <w:bCs/>
        </w:rPr>
        <w:t xml:space="preserve"> such group</w:t>
      </w:r>
      <w:r w:rsidRPr="00BA0ECA">
        <w:rPr>
          <w:bCs/>
        </w:rPr>
        <w:t xml:space="preserve">. </w:t>
      </w:r>
      <w:r w:rsidR="008B4A04">
        <w:rPr>
          <w:bCs/>
        </w:rPr>
        <w:t>Whilst they tend to share</w:t>
      </w:r>
      <w:r w:rsidR="000E6FFA">
        <w:rPr>
          <w:bCs/>
        </w:rPr>
        <w:t xml:space="preserve"> limited </w:t>
      </w:r>
      <w:r w:rsidR="00013416" w:rsidRPr="00BA0ECA">
        <w:rPr>
          <w:bCs/>
        </w:rPr>
        <w:t xml:space="preserve">water </w:t>
      </w:r>
      <w:r w:rsidR="000E6FFA">
        <w:rPr>
          <w:bCs/>
        </w:rPr>
        <w:t>solubility, high</w:t>
      </w:r>
      <w:r w:rsidR="00261963">
        <w:rPr>
          <w:bCs/>
        </w:rPr>
        <w:t xml:space="preserve"> n-octanol-water partition coefficients (</w:t>
      </w:r>
      <w:r w:rsidR="000E6FFA">
        <w:rPr>
          <w:bCs/>
        </w:rPr>
        <w:t>log K</w:t>
      </w:r>
      <w:r w:rsidR="000E6FFA" w:rsidRPr="000E6FFA">
        <w:rPr>
          <w:bCs/>
          <w:vertAlign w:val="subscript"/>
        </w:rPr>
        <w:t>OW</w:t>
      </w:r>
      <w:r w:rsidR="000E6FFA">
        <w:rPr>
          <w:bCs/>
        </w:rPr>
        <w:t xml:space="preserve"> values</w:t>
      </w:r>
      <w:r w:rsidR="00261963">
        <w:rPr>
          <w:bCs/>
        </w:rPr>
        <w:t>)</w:t>
      </w:r>
      <w:r w:rsidR="00FA0DAD">
        <w:rPr>
          <w:bCs/>
        </w:rPr>
        <w:t xml:space="preserve"> and</w:t>
      </w:r>
      <w:r w:rsidR="000E6FFA">
        <w:rPr>
          <w:bCs/>
        </w:rPr>
        <w:t xml:space="preserve"> </w:t>
      </w:r>
      <w:r w:rsidR="00EC5BA8" w:rsidRPr="00BA0ECA">
        <w:rPr>
          <w:bCs/>
        </w:rPr>
        <w:t>very low vapour pressures</w:t>
      </w:r>
      <w:r w:rsidR="00FA0DAD">
        <w:rPr>
          <w:bCs/>
        </w:rPr>
        <w:t>,</w:t>
      </w:r>
      <w:r w:rsidR="00EC5BA8" w:rsidRPr="00BA0ECA">
        <w:rPr>
          <w:bCs/>
        </w:rPr>
        <w:t xml:space="preserve"> </w:t>
      </w:r>
      <w:r w:rsidR="000E6FFA">
        <w:rPr>
          <w:bCs/>
        </w:rPr>
        <w:t>they are not a homogeneous group:</w:t>
      </w:r>
    </w:p>
    <w:p w14:paraId="2EC84195" w14:textId="77777777" w:rsidR="008E617A" w:rsidRDefault="00AF5464" w:rsidP="00686834">
      <w:pPr>
        <w:pStyle w:val="BodyText"/>
        <w:numPr>
          <w:ilvl w:val="0"/>
          <w:numId w:val="18"/>
        </w:numPr>
        <w:ind w:left="426" w:right="374"/>
        <w:jc w:val="both"/>
        <w:rPr>
          <w:bCs/>
        </w:rPr>
      </w:pPr>
      <w:r>
        <w:rPr>
          <w:bCs/>
        </w:rPr>
        <w:t>Compared to Dechlorane Plus, s</w:t>
      </w:r>
      <w:r w:rsidR="00B07E39">
        <w:rPr>
          <w:bCs/>
        </w:rPr>
        <w:t>ix</w:t>
      </w:r>
      <w:r>
        <w:rPr>
          <w:bCs/>
        </w:rPr>
        <w:t xml:space="preserve"> of the</w:t>
      </w:r>
      <w:r w:rsidR="008E617A">
        <w:rPr>
          <w:bCs/>
        </w:rPr>
        <w:t xml:space="preserve"> substances (d</w:t>
      </w:r>
      <w:r w:rsidR="008E617A" w:rsidRPr="00BA0ECA">
        <w:rPr>
          <w:bCs/>
        </w:rPr>
        <w:t>ieldrin</w:t>
      </w:r>
      <w:r w:rsidR="008E617A">
        <w:rPr>
          <w:bCs/>
        </w:rPr>
        <w:t>/e</w:t>
      </w:r>
      <w:r w:rsidR="008E617A" w:rsidRPr="00BA0ECA">
        <w:rPr>
          <w:bCs/>
        </w:rPr>
        <w:t>ndrin</w:t>
      </w:r>
      <w:r w:rsidR="0098411E">
        <w:rPr>
          <w:bCs/>
        </w:rPr>
        <w:t>,</w:t>
      </w:r>
      <w:r w:rsidR="008E617A" w:rsidRPr="00BA0ECA">
        <w:rPr>
          <w:bCs/>
        </w:rPr>
        <w:t xml:space="preserve"> </w:t>
      </w:r>
      <w:r w:rsidR="0098411E">
        <w:rPr>
          <w:bCs/>
        </w:rPr>
        <w:t>aldrin,</w:t>
      </w:r>
      <w:r w:rsidR="0098411E" w:rsidRPr="00BA0ECA">
        <w:rPr>
          <w:bCs/>
        </w:rPr>
        <w:t xml:space="preserve"> </w:t>
      </w:r>
      <w:r w:rsidR="0098411E">
        <w:rPr>
          <w:bCs/>
        </w:rPr>
        <w:t>e</w:t>
      </w:r>
      <w:r w:rsidR="0098411E" w:rsidRPr="00BA0ECA">
        <w:rPr>
          <w:bCs/>
        </w:rPr>
        <w:t>ndosulfan</w:t>
      </w:r>
      <w:r w:rsidR="00B07E39">
        <w:rPr>
          <w:bCs/>
        </w:rPr>
        <w:t>,</w:t>
      </w:r>
      <w:r w:rsidR="0098411E">
        <w:rPr>
          <w:bCs/>
        </w:rPr>
        <w:t xml:space="preserve"> c</w:t>
      </w:r>
      <w:r w:rsidR="0098411E" w:rsidRPr="00BA0ECA">
        <w:rPr>
          <w:bCs/>
        </w:rPr>
        <w:t>hlorendic acid</w:t>
      </w:r>
      <w:r w:rsidR="0010322C" w:rsidRPr="0010322C">
        <w:rPr>
          <w:rStyle w:val="FootnoteReference"/>
          <w:rFonts w:ascii="Verdana" w:hAnsi="Verdana"/>
          <w:bCs/>
          <w:sz w:val="18"/>
          <w:szCs w:val="18"/>
        </w:rPr>
        <w:footnoteReference w:id="2"/>
      </w:r>
      <w:r w:rsidR="00B07E39">
        <w:rPr>
          <w:bCs/>
        </w:rPr>
        <w:t xml:space="preserve">, </w:t>
      </w:r>
      <w:r w:rsidR="00B07E39">
        <w:t>Dechlorane 602 and Dechlorane 604</w:t>
      </w:r>
      <w:r w:rsidR="008E617A">
        <w:rPr>
          <w:bCs/>
        </w:rPr>
        <w:t>)</w:t>
      </w:r>
      <w:r w:rsidR="008E617A" w:rsidRPr="00BA0ECA">
        <w:rPr>
          <w:bCs/>
        </w:rPr>
        <w:t xml:space="preserve"> contain </w:t>
      </w:r>
      <w:r>
        <w:rPr>
          <w:bCs/>
        </w:rPr>
        <w:t xml:space="preserve">additional </w:t>
      </w:r>
      <w:r w:rsidR="008E617A" w:rsidRPr="00BA0ECA">
        <w:rPr>
          <w:bCs/>
        </w:rPr>
        <w:t>functional groups (</w:t>
      </w:r>
      <w:r w:rsidR="008E617A">
        <w:rPr>
          <w:bCs/>
        </w:rPr>
        <w:t xml:space="preserve">i.e. </w:t>
      </w:r>
      <w:r w:rsidR="008E617A" w:rsidRPr="00BA0ECA">
        <w:rPr>
          <w:bCs/>
        </w:rPr>
        <w:t>epoxide</w:t>
      </w:r>
      <w:r w:rsidR="0098411E">
        <w:rPr>
          <w:bCs/>
        </w:rPr>
        <w:t xml:space="preserve">, alkene, </w:t>
      </w:r>
      <w:r w:rsidR="00733454">
        <w:rPr>
          <w:bCs/>
        </w:rPr>
        <w:t>sulf</w:t>
      </w:r>
      <w:r w:rsidR="00B07E39">
        <w:rPr>
          <w:bCs/>
        </w:rPr>
        <w:t>ite,</w:t>
      </w:r>
      <w:r w:rsidR="008E617A" w:rsidRPr="00BA0ECA">
        <w:rPr>
          <w:bCs/>
        </w:rPr>
        <w:t xml:space="preserve"> carboxylic acid</w:t>
      </w:r>
      <w:r w:rsidR="00B07E39">
        <w:rPr>
          <w:bCs/>
        </w:rPr>
        <w:t>, furan or brominated benzene</w:t>
      </w:r>
      <w:r w:rsidR="008E617A" w:rsidRPr="00BA0ECA">
        <w:rPr>
          <w:bCs/>
        </w:rPr>
        <w:t xml:space="preserve">) that </w:t>
      </w:r>
      <w:r w:rsidR="0098411E">
        <w:rPr>
          <w:bCs/>
        </w:rPr>
        <w:t xml:space="preserve">affect polarity and </w:t>
      </w:r>
      <w:r w:rsidR="0098411E" w:rsidRPr="00BA0ECA">
        <w:rPr>
          <w:bCs/>
        </w:rPr>
        <w:t>reactiv</w:t>
      </w:r>
      <w:r w:rsidR="0098411E">
        <w:rPr>
          <w:bCs/>
        </w:rPr>
        <w:t>ity, and are likely to</w:t>
      </w:r>
      <w:r w:rsidR="008E617A" w:rsidRPr="00BA0ECA">
        <w:rPr>
          <w:bCs/>
        </w:rPr>
        <w:t xml:space="preserve"> influence their </w:t>
      </w:r>
      <w:r w:rsidR="0098411E">
        <w:rPr>
          <w:bCs/>
        </w:rPr>
        <w:t>(eco)</w:t>
      </w:r>
      <w:r w:rsidR="008E617A" w:rsidRPr="00BA0ECA">
        <w:rPr>
          <w:bCs/>
        </w:rPr>
        <w:t>toxicological and e</w:t>
      </w:r>
      <w:r w:rsidR="0098411E">
        <w:rPr>
          <w:bCs/>
        </w:rPr>
        <w:t>nvironmental fate</w:t>
      </w:r>
      <w:r w:rsidR="008E617A" w:rsidRPr="00BA0ECA">
        <w:rPr>
          <w:bCs/>
        </w:rPr>
        <w:t xml:space="preserve"> properties. </w:t>
      </w:r>
      <w:r>
        <w:rPr>
          <w:bCs/>
        </w:rPr>
        <w:t xml:space="preserve">With the exception of </w:t>
      </w:r>
      <w:r>
        <w:t>Dechlorane 602 and Dechlorane 604, t</w:t>
      </w:r>
      <w:r w:rsidR="0098411E">
        <w:rPr>
          <w:bCs/>
        </w:rPr>
        <w:t xml:space="preserve">hey also have a </w:t>
      </w:r>
      <w:r w:rsidR="008E617A" w:rsidRPr="00BA0ECA">
        <w:rPr>
          <w:bCs/>
        </w:rPr>
        <w:t>lower molecular weight</w:t>
      </w:r>
      <w:r w:rsidR="0098411E" w:rsidRPr="0098411E">
        <w:rPr>
          <w:bCs/>
        </w:rPr>
        <w:t xml:space="preserve"> </w:t>
      </w:r>
      <w:r w:rsidR="0098411E">
        <w:rPr>
          <w:bCs/>
        </w:rPr>
        <w:t xml:space="preserve">and higher water solubility than </w:t>
      </w:r>
      <w:r w:rsidR="0098411E" w:rsidRPr="00BA0ECA">
        <w:rPr>
          <w:bCs/>
        </w:rPr>
        <w:t>Dechlorane Plus</w:t>
      </w:r>
      <w:r w:rsidR="008E617A" w:rsidRPr="00BA0ECA">
        <w:rPr>
          <w:bCs/>
        </w:rPr>
        <w:t xml:space="preserve">. Therefore, </w:t>
      </w:r>
      <w:r w:rsidR="008E617A">
        <w:rPr>
          <w:bCs/>
        </w:rPr>
        <w:t>these substances</w:t>
      </w:r>
      <w:r w:rsidR="008E617A" w:rsidRPr="00BA0ECA">
        <w:rPr>
          <w:bCs/>
        </w:rPr>
        <w:t xml:space="preserve"> are not </w:t>
      </w:r>
      <w:r w:rsidR="00B07E39">
        <w:rPr>
          <w:bCs/>
        </w:rPr>
        <w:t>s</w:t>
      </w:r>
      <w:r w:rsidR="008E617A" w:rsidRPr="00BA0ECA">
        <w:rPr>
          <w:bCs/>
        </w:rPr>
        <w:t>uitable analogues for Dechlorane Plus</w:t>
      </w:r>
      <w:r w:rsidR="008E617A">
        <w:rPr>
          <w:bCs/>
        </w:rPr>
        <w:t xml:space="preserve"> in terms of bioaccumulation or </w:t>
      </w:r>
      <w:r w:rsidR="00B07E39">
        <w:rPr>
          <w:bCs/>
        </w:rPr>
        <w:t>(eco)</w:t>
      </w:r>
      <w:r w:rsidR="008E617A">
        <w:rPr>
          <w:bCs/>
        </w:rPr>
        <w:t>toxicity assessment,</w:t>
      </w:r>
      <w:r w:rsidR="00B07E39">
        <w:rPr>
          <w:bCs/>
        </w:rPr>
        <w:t xml:space="preserve"> but</w:t>
      </w:r>
      <w:r w:rsidR="008E617A">
        <w:rPr>
          <w:bCs/>
        </w:rPr>
        <w:t xml:space="preserve"> they may offer a ‘best case’ </w:t>
      </w:r>
      <w:r w:rsidR="0099322E">
        <w:rPr>
          <w:bCs/>
        </w:rPr>
        <w:t xml:space="preserve">comparison </w:t>
      </w:r>
      <w:r w:rsidR="008E617A">
        <w:rPr>
          <w:bCs/>
        </w:rPr>
        <w:t>in terms of persistence.</w:t>
      </w:r>
    </w:p>
    <w:p w14:paraId="5388BAC8" w14:textId="77777777" w:rsidR="008E617A" w:rsidRPr="008E617A" w:rsidRDefault="008E617A" w:rsidP="00686834">
      <w:pPr>
        <w:pStyle w:val="BodyText"/>
        <w:numPr>
          <w:ilvl w:val="0"/>
          <w:numId w:val="18"/>
        </w:numPr>
        <w:ind w:left="426" w:right="374"/>
        <w:jc w:val="both"/>
        <w:rPr>
          <w:bCs/>
        </w:rPr>
      </w:pPr>
      <w:r w:rsidRPr="00BA0ECA">
        <w:rPr>
          <w:bCs/>
        </w:rPr>
        <w:t xml:space="preserve">Chlordane and </w:t>
      </w:r>
      <w:r>
        <w:rPr>
          <w:bCs/>
        </w:rPr>
        <w:t>h</w:t>
      </w:r>
      <w:r w:rsidRPr="00BA0ECA">
        <w:rPr>
          <w:bCs/>
        </w:rPr>
        <w:t>eptachlor do not contain reactive functional groups</w:t>
      </w:r>
      <w:r>
        <w:rPr>
          <w:bCs/>
        </w:rPr>
        <w:t xml:space="preserve"> but do have additional chlorine atoms, so</w:t>
      </w:r>
      <w:r w:rsidRPr="00BA0ECA">
        <w:rPr>
          <w:bCs/>
        </w:rPr>
        <w:t xml:space="preserve"> are closer structural analogues to Dechlorane Plus. However, they have </w:t>
      </w:r>
      <w:r w:rsidR="00AF5464">
        <w:rPr>
          <w:bCs/>
        </w:rPr>
        <w:t xml:space="preserve">much </w:t>
      </w:r>
      <w:r w:rsidRPr="00BA0ECA">
        <w:rPr>
          <w:bCs/>
        </w:rPr>
        <w:t>lower molecular weight</w:t>
      </w:r>
      <w:r>
        <w:rPr>
          <w:bCs/>
        </w:rPr>
        <w:t>s</w:t>
      </w:r>
      <w:r w:rsidRPr="00BA0ECA">
        <w:rPr>
          <w:bCs/>
        </w:rPr>
        <w:t xml:space="preserve"> (410 and 370</w:t>
      </w:r>
      <w:r w:rsidRPr="00CD46CA">
        <w:rPr>
          <w:bCs/>
        </w:rPr>
        <w:t xml:space="preserve"> </w:t>
      </w:r>
      <w:r>
        <w:rPr>
          <w:bCs/>
        </w:rPr>
        <w:t>g/mole, respectively,</w:t>
      </w:r>
      <w:r w:rsidRPr="00BA0ECA">
        <w:rPr>
          <w:bCs/>
        </w:rPr>
        <w:t xml:space="preserve"> </w:t>
      </w:r>
      <w:r>
        <w:rPr>
          <w:bCs/>
        </w:rPr>
        <w:t>compared to</w:t>
      </w:r>
      <w:r w:rsidRPr="00BA0ECA">
        <w:rPr>
          <w:bCs/>
        </w:rPr>
        <w:t xml:space="preserve"> 650</w:t>
      </w:r>
      <w:r>
        <w:rPr>
          <w:bCs/>
        </w:rPr>
        <w:t> g/mole for Dechlorane Plus</w:t>
      </w:r>
      <w:r w:rsidRPr="00BA0ECA">
        <w:rPr>
          <w:bCs/>
        </w:rPr>
        <w:t xml:space="preserve">), </w:t>
      </w:r>
      <w:r>
        <w:rPr>
          <w:bCs/>
        </w:rPr>
        <w:t xml:space="preserve">significantly </w:t>
      </w:r>
      <w:r w:rsidRPr="00BA0ECA">
        <w:rPr>
          <w:bCs/>
        </w:rPr>
        <w:t xml:space="preserve">higher water solubility (0.06 and 0.2 </w:t>
      </w:r>
      <w:r>
        <w:rPr>
          <w:bCs/>
        </w:rPr>
        <w:t>mg/L, respectively,</w:t>
      </w:r>
      <w:r w:rsidRPr="00BA0ECA">
        <w:rPr>
          <w:bCs/>
        </w:rPr>
        <w:t xml:space="preserve"> </w:t>
      </w:r>
      <w:r>
        <w:rPr>
          <w:bCs/>
        </w:rPr>
        <w:t>compared to</w:t>
      </w:r>
      <w:r w:rsidRPr="00BA0ECA">
        <w:rPr>
          <w:bCs/>
        </w:rPr>
        <w:t xml:space="preserve"> </w:t>
      </w:r>
      <w:r>
        <w:rPr>
          <w:bCs/>
        </w:rPr>
        <w:t>&lt;0.00000167</w:t>
      </w:r>
      <w:r w:rsidRPr="00BA0ECA">
        <w:rPr>
          <w:bCs/>
        </w:rPr>
        <w:t xml:space="preserve"> </w:t>
      </w:r>
      <w:r>
        <w:rPr>
          <w:bCs/>
        </w:rPr>
        <w:t>mg/L for Dechlorane Plus</w:t>
      </w:r>
      <w:r w:rsidRPr="00BA0ECA">
        <w:rPr>
          <w:bCs/>
        </w:rPr>
        <w:t>), and lower log K</w:t>
      </w:r>
      <w:r>
        <w:rPr>
          <w:bCs/>
          <w:vertAlign w:val="subscript"/>
        </w:rPr>
        <w:t>OW</w:t>
      </w:r>
      <w:r w:rsidRPr="00BA0ECA">
        <w:rPr>
          <w:bCs/>
        </w:rPr>
        <w:t xml:space="preserve"> </w:t>
      </w:r>
      <w:r>
        <w:rPr>
          <w:bCs/>
        </w:rPr>
        <w:t xml:space="preserve">values </w:t>
      </w:r>
      <w:r w:rsidRPr="00BA0ECA">
        <w:rPr>
          <w:bCs/>
        </w:rPr>
        <w:t>(6.3 and 5.9</w:t>
      </w:r>
      <w:r>
        <w:rPr>
          <w:bCs/>
        </w:rPr>
        <w:t>,</w:t>
      </w:r>
      <w:r w:rsidRPr="00BA0ECA">
        <w:rPr>
          <w:bCs/>
        </w:rPr>
        <w:t xml:space="preserve"> </w:t>
      </w:r>
      <w:r>
        <w:rPr>
          <w:bCs/>
        </w:rPr>
        <w:t>respectively,</w:t>
      </w:r>
      <w:r w:rsidRPr="00BA0ECA">
        <w:rPr>
          <w:bCs/>
        </w:rPr>
        <w:t xml:space="preserve"> </w:t>
      </w:r>
      <w:r>
        <w:rPr>
          <w:bCs/>
        </w:rPr>
        <w:t>compared to</w:t>
      </w:r>
      <w:r w:rsidRPr="00BA0ECA">
        <w:rPr>
          <w:bCs/>
        </w:rPr>
        <w:t xml:space="preserve"> </w:t>
      </w:r>
      <w:r w:rsidR="009A1D09">
        <w:rPr>
          <w:bCs/>
        </w:rPr>
        <w:t>≥</w:t>
      </w:r>
      <w:r w:rsidRPr="00BA0ECA">
        <w:rPr>
          <w:bCs/>
        </w:rPr>
        <w:t>9</w:t>
      </w:r>
      <w:r>
        <w:rPr>
          <w:bCs/>
        </w:rPr>
        <w:t xml:space="preserve"> for Dechlorane Plus</w:t>
      </w:r>
      <w:r w:rsidRPr="00BA0ECA">
        <w:rPr>
          <w:bCs/>
        </w:rPr>
        <w:t>). Th</w:t>
      </w:r>
      <w:r>
        <w:rPr>
          <w:bCs/>
        </w:rPr>
        <w:t xml:space="preserve">eir bioavailability and toxicokinetic profile </w:t>
      </w:r>
      <w:r w:rsidR="00AF5464">
        <w:rPr>
          <w:bCs/>
        </w:rPr>
        <w:t>are</w:t>
      </w:r>
      <w:r>
        <w:rPr>
          <w:bCs/>
        </w:rPr>
        <w:t xml:space="preserve"> likely to be quite different to </w:t>
      </w:r>
      <w:r w:rsidRPr="00BA0ECA">
        <w:t xml:space="preserve">Dechlorane Plus </w:t>
      </w:r>
      <w:r>
        <w:rPr>
          <w:bCs/>
        </w:rPr>
        <w:t>and so</w:t>
      </w:r>
      <w:r w:rsidRPr="00BA0ECA">
        <w:t xml:space="preserve"> </w:t>
      </w:r>
      <w:r>
        <w:t>direct read-</w:t>
      </w:r>
      <w:r w:rsidRPr="00BA0ECA">
        <w:t xml:space="preserve">across </w:t>
      </w:r>
      <w:r>
        <w:t>of</w:t>
      </w:r>
      <w:r w:rsidRPr="00BA0ECA">
        <w:t xml:space="preserve"> </w:t>
      </w:r>
      <w:r>
        <w:t>bioaccumulation and (eco)toxicity end points</w:t>
      </w:r>
      <w:r w:rsidRPr="00BA0ECA">
        <w:t xml:space="preserve"> </w:t>
      </w:r>
      <w:r>
        <w:t>is not appropriate.</w:t>
      </w:r>
      <w:r w:rsidR="004F19C3">
        <w:t xml:space="preserve"> Read-across for persistence is likely to be more reliable than for the previous six substances.</w:t>
      </w:r>
    </w:p>
    <w:p w14:paraId="3F7279B3" w14:textId="77777777" w:rsidR="004F19C3" w:rsidRPr="004F19C3" w:rsidRDefault="008E617A" w:rsidP="00686834">
      <w:pPr>
        <w:pStyle w:val="BodyText"/>
        <w:numPr>
          <w:ilvl w:val="0"/>
          <w:numId w:val="18"/>
        </w:numPr>
        <w:ind w:left="426" w:right="374"/>
        <w:jc w:val="both"/>
        <w:rPr>
          <w:bCs/>
        </w:rPr>
      </w:pPr>
      <w:r>
        <w:t>Dechlorane</w:t>
      </w:r>
      <w:r w:rsidR="00B07E39">
        <w:t xml:space="preserve"> 603 </w:t>
      </w:r>
      <w:r w:rsidR="004F19C3">
        <w:t xml:space="preserve">and Chlordene Plus </w:t>
      </w:r>
      <w:r w:rsidR="00AF5464" w:rsidRPr="004F19C3">
        <w:rPr>
          <w:bCs/>
        </w:rPr>
        <w:t xml:space="preserve">have two </w:t>
      </w:r>
      <w:r w:rsidR="00AF5464">
        <w:t xml:space="preserve">chlorinated norbornene </w:t>
      </w:r>
      <w:r w:rsidR="00AF5464" w:rsidRPr="004F19C3">
        <w:rPr>
          <w:bCs/>
        </w:rPr>
        <w:t>groups</w:t>
      </w:r>
      <w:r w:rsidR="00AF5464">
        <w:rPr>
          <w:bCs/>
        </w:rPr>
        <w:t xml:space="preserve"> like Dechlorane Plus</w:t>
      </w:r>
      <w:r w:rsidR="00AF5464">
        <w:t xml:space="preserve"> </w:t>
      </w:r>
      <w:r w:rsidR="00AF5464" w:rsidRPr="004F19C3">
        <w:rPr>
          <w:bCs/>
        </w:rPr>
        <w:t>and</w:t>
      </w:r>
      <w:r w:rsidR="00AF5464">
        <w:t xml:space="preserve"> </w:t>
      </w:r>
      <w:r w:rsidR="00B07E39">
        <w:t>no</w:t>
      </w:r>
      <w:r w:rsidR="00B07E39" w:rsidRPr="004F19C3">
        <w:rPr>
          <w:bCs/>
        </w:rPr>
        <w:t xml:space="preserve"> </w:t>
      </w:r>
      <w:r w:rsidR="00AF5464">
        <w:rPr>
          <w:bCs/>
        </w:rPr>
        <w:t xml:space="preserve">additional </w:t>
      </w:r>
      <w:r w:rsidR="00B07E39" w:rsidRPr="004F19C3">
        <w:rPr>
          <w:bCs/>
        </w:rPr>
        <w:t>reactive functional groups</w:t>
      </w:r>
      <w:r w:rsidR="004F19C3" w:rsidRPr="004F19C3">
        <w:rPr>
          <w:bCs/>
        </w:rPr>
        <w:t>. They have lower conformational flexibility</w:t>
      </w:r>
      <w:r w:rsidR="00B07E39" w:rsidRPr="004F19C3">
        <w:rPr>
          <w:bCs/>
        </w:rPr>
        <w:t>, which could affect reactivity.</w:t>
      </w:r>
      <w:r w:rsidR="00B07E39">
        <w:t xml:space="preserve"> </w:t>
      </w:r>
      <w:r w:rsidR="004F19C3">
        <w:t>They have similar molecular weight</w:t>
      </w:r>
      <w:r w:rsidR="00AF5464">
        <w:t>s to Dechlorane Plus (611 – 638 </w:t>
      </w:r>
      <w:r w:rsidR="004F19C3">
        <w:t xml:space="preserve">g/mole), and </w:t>
      </w:r>
      <w:r w:rsidR="00AF5464">
        <w:t xml:space="preserve">very similar predicted </w:t>
      </w:r>
      <w:r w:rsidR="004F19C3">
        <w:t>w</w:t>
      </w:r>
      <w:r w:rsidR="004F19C3" w:rsidRPr="004F19C3">
        <w:rPr>
          <w:bCs/>
        </w:rPr>
        <w:t>ater solubilit</w:t>
      </w:r>
      <w:r w:rsidR="00AF5464">
        <w:rPr>
          <w:bCs/>
        </w:rPr>
        <w:t xml:space="preserve">y and </w:t>
      </w:r>
      <w:r w:rsidR="004F19C3" w:rsidRPr="004F19C3">
        <w:rPr>
          <w:bCs/>
        </w:rPr>
        <w:t>log K</w:t>
      </w:r>
      <w:r w:rsidR="004F19C3" w:rsidRPr="004F19C3">
        <w:rPr>
          <w:bCs/>
          <w:vertAlign w:val="subscript"/>
        </w:rPr>
        <w:t>OW</w:t>
      </w:r>
      <w:r w:rsidR="004F19C3" w:rsidRPr="004F19C3">
        <w:rPr>
          <w:bCs/>
        </w:rPr>
        <w:t xml:space="preserve"> values. </w:t>
      </w:r>
      <w:r w:rsidR="00AF5464" w:rsidRPr="004F19C3">
        <w:rPr>
          <w:bCs/>
        </w:rPr>
        <w:t>They are therefore</w:t>
      </w:r>
      <w:r w:rsidR="00AF5464">
        <w:rPr>
          <w:bCs/>
        </w:rPr>
        <w:t xml:space="preserve"> its</w:t>
      </w:r>
      <w:r w:rsidR="00AF5464" w:rsidRPr="004F19C3">
        <w:rPr>
          <w:bCs/>
        </w:rPr>
        <w:t xml:space="preserve"> closest structural analogues</w:t>
      </w:r>
      <w:r w:rsidR="004F19C3">
        <w:t>.</w:t>
      </w:r>
      <w:r w:rsidR="003F4DD6">
        <w:t xml:space="preserve"> They appear to have been impurities in some pesticide active substances rather than commercial products as such</w:t>
      </w:r>
      <w:r w:rsidR="0099322E">
        <w:t>, and no experimental data seem to be available</w:t>
      </w:r>
      <w:r w:rsidR="003F4DD6">
        <w:t>.</w:t>
      </w:r>
    </w:p>
    <w:p w14:paraId="25B3A936" w14:textId="77777777" w:rsidR="008E617A" w:rsidRDefault="008E617A" w:rsidP="008E617A">
      <w:pPr>
        <w:pStyle w:val="BodyText"/>
        <w:ind w:right="374"/>
        <w:jc w:val="both"/>
        <w:rPr>
          <w:bCs/>
        </w:rPr>
        <w:sectPr w:rsidR="008E617A" w:rsidSect="001C6662">
          <w:type w:val="continuous"/>
          <w:pgSz w:w="11906" w:h="16838" w:code="9"/>
          <w:pgMar w:top="1440" w:right="1797" w:bottom="1440" w:left="1797" w:header="709" w:footer="709" w:gutter="0"/>
          <w:pgNumType w:start="1"/>
          <w:cols w:space="708"/>
          <w:docGrid w:linePitch="360"/>
        </w:sectPr>
      </w:pPr>
    </w:p>
    <w:p w14:paraId="786F46A5" w14:textId="77777777" w:rsidR="001F5783" w:rsidRPr="00F558AF" w:rsidRDefault="00FC5D4E" w:rsidP="00750CD9">
      <w:pPr>
        <w:pStyle w:val="Caption"/>
      </w:pPr>
      <w:bookmarkStart w:id="210" w:name="_Toc491778955"/>
      <w:r w:rsidRPr="00F558AF">
        <w:lastRenderedPageBreak/>
        <w:t xml:space="preserve">Table </w:t>
      </w:r>
      <w:r w:rsidR="000721AD" w:rsidRPr="00F558AF">
        <w:fldChar w:fldCharType="begin"/>
      </w:r>
      <w:r w:rsidRPr="00F558AF">
        <w:instrText xml:space="preserve"> SEQ Table \* ARABIC </w:instrText>
      </w:r>
      <w:r w:rsidR="000721AD" w:rsidRPr="00F558AF">
        <w:fldChar w:fldCharType="separate"/>
      </w:r>
      <w:r w:rsidR="00F0628F">
        <w:rPr>
          <w:noProof/>
        </w:rPr>
        <w:t>5</w:t>
      </w:r>
      <w:r w:rsidR="000721AD" w:rsidRPr="00F558AF">
        <w:fldChar w:fldCharType="end"/>
      </w:r>
      <w:r w:rsidR="001F5783" w:rsidRPr="00F558AF">
        <w:t xml:space="preserve">: </w:t>
      </w:r>
      <w:r w:rsidR="00644376" w:rsidRPr="00750CD9">
        <w:t>Identity</w:t>
      </w:r>
      <w:r w:rsidR="00644376" w:rsidRPr="00F558AF">
        <w:t xml:space="preserve"> of selected analogues</w:t>
      </w:r>
      <w:bookmarkEnd w:id="210"/>
      <w:r w:rsidR="001F5783" w:rsidRPr="00F558AF">
        <w:t xml:space="preserve"> </w:t>
      </w:r>
    </w:p>
    <w:tbl>
      <w:tblPr>
        <w:tblStyle w:val="TableGrid"/>
        <w:tblW w:w="14596" w:type="dxa"/>
        <w:tblLayout w:type="fixed"/>
        <w:tblLook w:val="04A0" w:firstRow="1" w:lastRow="0" w:firstColumn="1" w:lastColumn="0" w:noHBand="0" w:noVBand="1"/>
      </w:tblPr>
      <w:tblGrid>
        <w:gridCol w:w="1680"/>
        <w:gridCol w:w="2151"/>
        <w:gridCol w:w="2153"/>
        <w:gridCol w:w="2153"/>
        <w:gridCol w:w="2153"/>
        <w:gridCol w:w="2153"/>
        <w:gridCol w:w="2153"/>
      </w:tblGrid>
      <w:tr w:rsidR="008E617A" w:rsidRPr="009973DE" w14:paraId="4A77C381" w14:textId="77777777" w:rsidTr="006F2F0E">
        <w:tc>
          <w:tcPr>
            <w:tcW w:w="1680" w:type="dxa"/>
          </w:tcPr>
          <w:p w14:paraId="5FF61376" w14:textId="77777777" w:rsidR="008E617A" w:rsidRPr="00E67A3F" w:rsidRDefault="008E617A" w:rsidP="008E617A">
            <w:pPr>
              <w:pStyle w:val="BodyText"/>
              <w:spacing w:after="0"/>
              <w:rPr>
                <w:b/>
                <w:bCs/>
                <w:sz w:val="16"/>
                <w:szCs w:val="16"/>
              </w:rPr>
            </w:pPr>
            <w:r w:rsidRPr="00E67A3F">
              <w:rPr>
                <w:b/>
                <w:bCs/>
                <w:sz w:val="16"/>
                <w:szCs w:val="16"/>
              </w:rPr>
              <w:t>Substance name</w:t>
            </w:r>
          </w:p>
        </w:tc>
        <w:tc>
          <w:tcPr>
            <w:tcW w:w="2151" w:type="dxa"/>
          </w:tcPr>
          <w:p w14:paraId="7E5588E1" w14:textId="77777777" w:rsidR="008E617A" w:rsidRPr="00E67A3F" w:rsidRDefault="008E617A" w:rsidP="008E617A">
            <w:pPr>
              <w:rPr>
                <w:sz w:val="16"/>
                <w:szCs w:val="16"/>
              </w:rPr>
            </w:pPr>
            <w:r w:rsidRPr="00E67A3F">
              <w:rPr>
                <w:sz w:val="16"/>
                <w:szCs w:val="16"/>
              </w:rPr>
              <w:t>Chlordane</w:t>
            </w:r>
            <w:r w:rsidR="00D23EDA" w:rsidRPr="00E67A3F">
              <w:rPr>
                <w:sz w:val="16"/>
                <w:szCs w:val="16"/>
                <w:vertAlign w:val="superscript"/>
              </w:rPr>
              <w:t>a</w:t>
            </w:r>
          </w:p>
        </w:tc>
        <w:tc>
          <w:tcPr>
            <w:tcW w:w="2153" w:type="dxa"/>
          </w:tcPr>
          <w:p w14:paraId="327118F9" w14:textId="77777777" w:rsidR="008E617A" w:rsidRPr="00E67A3F" w:rsidRDefault="008E617A" w:rsidP="008E617A">
            <w:pPr>
              <w:rPr>
                <w:sz w:val="16"/>
                <w:szCs w:val="16"/>
              </w:rPr>
            </w:pPr>
            <w:r w:rsidRPr="00E67A3F">
              <w:rPr>
                <w:sz w:val="16"/>
                <w:szCs w:val="16"/>
              </w:rPr>
              <w:t>Heptachlor</w:t>
            </w:r>
            <w:r w:rsidR="00D23EDA" w:rsidRPr="00E67A3F">
              <w:rPr>
                <w:sz w:val="16"/>
                <w:szCs w:val="16"/>
                <w:vertAlign w:val="superscript"/>
              </w:rPr>
              <w:t>b</w:t>
            </w:r>
          </w:p>
        </w:tc>
        <w:tc>
          <w:tcPr>
            <w:tcW w:w="2153" w:type="dxa"/>
          </w:tcPr>
          <w:p w14:paraId="37D7DE67" w14:textId="77777777" w:rsidR="008E617A" w:rsidRPr="00E67A3F" w:rsidRDefault="008E617A" w:rsidP="00D23EDA">
            <w:pPr>
              <w:rPr>
                <w:b/>
                <w:sz w:val="16"/>
                <w:szCs w:val="16"/>
              </w:rPr>
            </w:pPr>
            <w:r w:rsidRPr="00E67A3F">
              <w:rPr>
                <w:sz w:val="16"/>
                <w:szCs w:val="16"/>
              </w:rPr>
              <w:t>Dieldrin</w:t>
            </w:r>
            <w:r w:rsidR="00D23EDA" w:rsidRPr="00E67A3F">
              <w:rPr>
                <w:sz w:val="16"/>
                <w:szCs w:val="16"/>
                <w:vertAlign w:val="superscript"/>
              </w:rPr>
              <w:t>c</w:t>
            </w:r>
            <w:r w:rsidRPr="00E67A3F">
              <w:rPr>
                <w:sz w:val="16"/>
                <w:szCs w:val="16"/>
              </w:rPr>
              <w:t xml:space="preserve"> </w:t>
            </w:r>
          </w:p>
        </w:tc>
        <w:tc>
          <w:tcPr>
            <w:tcW w:w="2153" w:type="dxa"/>
          </w:tcPr>
          <w:p w14:paraId="6F7BD601" w14:textId="77777777" w:rsidR="008E617A" w:rsidRPr="00E67A3F" w:rsidRDefault="008E617A" w:rsidP="008E617A">
            <w:pPr>
              <w:rPr>
                <w:sz w:val="16"/>
                <w:szCs w:val="16"/>
              </w:rPr>
            </w:pPr>
            <w:r w:rsidRPr="00E67A3F">
              <w:rPr>
                <w:bCs/>
                <w:sz w:val="16"/>
                <w:szCs w:val="16"/>
              </w:rPr>
              <w:t>Aldrin</w:t>
            </w:r>
            <w:r w:rsidR="00D23EDA" w:rsidRPr="00E67A3F">
              <w:rPr>
                <w:bCs/>
                <w:sz w:val="16"/>
                <w:szCs w:val="16"/>
                <w:vertAlign w:val="superscript"/>
              </w:rPr>
              <w:t>d</w:t>
            </w:r>
            <w:r w:rsidRPr="00E67A3F">
              <w:rPr>
                <w:bCs/>
                <w:sz w:val="16"/>
                <w:szCs w:val="16"/>
              </w:rPr>
              <w:t xml:space="preserve"> </w:t>
            </w:r>
          </w:p>
        </w:tc>
        <w:tc>
          <w:tcPr>
            <w:tcW w:w="2153" w:type="dxa"/>
          </w:tcPr>
          <w:p w14:paraId="7CCDD43A" w14:textId="77777777" w:rsidR="008E617A" w:rsidRPr="00E67A3F" w:rsidRDefault="008E617A" w:rsidP="008E617A">
            <w:pPr>
              <w:rPr>
                <w:sz w:val="16"/>
                <w:szCs w:val="16"/>
              </w:rPr>
            </w:pPr>
            <w:r w:rsidRPr="00E67A3F">
              <w:rPr>
                <w:sz w:val="16"/>
                <w:szCs w:val="16"/>
              </w:rPr>
              <w:t>Endosulfan</w:t>
            </w:r>
          </w:p>
        </w:tc>
        <w:tc>
          <w:tcPr>
            <w:tcW w:w="2153" w:type="dxa"/>
          </w:tcPr>
          <w:p w14:paraId="7F53BC9D" w14:textId="77777777" w:rsidR="008E617A" w:rsidRPr="00E67A3F" w:rsidRDefault="008E617A" w:rsidP="008E617A">
            <w:pPr>
              <w:rPr>
                <w:sz w:val="16"/>
                <w:szCs w:val="16"/>
              </w:rPr>
            </w:pPr>
            <w:r w:rsidRPr="00E67A3F">
              <w:rPr>
                <w:bCs/>
                <w:sz w:val="16"/>
                <w:szCs w:val="16"/>
              </w:rPr>
              <w:t xml:space="preserve">Chlorendic acid </w:t>
            </w:r>
          </w:p>
        </w:tc>
      </w:tr>
      <w:tr w:rsidR="008E617A" w:rsidRPr="009973DE" w14:paraId="6DF8B698" w14:textId="77777777" w:rsidTr="006F2F0E">
        <w:tc>
          <w:tcPr>
            <w:tcW w:w="1680" w:type="dxa"/>
          </w:tcPr>
          <w:p w14:paraId="6F93F810" w14:textId="77777777" w:rsidR="008E617A" w:rsidRPr="00E67A3F" w:rsidRDefault="008E617A" w:rsidP="008E617A">
            <w:pPr>
              <w:pStyle w:val="BodyText"/>
              <w:spacing w:after="0"/>
              <w:rPr>
                <w:b/>
                <w:bCs/>
                <w:sz w:val="16"/>
                <w:szCs w:val="16"/>
              </w:rPr>
            </w:pPr>
            <w:r w:rsidRPr="00E67A3F">
              <w:rPr>
                <w:b/>
                <w:bCs/>
                <w:sz w:val="16"/>
                <w:szCs w:val="16"/>
              </w:rPr>
              <w:t>EC number:</w:t>
            </w:r>
          </w:p>
        </w:tc>
        <w:tc>
          <w:tcPr>
            <w:tcW w:w="2151" w:type="dxa"/>
          </w:tcPr>
          <w:p w14:paraId="1AA0739A" w14:textId="77777777" w:rsidR="008E617A" w:rsidRPr="00E67A3F" w:rsidRDefault="008E617A" w:rsidP="008E617A">
            <w:pPr>
              <w:rPr>
                <w:noProof/>
                <w:sz w:val="16"/>
                <w:szCs w:val="16"/>
                <w:lang w:eastAsia="en-GB"/>
              </w:rPr>
            </w:pPr>
            <w:r w:rsidRPr="00E67A3F">
              <w:rPr>
                <w:noProof/>
                <w:sz w:val="16"/>
                <w:szCs w:val="16"/>
                <w:lang w:eastAsia="en-GB"/>
              </w:rPr>
              <w:t>200-349-0</w:t>
            </w:r>
          </w:p>
        </w:tc>
        <w:tc>
          <w:tcPr>
            <w:tcW w:w="2153" w:type="dxa"/>
          </w:tcPr>
          <w:p w14:paraId="187FA31B" w14:textId="77777777" w:rsidR="008E617A" w:rsidRPr="00E67A3F" w:rsidRDefault="008E617A" w:rsidP="008E617A">
            <w:pPr>
              <w:rPr>
                <w:noProof/>
                <w:sz w:val="16"/>
                <w:szCs w:val="16"/>
                <w:lang w:eastAsia="en-GB"/>
              </w:rPr>
            </w:pPr>
            <w:r w:rsidRPr="00E67A3F">
              <w:rPr>
                <w:noProof/>
                <w:sz w:val="16"/>
                <w:szCs w:val="16"/>
                <w:lang w:eastAsia="en-GB"/>
              </w:rPr>
              <w:t>200-962-</w:t>
            </w:r>
            <w:r w:rsidR="008833B5">
              <w:rPr>
                <w:noProof/>
                <w:sz w:val="16"/>
                <w:szCs w:val="16"/>
                <w:lang w:eastAsia="en-GB"/>
              </w:rPr>
              <w:t>3</w:t>
            </w:r>
          </w:p>
        </w:tc>
        <w:tc>
          <w:tcPr>
            <w:tcW w:w="2153" w:type="dxa"/>
          </w:tcPr>
          <w:p w14:paraId="73A0F336" w14:textId="77777777" w:rsidR="008E617A" w:rsidRPr="00E67A3F" w:rsidRDefault="008E617A" w:rsidP="008E617A">
            <w:pPr>
              <w:rPr>
                <w:noProof/>
                <w:sz w:val="16"/>
                <w:szCs w:val="16"/>
                <w:lang w:eastAsia="en-GB"/>
              </w:rPr>
            </w:pPr>
            <w:r w:rsidRPr="00E67A3F">
              <w:rPr>
                <w:noProof/>
                <w:sz w:val="16"/>
                <w:szCs w:val="16"/>
                <w:lang w:eastAsia="en-GB"/>
              </w:rPr>
              <w:t>200-484-5</w:t>
            </w:r>
          </w:p>
        </w:tc>
        <w:tc>
          <w:tcPr>
            <w:tcW w:w="2153" w:type="dxa"/>
          </w:tcPr>
          <w:p w14:paraId="009F457F" w14:textId="77777777" w:rsidR="008E617A" w:rsidRPr="00E67A3F" w:rsidRDefault="008E617A" w:rsidP="008E617A">
            <w:pPr>
              <w:rPr>
                <w:noProof/>
                <w:sz w:val="16"/>
                <w:szCs w:val="16"/>
                <w:lang w:eastAsia="en-GB"/>
              </w:rPr>
            </w:pPr>
            <w:r w:rsidRPr="00E67A3F">
              <w:rPr>
                <w:bCs/>
                <w:noProof/>
                <w:sz w:val="16"/>
                <w:szCs w:val="16"/>
                <w:lang w:eastAsia="en-GB"/>
              </w:rPr>
              <w:t>206-215-8</w:t>
            </w:r>
          </w:p>
        </w:tc>
        <w:tc>
          <w:tcPr>
            <w:tcW w:w="2153" w:type="dxa"/>
          </w:tcPr>
          <w:p w14:paraId="7939DBBF" w14:textId="77777777" w:rsidR="008E617A" w:rsidRPr="00E67A3F" w:rsidRDefault="008E617A" w:rsidP="008E617A">
            <w:pPr>
              <w:rPr>
                <w:noProof/>
                <w:sz w:val="16"/>
                <w:szCs w:val="16"/>
                <w:lang w:eastAsia="en-GB"/>
              </w:rPr>
            </w:pPr>
            <w:r w:rsidRPr="00E67A3F">
              <w:rPr>
                <w:bCs/>
                <w:noProof/>
                <w:sz w:val="16"/>
                <w:szCs w:val="16"/>
                <w:lang w:eastAsia="en-GB"/>
              </w:rPr>
              <w:t>204-079-4</w:t>
            </w:r>
          </w:p>
        </w:tc>
        <w:tc>
          <w:tcPr>
            <w:tcW w:w="2153" w:type="dxa"/>
          </w:tcPr>
          <w:p w14:paraId="3BB01A96" w14:textId="77777777" w:rsidR="008E617A" w:rsidRPr="00E67A3F" w:rsidRDefault="008E617A" w:rsidP="008E617A">
            <w:pPr>
              <w:rPr>
                <w:noProof/>
                <w:sz w:val="16"/>
                <w:szCs w:val="16"/>
                <w:lang w:eastAsia="en-GB"/>
              </w:rPr>
            </w:pPr>
          </w:p>
        </w:tc>
      </w:tr>
      <w:tr w:rsidR="00E67A3F" w:rsidRPr="009973DE" w14:paraId="77DC6322" w14:textId="77777777" w:rsidTr="006F2F0E">
        <w:tc>
          <w:tcPr>
            <w:tcW w:w="1680" w:type="dxa"/>
          </w:tcPr>
          <w:p w14:paraId="7981D7B5" w14:textId="77777777" w:rsidR="00E67A3F" w:rsidRPr="00E67A3F" w:rsidRDefault="00E67A3F" w:rsidP="00E67A3F">
            <w:pPr>
              <w:pStyle w:val="BodyText"/>
              <w:spacing w:after="0"/>
              <w:rPr>
                <w:b/>
                <w:bCs/>
                <w:sz w:val="16"/>
                <w:szCs w:val="16"/>
              </w:rPr>
            </w:pPr>
            <w:r w:rsidRPr="00E67A3F">
              <w:rPr>
                <w:b/>
                <w:bCs/>
                <w:sz w:val="16"/>
                <w:szCs w:val="16"/>
              </w:rPr>
              <w:t>EC name:</w:t>
            </w:r>
          </w:p>
        </w:tc>
        <w:tc>
          <w:tcPr>
            <w:tcW w:w="2151" w:type="dxa"/>
          </w:tcPr>
          <w:p w14:paraId="053D2994" w14:textId="77777777" w:rsidR="00E67A3F" w:rsidRPr="00E67A3F" w:rsidRDefault="00E67A3F" w:rsidP="00E67A3F">
            <w:pPr>
              <w:rPr>
                <w:sz w:val="16"/>
                <w:szCs w:val="16"/>
                <w:lang w:eastAsia="en-GB"/>
              </w:rPr>
            </w:pPr>
            <w:r w:rsidRPr="00E67A3F">
              <w:rPr>
                <w:rFonts w:cs="Arial"/>
                <w:sz w:val="16"/>
                <w:szCs w:val="16"/>
                <w:shd w:val="clear" w:color="auto" w:fill="F8F9FA"/>
              </w:rPr>
              <w:t>Chlordane , pur</w:t>
            </w:r>
          </w:p>
        </w:tc>
        <w:tc>
          <w:tcPr>
            <w:tcW w:w="2153" w:type="dxa"/>
            <w:shd w:val="clear" w:color="auto" w:fill="auto"/>
          </w:tcPr>
          <w:p w14:paraId="1670B8C2" w14:textId="77777777" w:rsidR="00E67A3F" w:rsidRPr="00E67A3F" w:rsidRDefault="00E67A3F" w:rsidP="00E67A3F">
            <w:pPr>
              <w:rPr>
                <w:sz w:val="16"/>
                <w:szCs w:val="16"/>
                <w:lang w:eastAsia="en-GB"/>
              </w:rPr>
            </w:pPr>
            <w:r w:rsidRPr="00E67A3F">
              <w:rPr>
                <w:sz w:val="16"/>
                <w:szCs w:val="16"/>
              </w:rPr>
              <w:t>Heptachlor</w:t>
            </w:r>
          </w:p>
        </w:tc>
        <w:tc>
          <w:tcPr>
            <w:tcW w:w="2153" w:type="dxa"/>
          </w:tcPr>
          <w:p w14:paraId="7D6CA178" w14:textId="77777777" w:rsidR="00E67A3F" w:rsidRPr="00E67A3F" w:rsidRDefault="00E67A3F" w:rsidP="00E67A3F">
            <w:pPr>
              <w:rPr>
                <w:noProof/>
                <w:sz w:val="16"/>
                <w:szCs w:val="16"/>
                <w:lang w:eastAsia="en-GB"/>
              </w:rPr>
            </w:pPr>
            <w:r w:rsidRPr="00E67A3F">
              <w:rPr>
                <w:sz w:val="16"/>
                <w:szCs w:val="16"/>
                <w:lang w:eastAsia="en-GB"/>
              </w:rPr>
              <w:t>Dieldrin</w:t>
            </w:r>
          </w:p>
        </w:tc>
        <w:tc>
          <w:tcPr>
            <w:tcW w:w="2153" w:type="dxa"/>
          </w:tcPr>
          <w:p w14:paraId="4B7B853C" w14:textId="77777777" w:rsidR="00E67A3F" w:rsidRPr="00E67A3F" w:rsidRDefault="00E67A3F" w:rsidP="00E67A3F">
            <w:pPr>
              <w:rPr>
                <w:sz w:val="16"/>
                <w:szCs w:val="16"/>
                <w:lang w:eastAsia="en-GB"/>
              </w:rPr>
            </w:pPr>
            <w:r w:rsidRPr="00E67A3F">
              <w:rPr>
                <w:bCs/>
                <w:sz w:val="16"/>
                <w:szCs w:val="16"/>
              </w:rPr>
              <w:t xml:space="preserve">Aldrin </w:t>
            </w:r>
          </w:p>
        </w:tc>
        <w:tc>
          <w:tcPr>
            <w:tcW w:w="2153" w:type="dxa"/>
          </w:tcPr>
          <w:p w14:paraId="5CB32663" w14:textId="77777777" w:rsidR="00E67A3F" w:rsidRPr="00E67A3F" w:rsidRDefault="00E67A3F" w:rsidP="00E67A3F">
            <w:pPr>
              <w:rPr>
                <w:sz w:val="16"/>
                <w:szCs w:val="16"/>
                <w:lang w:eastAsia="en-GB"/>
              </w:rPr>
            </w:pPr>
            <w:r w:rsidRPr="00E67A3F">
              <w:rPr>
                <w:bCs/>
                <w:noProof/>
                <w:sz w:val="16"/>
                <w:szCs w:val="16"/>
                <w:lang w:eastAsia="en-GB"/>
              </w:rPr>
              <w:t>Endosulfan</w:t>
            </w:r>
          </w:p>
        </w:tc>
        <w:tc>
          <w:tcPr>
            <w:tcW w:w="2153" w:type="dxa"/>
          </w:tcPr>
          <w:p w14:paraId="5FD48AC4" w14:textId="77777777" w:rsidR="00E67A3F" w:rsidRPr="00E67A3F" w:rsidRDefault="00E67A3F" w:rsidP="00E67A3F">
            <w:pPr>
              <w:rPr>
                <w:sz w:val="16"/>
                <w:szCs w:val="16"/>
                <w:lang w:eastAsia="en-GB"/>
              </w:rPr>
            </w:pPr>
            <w:r w:rsidRPr="00E67A3F">
              <w:rPr>
                <w:color w:val="474340"/>
                <w:sz w:val="16"/>
                <w:szCs w:val="16"/>
              </w:rPr>
              <w:t>1,4,5,6,7,7-hexachloro-8,9,10-trinorborn-5-ene-2,3-dicarboxylic acid</w:t>
            </w:r>
            <w:r w:rsidRPr="00E67A3F">
              <w:rPr>
                <w:bCs/>
                <w:noProof/>
                <w:sz w:val="16"/>
                <w:szCs w:val="16"/>
                <w:lang w:eastAsia="en-GB"/>
              </w:rPr>
              <w:t xml:space="preserve"> </w:t>
            </w:r>
          </w:p>
        </w:tc>
      </w:tr>
      <w:tr w:rsidR="00E67A3F" w:rsidRPr="009973DE" w14:paraId="759EC0F7" w14:textId="77777777" w:rsidTr="00E67A3F">
        <w:tc>
          <w:tcPr>
            <w:tcW w:w="1680" w:type="dxa"/>
          </w:tcPr>
          <w:p w14:paraId="5CD3F8B3" w14:textId="77777777" w:rsidR="00E67A3F" w:rsidRPr="00E67A3F" w:rsidRDefault="00E67A3F" w:rsidP="00E67A3F">
            <w:pPr>
              <w:pStyle w:val="BodyText"/>
              <w:spacing w:after="0"/>
              <w:rPr>
                <w:b/>
                <w:bCs/>
                <w:sz w:val="16"/>
                <w:szCs w:val="16"/>
              </w:rPr>
            </w:pPr>
            <w:r w:rsidRPr="00E67A3F">
              <w:rPr>
                <w:b/>
                <w:sz w:val="16"/>
                <w:szCs w:val="16"/>
              </w:rPr>
              <w:t>Canonical SMILES</w:t>
            </w:r>
            <w:r w:rsidRPr="00E67A3F">
              <w:rPr>
                <w:b/>
                <w:sz w:val="16"/>
                <w:szCs w:val="16"/>
              </w:rPr>
              <w:tab/>
            </w:r>
          </w:p>
        </w:tc>
        <w:tc>
          <w:tcPr>
            <w:tcW w:w="2151" w:type="dxa"/>
          </w:tcPr>
          <w:p w14:paraId="4AF8D3DA" w14:textId="77777777" w:rsidR="00E67A3F" w:rsidRPr="00E67A3F" w:rsidRDefault="00E67A3F" w:rsidP="00E67A3F">
            <w:pPr>
              <w:rPr>
                <w:sz w:val="16"/>
                <w:szCs w:val="16"/>
              </w:rPr>
            </w:pPr>
            <w:r w:rsidRPr="00E67A3F">
              <w:rPr>
                <w:sz w:val="16"/>
                <w:szCs w:val="16"/>
              </w:rPr>
              <w:t>ClC1CC2C(C1Cl)C1(C(C2(Cl)C(=C1Cl)Cl)(Cl)Cl)Cl</w:t>
            </w:r>
          </w:p>
        </w:tc>
        <w:tc>
          <w:tcPr>
            <w:tcW w:w="2153" w:type="dxa"/>
          </w:tcPr>
          <w:p w14:paraId="46E43074" w14:textId="77777777" w:rsidR="00E67A3F" w:rsidRPr="00E67A3F" w:rsidRDefault="00E67A3F" w:rsidP="00E67A3F">
            <w:pPr>
              <w:rPr>
                <w:sz w:val="16"/>
                <w:szCs w:val="16"/>
              </w:rPr>
            </w:pPr>
            <w:r w:rsidRPr="00E67A3F">
              <w:rPr>
                <w:sz w:val="16"/>
                <w:szCs w:val="16"/>
              </w:rPr>
              <w:t>ClC1C=CC2C1C1(Cl)C(Cl)=C(Cl)C2(Cl)C1(Cl)Cl</w:t>
            </w:r>
          </w:p>
        </w:tc>
        <w:tc>
          <w:tcPr>
            <w:tcW w:w="2153" w:type="dxa"/>
          </w:tcPr>
          <w:p w14:paraId="3B23BF50" w14:textId="77777777" w:rsidR="00E67A3F" w:rsidRPr="00E67A3F" w:rsidRDefault="00E67A3F" w:rsidP="00E67A3F">
            <w:pPr>
              <w:rPr>
                <w:sz w:val="16"/>
                <w:szCs w:val="16"/>
              </w:rPr>
            </w:pPr>
            <w:r w:rsidRPr="00E67A3F">
              <w:rPr>
                <w:sz w:val="16"/>
                <w:szCs w:val="16"/>
              </w:rPr>
              <w:t>ClC1=C(Cl)[C@]2(Cl)[C@@H]3[C@@H]4C[C@@H]([C@H]5O[C@@H]45)[C@@H]3[C@@]1(Cl)C2(Cl)Cl</w:t>
            </w:r>
          </w:p>
        </w:tc>
        <w:tc>
          <w:tcPr>
            <w:tcW w:w="2153" w:type="dxa"/>
          </w:tcPr>
          <w:p w14:paraId="656F2C7D" w14:textId="77777777" w:rsidR="00E67A3F" w:rsidRPr="00E67A3F" w:rsidRDefault="00E67A3F" w:rsidP="00E67A3F">
            <w:pPr>
              <w:rPr>
                <w:sz w:val="16"/>
                <w:szCs w:val="16"/>
              </w:rPr>
            </w:pPr>
            <w:r w:rsidRPr="00E67A3F">
              <w:rPr>
                <w:bCs/>
                <w:sz w:val="16"/>
                <w:szCs w:val="16"/>
              </w:rPr>
              <w:t>ClC3=C(Cl)C4(Cl)C2C1CC(C=C1)C2C3(Cl)C4(Cl)Cl</w:t>
            </w:r>
          </w:p>
        </w:tc>
        <w:tc>
          <w:tcPr>
            <w:tcW w:w="2153" w:type="dxa"/>
          </w:tcPr>
          <w:p w14:paraId="750A9BBC" w14:textId="77777777" w:rsidR="00E67A3F" w:rsidRPr="00E67A3F" w:rsidRDefault="00E67A3F" w:rsidP="00E67A3F">
            <w:pPr>
              <w:rPr>
                <w:sz w:val="16"/>
                <w:szCs w:val="16"/>
              </w:rPr>
            </w:pPr>
            <w:r w:rsidRPr="00E67A3F">
              <w:rPr>
                <w:bCs/>
                <w:sz w:val="16"/>
                <w:szCs w:val="16"/>
              </w:rPr>
              <w:t>O=S1OCC2C(CO1)C1(C(C2(Cl)C(=C1Cl)Cl)(Cl)Cl)Cl</w:t>
            </w:r>
          </w:p>
        </w:tc>
        <w:tc>
          <w:tcPr>
            <w:tcW w:w="2153" w:type="dxa"/>
          </w:tcPr>
          <w:p w14:paraId="330583D1" w14:textId="77777777" w:rsidR="00E67A3F" w:rsidRPr="00E67A3F" w:rsidRDefault="00E67A3F" w:rsidP="00E67A3F">
            <w:pPr>
              <w:rPr>
                <w:sz w:val="16"/>
                <w:szCs w:val="16"/>
              </w:rPr>
            </w:pPr>
            <w:r w:rsidRPr="00E67A3F">
              <w:rPr>
                <w:bCs/>
                <w:sz w:val="16"/>
                <w:szCs w:val="16"/>
              </w:rPr>
              <w:t>OC(=O)C1C(C(=O)O)C2(C(C1(Cl)C(=C2Cl)Cl)(Cl)Cl)Cl</w:t>
            </w:r>
          </w:p>
        </w:tc>
      </w:tr>
      <w:tr w:rsidR="00E67A3F" w:rsidRPr="009973DE" w14:paraId="7AD096D9" w14:textId="77777777" w:rsidTr="006F2F0E">
        <w:tc>
          <w:tcPr>
            <w:tcW w:w="1680" w:type="dxa"/>
          </w:tcPr>
          <w:p w14:paraId="665DADFA" w14:textId="77777777" w:rsidR="00E67A3F" w:rsidRPr="00E67A3F" w:rsidRDefault="00E67A3F" w:rsidP="00E67A3F">
            <w:pPr>
              <w:pStyle w:val="BodyText"/>
              <w:spacing w:after="0"/>
              <w:rPr>
                <w:b/>
                <w:bCs/>
                <w:sz w:val="16"/>
                <w:szCs w:val="16"/>
              </w:rPr>
            </w:pPr>
            <w:r w:rsidRPr="00E67A3F">
              <w:rPr>
                <w:b/>
                <w:bCs/>
                <w:sz w:val="16"/>
                <w:szCs w:val="16"/>
              </w:rPr>
              <w:t>CAS number (in the EC inventory):</w:t>
            </w:r>
          </w:p>
        </w:tc>
        <w:tc>
          <w:tcPr>
            <w:tcW w:w="2151" w:type="dxa"/>
          </w:tcPr>
          <w:p w14:paraId="32E83F8A" w14:textId="77777777" w:rsidR="00E67A3F" w:rsidRPr="00E67A3F" w:rsidRDefault="00E67A3F" w:rsidP="00E67A3F">
            <w:pPr>
              <w:rPr>
                <w:sz w:val="16"/>
                <w:szCs w:val="16"/>
              </w:rPr>
            </w:pPr>
            <w:r w:rsidRPr="00E67A3F">
              <w:rPr>
                <w:sz w:val="16"/>
                <w:szCs w:val="16"/>
              </w:rPr>
              <w:t>57-74-9</w:t>
            </w:r>
          </w:p>
        </w:tc>
        <w:tc>
          <w:tcPr>
            <w:tcW w:w="2153" w:type="dxa"/>
          </w:tcPr>
          <w:p w14:paraId="12DA644E" w14:textId="77777777" w:rsidR="00E67A3F" w:rsidRPr="00E67A3F" w:rsidRDefault="00E67A3F" w:rsidP="00E67A3F">
            <w:pPr>
              <w:rPr>
                <w:b/>
                <w:sz w:val="16"/>
                <w:szCs w:val="16"/>
              </w:rPr>
            </w:pPr>
            <w:r w:rsidRPr="00E67A3F">
              <w:rPr>
                <w:sz w:val="16"/>
                <w:szCs w:val="16"/>
              </w:rPr>
              <w:t>76-44-8</w:t>
            </w:r>
          </w:p>
        </w:tc>
        <w:tc>
          <w:tcPr>
            <w:tcW w:w="2153" w:type="dxa"/>
          </w:tcPr>
          <w:p w14:paraId="5F46CFA3" w14:textId="77777777" w:rsidR="00E67A3F" w:rsidRPr="00E67A3F" w:rsidRDefault="00E67A3F" w:rsidP="00E67A3F">
            <w:pPr>
              <w:rPr>
                <w:b/>
                <w:sz w:val="16"/>
                <w:szCs w:val="16"/>
              </w:rPr>
            </w:pPr>
            <w:r w:rsidRPr="00E67A3F">
              <w:rPr>
                <w:sz w:val="16"/>
                <w:szCs w:val="16"/>
              </w:rPr>
              <w:t>60-57-1</w:t>
            </w:r>
          </w:p>
        </w:tc>
        <w:tc>
          <w:tcPr>
            <w:tcW w:w="2153" w:type="dxa"/>
          </w:tcPr>
          <w:p w14:paraId="3A988F1C" w14:textId="77777777" w:rsidR="00E67A3F" w:rsidRPr="00E67A3F" w:rsidRDefault="00E67A3F" w:rsidP="00E67A3F">
            <w:pPr>
              <w:rPr>
                <w:sz w:val="16"/>
                <w:szCs w:val="16"/>
              </w:rPr>
            </w:pPr>
            <w:r w:rsidRPr="00E67A3F">
              <w:rPr>
                <w:bCs/>
                <w:sz w:val="16"/>
                <w:szCs w:val="16"/>
              </w:rPr>
              <w:t>309-00-2</w:t>
            </w:r>
          </w:p>
        </w:tc>
        <w:tc>
          <w:tcPr>
            <w:tcW w:w="2153" w:type="dxa"/>
          </w:tcPr>
          <w:p w14:paraId="09B6F86C" w14:textId="77777777" w:rsidR="00E67A3F" w:rsidRPr="00E67A3F" w:rsidRDefault="00E67A3F" w:rsidP="00E67A3F">
            <w:pPr>
              <w:rPr>
                <w:sz w:val="16"/>
                <w:szCs w:val="16"/>
              </w:rPr>
            </w:pPr>
            <w:r w:rsidRPr="00E67A3F">
              <w:rPr>
                <w:sz w:val="16"/>
                <w:szCs w:val="16"/>
              </w:rPr>
              <w:t>115-29-7</w:t>
            </w:r>
          </w:p>
        </w:tc>
        <w:tc>
          <w:tcPr>
            <w:tcW w:w="2153" w:type="dxa"/>
          </w:tcPr>
          <w:p w14:paraId="4B64F324" w14:textId="77777777" w:rsidR="00E67A3F" w:rsidRPr="00E67A3F" w:rsidRDefault="00E67A3F" w:rsidP="00E67A3F">
            <w:pPr>
              <w:rPr>
                <w:sz w:val="16"/>
                <w:szCs w:val="16"/>
              </w:rPr>
            </w:pPr>
            <w:r w:rsidRPr="00E67A3F">
              <w:rPr>
                <w:bCs/>
                <w:sz w:val="16"/>
                <w:szCs w:val="16"/>
              </w:rPr>
              <w:t>115-28-6</w:t>
            </w:r>
          </w:p>
        </w:tc>
      </w:tr>
      <w:tr w:rsidR="00E67A3F" w:rsidRPr="009973DE" w14:paraId="252F73BB" w14:textId="77777777" w:rsidTr="006F2F0E">
        <w:tc>
          <w:tcPr>
            <w:tcW w:w="1680" w:type="dxa"/>
          </w:tcPr>
          <w:p w14:paraId="2F37FCD1" w14:textId="77777777" w:rsidR="00E67A3F" w:rsidRPr="00E67A3F" w:rsidRDefault="00E67A3F" w:rsidP="00E67A3F">
            <w:pPr>
              <w:pStyle w:val="BodyText"/>
              <w:spacing w:after="0"/>
              <w:rPr>
                <w:b/>
                <w:bCs/>
                <w:sz w:val="16"/>
                <w:szCs w:val="16"/>
              </w:rPr>
            </w:pPr>
            <w:r w:rsidRPr="00E67A3F">
              <w:rPr>
                <w:b/>
                <w:bCs/>
                <w:sz w:val="16"/>
                <w:szCs w:val="16"/>
              </w:rPr>
              <w:t>CAS no.</w:t>
            </w:r>
          </w:p>
        </w:tc>
        <w:tc>
          <w:tcPr>
            <w:tcW w:w="2151" w:type="dxa"/>
          </w:tcPr>
          <w:p w14:paraId="11EAACAE" w14:textId="77777777" w:rsidR="00E67A3F" w:rsidRPr="00E67A3F" w:rsidRDefault="00E67A3F" w:rsidP="00E67A3F">
            <w:pPr>
              <w:rPr>
                <w:rFonts w:cs="Arial"/>
                <w:sz w:val="16"/>
                <w:szCs w:val="16"/>
                <w:shd w:val="clear" w:color="auto" w:fill="F8F9FA"/>
              </w:rPr>
            </w:pPr>
            <w:r w:rsidRPr="00E67A3F">
              <w:rPr>
                <w:sz w:val="16"/>
                <w:szCs w:val="16"/>
              </w:rPr>
              <w:t>57-74-9</w:t>
            </w:r>
          </w:p>
        </w:tc>
        <w:tc>
          <w:tcPr>
            <w:tcW w:w="2153" w:type="dxa"/>
          </w:tcPr>
          <w:p w14:paraId="72EF3F03" w14:textId="77777777" w:rsidR="00E67A3F" w:rsidRPr="00E67A3F" w:rsidRDefault="00E67A3F" w:rsidP="00E67A3F">
            <w:pPr>
              <w:rPr>
                <w:rFonts w:cs="Arial"/>
                <w:sz w:val="16"/>
                <w:szCs w:val="16"/>
                <w:shd w:val="clear" w:color="auto" w:fill="F8F9FA"/>
              </w:rPr>
            </w:pPr>
            <w:r w:rsidRPr="00E67A3F">
              <w:rPr>
                <w:sz w:val="16"/>
                <w:szCs w:val="16"/>
              </w:rPr>
              <w:t>76-44-8</w:t>
            </w:r>
          </w:p>
        </w:tc>
        <w:tc>
          <w:tcPr>
            <w:tcW w:w="2153" w:type="dxa"/>
          </w:tcPr>
          <w:p w14:paraId="5F5151F2" w14:textId="77777777" w:rsidR="00E67A3F" w:rsidRPr="00E67A3F" w:rsidRDefault="00E67A3F" w:rsidP="00E67A3F">
            <w:pPr>
              <w:rPr>
                <w:sz w:val="16"/>
                <w:szCs w:val="16"/>
                <w:lang w:eastAsia="en-GB"/>
              </w:rPr>
            </w:pPr>
            <w:r w:rsidRPr="00E67A3F">
              <w:rPr>
                <w:sz w:val="16"/>
                <w:szCs w:val="16"/>
              </w:rPr>
              <w:t>60-57-1</w:t>
            </w:r>
          </w:p>
        </w:tc>
        <w:tc>
          <w:tcPr>
            <w:tcW w:w="2153" w:type="dxa"/>
          </w:tcPr>
          <w:p w14:paraId="4DC1947E" w14:textId="77777777" w:rsidR="00E67A3F" w:rsidRPr="00E67A3F" w:rsidRDefault="00E67A3F" w:rsidP="00E67A3F">
            <w:pPr>
              <w:rPr>
                <w:sz w:val="16"/>
                <w:szCs w:val="16"/>
              </w:rPr>
            </w:pPr>
            <w:r w:rsidRPr="00E67A3F">
              <w:rPr>
                <w:bCs/>
                <w:sz w:val="16"/>
                <w:szCs w:val="16"/>
              </w:rPr>
              <w:t>309-00-2</w:t>
            </w:r>
          </w:p>
        </w:tc>
        <w:tc>
          <w:tcPr>
            <w:tcW w:w="2153" w:type="dxa"/>
          </w:tcPr>
          <w:p w14:paraId="166A8EFA" w14:textId="77777777" w:rsidR="00E67A3F" w:rsidRPr="00E67A3F" w:rsidRDefault="00E67A3F" w:rsidP="00E67A3F">
            <w:pPr>
              <w:rPr>
                <w:bCs/>
                <w:noProof/>
                <w:sz w:val="16"/>
                <w:szCs w:val="16"/>
                <w:lang w:eastAsia="en-GB"/>
              </w:rPr>
            </w:pPr>
            <w:r w:rsidRPr="00E67A3F">
              <w:rPr>
                <w:sz w:val="16"/>
                <w:szCs w:val="16"/>
              </w:rPr>
              <w:t>115-29-7</w:t>
            </w:r>
          </w:p>
        </w:tc>
        <w:tc>
          <w:tcPr>
            <w:tcW w:w="2153" w:type="dxa"/>
          </w:tcPr>
          <w:p w14:paraId="10FBC133" w14:textId="77777777" w:rsidR="00E67A3F" w:rsidRPr="00E67A3F" w:rsidRDefault="00E67A3F" w:rsidP="00E67A3F">
            <w:pPr>
              <w:rPr>
                <w:color w:val="474340"/>
                <w:sz w:val="16"/>
                <w:szCs w:val="16"/>
              </w:rPr>
            </w:pPr>
            <w:r w:rsidRPr="00E67A3F">
              <w:rPr>
                <w:bCs/>
                <w:sz w:val="16"/>
                <w:szCs w:val="16"/>
              </w:rPr>
              <w:t>115-28-6</w:t>
            </w:r>
          </w:p>
        </w:tc>
      </w:tr>
      <w:tr w:rsidR="00E67A3F" w:rsidRPr="009973DE" w14:paraId="09C9EF7E" w14:textId="77777777" w:rsidTr="006F2F0E">
        <w:tc>
          <w:tcPr>
            <w:tcW w:w="1680" w:type="dxa"/>
          </w:tcPr>
          <w:p w14:paraId="28779B3C" w14:textId="77777777" w:rsidR="00E67A3F" w:rsidRPr="00E67A3F" w:rsidRDefault="00E67A3F" w:rsidP="00E67A3F">
            <w:pPr>
              <w:pStyle w:val="BodyText"/>
              <w:spacing w:after="0"/>
              <w:rPr>
                <w:b/>
                <w:bCs/>
                <w:sz w:val="16"/>
                <w:szCs w:val="16"/>
              </w:rPr>
            </w:pPr>
            <w:r w:rsidRPr="00E67A3F">
              <w:rPr>
                <w:b/>
                <w:bCs/>
                <w:sz w:val="16"/>
                <w:szCs w:val="16"/>
              </w:rPr>
              <w:t>CAS name:</w:t>
            </w:r>
          </w:p>
        </w:tc>
        <w:tc>
          <w:tcPr>
            <w:tcW w:w="2151" w:type="dxa"/>
          </w:tcPr>
          <w:p w14:paraId="0F8B1F85" w14:textId="77777777" w:rsidR="00E67A3F" w:rsidRPr="00E67A3F" w:rsidRDefault="00E67A3F" w:rsidP="00E67A3F">
            <w:pPr>
              <w:rPr>
                <w:noProof/>
                <w:sz w:val="16"/>
                <w:szCs w:val="16"/>
                <w:lang w:eastAsia="en-GB"/>
              </w:rPr>
            </w:pPr>
            <w:r w:rsidRPr="00E67A3F">
              <w:rPr>
                <w:rFonts w:cs="Arial"/>
                <w:sz w:val="16"/>
                <w:szCs w:val="16"/>
                <w:shd w:val="clear" w:color="auto" w:fill="F8F9FA"/>
              </w:rPr>
              <w:t>4,</w:t>
            </w:r>
            <w:r w:rsidRPr="00E67A3F">
              <w:rPr>
                <w:rFonts w:ascii="Arial" w:hAnsi="Arial" w:cs="Arial"/>
                <w:sz w:val="16"/>
                <w:szCs w:val="16"/>
                <w:shd w:val="clear" w:color="auto" w:fill="F8F9FA"/>
              </w:rPr>
              <w:t>​</w:t>
            </w:r>
            <w:r w:rsidRPr="00E67A3F">
              <w:rPr>
                <w:rFonts w:cs="Arial"/>
                <w:sz w:val="16"/>
                <w:szCs w:val="16"/>
                <w:shd w:val="clear" w:color="auto" w:fill="F8F9FA"/>
              </w:rPr>
              <w:t>7-</w:t>
            </w:r>
            <w:r w:rsidRPr="00E67A3F">
              <w:rPr>
                <w:rFonts w:ascii="Arial" w:hAnsi="Arial" w:cs="Arial"/>
                <w:sz w:val="16"/>
                <w:szCs w:val="16"/>
                <w:shd w:val="clear" w:color="auto" w:fill="F8F9FA"/>
              </w:rPr>
              <w:t>​</w:t>
            </w:r>
            <w:r w:rsidRPr="00E67A3F">
              <w:rPr>
                <w:rFonts w:cs="Arial"/>
                <w:sz w:val="16"/>
                <w:szCs w:val="16"/>
                <w:shd w:val="clear" w:color="auto" w:fill="F8F9FA"/>
              </w:rPr>
              <w:t>Methano-</w:t>
            </w:r>
            <w:r w:rsidRPr="00E67A3F">
              <w:rPr>
                <w:rFonts w:ascii="Arial" w:hAnsi="Arial" w:cs="Arial"/>
                <w:sz w:val="16"/>
                <w:szCs w:val="16"/>
                <w:shd w:val="clear" w:color="auto" w:fill="F8F9FA"/>
              </w:rPr>
              <w:t>​</w:t>
            </w:r>
            <w:r w:rsidRPr="00E67A3F">
              <w:rPr>
                <w:rFonts w:cs="Arial"/>
                <w:sz w:val="16"/>
                <w:szCs w:val="16"/>
                <w:shd w:val="clear" w:color="auto" w:fill="F8F9FA"/>
              </w:rPr>
              <w:t>1H-</w:t>
            </w:r>
            <w:r w:rsidRPr="00E67A3F">
              <w:rPr>
                <w:rFonts w:ascii="Arial" w:hAnsi="Arial" w:cs="Arial"/>
                <w:sz w:val="16"/>
                <w:szCs w:val="16"/>
                <w:shd w:val="clear" w:color="auto" w:fill="F8F9FA"/>
              </w:rPr>
              <w:t>​</w:t>
            </w:r>
            <w:r w:rsidRPr="00E67A3F">
              <w:rPr>
                <w:rFonts w:cs="Arial"/>
                <w:sz w:val="16"/>
                <w:szCs w:val="16"/>
                <w:shd w:val="clear" w:color="auto" w:fill="F8F9FA"/>
              </w:rPr>
              <w:t>indene, 1,</w:t>
            </w:r>
            <w:r w:rsidRPr="00E67A3F">
              <w:rPr>
                <w:rFonts w:ascii="Arial" w:hAnsi="Arial" w:cs="Arial"/>
                <w:sz w:val="16"/>
                <w:szCs w:val="16"/>
                <w:shd w:val="clear" w:color="auto" w:fill="F8F9FA"/>
              </w:rPr>
              <w:t>​</w:t>
            </w:r>
            <w:r w:rsidRPr="00E67A3F">
              <w:rPr>
                <w:rFonts w:cs="Arial"/>
                <w:sz w:val="16"/>
                <w:szCs w:val="16"/>
                <w:shd w:val="clear" w:color="auto" w:fill="F8F9FA"/>
              </w:rPr>
              <w:t>2,</w:t>
            </w:r>
            <w:r w:rsidRPr="00E67A3F">
              <w:rPr>
                <w:rFonts w:ascii="Arial" w:hAnsi="Arial" w:cs="Arial"/>
                <w:sz w:val="16"/>
                <w:szCs w:val="16"/>
                <w:shd w:val="clear" w:color="auto" w:fill="F8F9FA"/>
              </w:rPr>
              <w:t>​</w:t>
            </w:r>
            <w:r w:rsidRPr="00E67A3F">
              <w:rPr>
                <w:rFonts w:cs="Arial"/>
                <w:sz w:val="16"/>
                <w:szCs w:val="16"/>
                <w:shd w:val="clear" w:color="auto" w:fill="F8F9FA"/>
              </w:rPr>
              <w:t>4,</w:t>
            </w:r>
            <w:r w:rsidRPr="00E67A3F">
              <w:rPr>
                <w:rFonts w:ascii="Arial" w:hAnsi="Arial" w:cs="Arial"/>
                <w:sz w:val="16"/>
                <w:szCs w:val="16"/>
                <w:shd w:val="clear" w:color="auto" w:fill="F8F9FA"/>
              </w:rPr>
              <w:t>​</w:t>
            </w:r>
            <w:r w:rsidRPr="00E67A3F">
              <w:rPr>
                <w:rFonts w:cs="Arial"/>
                <w:sz w:val="16"/>
                <w:szCs w:val="16"/>
                <w:shd w:val="clear" w:color="auto" w:fill="F8F9FA"/>
              </w:rPr>
              <w:t>5,</w:t>
            </w:r>
            <w:r w:rsidRPr="00E67A3F">
              <w:rPr>
                <w:rFonts w:ascii="Arial" w:hAnsi="Arial" w:cs="Arial"/>
                <w:sz w:val="16"/>
                <w:szCs w:val="16"/>
                <w:shd w:val="clear" w:color="auto" w:fill="F8F9FA"/>
              </w:rPr>
              <w:t>​</w:t>
            </w:r>
            <w:r w:rsidRPr="00E67A3F">
              <w:rPr>
                <w:rFonts w:cs="Arial"/>
                <w:sz w:val="16"/>
                <w:szCs w:val="16"/>
                <w:shd w:val="clear" w:color="auto" w:fill="F8F9FA"/>
              </w:rPr>
              <w:t>6,</w:t>
            </w:r>
            <w:r w:rsidRPr="00E67A3F">
              <w:rPr>
                <w:rFonts w:ascii="Arial" w:hAnsi="Arial" w:cs="Arial"/>
                <w:sz w:val="16"/>
                <w:szCs w:val="16"/>
                <w:shd w:val="clear" w:color="auto" w:fill="F8F9FA"/>
              </w:rPr>
              <w:t>​</w:t>
            </w:r>
            <w:r w:rsidRPr="00E67A3F">
              <w:rPr>
                <w:rFonts w:cs="Arial"/>
                <w:sz w:val="16"/>
                <w:szCs w:val="16"/>
                <w:shd w:val="clear" w:color="auto" w:fill="F8F9FA"/>
              </w:rPr>
              <w:t>7,</w:t>
            </w:r>
            <w:r w:rsidRPr="00E67A3F">
              <w:rPr>
                <w:rFonts w:ascii="Arial" w:hAnsi="Arial" w:cs="Arial"/>
                <w:sz w:val="16"/>
                <w:szCs w:val="16"/>
                <w:shd w:val="clear" w:color="auto" w:fill="F8F9FA"/>
              </w:rPr>
              <w:t>​</w:t>
            </w:r>
            <w:r w:rsidRPr="00E67A3F">
              <w:rPr>
                <w:rFonts w:cs="Arial"/>
                <w:sz w:val="16"/>
                <w:szCs w:val="16"/>
                <w:shd w:val="clear" w:color="auto" w:fill="F8F9FA"/>
              </w:rPr>
              <w:t>8,</w:t>
            </w:r>
            <w:r w:rsidRPr="00E67A3F">
              <w:rPr>
                <w:rFonts w:ascii="Arial" w:hAnsi="Arial" w:cs="Arial"/>
                <w:sz w:val="16"/>
                <w:szCs w:val="16"/>
                <w:shd w:val="clear" w:color="auto" w:fill="F8F9FA"/>
              </w:rPr>
              <w:t>​</w:t>
            </w:r>
            <w:r w:rsidRPr="00E67A3F">
              <w:rPr>
                <w:rFonts w:cs="Arial"/>
                <w:sz w:val="16"/>
                <w:szCs w:val="16"/>
                <w:shd w:val="clear" w:color="auto" w:fill="F8F9FA"/>
              </w:rPr>
              <w:t>8-</w:t>
            </w:r>
            <w:r w:rsidRPr="00E67A3F">
              <w:rPr>
                <w:rFonts w:ascii="Arial" w:hAnsi="Arial" w:cs="Arial"/>
                <w:sz w:val="16"/>
                <w:szCs w:val="16"/>
                <w:shd w:val="clear" w:color="auto" w:fill="F8F9FA"/>
              </w:rPr>
              <w:t>​</w:t>
            </w:r>
            <w:r w:rsidRPr="00E67A3F">
              <w:rPr>
                <w:rFonts w:cs="Arial"/>
                <w:sz w:val="16"/>
                <w:szCs w:val="16"/>
                <w:shd w:val="clear" w:color="auto" w:fill="F8F9FA"/>
              </w:rPr>
              <w:t>octachloro-</w:t>
            </w:r>
            <w:r w:rsidRPr="00E67A3F">
              <w:rPr>
                <w:rFonts w:ascii="Arial" w:hAnsi="Arial" w:cs="Arial"/>
                <w:sz w:val="16"/>
                <w:szCs w:val="16"/>
                <w:shd w:val="clear" w:color="auto" w:fill="F8F9FA"/>
              </w:rPr>
              <w:t>​</w:t>
            </w:r>
            <w:r w:rsidRPr="00E67A3F">
              <w:rPr>
                <w:rFonts w:cs="Arial"/>
                <w:sz w:val="16"/>
                <w:szCs w:val="16"/>
                <w:shd w:val="clear" w:color="auto" w:fill="F8F9FA"/>
              </w:rPr>
              <w:t>2,</w:t>
            </w:r>
            <w:r w:rsidRPr="00E67A3F">
              <w:rPr>
                <w:rFonts w:ascii="Arial" w:hAnsi="Arial" w:cs="Arial"/>
                <w:sz w:val="16"/>
                <w:szCs w:val="16"/>
                <w:shd w:val="clear" w:color="auto" w:fill="F8F9FA"/>
              </w:rPr>
              <w:t>​</w:t>
            </w:r>
            <w:r w:rsidRPr="00E67A3F">
              <w:rPr>
                <w:rFonts w:cs="Arial"/>
                <w:sz w:val="16"/>
                <w:szCs w:val="16"/>
                <w:shd w:val="clear" w:color="auto" w:fill="F8F9FA"/>
              </w:rPr>
              <w:t>3,</w:t>
            </w:r>
            <w:r w:rsidRPr="00E67A3F">
              <w:rPr>
                <w:rFonts w:ascii="Arial" w:hAnsi="Arial" w:cs="Arial"/>
                <w:sz w:val="16"/>
                <w:szCs w:val="16"/>
                <w:shd w:val="clear" w:color="auto" w:fill="F8F9FA"/>
              </w:rPr>
              <w:t>​</w:t>
            </w:r>
            <w:r w:rsidRPr="00E67A3F">
              <w:rPr>
                <w:rFonts w:cs="Arial"/>
                <w:sz w:val="16"/>
                <w:szCs w:val="16"/>
                <w:shd w:val="clear" w:color="auto" w:fill="F8F9FA"/>
              </w:rPr>
              <w:t>3</w:t>
            </w:r>
            <w:r w:rsidRPr="00D17A7B">
              <w:rPr>
                <w:rFonts w:cs="Arial"/>
                <w:sz w:val="16"/>
                <w:szCs w:val="16"/>
                <w:shd w:val="clear" w:color="auto" w:fill="F8F9FA"/>
                <w:vertAlign w:val="superscript"/>
              </w:rPr>
              <w:t>a</w:t>
            </w:r>
            <w:r w:rsidRPr="00E67A3F">
              <w:rPr>
                <w:rFonts w:cs="Arial"/>
                <w:sz w:val="16"/>
                <w:szCs w:val="16"/>
                <w:shd w:val="clear" w:color="auto" w:fill="F8F9FA"/>
              </w:rPr>
              <w:t>,</w:t>
            </w:r>
            <w:r w:rsidRPr="00E67A3F">
              <w:rPr>
                <w:rFonts w:ascii="Arial" w:hAnsi="Arial" w:cs="Arial"/>
                <w:sz w:val="16"/>
                <w:szCs w:val="16"/>
                <w:shd w:val="clear" w:color="auto" w:fill="F8F9FA"/>
              </w:rPr>
              <w:t>​</w:t>
            </w:r>
            <w:r w:rsidRPr="00E67A3F">
              <w:rPr>
                <w:rFonts w:cs="Arial"/>
                <w:sz w:val="16"/>
                <w:szCs w:val="16"/>
                <w:shd w:val="clear" w:color="auto" w:fill="F8F9FA"/>
              </w:rPr>
              <w:t>4,</w:t>
            </w:r>
            <w:r w:rsidRPr="00E67A3F">
              <w:rPr>
                <w:rFonts w:ascii="Arial" w:hAnsi="Arial" w:cs="Arial"/>
                <w:sz w:val="16"/>
                <w:szCs w:val="16"/>
                <w:shd w:val="clear" w:color="auto" w:fill="F8F9FA"/>
              </w:rPr>
              <w:t>​</w:t>
            </w:r>
            <w:r w:rsidRPr="00E67A3F">
              <w:rPr>
                <w:rFonts w:cs="Arial"/>
                <w:sz w:val="16"/>
                <w:szCs w:val="16"/>
                <w:shd w:val="clear" w:color="auto" w:fill="F8F9FA"/>
              </w:rPr>
              <w:t>7,</w:t>
            </w:r>
            <w:r w:rsidRPr="00E67A3F">
              <w:rPr>
                <w:rFonts w:ascii="Arial" w:hAnsi="Arial" w:cs="Arial"/>
                <w:sz w:val="16"/>
                <w:szCs w:val="16"/>
                <w:shd w:val="clear" w:color="auto" w:fill="F8F9FA"/>
              </w:rPr>
              <w:t>​</w:t>
            </w:r>
            <w:r w:rsidRPr="00E67A3F">
              <w:rPr>
                <w:rFonts w:cs="Arial"/>
                <w:sz w:val="16"/>
                <w:szCs w:val="16"/>
                <w:shd w:val="clear" w:color="auto" w:fill="F8F9FA"/>
              </w:rPr>
              <w:t>7</w:t>
            </w:r>
            <w:r w:rsidRPr="00D17A7B">
              <w:rPr>
                <w:rFonts w:cs="Arial"/>
                <w:sz w:val="16"/>
                <w:szCs w:val="16"/>
                <w:shd w:val="clear" w:color="auto" w:fill="F8F9FA"/>
                <w:vertAlign w:val="superscript"/>
              </w:rPr>
              <w:t>a</w:t>
            </w:r>
            <w:r w:rsidRPr="00E67A3F">
              <w:rPr>
                <w:rFonts w:cs="Arial"/>
                <w:sz w:val="16"/>
                <w:szCs w:val="16"/>
                <w:shd w:val="clear" w:color="auto" w:fill="F8F9FA"/>
              </w:rPr>
              <w:t>-</w:t>
            </w:r>
            <w:r w:rsidRPr="00E67A3F">
              <w:rPr>
                <w:rFonts w:ascii="Arial" w:hAnsi="Arial" w:cs="Arial"/>
                <w:sz w:val="16"/>
                <w:szCs w:val="16"/>
                <w:shd w:val="clear" w:color="auto" w:fill="F8F9FA"/>
              </w:rPr>
              <w:t>​</w:t>
            </w:r>
            <w:r w:rsidRPr="00E67A3F">
              <w:rPr>
                <w:rFonts w:cs="Arial"/>
                <w:sz w:val="16"/>
                <w:szCs w:val="16"/>
                <w:shd w:val="clear" w:color="auto" w:fill="F8F9FA"/>
              </w:rPr>
              <w:t>hexahydro-</w:t>
            </w:r>
          </w:p>
        </w:tc>
        <w:tc>
          <w:tcPr>
            <w:tcW w:w="2153" w:type="dxa"/>
          </w:tcPr>
          <w:p w14:paraId="6744F92C" w14:textId="77777777" w:rsidR="00E67A3F" w:rsidRPr="00E67A3F" w:rsidRDefault="00E67A3F" w:rsidP="00E67A3F">
            <w:pPr>
              <w:rPr>
                <w:noProof/>
                <w:sz w:val="16"/>
                <w:szCs w:val="16"/>
                <w:lang w:eastAsia="en-GB"/>
              </w:rPr>
            </w:pPr>
            <w:r w:rsidRPr="00E67A3F">
              <w:rPr>
                <w:rFonts w:cs="Arial"/>
                <w:sz w:val="16"/>
                <w:szCs w:val="16"/>
                <w:shd w:val="clear" w:color="auto" w:fill="F8F9FA"/>
              </w:rPr>
              <w:t>4,</w:t>
            </w:r>
            <w:r w:rsidRPr="00E67A3F">
              <w:rPr>
                <w:rFonts w:ascii="Arial" w:hAnsi="Arial" w:cs="Arial"/>
                <w:sz w:val="16"/>
                <w:szCs w:val="16"/>
                <w:shd w:val="clear" w:color="auto" w:fill="F8F9FA"/>
              </w:rPr>
              <w:t>​</w:t>
            </w:r>
            <w:r w:rsidRPr="00E67A3F">
              <w:rPr>
                <w:rFonts w:cs="Arial"/>
                <w:sz w:val="16"/>
                <w:szCs w:val="16"/>
                <w:shd w:val="clear" w:color="auto" w:fill="F8F9FA"/>
              </w:rPr>
              <w:t>7-</w:t>
            </w:r>
            <w:r w:rsidRPr="00E67A3F">
              <w:rPr>
                <w:rFonts w:ascii="Arial" w:hAnsi="Arial" w:cs="Arial"/>
                <w:sz w:val="16"/>
                <w:szCs w:val="16"/>
                <w:shd w:val="clear" w:color="auto" w:fill="F8F9FA"/>
              </w:rPr>
              <w:t>​</w:t>
            </w:r>
            <w:r w:rsidRPr="00E67A3F">
              <w:rPr>
                <w:rFonts w:cs="Arial"/>
                <w:sz w:val="16"/>
                <w:szCs w:val="16"/>
                <w:shd w:val="clear" w:color="auto" w:fill="F8F9FA"/>
              </w:rPr>
              <w:t>Methano-</w:t>
            </w:r>
            <w:r w:rsidRPr="00E67A3F">
              <w:rPr>
                <w:rFonts w:ascii="Arial" w:hAnsi="Arial" w:cs="Arial"/>
                <w:sz w:val="16"/>
                <w:szCs w:val="16"/>
                <w:shd w:val="clear" w:color="auto" w:fill="F8F9FA"/>
              </w:rPr>
              <w:t>​</w:t>
            </w:r>
            <w:r w:rsidRPr="00E67A3F">
              <w:rPr>
                <w:rFonts w:cs="Arial"/>
                <w:sz w:val="16"/>
                <w:szCs w:val="16"/>
                <w:shd w:val="clear" w:color="auto" w:fill="F8F9FA"/>
              </w:rPr>
              <w:t>1H-</w:t>
            </w:r>
            <w:r w:rsidRPr="00E67A3F">
              <w:rPr>
                <w:rFonts w:ascii="Arial" w:hAnsi="Arial" w:cs="Arial"/>
                <w:sz w:val="16"/>
                <w:szCs w:val="16"/>
                <w:shd w:val="clear" w:color="auto" w:fill="F8F9FA"/>
              </w:rPr>
              <w:t>​</w:t>
            </w:r>
            <w:r w:rsidRPr="00E67A3F">
              <w:rPr>
                <w:rFonts w:cs="Arial"/>
                <w:sz w:val="16"/>
                <w:szCs w:val="16"/>
                <w:shd w:val="clear" w:color="auto" w:fill="F8F9FA"/>
              </w:rPr>
              <w:t>indene, 1,</w:t>
            </w:r>
            <w:r w:rsidRPr="00E67A3F">
              <w:rPr>
                <w:rFonts w:ascii="Arial" w:hAnsi="Arial" w:cs="Arial"/>
                <w:sz w:val="16"/>
                <w:szCs w:val="16"/>
                <w:shd w:val="clear" w:color="auto" w:fill="F8F9FA"/>
              </w:rPr>
              <w:t>​</w:t>
            </w:r>
            <w:r w:rsidRPr="00E67A3F">
              <w:rPr>
                <w:rFonts w:cs="Arial"/>
                <w:sz w:val="16"/>
                <w:szCs w:val="16"/>
                <w:shd w:val="clear" w:color="auto" w:fill="F8F9FA"/>
              </w:rPr>
              <w:t>4,</w:t>
            </w:r>
            <w:r w:rsidRPr="00E67A3F">
              <w:rPr>
                <w:rFonts w:ascii="Arial" w:hAnsi="Arial" w:cs="Arial"/>
                <w:sz w:val="16"/>
                <w:szCs w:val="16"/>
                <w:shd w:val="clear" w:color="auto" w:fill="F8F9FA"/>
              </w:rPr>
              <w:t>​</w:t>
            </w:r>
            <w:r w:rsidRPr="00E67A3F">
              <w:rPr>
                <w:rFonts w:cs="Arial"/>
                <w:sz w:val="16"/>
                <w:szCs w:val="16"/>
                <w:shd w:val="clear" w:color="auto" w:fill="F8F9FA"/>
              </w:rPr>
              <w:t>5,</w:t>
            </w:r>
            <w:r w:rsidRPr="00E67A3F">
              <w:rPr>
                <w:rFonts w:ascii="Arial" w:hAnsi="Arial" w:cs="Arial"/>
                <w:sz w:val="16"/>
                <w:szCs w:val="16"/>
                <w:shd w:val="clear" w:color="auto" w:fill="F8F9FA"/>
              </w:rPr>
              <w:t>​</w:t>
            </w:r>
            <w:r w:rsidRPr="00E67A3F">
              <w:rPr>
                <w:rFonts w:cs="Arial"/>
                <w:sz w:val="16"/>
                <w:szCs w:val="16"/>
                <w:shd w:val="clear" w:color="auto" w:fill="F8F9FA"/>
              </w:rPr>
              <w:t>6,</w:t>
            </w:r>
            <w:r w:rsidRPr="00E67A3F">
              <w:rPr>
                <w:rFonts w:ascii="Arial" w:hAnsi="Arial" w:cs="Arial"/>
                <w:sz w:val="16"/>
                <w:szCs w:val="16"/>
                <w:shd w:val="clear" w:color="auto" w:fill="F8F9FA"/>
              </w:rPr>
              <w:t>​</w:t>
            </w:r>
            <w:r w:rsidRPr="00E67A3F">
              <w:rPr>
                <w:rFonts w:cs="Arial"/>
                <w:sz w:val="16"/>
                <w:szCs w:val="16"/>
                <w:shd w:val="clear" w:color="auto" w:fill="F8F9FA"/>
              </w:rPr>
              <w:t>7,</w:t>
            </w:r>
            <w:r w:rsidRPr="00E67A3F">
              <w:rPr>
                <w:rFonts w:ascii="Arial" w:hAnsi="Arial" w:cs="Arial"/>
                <w:sz w:val="16"/>
                <w:szCs w:val="16"/>
                <w:shd w:val="clear" w:color="auto" w:fill="F8F9FA"/>
              </w:rPr>
              <w:t>​</w:t>
            </w:r>
            <w:r w:rsidRPr="00E67A3F">
              <w:rPr>
                <w:rFonts w:cs="Arial"/>
                <w:sz w:val="16"/>
                <w:szCs w:val="16"/>
                <w:shd w:val="clear" w:color="auto" w:fill="F8F9FA"/>
              </w:rPr>
              <w:t>8,</w:t>
            </w:r>
            <w:r w:rsidRPr="00E67A3F">
              <w:rPr>
                <w:rFonts w:ascii="Arial" w:hAnsi="Arial" w:cs="Arial"/>
                <w:sz w:val="16"/>
                <w:szCs w:val="16"/>
                <w:shd w:val="clear" w:color="auto" w:fill="F8F9FA"/>
              </w:rPr>
              <w:t>​</w:t>
            </w:r>
            <w:r w:rsidRPr="00E67A3F">
              <w:rPr>
                <w:rFonts w:cs="Arial"/>
                <w:sz w:val="16"/>
                <w:szCs w:val="16"/>
                <w:shd w:val="clear" w:color="auto" w:fill="F8F9FA"/>
              </w:rPr>
              <w:t>8-</w:t>
            </w:r>
            <w:r w:rsidRPr="00E67A3F">
              <w:rPr>
                <w:rFonts w:ascii="Arial" w:hAnsi="Arial" w:cs="Arial"/>
                <w:sz w:val="16"/>
                <w:szCs w:val="16"/>
                <w:shd w:val="clear" w:color="auto" w:fill="F8F9FA"/>
              </w:rPr>
              <w:t>​</w:t>
            </w:r>
            <w:r w:rsidRPr="00E67A3F">
              <w:rPr>
                <w:rFonts w:cs="Arial"/>
                <w:sz w:val="16"/>
                <w:szCs w:val="16"/>
                <w:shd w:val="clear" w:color="auto" w:fill="F8F9FA"/>
              </w:rPr>
              <w:t>heptachloro-</w:t>
            </w:r>
            <w:r w:rsidRPr="00E67A3F">
              <w:rPr>
                <w:rFonts w:ascii="Arial" w:hAnsi="Arial" w:cs="Arial"/>
                <w:sz w:val="16"/>
                <w:szCs w:val="16"/>
                <w:shd w:val="clear" w:color="auto" w:fill="F8F9FA"/>
              </w:rPr>
              <w:t>​</w:t>
            </w:r>
            <w:r w:rsidRPr="00E67A3F">
              <w:rPr>
                <w:rFonts w:cs="Arial"/>
                <w:sz w:val="16"/>
                <w:szCs w:val="16"/>
                <w:shd w:val="clear" w:color="auto" w:fill="F8F9FA"/>
              </w:rPr>
              <w:t>3</w:t>
            </w:r>
            <w:r w:rsidRPr="00D17A7B">
              <w:rPr>
                <w:rFonts w:cs="Arial"/>
                <w:sz w:val="16"/>
                <w:szCs w:val="16"/>
                <w:shd w:val="clear" w:color="auto" w:fill="F8F9FA"/>
                <w:vertAlign w:val="superscript"/>
              </w:rPr>
              <w:t>a</w:t>
            </w:r>
            <w:r w:rsidRPr="00E67A3F">
              <w:rPr>
                <w:rFonts w:cs="Arial"/>
                <w:sz w:val="16"/>
                <w:szCs w:val="16"/>
                <w:shd w:val="clear" w:color="auto" w:fill="F8F9FA"/>
              </w:rPr>
              <w:t>,</w:t>
            </w:r>
            <w:r w:rsidRPr="00E67A3F">
              <w:rPr>
                <w:rFonts w:ascii="Arial" w:hAnsi="Arial" w:cs="Arial"/>
                <w:sz w:val="16"/>
                <w:szCs w:val="16"/>
                <w:shd w:val="clear" w:color="auto" w:fill="F8F9FA"/>
              </w:rPr>
              <w:t>​</w:t>
            </w:r>
            <w:r w:rsidRPr="00E67A3F">
              <w:rPr>
                <w:rFonts w:cs="Arial"/>
                <w:sz w:val="16"/>
                <w:szCs w:val="16"/>
                <w:shd w:val="clear" w:color="auto" w:fill="F8F9FA"/>
              </w:rPr>
              <w:t>4,</w:t>
            </w:r>
            <w:r w:rsidRPr="00E67A3F">
              <w:rPr>
                <w:rFonts w:ascii="Arial" w:hAnsi="Arial" w:cs="Arial"/>
                <w:sz w:val="16"/>
                <w:szCs w:val="16"/>
                <w:shd w:val="clear" w:color="auto" w:fill="F8F9FA"/>
              </w:rPr>
              <w:t>​</w:t>
            </w:r>
            <w:r w:rsidRPr="00E67A3F">
              <w:rPr>
                <w:rFonts w:cs="Arial"/>
                <w:sz w:val="16"/>
                <w:szCs w:val="16"/>
                <w:shd w:val="clear" w:color="auto" w:fill="F8F9FA"/>
              </w:rPr>
              <w:t>7,</w:t>
            </w:r>
            <w:r w:rsidRPr="00E67A3F">
              <w:rPr>
                <w:rFonts w:ascii="Arial" w:hAnsi="Arial" w:cs="Arial"/>
                <w:sz w:val="16"/>
                <w:szCs w:val="16"/>
                <w:shd w:val="clear" w:color="auto" w:fill="F8F9FA"/>
              </w:rPr>
              <w:t>​</w:t>
            </w:r>
            <w:r w:rsidRPr="00E67A3F">
              <w:rPr>
                <w:rFonts w:cs="Arial"/>
                <w:sz w:val="16"/>
                <w:szCs w:val="16"/>
                <w:shd w:val="clear" w:color="auto" w:fill="F8F9FA"/>
              </w:rPr>
              <w:t>7</w:t>
            </w:r>
            <w:r w:rsidRPr="00D17A7B">
              <w:rPr>
                <w:rFonts w:cs="Arial"/>
                <w:sz w:val="16"/>
                <w:szCs w:val="16"/>
                <w:shd w:val="clear" w:color="auto" w:fill="F8F9FA"/>
                <w:vertAlign w:val="superscript"/>
              </w:rPr>
              <w:t>a</w:t>
            </w:r>
            <w:r w:rsidRPr="00E67A3F">
              <w:rPr>
                <w:rFonts w:cs="Arial"/>
                <w:sz w:val="16"/>
                <w:szCs w:val="16"/>
                <w:shd w:val="clear" w:color="auto" w:fill="F8F9FA"/>
              </w:rPr>
              <w:t>-</w:t>
            </w:r>
            <w:r w:rsidRPr="00E67A3F">
              <w:rPr>
                <w:rFonts w:ascii="Arial" w:hAnsi="Arial" w:cs="Arial"/>
                <w:sz w:val="16"/>
                <w:szCs w:val="16"/>
                <w:shd w:val="clear" w:color="auto" w:fill="F8F9FA"/>
              </w:rPr>
              <w:t>​</w:t>
            </w:r>
            <w:r w:rsidRPr="00E67A3F">
              <w:rPr>
                <w:rFonts w:cs="Arial"/>
                <w:sz w:val="16"/>
                <w:szCs w:val="16"/>
                <w:shd w:val="clear" w:color="auto" w:fill="F8F9FA"/>
              </w:rPr>
              <w:t>tetrahydro-</w:t>
            </w:r>
          </w:p>
        </w:tc>
        <w:tc>
          <w:tcPr>
            <w:tcW w:w="2153" w:type="dxa"/>
          </w:tcPr>
          <w:p w14:paraId="5C17EE3D" w14:textId="77777777" w:rsidR="00E67A3F" w:rsidRPr="00E67A3F" w:rsidRDefault="00E67A3F" w:rsidP="00E67A3F">
            <w:pPr>
              <w:rPr>
                <w:sz w:val="16"/>
                <w:szCs w:val="16"/>
                <w:shd w:val="clear" w:color="auto" w:fill="FFFFFF"/>
              </w:rPr>
            </w:pPr>
            <w:r w:rsidRPr="00E67A3F">
              <w:rPr>
                <w:sz w:val="16"/>
                <w:szCs w:val="16"/>
                <w:lang w:eastAsia="en-GB"/>
              </w:rPr>
              <w:t>2,</w:t>
            </w:r>
            <w:r w:rsidRPr="00E67A3F">
              <w:rPr>
                <w:rFonts w:ascii="Arial" w:hAnsi="Arial" w:cs="Arial"/>
                <w:sz w:val="16"/>
                <w:szCs w:val="16"/>
                <w:lang w:eastAsia="en-GB"/>
              </w:rPr>
              <w:t>​</w:t>
            </w:r>
            <w:r w:rsidRPr="00E67A3F">
              <w:rPr>
                <w:sz w:val="16"/>
                <w:szCs w:val="16"/>
                <w:lang w:eastAsia="en-GB"/>
              </w:rPr>
              <w:t>7:3,</w:t>
            </w:r>
            <w:r w:rsidRPr="00E67A3F">
              <w:rPr>
                <w:rFonts w:ascii="Arial" w:hAnsi="Arial" w:cs="Arial"/>
                <w:sz w:val="16"/>
                <w:szCs w:val="16"/>
                <w:lang w:eastAsia="en-GB"/>
              </w:rPr>
              <w:t>​</w:t>
            </w:r>
            <w:r w:rsidRPr="00E67A3F">
              <w:rPr>
                <w:sz w:val="16"/>
                <w:szCs w:val="16"/>
                <w:lang w:eastAsia="en-GB"/>
              </w:rPr>
              <w:t>6-</w:t>
            </w:r>
            <w:r w:rsidRPr="00E67A3F">
              <w:rPr>
                <w:rFonts w:ascii="Arial" w:hAnsi="Arial" w:cs="Arial"/>
                <w:sz w:val="16"/>
                <w:szCs w:val="16"/>
                <w:lang w:eastAsia="en-GB"/>
              </w:rPr>
              <w:t>​</w:t>
            </w:r>
            <w:r w:rsidRPr="00E67A3F">
              <w:rPr>
                <w:sz w:val="16"/>
                <w:szCs w:val="16"/>
                <w:lang w:eastAsia="en-GB"/>
              </w:rPr>
              <w:t>Dimethanonaphth[2,</w:t>
            </w:r>
            <w:r w:rsidRPr="00E67A3F">
              <w:rPr>
                <w:rFonts w:ascii="Arial" w:hAnsi="Arial" w:cs="Arial"/>
                <w:sz w:val="16"/>
                <w:szCs w:val="16"/>
                <w:lang w:eastAsia="en-GB"/>
              </w:rPr>
              <w:t>​</w:t>
            </w:r>
            <w:r w:rsidRPr="00E67A3F">
              <w:rPr>
                <w:sz w:val="16"/>
                <w:szCs w:val="16"/>
                <w:lang w:eastAsia="en-GB"/>
              </w:rPr>
              <w:t>3-</w:t>
            </w:r>
            <w:r w:rsidRPr="00E67A3F">
              <w:rPr>
                <w:rFonts w:ascii="Arial" w:hAnsi="Arial" w:cs="Arial"/>
                <w:sz w:val="16"/>
                <w:szCs w:val="16"/>
                <w:lang w:eastAsia="en-GB"/>
              </w:rPr>
              <w:t>​</w:t>
            </w:r>
            <w:r w:rsidRPr="00E67A3F">
              <w:rPr>
                <w:sz w:val="16"/>
                <w:szCs w:val="16"/>
                <w:lang w:eastAsia="en-GB"/>
              </w:rPr>
              <w:t>b]</w:t>
            </w:r>
            <w:r w:rsidRPr="00E67A3F">
              <w:rPr>
                <w:rFonts w:ascii="Arial" w:hAnsi="Arial" w:cs="Arial"/>
                <w:sz w:val="16"/>
                <w:szCs w:val="16"/>
                <w:lang w:eastAsia="en-GB"/>
              </w:rPr>
              <w:t>​</w:t>
            </w:r>
            <w:r w:rsidRPr="00E67A3F">
              <w:rPr>
                <w:sz w:val="16"/>
                <w:szCs w:val="16"/>
                <w:lang w:eastAsia="en-GB"/>
              </w:rPr>
              <w:t>oxirene, 3,</w:t>
            </w:r>
            <w:r w:rsidRPr="00E67A3F">
              <w:rPr>
                <w:rFonts w:ascii="Arial" w:hAnsi="Arial" w:cs="Arial"/>
                <w:sz w:val="16"/>
                <w:szCs w:val="16"/>
                <w:lang w:eastAsia="en-GB"/>
              </w:rPr>
              <w:t>​</w:t>
            </w:r>
            <w:r w:rsidRPr="00E67A3F">
              <w:rPr>
                <w:sz w:val="16"/>
                <w:szCs w:val="16"/>
                <w:lang w:eastAsia="en-GB"/>
              </w:rPr>
              <w:t>4,</w:t>
            </w:r>
            <w:r w:rsidRPr="00E67A3F">
              <w:rPr>
                <w:rFonts w:ascii="Arial" w:hAnsi="Arial" w:cs="Arial"/>
                <w:sz w:val="16"/>
                <w:szCs w:val="16"/>
                <w:lang w:eastAsia="en-GB"/>
              </w:rPr>
              <w:t>​</w:t>
            </w:r>
            <w:r w:rsidRPr="00E67A3F">
              <w:rPr>
                <w:sz w:val="16"/>
                <w:szCs w:val="16"/>
                <w:lang w:eastAsia="en-GB"/>
              </w:rPr>
              <w:t>5,</w:t>
            </w:r>
            <w:r w:rsidRPr="00E67A3F">
              <w:rPr>
                <w:rFonts w:ascii="Arial" w:hAnsi="Arial" w:cs="Arial"/>
                <w:sz w:val="16"/>
                <w:szCs w:val="16"/>
                <w:lang w:eastAsia="en-GB"/>
              </w:rPr>
              <w:t>​</w:t>
            </w:r>
            <w:r w:rsidRPr="00E67A3F">
              <w:rPr>
                <w:sz w:val="16"/>
                <w:szCs w:val="16"/>
                <w:lang w:eastAsia="en-GB"/>
              </w:rPr>
              <w:t>6,</w:t>
            </w:r>
            <w:r w:rsidRPr="00E67A3F">
              <w:rPr>
                <w:rFonts w:ascii="Arial" w:hAnsi="Arial" w:cs="Arial"/>
                <w:sz w:val="16"/>
                <w:szCs w:val="16"/>
                <w:lang w:eastAsia="en-GB"/>
              </w:rPr>
              <w:t>​</w:t>
            </w:r>
            <w:r w:rsidRPr="00E67A3F">
              <w:rPr>
                <w:sz w:val="16"/>
                <w:szCs w:val="16"/>
                <w:lang w:eastAsia="en-GB"/>
              </w:rPr>
              <w:t>9,</w:t>
            </w:r>
            <w:r w:rsidRPr="00E67A3F">
              <w:rPr>
                <w:rFonts w:ascii="Arial" w:hAnsi="Arial" w:cs="Arial"/>
                <w:sz w:val="16"/>
                <w:szCs w:val="16"/>
                <w:lang w:eastAsia="en-GB"/>
              </w:rPr>
              <w:t>​</w:t>
            </w:r>
            <w:r w:rsidRPr="00E67A3F">
              <w:rPr>
                <w:sz w:val="16"/>
                <w:szCs w:val="16"/>
                <w:lang w:eastAsia="en-GB"/>
              </w:rPr>
              <w:t>9-</w:t>
            </w:r>
            <w:r w:rsidRPr="00E67A3F">
              <w:rPr>
                <w:rFonts w:ascii="Arial" w:hAnsi="Arial" w:cs="Arial"/>
                <w:sz w:val="16"/>
                <w:szCs w:val="16"/>
                <w:lang w:eastAsia="en-GB"/>
              </w:rPr>
              <w:t>​</w:t>
            </w:r>
            <w:r w:rsidRPr="00E67A3F">
              <w:rPr>
                <w:sz w:val="16"/>
                <w:szCs w:val="16"/>
                <w:lang w:eastAsia="en-GB"/>
              </w:rPr>
              <w:t>hexachloro-</w:t>
            </w:r>
            <w:r w:rsidRPr="00E67A3F">
              <w:rPr>
                <w:rFonts w:ascii="Arial" w:hAnsi="Arial" w:cs="Arial"/>
                <w:sz w:val="16"/>
                <w:szCs w:val="16"/>
                <w:lang w:eastAsia="en-GB"/>
              </w:rPr>
              <w:t>​</w:t>
            </w:r>
            <w:r w:rsidRPr="00E67A3F">
              <w:rPr>
                <w:sz w:val="16"/>
                <w:szCs w:val="16"/>
                <w:lang w:eastAsia="en-GB"/>
              </w:rPr>
              <w:t>1</w:t>
            </w:r>
            <w:r w:rsidRPr="00D17A7B">
              <w:rPr>
                <w:sz w:val="16"/>
                <w:szCs w:val="16"/>
                <w:vertAlign w:val="superscript"/>
                <w:lang w:eastAsia="en-GB"/>
              </w:rPr>
              <w:t>a</w:t>
            </w:r>
            <w:r w:rsidRPr="00E67A3F">
              <w:rPr>
                <w:sz w:val="16"/>
                <w:szCs w:val="16"/>
                <w:lang w:eastAsia="en-GB"/>
              </w:rPr>
              <w:t>,</w:t>
            </w:r>
            <w:r w:rsidRPr="00E67A3F">
              <w:rPr>
                <w:rFonts w:ascii="Arial" w:hAnsi="Arial" w:cs="Arial"/>
                <w:sz w:val="16"/>
                <w:szCs w:val="16"/>
                <w:lang w:eastAsia="en-GB"/>
              </w:rPr>
              <w:t>​</w:t>
            </w:r>
            <w:r w:rsidRPr="00E67A3F">
              <w:rPr>
                <w:sz w:val="16"/>
                <w:szCs w:val="16"/>
                <w:lang w:eastAsia="en-GB"/>
              </w:rPr>
              <w:t>2,</w:t>
            </w:r>
            <w:r w:rsidRPr="00E67A3F">
              <w:rPr>
                <w:rFonts w:ascii="Arial" w:hAnsi="Arial" w:cs="Arial"/>
                <w:sz w:val="16"/>
                <w:szCs w:val="16"/>
                <w:lang w:eastAsia="en-GB"/>
              </w:rPr>
              <w:t>​</w:t>
            </w:r>
            <w:r w:rsidRPr="00E67A3F">
              <w:rPr>
                <w:sz w:val="16"/>
                <w:szCs w:val="16"/>
                <w:lang w:eastAsia="en-GB"/>
              </w:rPr>
              <w:t>2</w:t>
            </w:r>
            <w:r w:rsidRPr="00D17A7B">
              <w:rPr>
                <w:sz w:val="16"/>
                <w:szCs w:val="16"/>
                <w:vertAlign w:val="superscript"/>
                <w:lang w:eastAsia="en-GB"/>
              </w:rPr>
              <w:t>a</w:t>
            </w:r>
            <w:r w:rsidRPr="00E67A3F">
              <w:rPr>
                <w:sz w:val="16"/>
                <w:szCs w:val="16"/>
                <w:lang w:eastAsia="en-GB"/>
              </w:rPr>
              <w:t>,</w:t>
            </w:r>
            <w:r w:rsidRPr="00E67A3F">
              <w:rPr>
                <w:rFonts w:ascii="Arial" w:hAnsi="Arial" w:cs="Arial"/>
                <w:sz w:val="16"/>
                <w:szCs w:val="16"/>
                <w:lang w:eastAsia="en-GB"/>
              </w:rPr>
              <w:t>​</w:t>
            </w:r>
            <w:r w:rsidRPr="00E67A3F">
              <w:rPr>
                <w:sz w:val="16"/>
                <w:szCs w:val="16"/>
                <w:lang w:eastAsia="en-GB"/>
              </w:rPr>
              <w:t>3,</w:t>
            </w:r>
            <w:r w:rsidRPr="00E67A3F">
              <w:rPr>
                <w:rFonts w:ascii="Arial" w:hAnsi="Arial" w:cs="Arial"/>
                <w:sz w:val="16"/>
                <w:szCs w:val="16"/>
                <w:lang w:eastAsia="en-GB"/>
              </w:rPr>
              <w:t>​</w:t>
            </w:r>
            <w:r w:rsidRPr="00E67A3F">
              <w:rPr>
                <w:sz w:val="16"/>
                <w:szCs w:val="16"/>
                <w:lang w:eastAsia="en-GB"/>
              </w:rPr>
              <w:t>6,</w:t>
            </w:r>
            <w:r w:rsidRPr="00E67A3F">
              <w:rPr>
                <w:rFonts w:ascii="Arial" w:hAnsi="Arial" w:cs="Arial"/>
                <w:sz w:val="16"/>
                <w:szCs w:val="16"/>
                <w:lang w:eastAsia="en-GB"/>
              </w:rPr>
              <w:t>​</w:t>
            </w:r>
            <w:r w:rsidRPr="00E67A3F">
              <w:rPr>
                <w:sz w:val="16"/>
                <w:szCs w:val="16"/>
                <w:lang w:eastAsia="en-GB"/>
              </w:rPr>
              <w:t>6</w:t>
            </w:r>
            <w:r w:rsidRPr="00D17A7B">
              <w:rPr>
                <w:sz w:val="16"/>
                <w:szCs w:val="16"/>
                <w:vertAlign w:val="superscript"/>
                <w:lang w:eastAsia="en-GB"/>
              </w:rPr>
              <w:t>a</w:t>
            </w:r>
            <w:r w:rsidRPr="00E67A3F">
              <w:rPr>
                <w:sz w:val="16"/>
                <w:szCs w:val="16"/>
                <w:lang w:eastAsia="en-GB"/>
              </w:rPr>
              <w:t>,</w:t>
            </w:r>
            <w:r w:rsidRPr="00E67A3F">
              <w:rPr>
                <w:rFonts w:ascii="Arial" w:hAnsi="Arial" w:cs="Arial"/>
                <w:sz w:val="16"/>
                <w:szCs w:val="16"/>
                <w:lang w:eastAsia="en-GB"/>
              </w:rPr>
              <w:t>​</w:t>
            </w:r>
            <w:r w:rsidRPr="00E67A3F">
              <w:rPr>
                <w:sz w:val="16"/>
                <w:szCs w:val="16"/>
                <w:lang w:eastAsia="en-GB"/>
              </w:rPr>
              <w:t>7,</w:t>
            </w:r>
            <w:r w:rsidRPr="00E67A3F">
              <w:rPr>
                <w:rFonts w:ascii="Arial" w:hAnsi="Arial" w:cs="Arial"/>
                <w:sz w:val="16"/>
                <w:szCs w:val="16"/>
                <w:lang w:eastAsia="en-GB"/>
              </w:rPr>
              <w:t>​</w:t>
            </w:r>
            <w:r w:rsidRPr="00E67A3F">
              <w:rPr>
                <w:sz w:val="16"/>
                <w:szCs w:val="16"/>
                <w:lang w:eastAsia="en-GB"/>
              </w:rPr>
              <w:t>7</w:t>
            </w:r>
            <w:r w:rsidRPr="00D17A7B">
              <w:rPr>
                <w:sz w:val="16"/>
                <w:szCs w:val="16"/>
                <w:vertAlign w:val="superscript"/>
                <w:lang w:eastAsia="en-GB"/>
              </w:rPr>
              <w:t>a</w:t>
            </w:r>
            <w:r w:rsidRPr="00E67A3F">
              <w:rPr>
                <w:sz w:val="16"/>
                <w:szCs w:val="16"/>
                <w:lang w:eastAsia="en-GB"/>
              </w:rPr>
              <w:t>-</w:t>
            </w:r>
            <w:r w:rsidRPr="00E67A3F">
              <w:rPr>
                <w:rFonts w:ascii="Arial" w:hAnsi="Arial" w:cs="Arial"/>
                <w:sz w:val="16"/>
                <w:szCs w:val="16"/>
                <w:lang w:eastAsia="en-GB"/>
              </w:rPr>
              <w:t>​</w:t>
            </w:r>
            <w:r w:rsidRPr="00E67A3F">
              <w:rPr>
                <w:sz w:val="16"/>
                <w:szCs w:val="16"/>
                <w:lang w:eastAsia="en-GB"/>
              </w:rPr>
              <w:t>octahydro-</w:t>
            </w:r>
            <w:r w:rsidRPr="00E67A3F">
              <w:rPr>
                <w:rFonts w:ascii="Arial" w:hAnsi="Arial" w:cs="Arial"/>
                <w:sz w:val="16"/>
                <w:szCs w:val="16"/>
                <w:lang w:eastAsia="en-GB"/>
              </w:rPr>
              <w:t>​</w:t>
            </w:r>
            <w:r w:rsidRPr="00E67A3F">
              <w:rPr>
                <w:sz w:val="16"/>
                <w:szCs w:val="16"/>
                <w:lang w:eastAsia="en-GB"/>
              </w:rPr>
              <w:t>, (1</w:t>
            </w:r>
            <w:r w:rsidRPr="00D17A7B">
              <w:rPr>
                <w:sz w:val="16"/>
                <w:szCs w:val="16"/>
                <w:vertAlign w:val="superscript"/>
                <w:lang w:eastAsia="en-GB"/>
              </w:rPr>
              <w:t>a</w:t>
            </w:r>
            <w:r w:rsidRPr="00E67A3F">
              <w:rPr>
                <w:sz w:val="16"/>
                <w:szCs w:val="16"/>
                <w:lang w:eastAsia="en-GB"/>
              </w:rPr>
              <w:t>R,</w:t>
            </w:r>
            <w:r w:rsidRPr="00E67A3F">
              <w:rPr>
                <w:rFonts w:ascii="Arial" w:hAnsi="Arial" w:cs="Arial"/>
                <w:sz w:val="16"/>
                <w:szCs w:val="16"/>
                <w:lang w:eastAsia="en-GB"/>
              </w:rPr>
              <w:t>​</w:t>
            </w:r>
            <w:r w:rsidRPr="00E67A3F">
              <w:rPr>
                <w:sz w:val="16"/>
                <w:szCs w:val="16"/>
                <w:lang w:eastAsia="en-GB"/>
              </w:rPr>
              <w:t>2R,</w:t>
            </w:r>
            <w:r w:rsidRPr="00E67A3F">
              <w:rPr>
                <w:rFonts w:ascii="Arial" w:hAnsi="Arial" w:cs="Arial"/>
                <w:sz w:val="16"/>
                <w:szCs w:val="16"/>
                <w:lang w:eastAsia="en-GB"/>
              </w:rPr>
              <w:t>​</w:t>
            </w:r>
            <w:r w:rsidRPr="00E67A3F">
              <w:rPr>
                <w:sz w:val="16"/>
                <w:szCs w:val="16"/>
                <w:lang w:eastAsia="en-GB"/>
              </w:rPr>
              <w:t>2</w:t>
            </w:r>
            <w:r w:rsidRPr="00D17A7B">
              <w:rPr>
                <w:sz w:val="16"/>
                <w:szCs w:val="16"/>
                <w:vertAlign w:val="superscript"/>
                <w:lang w:eastAsia="en-GB"/>
              </w:rPr>
              <w:t>a</w:t>
            </w:r>
            <w:r w:rsidRPr="00E67A3F">
              <w:rPr>
                <w:sz w:val="16"/>
                <w:szCs w:val="16"/>
                <w:lang w:eastAsia="en-GB"/>
              </w:rPr>
              <w:t>S,</w:t>
            </w:r>
            <w:r w:rsidRPr="00E67A3F">
              <w:rPr>
                <w:rFonts w:ascii="Arial" w:hAnsi="Arial" w:cs="Arial"/>
                <w:sz w:val="16"/>
                <w:szCs w:val="16"/>
                <w:lang w:eastAsia="en-GB"/>
              </w:rPr>
              <w:t>​</w:t>
            </w:r>
            <w:r w:rsidRPr="00E67A3F">
              <w:rPr>
                <w:sz w:val="16"/>
                <w:szCs w:val="16"/>
                <w:lang w:eastAsia="en-GB"/>
              </w:rPr>
              <w:t>3S,</w:t>
            </w:r>
            <w:r w:rsidRPr="00E67A3F">
              <w:rPr>
                <w:rFonts w:ascii="Arial" w:hAnsi="Arial" w:cs="Arial"/>
                <w:sz w:val="16"/>
                <w:szCs w:val="16"/>
                <w:lang w:eastAsia="en-GB"/>
              </w:rPr>
              <w:t>​</w:t>
            </w:r>
            <w:r w:rsidRPr="00E67A3F">
              <w:rPr>
                <w:sz w:val="16"/>
                <w:szCs w:val="16"/>
                <w:lang w:eastAsia="en-GB"/>
              </w:rPr>
              <w:t>6R,</w:t>
            </w:r>
            <w:r w:rsidRPr="00E67A3F">
              <w:rPr>
                <w:rFonts w:ascii="Arial" w:hAnsi="Arial" w:cs="Arial"/>
                <w:sz w:val="16"/>
                <w:szCs w:val="16"/>
                <w:lang w:eastAsia="en-GB"/>
              </w:rPr>
              <w:t>​</w:t>
            </w:r>
            <w:r w:rsidRPr="00E67A3F">
              <w:rPr>
                <w:sz w:val="16"/>
                <w:szCs w:val="16"/>
                <w:lang w:eastAsia="en-GB"/>
              </w:rPr>
              <w:t>6</w:t>
            </w:r>
            <w:r w:rsidRPr="00D17A7B">
              <w:rPr>
                <w:sz w:val="16"/>
                <w:szCs w:val="16"/>
                <w:vertAlign w:val="superscript"/>
                <w:lang w:eastAsia="en-GB"/>
              </w:rPr>
              <w:t>a</w:t>
            </w:r>
            <w:r w:rsidRPr="00E67A3F">
              <w:rPr>
                <w:sz w:val="16"/>
                <w:szCs w:val="16"/>
                <w:lang w:eastAsia="en-GB"/>
              </w:rPr>
              <w:t>R,</w:t>
            </w:r>
            <w:r w:rsidRPr="00E67A3F">
              <w:rPr>
                <w:rFonts w:ascii="Arial" w:hAnsi="Arial" w:cs="Arial"/>
                <w:sz w:val="16"/>
                <w:szCs w:val="16"/>
                <w:lang w:eastAsia="en-GB"/>
              </w:rPr>
              <w:t>​</w:t>
            </w:r>
            <w:r w:rsidRPr="00E67A3F">
              <w:rPr>
                <w:sz w:val="16"/>
                <w:szCs w:val="16"/>
                <w:lang w:eastAsia="en-GB"/>
              </w:rPr>
              <w:t>7S,</w:t>
            </w:r>
            <w:r w:rsidRPr="00E67A3F">
              <w:rPr>
                <w:rFonts w:ascii="Arial" w:hAnsi="Arial" w:cs="Arial"/>
                <w:sz w:val="16"/>
                <w:szCs w:val="16"/>
                <w:lang w:eastAsia="en-GB"/>
              </w:rPr>
              <w:t>​</w:t>
            </w:r>
            <w:r w:rsidRPr="00E67A3F">
              <w:rPr>
                <w:sz w:val="16"/>
                <w:szCs w:val="16"/>
                <w:lang w:eastAsia="en-GB"/>
              </w:rPr>
              <w:t>7</w:t>
            </w:r>
            <w:r w:rsidRPr="00D17A7B">
              <w:rPr>
                <w:sz w:val="16"/>
                <w:szCs w:val="16"/>
                <w:vertAlign w:val="superscript"/>
                <w:lang w:eastAsia="en-GB"/>
              </w:rPr>
              <w:t>a</w:t>
            </w:r>
            <w:r w:rsidRPr="00E67A3F">
              <w:rPr>
                <w:sz w:val="16"/>
                <w:szCs w:val="16"/>
                <w:lang w:eastAsia="en-GB"/>
              </w:rPr>
              <w:t>S)</w:t>
            </w:r>
            <w:r w:rsidRPr="00E67A3F">
              <w:rPr>
                <w:rFonts w:ascii="Arial" w:hAnsi="Arial" w:cs="Arial"/>
                <w:sz w:val="16"/>
                <w:szCs w:val="16"/>
                <w:lang w:eastAsia="en-GB"/>
              </w:rPr>
              <w:t>​</w:t>
            </w:r>
            <w:r w:rsidRPr="00E67A3F">
              <w:rPr>
                <w:sz w:val="16"/>
                <w:szCs w:val="16"/>
                <w:lang w:eastAsia="en-GB"/>
              </w:rPr>
              <w:t>-</w:t>
            </w:r>
            <w:r w:rsidRPr="00E67A3F">
              <w:rPr>
                <w:rFonts w:ascii="Arial" w:hAnsi="Arial" w:cs="Arial"/>
                <w:sz w:val="16"/>
                <w:szCs w:val="16"/>
                <w:lang w:eastAsia="en-GB"/>
              </w:rPr>
              <w:t>​</w:t>
            </w:r>
            <w:r w:rsidRPr="00E67A3F">
              <w:rPr>
                <w:sz w:val="16"/>
                <w:szCs w:val="16"/>
                <w:lang w:eastAsia="en-GB"/>
              </w:rPr>
              <w:t>rel-</w:t>
            </w:r>
          </w:p>
        </w:tc>
        <w:tc>
          <w:tcPr>
            <w:tcW w:w="2153" w:type="dxa"/>
          </w:tcPr>
          <w:p w14:paraId="1D1B9186" w14:textId="77777777" w:rsidR="00E67A3F" w:rsidRPr="00E67A3F" w:rsidRDefault="00E67A3F" w:rsidP="00E67A3F">
            <w:pPr>
              <w:rPr>
                <w:bCs/>
                <w:noProof/>
                <w:sz w:val="16"/>
                <w:szCs w:val="16"/>
                <w:lang w:eastAsia="en-GB"/>
              </w:rPr>
            </w:pPr>
            <w:r w:rsidRPr="00E67A3F">
              <w:rPr>
                <w:sz w:val="16"/>
                <w:szCs w:val="16"/>
              </w:rPr>
              <w:t>1,</w:t>
            </w:r>
            <w:r w:rsidRPr="00E67A3F">
              <w:rPr>
                <w:rFonts w:ascii="Arial" w:hAnsi="Arial" w:cs="Arial"/>
                <w:sz w:val="16"/>
                <w:szCs w:val="16"/>
              </w:rPr>
              <w:t>​</w:t>
            </w:r>
            <w:r w:rsidRPr="00E67A3F">
              <w:rPr>
                <w:sz w:val="16"/>
                <w:szCs w:val="16"/>
              </w:rPr>
              <w:t>4:5,</w:t>
            </w:r>
            <w:r w:rsidRPr="00E67A3F">
              <w:rPr>
                <w:rFonts w:ascii="Arial" w:hAnsi="Arial" w:cs="Arial"/>
                <w:sz w:val="16"/>
                <w:szCs w:val="16"/>
              </w:rPr>
              <w:t>​</w:t>
            </w:r>
            <w:r w:rsidRPr="00E67A3F">
              <w:rPr>
                <w:sz w:val="16"/>
                <w:szCs w:val="16"/>
              </w:rPr>
              <w:t>8-</w:t>
            </w:r>
            <w:r w:rsidRPr="00E67A3F">
              <w:rPr>
                <w:rFonts w:ascii="Arial" w:hAnsi="Arial" w:cs="Arial"/>
                <w:sz w:val="16"/>
                <w:szCs w:val="16"/>
              </w:rPr>
              <w:t>​</w:t>
            </w:r>
            <w:r w:rsidRPr="00E67A3F">
              <w:rPr>
                <w:sz w:val="16"/>
                <w:szCs w:val="16"/>
              </w:rPr>
              <w:t>Dimethanonaphthalene</w:t>
            </w:r>
            <w:r w:rsidRPr="00E67A3F">
              <w:rPr>
                <w:rFonts w:ascii="Arial" w:hAnsi="Arial" w:cs="Arial"/>
                <w:sz w:val="16"/>
                <w:szCs w:val="16"/>
              </w:rPr>
              <w:t>​</w:t>
            </w:r>
            <w:r w:rsidRPr="00E67A3F">
              <w:rPr>
                <w:sz w:val="16"/>
                <w:szCs w:val="16"/>
              </w:rPr>
              <w:t>, 1,</w:t>
            </w:r>
            <w:r w:rsidRPr="00E67A3F">
              <w:rPr>
                <w:rFonts w:ascii="Arial" w:hAnsi="Arial" w:cs="Arial"/>
                <w:sz w:val="16"/>
                <w:szCs w:val="16"/>
              </w:rPr>
              <w:t>​</w:t>
            </w:r>
            <w:r w:rsidRPr="00E67A3F">
              <w:rPr>
                <w:sz w:val="16"/>
                <w:szCs w:val="16"/>
              </w:rPr>
              <w:t>2,</w:t>
            </w:r>
            <w:r w:rsidRPr="00E67A3F">
              <w:rPr>
                <w:rFonts w:ascii="Arial" w:hAnsi="Arial" w:cs="Arial"/>
                <w:sz w:val="16"/>
                <w:szCs w:val="16"/>
              </w:rPr>
              <w:t>​</w:t>
            </w:r>
            <w:r w:rsidRPr="00E67A3F">
              <w:rPr>
                <w:sz w:val="16"/>
                <w:szCs w:val="16"/>
              </w:rPr>
              <w:t>3,</w:t>
            </w:r>
            <w:r w:rsidRPr="00E67A3F">
              <w:rPr>
                <w:rFonts w:ascii="Arial" w:hAnsi="Arial" w:cs="Arial"/>
                <w:sz w:val="16"/>
                <w:szCs w:val="16"/>
              </w:rPr>
              <w:t>​</w:t>
            </w:r>
            <w:r w:rsidRPr="00E67A3F">
              <w:rPr>
                <w:sz w:val="16"/>
                <w:szCs w:val="16"/>
              </w:rPr>
              <w:t>4,</w:t>
            </w:r>
            <w:r w:rsidRPr="00E67A3F">
              <w:rPr>
                <w:rFonts w:ascii="Arial" w:hAnsi="Arial" w:cs="Arial"/>
                <w:sz w:val="16"/>
                <w:szCs w:val="16"/>
              </w:rPr>
              <w:t>​</w:t>
            </w:r>
            <w:r w:rsidRPr="00E67A3F">
              <w:rPr>
                <w:sz w:val="16"/>
                <w:szCs w:val="16"/>
              </w:rPr>
              <w:t>10,</w:t>
            </w:r>
            <w:r w:rsidRPr="00E67A3F">
              <w:rPr>
                <w:rFonts w:ascii="Arial" w:hAnsi="Arial" w:cs="Arial"/>
                <w:sz w:val="16"/>
                <w:szCs w:val="16"/>
              </w:rPr>
              <w:t>​</w:t>
            </w:r>
            <w:r w:rsidRPr="00E67A3F">
              <w:rPr>
                <w:sz w:val="16"/>
                <w:szCs w:val="16"/>
              </w:rPr>
              <w:t>10-</w:t>
            </w:r>
            <w:r w:rsidRPr="00E67A3F">
              <w:rPr>
                <w:rFonts w:ascii="Arial" w:hAnsi="Arial" w:cs="Arial"/>
                <w:sz w:val="16"/>
                <w:szCs w:val="16"/>
              </w:rPr>
              <w:t>​</w:t>
            </w:r>
            <w:r w:rsidRPr="00E67A3F">
              <w:rPr>
                <w:sz w:val="16"/>
                <w:szCs w:val="16"/>
              </w:rPr>
              <w:t>hexachloro-</w:t>
            </w:r>
            <w:r w:rsidRPr="00E67A3F">
              <w:rPr>
                <w:rFonts w:ascii="Arial" w:hAnsi="Arial" w:cs="Arial"/>
                <w:sz w:val="16"/>
                <w:szCs w:val="16"/>
              </w:rPr>
              <w:t>​</w:t>
            </w:r>
            <w:r w:rsidRPr="00E67A3F">
              <w:rPr>
                <w:sz w:val="16"/>
                <w:szCs w:val="16"/>
              </w:rPr>
              <w:t>1,</w:t>
            </w:r>
            <w:r w:rsidRPr="00E67A3F">
              <w:rPr>
                <w:rFonts w:ascii="Arial" w:hAnsi="Arial" w:cs="Arial"/>
                <w:sz w:val="16"/>
                <w:szCs w:val="16"/>
              </w:rPr>
              <w:t>​</w:t>
            </w:r>
            <w:r w:rsidRPr="00E67A3F">
              <w:rPr>
                <w:sz w:val="16"/>
                <w:szCs w:val="16"/>
              </w:rPr>
              <w:t>4,</w:t>
            </w:r>
            <w:r w:rsidRPr="00E67A3F">
              <w:rPr>
                <w:rFonts w:ascii="Arial" w:hAnsi="Arial" w:cs="Arial"/>
                <w:sz w:val="16"/>
                <w:szCs w:val="16"/>
              </w:rPr>
              <w:t>​</w:t>
            </w:r>
            <w:r w:rsidRPr="00E67A3F">
              <w:rPr>
                <w:sz w:val="16"/>
                <w:szCs w:val="16"/>
              </w:rPr>
              <w:t>4</w:t>
            </w:r>
            <w:r w:rsidRPr="00D17A7B">
              <w:rPr>
                <w:sz w:val="16"/>
                <w:szCs w:val="16"/>
                <w:vertAlign w:val="superscript"/>
              </w:rPr>
              <w:t>a</w:t>
            </w:r>
            <w:r w:rsidRPr="00E67A3F">
              <w:rPr>
                <w:sz w:val="16"/>
                <w:szCs w:val="16"/>
              </w:rPr>
              <w:t>,</w:t>
            </w:r>
            <w:r w:rsidRPr="00E67A3F">
              <w:rPr>
                <w:rFonts w:ascii="Arial" w:hAnsi="Arial" w:cs="Arial"/>
                <w:sz w:val="16"/>
                <w:szCs w:val="16"/>
              </w:rPr>
              <w:t>​</w:t>
            </w:r>
            <w:r w:rsidRPr="00E67A3F">
              <w:rPr>
                <w:sz w:val="16"/>
                <w:szCs w:val="16"/>
              </w:rPr>
              <w:t>5,</w:t>
            </w:r>
            <w:r w:rsidRPr="00E67A3F">
              <w:rPr>
                <w:rFonts w:ascii="Arial" w:hAnsi="Arial" w:cs="Arial"/>
                <w:sz w:val="16"/>
                <w:szCs w:val="16"/>
              </w:rPr>
              <w:t>​</w:t>
            </w:r>
            <w:r w:rsidRPr="00E67A3F">
              <w:rPr>
                <w:sz w:val="16"/>
                <w:szCs w:val="16"/>
              </w:rPr>
              <w:t>8,</w:t>
            </w:r>
            <w:r w:rsidRPr="00E67A3F">
              <w:rPr>
                <w:rFonts w:ascii="Arial" w:hAnsi="Arial" w:cs="Arial"/>
                <w:sz w:val="16"/>
                <w:szCs w:val="16"/>
              </w:rPr>
              <w:t>​</w:t>
            </w:r>
            <w:r w:rsidRPr="00E67A3F">
              <w:rPr>
                <w:sz w:val="16"/>
                <w:szCs w:val="16"/>
              </w:rPr>
              <w:t>8</w:t>
            </w:r>
            <w:r w:rsidRPr="00D17A7B">
              <w:rPr>
                <w:sz w:val="16"/>
                <w:szCs w:val="16"/>
                <w:vertAlign w:val="superscript"/>
              </w:rPr>
              <w:t>a</w:t>
            </w:r>
            <w:r w:rsidRPr="00E67A3F">
              <w:rPr>
                <w:sz w:val="16"/>
                <w:szCs w:val="16"/>
              </w:rPr>
              <w:t>-</w:t>
            </w:r>
            <w:r w:rsidRPr="00E67A3F">
              <w:rPr>
                <w:rFonts w:ascii="Arial" w:hAnsi="Arial" w:cs="Arial"/>
                <w:sz w:val="16"/>
                <w:szCs w:val="16"/>
              </w:rPr>
              <w:t>​</w:t>
            </w:r>
            <w:r w:rsidRPr="00E67A3F">
              <w:rPr>
                <w:sz w:val="16"/>
                <w:szCs w:val="16"/>
              </w:rPr>
              <w:t>hexahydro-</w:t>
            </w:r>
            <w:r w:rsidRPr="00E67A3F">
              <w:rPr>
                <w:rFonts w:ascii="Arial" w:hAnsi="Arial" w:cs="Arial"/>
                <w:sz w:val="16"/>
                <w:szCs w:val="16"/>
              </w:rPr>
              <w:t>​</w:t>
            </w:r>
            <w:r w:rsidRPr="00E67A3F">
              <w:rPr>
                <w:sz w:val="16"/>
                <w:szCs w:val="16"/>
              </w:rPr>
              <w:t>, (1R,</w:t>
            </w:r>
            <w:r w:rsidRPr="00E67A3F">
              <w:rPr>
                <w:rFonts w:ascii="Arial" w:hAnsi="Arial" w:cs="Arial"/>
                <w:sz w:val="16"/>
                <w:szCs w:val="16"/>
              </w:rPr>
              <w:t>​</w:t>
            </w:r>
            <w:r w:rsidRPr="00E67A3F">
              <w:rPr>
                <w:sz w:val="16"/>
                <w:szCs w:val="16"/>
              </w:rPr>
              <w:t>4S,</w:t>
            </w:r>
            <w:r w:rsidRPr="00E67A3F">
              <w:rPr>
                <w:rFonts w:ascii="Arial" w:hAnsi="Arial" w:cs="Arial"/>
                <w:sz w:val="16"/>
                <w:szCs w:val="16"/>
              </w:rPr>
              <w:t>​</w:t>
            </w:r>
            <w:r w:rsidRPr="00E67A3F">
              <w:rPr>
                <w:sz w:val="16"/>
                <w:szCs w:val="16"/>
              </w:rPr>
              <w:t>4</w:t>
            </w:r>
            <w:r w:rsidRPr="00D17A7B">
              <w:rPr>
                <w:sz w:val="16"/>
                <w:szCs w:val="16"/>
                <w:vertAlign w:val="superscript"/>
              </w:rPr>
              <w:t>a</w:t>
            </w:r>
            <w:r w:rsidRPr="00E67A3F">
              <w:rPr>
                <w:sz w:val="16"/>
                <w:szCs w:val="16"/>
              </w:rPr>
              <w:t>S,</w:t>
            </w:r>
            <w:r w:rsidRPr="00E67A3F">
              <w:rPr>
                <w:rFonts w:ascii="Arial" w:hAnsi="Arial" w:cs="Arial"/>
                <w:sz w:val="16"/>
                <w:szCs w:val="16"/>
              </w:rPr>
              <w:t>​</w:t>
            </w:r>
            <w:r w:rsidRPr="00E67A3F">
              <w:rPr>
                <w:sz w:val="16"/>
                <w:szCs w:val="16"/>
              </w:rPr>
              <w:t>5S,</w:t>
            </w:r>
            <w:r w:rsidRPr="00E67A3F">
              <w:rPr>
                <w:rFonts w:ascii="Arial" w:hAnsi="Arial" w:cs="Arial"/>
                <w:sz w:val="16"/>
                <w:szCs w:val="16"/>
              </w:rPr>
              <w:t>​</w:t>
            </w:r>
            <w:r w:rsidRPr="00E67A3F">
              <w:rPr>
                <w:sz w:val="16"/>
                <w:szCs w:val="16"/>
              </w:rPr>
              <w:t>8R,</w:t>
            </w:r>
            <w:r w:rsidRPr="00E67A3F">
              <w:rPr>
                <w:rFonts w:ascii="Arial" w:hAnsi="Arial" w:cs="Arial"/>
                <w:sz w:val="16"/>
                <w:szCs w:val="16"/>
              </w:rPr>
              <w:t>​</w:t>
            </w:r>
            <w:r w:rsidRPr="00E67A3F">
              <w:rPr>
                <w:sz w:val="16"/>
                <w:szCs w:val="16"/>
              </w:rPr>
              <w:t>8</w:t>
            </w:r>
            <w:r w:rsidRPr="00D17A7B">
              <w:rPr>
                <w:sz w:val="16"/>
                <w:szCs w:val="16"/>
                <w:vertAlign w:val="superscript"/>
              </w:rPr>
              <w:t>a</w:t>
            </w:r>
            <w:r w:rsidRPr="00E67A3F">
              <w:rPr>
                <w:sz w:val="16"/>
                <w:szCs w:val="16"/>
              </w:rPr>
              <w:t>R)</w:t>
            </w:r>
            <w:r w:rsidRPr="00E67A3F">
              <w:rPr>
                <w:rFonts w:ascii="Arial" w:hAnsi="Arial" w:cs="Arial"/>
                <w:sz w:val="16"/>
                <w:szCs w:val="16"/>
              </w:rPr>
              <w:t>​</w:t>
            </w:r>
            <w:r w:rsidRPr="00E67A3F">
              <w:rPr>
                <w:sz w:val="16"/>
                <w:szCs w:val="16"/>
              </w:rPr>
              <w:t>-</w:t>
            </w:r>
            <w:r w:rsidRPr="00E67A3F">
              <w:rPr>
                <w:rFonts w:ascii="Arial" w:hAnsi="Arial" w:cs="Arial"/>
                <w:sz w:val="16"/>
                <w:szCs w:val="16"/>
              </w:rPr>
              <w:t>​</w:t>
            </w:r>
            <w:r w:rsidRPr="00E67A3F">
              <w:rPr>
                <w:sz w:val="16"/>
                <w:szCs w:val="16"/>
              </w:rPr>
              <w:t xml:space="preserve">rel- </w:t>
            </w:r>
          </w:p>
        </w:tc>
        <w:tc>
          <w:tcPr>
            <w:tcW w:w="2153" w:type="dxa"/>
          </w:tcPr>
          <w:p w14:paraId="45AA82B8" w14:textId="77777777" w:rsidR="00E67A3F" w:rsidRPr="00E67A3F" w:rsidRDefault="00E67A3F" w:rsidP="00E67A3F">
            <w:pPr>
              <w:rPr>
                <w:bCs/>
                <w:noProof/>
                <w:sz w:val="16"/>
                <w:szCs w:val="16"/>
                <w:lang w:eastAsia="en-GB"/>
              </w:rPr>
            </w:pPr>
            <w:r w:rsidRPr="00E67A3F">
              <w:rPr>
                <w:bCs/>
                <w:noProof/>
                <w:sz w:val="16"/>
                <w:szCs w:val="16"/>
                <w:lang w:eastAsia="en-GB"/>
              </w:rPr>
              <w:t>6,</w:t>
            </w:r>
            <w:r w:rsidRPr="00E67A3F">
              <w:rPr>
                <w:rFonts w:ascii="Arial" w:hAnsi="Arial" w:cs="Arial"/>
                <w:bCs/>
                <w:noProof/>
                <w:sz w:val="16"/>
                <w:szCs w:val="16"/>
                <w:lang w:eastAsia="en-GB"/>
              </w:rPr>
              <w:t>​</w:t>
            </w:r>
            <w:r w:rsidRPr="00E67A3F">
              <w:rPr>
                <w:bCs/>
                <w:noProof/>
                <w:sz w:val="16"/>
                <w:szCs w:val="16"/>
                <w:lang w:eastAsia="en-GB"/>
              </w:rPr>
              <w:t>9-</w:t>
            </w:r>
            <w:r w:rsidRPr="00E67A3F">
              <w:rPr>
                <w:rFonts w:ascii="Arial" w:hAnsi="Arial" w:cs="Arial"/>
                <w:bCs/>
                <w:noProof/>
                <w:sz w:val="16"/>
                <w:szCs w:val="16"/>
                <w:lang w:eastAsia="en-GB"/>
              </w:rPr>
              <w:t>​</w:t>
            </w:r>
            <w:r w:rsidRPr="00E67A3F">
              <w:rPr>
                <w:bCs/>
                <w:noProof/>
                <w:sz w:val="16"/>
                <w:szCs w:val="16"/>
                <w:lang w:eastAsia="en-GB"/>
              </w:rPr>
              <w:t>Methano-</w:t>
            </w:r>
            <w:r w:rsidRPr="00E67A3F">
              <w:rPr>
                <w:rFonts w:ascii="Arial" w:hAnsi="Arial" w:cs="Arial"/>
                <w:bCs/>
                <w:noProof/>
                <w:sz w:val="16"/>
                <w:szCs w:val="16"/>
                <w:lang w:eastAsia="en-GB"/>
              </w:rPr>
              <w:t>​</w:t>
            </w:r>
            <w:r w:rsidRPr="00E67A3F">
              <w:rPr>
                <w:bCs/>
                <w:noProof/>
                <w:sz w:val="16"/>
                <w:szCs w:val="16"/>
                <w:lang w:eastAsia="en-GB"/>
              </w:rPr>
              <w:t>2,</w:t>
            </w:r>
            <w:r w:rsidRPr="00E67A3F">
              <w:rPr>
                <w:rFonts w:ascii="Arial" w:hAnsi="Arial" w:cs="Arial"/>
                <w:bCs/>
                <w:noProof/>
                <w:sz w:val="16"/>
                <w:szCs w:val="16"/>
                <w:lang w:eastAsia="en-GB"/>
              </w:rPr>
              <w:t>​</w:t>
            </w:r>
            <w:r w:rsidRPr="00E67A3F">
              <w:rPr>
                <w:bCs/>
                <w:noProof/>
                <w:sz w:val="16"/>
                <w:szCs w:val="16"/>
                <w:lang w:eastAsia="en-GB"/>
              </w:rPr>
              <w:t>4,</w:t>
            </w:r>
            <w:r w:rsidRPr="00E67A3F">
              <w:rPr>
                <w:rFonts w:ascii="Arial" w:hAnsi="Arial" w:cs="Arial"/>
                <w:bCs/>
                <w:noProof/>
                <w:sz w:val="16"/>
                <w:szCs w:val="16"/>
                <w:lang w:eastAsia="en-GB"/>
              </w:rPr>
              <w:t>​</w:t>
            </w:r>
            <w:r w:rsidRPr="00E67A3F">
              <w:rPr>
                <w:bCs/>
                <w:noProof/>
                <w:sz w:val="16"/>
                <w:szCs w:val="16"/>
                <w:lang w:eastAsia="en-GB"/>
              </w:rPr>
              <w:t>3-</w:t>
            </w:r>
            <w:r w:rsidRPr="00E67A3F">
              <w:rPr>
                <w:rFonts w:ascii="Arial" w:hAnsi="Arial" w:cs="Arial"/>
                <w:bCs/>
                <w:noProof/>
                <w:sz w:val="16"/>
                <w:szCs w:val="16"/>
                <w:lang w:eastAsia="en-GB"/>
              </w:rPr>
              <w:t>​</w:t>
            </w:r>
            <w:r w:rsidRPr="00E67A3F">
              <w:rPr>
                <w:bCs/>
                <w:noProof/>
                <w:sz w:val="16"/>
                <w:szCs w:val="16"/>
                <w:lang w:eastAsia="en-GB"/>
              </w:rPr>
              <w:t>benzodioxathiepin, 6,</w:t>
            </w:r>
            <w:r w:rsidRPr="00E67A3F">
              <w:rPr>
                <w:rFonts w:ascii="Arial" w:hAnsi="Arial" w:cs="Arial"/>
                <w:bCs/>
                <w:noProof/>
                <w:sz w:val="16"/>
                <w:szCs w:val="16"/>
                <w:lang w:eastAsia="en-GB"/>
              </w:rPr>
              <w:t>​</w:t>
            </w:r>
            <w:r w:rsidRPr="00E67A3F">
              <w:rPr>
                <w:bCs/>
                <w:noProof/>
                <w:sz w:val="16"/>
                <w:szCs w:val="16"/>
                <w:lang w:eastAsia="en-GB"/>
              </w:rPr>
              <w:t>7,</w:t>
            </w:r>
            <w:r w:rsidRPr="00E67A3F">
              <w:rPr>
                <w:rFonts w:ascii="Arial" w:hAnsi="Arial" w:cs="Arial"/>
                <w:bCs/>
                <w:noProof/>
                <w:sz w:val="16"/>
                <w:szCs w:val="16"/>
                <w:lang w:eastAsia="en-GB"/>
              </w:rPr>
              <w:t>​</w:t>
            </w:r>
            <w:r w:rsidRPr="00E67A3F">
              <w:rPr>
                <w:bCs/>
                <w:noProof/>
                <w:sz w:val="16"/>
                <w:szCs w:val="16"/>
                <w:lang w:eastAsia="en-GB"/>
              </w:rPr>
              <w:t>8,</w:t>
            </w:r>
            <w:r w:rsidRPr="00E67A3F">
              <w:rPr>
                <w:rFonts w:ascii="Arial" w:hAnsi="Arial" w:cs="Arial"/>
                <w:bCs/>
                <w:noProof/>
                <w:sz w:val="16"/>
                <w:szCs w:val="16"/>
                <w:lang w:eastAsia="en-GB"/>
              </w:rPr>
              <w:t>​</w:t>
            </w:r>
            <w:r w:rsidRPr="00E67A3F">
              <w:rPr>
                <w:bCs/>
                <w:noProof/>
                <w:sz w:val="16"/>
                <w:szCs w:val="16"/>
                <w:lang w:eastAsia="en-GB"/>
              </w:rPr>
              <w:t>9,</w:t>
            </w:r>
            <w:r w:rsidRPr="00E67A3F">
              <w:rPr>
                <w:rFonts w:ascii="Arial" w:hAnsi="Arial" w:cs="Arial"/>
                <w:bCs/>
                <w:noProof/>
                <w:sz w:val="16"/>
                <w:szCs w:val="16"/>
                <w:lang w:eastAsia="en-GB"/>
              </w:rPr>
              <w:t>​</w:t>
            </w:r>
            <w:r w:rsidRPr="00E67A3F">
              <w:rPr>
                <w:bCs/>
                <w:noProof/>
                <w:sz w:val="16"/>
                <w:szCs w:val="16"/>
                <w:lang w:eastAsia="en-GB"/>
              </w:rPr>
              <w:t>10,</w:t>
            </w:r>
            <w:r w:rsidRPr="00E67A3F">
              <w:rPr>
                <w:rFonts w:ascii="Arial" w:hAnsi="Arial" w:cs="Arial"/>
                <w:bCs/>
                <w:noProof/>
                <w:sz w:val="16"/>
                <w:szCs w:val="16"/>
                <w:lang w:eastAsia="en-GB"/>
              </w:rPr>
              <w:t>​</w:t>
            </w:r>
            <w:r w:rsidRPr="00E67A3F">
              <w:rPr>
                <w:bCs/>
                <w:noProof/>
                <w:sz w:val="16"/>
                <w:szCs w:val="16"/>
                <w:lang w:eastAsia="en-GB"/>
              </w:rPr>
              <w:t>10-</w:t>
            </w:r>
            <w:r w:rsidRPr="00E67A3F">
              <w:rPr>
                <w:rFonts w:ascii="Arial" w:hAnsi="Arial" w:cs="Arial"/>
                <w:bCs/>
                <w:noProof/>
                <w:sz w:val="16"/>
                <w:szCs w:val="16"/>
                <w:lang w:eastAsia="en-GB"/>
              </w:rPr>
              <w:t>​</w:t>
            </w:r>
            <w:r w:rsidRPr="00E67A3F">
              <w:rPr>
                <w:bCs/>
                <w:noProof/>
                <w:sz w:val="16"/>
                <w:szCs w:val="16"/>
                <w:lang w:eastAsia="en-GB"/>
              </w:rPr>
              <w:t>hexachloro-</w:t>
            </w:r>
            <w:r w:rsidRPr="00E67A3F">
              <w:rPr>
                <w:rFonts w:ascii="Arial" w:hAnsi="Arial" w:cs="Arial"/>
                <w:bCs/>
                <w:noProof/>
                <w:sz w:val="16"/>
                <w:szCs w:val="16"/>
                <w:lang w:eastAsia="en-GB"/>
              </w:rPr>
              <w:t>​</w:t>
            </w:r>
            <w:r w:rsidRPr="00E67A3F">
              <w:rPr>
                <w:bCs/>
                <w:noProof/>
                <w:sz w:val="16"/>
                <w:szCs w:val="16"/>
                <w:lang w:eastAsia="en-GB"/>
              </w:rPr>
              <w:t>1,</w:t>
            </w:r>
            <w:r w:rsidRPr="00E67A3F">
              <w:rPr>
                <w:rFonts w:ascii="Arial" w:hAnsi="Arial" w:cs="Arial"/>
                <w:bCs/>
                <w:noProof/>
                <w:sz w:val="16"/>
                <w:szCs w:val="16"/>
                <w:lang w:eastAsia="en-GB"/>
              </w:rPr>
              <w:t>​</w:t>
            </w:r>
            <w:r w:rsidRPr="00E67A3F">
              <w:rPr>
                <w:bCs/>
                <w:noProof/>
                <w:sz w:val="16"/>
                <w:szCs w:val="16"/>
                <w:lang w:eastAsia="en-GB"/>
              </w:rPr>
              <w:t>5,</w:t>
            </w:r>
            <w:r w:rsidRPr="00E67A3F">
              <w:rPr>
                <w:rFonts w:ascii="Arial" w:hAnsi="Arial" w:cs="Arial"/>
                <w:bCs/>
                <w:noProof/>
                <w:sz w:val="16"/>
                <w:szCs w:val="16"/>
                <w:lang w:eastAsia="en-GB"/>
              </w:rPr>
              <w:t>​</w:t>
            </w:r>
            <w:r w:rsidRPr="00E67A3F">
              <w:rPr>
                <w:bCs/>
                <w:noProof/>
                <w:sz w:val="16"/>
                <w:szCs w:val="16"/>
                <w:lang w:eastAsia="en-GB"/>
              </w:rPr>
              <w:t>5</w:t>
            </w:r>
            <w:r w:rsidRPr="00D17A7B">
              <w:rPr>
                <w:bCs/>
                <w:noProof/>
                <w:sz w:val="16"/>
                <w:szCs w:val="16"/>
                <w:vertAlign w:val="superscript"/>
                <w:lang w:eastAsia="en-GB"/>
              </w:rPr>
              <w:t>a</w:t>
            </w:r>
            <w:r w:rsidRPr="00E67A3F">
              <w:rPr>
                <w:bCs/>
                <w:noProof/>
                <w:sz w:val="16"/>
                <w:szCs w:val="16"/>
                <w:lang w:eastAsia="en-GB"/>
              </w:rPr>
              <w:t>,</w:t>
            </w:r>
            <w:r w:rsidRPr="00E67A3F">
              <w:rPr>
                <w:rFonts w:ascii="Arial" w:hAnsi="Arial" w:cs="Arial"/>
                <w:bCs/>
                <w:noProof/>
                <w:sz w:val="16"/>
                <w:szCs w:val="16"/>
                <w:lang w:eastAsia="en-GB"/>
              </w:rPr>
              <w:t>​</w:t>
            </w:r>
            <w:r w:rsidRPr="00E67A3F">
              <w:rPr>
                <w:bCs/>
                <w:noProof/>
                <w:sz w:val="16"/>
                <w:szCs w:val="16"/>
                <w:lang w:eastAsia="en-GB"/>
              </w:rPr>
              <w:t>6,</w:t>
            </w:r>
            <w:r w:rsidRPr="00E67A3F">
              <w:rPr>
                <w:rFonts w:ascii="Arial" w:hAnsi="Arial" w:cs="Arial"/>
                <w:bCs/>
                <w:noProof/>
                <w:sz w:val="16"/>
                <w:szCs w:val="16"/>
                <w:lang w:eastAsia="en-GB"/>
              </w:rPr>
              <w:t>​</w:t>
            </w:r>
            <w:r w:rsidRPr="00E67A3F">
              <w:rPr>
                <w:bCs/>
                <w:noProof/>
                <w:sz w:val="16"/>
                <w:szCs w:val="16"/>
                <w:lang w:eastAsia="en-GB"/>
              </w:rPr>
              <w:t>9,</w:t>
            </w:r>
            <w:r w:rsidRPr="00E67A3F">
              <w:rPr>
                <w:rFonts w:ascii="Arial" w:hAnsi="Arial" w:cs="Arial"/>
                <w:bCs/>
                <w:noProof/>
                <w:sz w:val="16"/>
                <w:szCs w:val="16"/>
                <w:lang w:eastAsia="en-GB"/>
              </w:rPr>
              <w:t>​</w:t>
            </w:r>
            <w:r w:rsidRPr="00E67A3F">
              <w:rPr>
                <w:bCs/>
                <w:noProof/>
                <w:sz w:val="16"/>
                <w:szCs w:val="16"/>
                <w:lang w:eastAsia="en-GB"/>
              </w:rPr>
              <w:t>9</w:t>
            </w:r>
            <w:r w:rsidRPr="00D17A7B">
              <w:rPr>
                <w:bCs/>
                <w:noProof/>
                <w:sz w:val="16"/>
                <w:szCs w:val="16"/>
                <w:vertAlign w:val="superscript"/>
                <w:lang w:eastAsia="en-GB"/>
              </w:rPr>
              <w:t>a</w:t>
            </w:r>
            <w:r w:rsidRPr="00E67A3F">
              <w:rPr>
                <w:bCs/>
                <w:noProof/>
                <w:sz w:val="16"/>
                <w:szCs w:val="16"/>
                <w:lang w:eastAsia="en-GB"/>
              </w:rPr>
              <w:t>-</w:t>
            </w:r>
            <w:r w:rsidRPr="00E67A3F">
              <w:rPr>
                <w:rFonts w:ascii="Arial" w:hAnsi="Arial" w:cs="Arial"/>
                <w:bCs/>
                <w:noProof/>
                <w:sz w:val="16"/>
                <w:szCs w:val="16"/>
                <w:lang w:eastAsia="en-GB"/>
              </w:rPr>
              <w:t>​</w:t>
            </w:r>
            <w:r w:rsidRPr="00E67A3F">
              <w:rPr>
                <w:bCs/>
                <w:noProof/>
                <w:sz w:val="16"/>
                <w:szCs w:val="16"/>
                <w:lang w:eastAsia="en-GB"/>
              </w:rPr>
              <w:t>hexahydro-</w:t>
            </w:r>
            <w:r w:rsidRPr="00E67A3F">
              <w:rPr>
                <w:rFonts w:ascii="Arial" w:hAnsi="Arial" w:cs="Arial"/>
                <w:bCs/>
                <w:noProof/>
                <w:sz w:val="16"/>
                <w:szCs w:val="16"/>
                <w:lang w:eastAsia="en-GB"/>
              </w:rPr>
              <w:t>​</w:t>
            </w:r>
            <w:r w:rsidRPr="00E67A3F">
              <w:rPr>
                <w:bCs/>
                <w:noProof/>
                <w:sz w:val="16"/>
                <w:szCs w:val="16"/>
                <w:lang w:eastAsia="en-GB"/>
              </w:rPr>
              <w:t>, 3-</w:t>
            </w:r>
            <w:r w:rsidRPr="00E67A3F">
              <w:rPr>
                <w:rFonts w:ascii="Arial" w:hAnsi="Arial" w:cs="Arial"/>
                <w:bCs/>
                <w:noProof/>
                <w:sz w:val="16"/>
                <w:szCs w:val="16"/>
                <w:lang w:eastAsia="en-GB"/>
              </w:rPr>
              <w:t>​</w:t>
            </w:r>
            <w:r w:rsidRPr="00E67A3F">
              <w:rPr>
                <w:bCs/>
                <w:noProof/>
                <w:sz w:val="16"/>
                <w:szCs w:val="16"/>
                <w:lang w:eastAsia="en-GB"/>
              </w:rPr>
              <w:t>oxide</w:t>
            </w:r>
          </w:p>
        </w:tc>
        <w:tc>
          <w:tcPr>
            <w:tcW w:w="2153" w:type="dxa"/>
          </w:tcPr>
          <w:p w14:paraId="396599CC" w14:textId="77777777" w:rsidR="00E67A3F" w:rsidRPr="00E67A3F" w:rsidRDefault="00E67A3F" w:rsidP="00E67A3F">
            <w:pPr>
              <w:rPr>
                <w:bCs/>
                <w:noProof/>
                <w:sz w:val="16"/>
                <w:szCs w:val="16"/>
                <w:lang w:eastAsia="en-GB"/>
              </w:rPr>
            </w:pPr>
            <w:r w:rsidRPr="00E67A3F">
              <w:rPr>
                <w:color w:val="474340"/>
                <w:sz w:val="16"/>
                <w:szCs w:val="16"/>
              </w:rPr>
              <w:t>Bicyclo[2.2.1]</w:t>
            </w:r>
            <w:r w:rsidRPr="00E67A3F">
              <w:rPr>
                <w:rFonts w:ascii="Arial" w:hAnsi="Arial" w:cs="Arial"/>
                <w:color w:val="474340"/>
                <w:sz w:val="16"/>
                <w:szCs w:val="16"/>
              </w:rPr>
              <w:t>​</w:t>
            </w:r>
            <w:r w:rsidRPr="00E67A3F">
              <w:rPr>
                <w:color w:val="474340"/>
                <w:sz w:val="16"/>
                <w:szCs w:val="16"/>
              </w:rPr>
              <w:t>hept-</w:t>
            </w:r>
            <w:r w:rsidRPr="00E67A3F">
              <w:rPr>
                <w:rFonts w:ascii="Arial" w:hAnsi="Arial" w:cs="Arial"/>
                <w:color w:val="474340"/>
                <w:sz w:val="16"/>
                <w:szCs w:val="16"/>
              </w:rPr>
              <w:t>​</w:t>
            </w:r>
            <w:r w:rsidRPr="00E67A3F">
              <w:rPr>
                <w:color w:val="474340"/>
                <w:sz w:val="16"/>
                <w:szCs w:val="16"/>
              </w:rPr>
              <w:t>5-</w:t>
            </w:r>
            <w:r w:rsidRPr="00E67A3F">
              <w:rPr>
                <w:rFonts w:ascii="Arial" w:hAnsi="Arial" w:cs="Arial"/>
                <w:color w:val="474340"/>
                <w:sz w:val="16"/>
                <w:szCs w:val="16"/>
              </w:rPr>
              <w:t>​</w:t>
            </w:r>
            <w:r w:rsidRPr="00E67A3F">
              <w:rPr>
                <w:color w:val="474340"/>
                <w:sz w:val="16"/>
                <w:szCs w:val="16"/>
              </w:rPr>
              <w:t>ene-</w:t>
            </w:r>
            <w:r w:rsidRPr="00E67A3F">
              <w:rPr>
                <w:rFonts w:ascii="Arial" w:hAnsi="Arial" w:cs="Arial"/>
                <w:color w:val="474340"/>
                <w:sz w:val="16"/>
                <w:szCs w:val="16"/>
              </w:rPr>
              <w:t>​</w:t>
            </w:r>
            <w:r w:rsidRPr="00E67A3F">
              <w:rPr>
                <w:color w:val="474340"/>
                <w:sz w:val="16"/>
                <w:szCs w:val="16"/>
              </w:rPr>
              <w:t>2,</w:t>
            </w:r>
            <w:r w:rsidRPr="00E67A3F">
              <w:rPr>
                <w:rFonts w:ascii="Arial" w:hAnsi="Arial" w:cs="Arial"/>
                <w:color w:val="474340"/>
                <w:sz w:val="16"/>
                <w:szCs w:val="16"/>
              </w:rPr>
              <w:t>​</w:t>
            </w:r>
            <w:r w:rsidRPr="00E67A3F">
              <w:rPr>
                <w:color w:val="474340"/>
                <w:sz w:val="16"/>
                <w:szCs w:val="16"/>
              </w:rPr>
              <w:t>3-</w:t>
            </w:r>
            <w:r w:rsidRPr="00E67A3F">
              <w:rPr>
                <w:rFonts w:ascii="Arial" w:hAnsi="Arial" w:cs="Arial"/>
                <w:color w:val="474340"/>
                <w:sz w:val="16"/>
                <w:szCs w:val="16"/>
              </w:rPr>
              <w:t>​</w:t>
            </w:r>
            <w:r w:rsidRPr="00E67A3F">
              <w:rPr>
                <w:color w:val="474340"/>
                <w:sz w:val="16"/>
                <w:szCs w:val="16"/>
              </w:rPr>
              <w:t>dicarboxylic acid, 1,</w:t>
            </w:r>
            <w:r w:rsidRPr="00E67A3F">
              <w:rPr>
                <w:rFonts w:ascii="Arial" w:hAnsi="Arial" w:cs="Arial"/>
                <w:color w:val="474340"/>
                <w:sz w:val="16"/>
                <w:szCs w:val="16"/>
              </w:rPr>
              <w:t>​</w:t>
            </w:r>
            <w:r w:rsidRPr="00E67A3F">
              <w:rPr>
                <w:color w:val="474340"/>
                <w:sz w:val="16"/>
                <w:szCs w:val="16"/>
              </w:rPr>
              <w:t>4,</w:t>
            </w:r>
            <w:r w:rsidRPr="00E67A3F">
              <w:rPr>
                <w:rFonts w:ascii="Arial" w:hAnsi="Arial" w:cs="Arial"/>
                <w:color w:val="474340"/>
                <w:sz w:val="16"/>
                <w:szCs w:val="16"/>
              </w:rPr>
              <w:t>​</w:t>
            </w:r>
            <w:r w:rsidRPr="00E67A3F">
              <w:rPr>
                <w:color w:val="474340"/>
                <w:sz w:val="16"/>
                <w:szCs w:val="16"/>
              </w:rPr>
              <w:t>5,</w:t>
            </w:r>
            <w:r w:rsidRPr="00E67A3F">
              <w:rPr>
                <w:rFonts w:ascii="Arial" w:hAnsi="Arial" w:cs="Arial"/>
                <w:color w:val="474340"/>
                <w:sz w:val="16"/>
                <w:szCs w:val="16"/>
              </w:rPr>
              <w:t>​</w:t>
            </w:r>
            <w:r w:rsidRPr="00E67A3F">
              <w:rPr>
                <w:color w:val="474340"/>
                <w:sz w:val="16"/>
                <w:szCs w:val="16"/>
              </w:rPr>
              <w:t>6,</w:t>
            </w:r>
            <w:r w:rsidRPr="00E67A3F">
              <w:rPr>
                <w:rFonts w:ascii="Arial" w:hAnsi="Arial" w:cs="Arial"/>
                <w:color w:val="474340"/>
                <w:sz w:val="16"/>
                <w:szCs w:val="16"/>
              </w:rPr>
              <w:t>​</w:t>
            </w:r>
            <w:r w:rsidRPr="00E67A3F">
              <w:rPr>
                <w:color w:val="474340"/>
                <w:sz w:val="16"/>
                <w:szCs w:val="16"/>
              </w:rPr>
              <w:t>7,</w:t>
            </w:r>
            <w:r w:rsidRPr="00E67A3F">
              <w:rPr>
                <w:rFonts w:ascii="Arial" w:hAnsi="Arial" w:cs="Arial"/>
                <w:color w:val="474340"/>
                <w:sz w:val="16"/>
                <w:szCs w:val="16"/>
              </w:rPr>
              <w:t>​</w:t>
            </w:r>
            <w:r w:rsidRPr="00E67A3F">
              <w:rPr>
                <w:color w:val="474340"/>
                <w:sz w:val="16"/>
                <w:szCs w:val="16"/>
              </w:rPr>
              <w:t>7-</w:t>
            </w:r>
            <w:r w:rsidRPr="00E67A3F">
              <w:rPr>
                <w:rFonts w:ascii="Arial" w:hAnsi="Arial" w:cs="Arial"/>
                <w:color w:val="474340"/>
                <w:sz w:val="16"/>
                <w:szCs w:val="16"/>
              </w:rPr>
              <w:t>​</w:t>
            </w:r>
            <w:r w:rsidRPr="00E67A3F">
              <w:rPr>
                <w:color w:val="474340"/>
                <w:sz w:val="16"/>
                <w:szCs w:val="16"/>
              </w:rPr>
              <w:t xml:space="preserve">hexachloro- </w:t>
            </w:r>
          </w:p>
        </w:tc>
      </w:tr>
      <w:tr w:rsidR="00E67A3F" w:rsidRPr="009973DE" w14:paraId="36F05513" w14:textId="77777777" w:rsidTr="006F2F0E">
        <w:tc>
          <w:tcPr>
            <w:tcW w:w="1680" w:type="dxa"/>
          </w:tcPr>
          <w:p w14:paraId="22F57A16" w14:textId="77777777" w:rsidR="00E67A3F" w:rsidRPr="00E67A3F" w:rsidRDefault="00E67A3F" w:rsidP="00E67A3F">
            <w:pPr>
              <w:pStyle w:val="BodyText"/>
              <w:spacing w:after="0"/>
              <w:rPr>
                <w:b/>
                <w:bCs/>
                <w:sz w:val="16"/>
                <w:szCs w:val="16"/>
              </w:rPr>
            </w:pPr>
            <w:r w:rsidRPr="00E67A3F">
              <w:rPr>
                <w:b/>
                <w:bCs/>
                <w:sz w:val="16"/>
                <w:szCs w:val="16"/>
              </w:rPr>
              <w:t>IUPAC name:</w:t>
            </w:r>
          </w:p>
        </w:tc>
        <w:tc>
          <w:tcPr>
            <w:tcW w:w="2151" w:type="dxa"/>
          </w:tcPr>
          <w:p w14:paraId="3E595225" w14:textId="77777777" w:rsidR="00E67A3F" w:rsidRPr="00E67A3F" w:rsidRDefault="00E67A3F" w:rsidP="00E67A3F">
            <w:pPr>
              <w:rPr>
                <w:noProof/>
                <w:sz w:val="16"/>
                <w:szCs w:val="16"/>
                <w:lang w:eastAsia="en-GB"/>
              </w:rPr>
            </w:pPr>
            <w:r w:rsidRPr="00E67A3F">
              <w:rPr>
                <w:rFonts w:cs="Arial"/>
                <w:sz w:val="16"/>
                <w:szCs w:val="16"/>
                <w:shd w:val="clear" w:color="auto" w:fill="F8F9FA"/>
              </w:rPr>
              <w:t>1,2,4,5,6,7,8,8-Octachloro-3</w:t>
            </w:r>
            <w:r w:rsidRPr="00D17A7B">
              <w:rPr>
                <w:rFonts w:cs="Arial"/>
                <w:sz w:val="16"/>
                <w:szCs w:val="16"/>
                <w:shd w:val="clear" w:color="auto" w:fill="F8F9FA"/>
                <w:vertAlign w:val="superscript"/>
              </w:rPr>
              <w:t>a</w:t>
            </w:r>
            <w:r w:rsidRPr="00E67A3F">
              <w:rPr>
                <w:rFonts w:cs="Arial"/>
                <w:sz w:val="16"/>
                <w:szCs w:val="16"/>
                <w:shd w:val="clear" w:color="auto" w:fill="F8F9FA"/>
              </w:rPr>
              <w:t>,4,7,7</w:t>
            </w:r>
            <w:r w:rsidRPr="00D17A7B">
              <w:rPr>
                <w:rFonts w:cs="Arial"/>
                <w:sz w:val="16"/>
                <w:szCs w:val="16"/>
                <w:shd w:val="clear" w:color="auto" w:fill="F8F9FA"/>
                <w:vertAlign w:val="superscript"/>
              </w:rPr>
              <w:t>a</w:t>
            </w:r>
            <w:r w:rsidRPr="00E67A3F">
              <w:rPr>
                <w:rFonts w:cs="Arial"/>
                <w:sz w:val="16"/>
                <w:szCs w:val="16"/>
                <w:shd w:val="clear" w:color="auto" w:fill="F8F9FA"/>
              </w:rPr>
              <w:t>-tetrahydro-4,7-methanoindane</w:t>
            </w:r>
          </w:p>
        </w:tc>
        <w:tc>
          <w:tcPr>
            <w:tcW w:w="2153" w:type="dxa"/>
          </w:tcPr>
          <w:p w14:paraId="03B1191B" w14:textId="77777777" w:rsidR="00E67A3F" w:rsidRPr="00E67A3F" w:rsidRDefault="00E67A3F" w:rsidP="00E67A3F">
            <w:pPr>
              <w:rPr>
                <w:noProof/>
                <w:sz w:val="16"/>
                <w:szCs w:val="16"/>
                <w:lang w:eastAsia="en-GB"/>
              </w:rPr>
            </w:pPr>
            <w:r w:rsidRPr="00E67A3F">
              <w:rPr>
                <w:rFonts w:cs="Arial"/>
                <w:sz w:val="16"/>
                <w:szCs w:val="16"/>
                <w:shd w:val="clear" w:color="auto" w:fill="F8F9FA"/>
              </w:rPr>
              <w:t>1,4,5,6,7,8,8-Heptachloro-3</w:t>
            </w:r>
            <w:r w:rsidRPr="00D17A7B">
              <w:rPr>
                <w:rFonts w:cs="Arial"/>
                <w:sz w:val="16"/>
                <w:szCs w:val="16"/>
                <w:shd w:val="clear" w:color="auto" w:fill="F8F9FA"/>
                <w:vertAlign w:val="superscript"/>
              </w:rPr>
              <w:t>a</w:t>
            </w:r>
            <w:r w:rsidRPr="00E67A3F">
              <w:rPr>
                <w:rFonts w:cs="Arial"/>
                <w:sz w:val="16"/>
                <w:szCs w:val="16"/>
                <w:shd w:val="clear" w:color="auto" w:fill="F8F9FA"/>
              </w:rPr>
              <w:t>,4,7,7a-tetrahydro-4,7-methano-1</w:t>
            </w:r>
            <w:r w:rsidRPr="00E67A3F">
              <w:rPr>
                <w:rFonts w:cs="Arial"/>
                <w:i/>
                <w:iCs/>
                <w:sz w:val="16"/>
                <w:szCs w:val="16"/>
                <w:shd w:val="clear" w:color="auto" w:fill="F8F9FA"/>
              </w:rPr>
              <w:t>H</w:t>
            </w:r>
            <w:r w:rsidRPr="00E67A3F">
              <w:rPr>
                <w:rFonts w:cs="Arial"/>
                <w:sz w:val="16"/>
                <w:szCs w:val="16"/>
                <w:shd w:val="clear" w:color="auto" w:fill="F8F9FA"/>
              </w:rPr>
              <w:t>-indene</w:t>
            </w:r>
          </w:p>
        </w:tc>
        <w:tc>
          <w:tcPr>
            <w:tcW w:w="2153" w:type="dxa"/>
          </w:tcPr>
          <w:p w14:paraId="3C1CD51C" w14:textId="77777777" w:rsidR="00E67A3F" w:rsidRPr="00E67A3F" w:rsidRDefault="00E67A3F" w:rsidP="00E67A3F">
            <w:pPr>
              <w:rPr>
                <w:sz w:val="16"/>
                <w:szCs w:val="16"/>
                <w:shd w:val="clear" w:color="auto" w:fill="FFFFFF"/>
              </w:rPr>
            </w:pPr>
            <w:r w:rsidRPr="00E67A3F">
              <w:rPr>
                <w:sz w:val="16"/>
                <w:szCs w:val="16"/>
                <w:lang w:eastAsia="en-GB"/>
              </w:rPr>
              <w:t>(1S, 2R,3R,6S,7S,8R,9R,11S)-3,4,5,6,13,13-hexachloro-10-oxapentacyclo[6.3.1.1³,</w:t>
            </w:r>
            <w:r w:rsidRPr="00E67A3F">
              <w:rPr>
                <w:rFonts w:ascii="Cambria Math" w:hAnsi="Cambria Math" w:cs="Cambria Math"/>
                <w:sz w:val="16"/>
                <w:szCs w:val="16"/>
                <w:lang w:eastAsia="en-GB"/>
              </w:rPr>
              <w:t>⁶</w:t>
            </w:r>
            <w:r w:rsidRPr="00E67A3F">
              <w:rPr>
                <w:sz w:val="16"/>
                <w:szCs w:val="16"/>
                <w:lang w:eastAsia="en-GB"/>
              </w:rPr>
              <w:t>.0</w:t>
            </w:r>
            <w:r w:rsidRPr="00E67A3F">
              <w:rPr>
                <w:rFonts w:cs="Verdana"/>
                <w:sz w:val="16"/>
                <w:szCs w:val="16"/>
                <w:lang w:eastAsia="en-GB"/>
              </w:rPr>
              <w:t>²</w:t>
            </w:r>
            <w:r w:rsidRPr="00E67A3F">
              <w:rPr>
                <w:sz w:val="16"/>
                <w:szCs w:val="16"/>
                <w:lang w:eastAsia="en-GB"/>
              </w:rPr>
              <w:t>,</w:t>
            </w:r>
            <w:r w:rsidRPr="00E67A3F">
              <w:rPr>
                <w:rFonts w:cs="Verdana"/>
                <w:sz w:val="16"/>
                <w:szCs w:val="16"/>
                <w:lang w:eastAsia="en-GB"/>
              </w:rPr>
              <w:t>⁷</w:t>
            </w:r>
            <w:r w:rsidRPr="00E67A3F">
              <w:rPr>
                <w:sz w:val="16"/>
                <w:szCs w:val="16"/>
                <w:lang w:eastAsia="en-GB"/>
              </w:rPr>
              <w:t>.0</w:t>
            </w:r>
            <w:r w:rsidRPr="00E67A3F">
              <w:rPr>
                <w:rFonts w:ascii="Cambria Math" w:hAnsi="Cambria Math" w:cs="Cambria Math"/>
                <w:sz w:val="16"/>
                <w:szCs w:val="16"/>
                <w:lang w:eastAsia="en-GB"/>
              </w:rPr>
              <w:t>⁹</w:t>
            </w:r>
            <w:r w:rsidRPr="00E67A3F">
              <w:rPr>
                <w:sz w:val="16"/>
                <w:szCs w:val="16"/>
                <w:lang w:eastAsia="en-GB"/>
              </w:rPr>
              <w:t>,</w:t>
            </w:r>
            <w:r w:rsidRPr="00E67A3F">
              <w:rPr>
                <w:rFonts w:cs="Verdana"/>
                <w:sz w:val="16"/>
                <w:szCs w:val="16"/>
                <w:lang w:eastAsia="en-GB"/>
              </w:rPr>
              <w:t>¹¹</w:t>
            </w:r>
            <w:r w:rsidRPr="00E67A3F">
              <w:rPr>
                <w:sz w:val="16"/>
                <w:szCs w:val="16"/>
                <w:lang w:eastAsia="en-GB"/>
              </w:rPr>
              <w:t>]tridec-4-ene</w:t>
            </w:r>
          </w:p>
        </w:tc>
        <w:tc>
          <w:tcPr>
            <w:tcW w:w="2153" w:type="dxa"/>
          </w:tcPr>
          <w:p w14:paraId="392864C5" w14:textId="77777777" w:rsidR="00E67A3F" w:rsidRPr="00E67A3F" w:rsidRDefault="00E67A3F" w:rsidP="00E67A3F">
            <w:pPr>
              <w:rPr>
                <w:rFonts w:cs="Segoe UI"/>
                <w:sz w:val="16"/>
                <w:szCs w:val="16"/>
                <w:lang w:eastAsia="en-GB"/>
              </w:rPr>
            </w:pPr>
            <w:r w:rsidRPr="00E67A3F">
              <w:rPr>
                <w:sz w:val="16"/>
                <w:szCs w:val="16"/>
              </w:rPr>
              <w:t>(1R,2R,3R,6S,7S,8S)-1,8,9,10,11,11-hexachlorotetracyclo[6.2.1.1</w:t>
            </w:r>
            <w:r w:rsidRPr="00E67A3F">
              <w:rPr>
                <w:sz w:val="16"/>
                <w:szCs w:val="16"/>
                <w:vertAlign w:val="superscript"/>
              </w:rPr>
              <w:t>3,6</w:t>
            </w:r>
            <w:r w:rsidRPr="00E67A3F">
              <w:rPr>
                <w:sz w:val="16"/>
                <w:szCs w:val="16"/>
              </w:rPr>
              <w:t>.0</w:t>
            </w:r>
            <w:r w:rsidRPr="00E67A3F">
              <w:rPr>
                <w:sz w:val="16"/>
                <w:szCs w:val="16"/>
                <w:vertAlign w:val="superscript"/>
              </w:rPr>
              <w:t>2,7</w:t>
            </w:r>
            <w:r w:rsidRPr="00E67A3F">
              <w:rPr>
                <w:sz w:val="16"/>
                <w:szCs w:val="16"/>
              </w:rPr>
              <w:t>]dodeca-4,9-diene</w:t>
            </w:r>
          </w:p>
          <w:p w14:paraId="5DAEABFC" w14:textId="77777777" w:rsidR="00E67A3F" w:rsidRPr="00E67A3F" w:rsidRDefault="00E67A3F" w:rsidP="00E67A3F">
            <w:pPr>
              <w:rPr>
                <w:bCs/>
                <w:noProof/>
                <w:sz w:val="16"/>
                <w:szCs w:val="16"/>
                <w:lang w:eastAsia="en-GB"/>
              </w:rPr>
            </w:pPr>
          </w:p>
        </w:tc>
        <w:tc>
          <w:tcPr>
            <w:tcW w:w="2153" w:type="dxa"/>
          </w:tcPr>
          <w:p w14:paraId="1108DB42" w14:textId="77777777" w:rsidR="00E67A3F" w:rsidRPr="00E67A3F" w:rsidRDefault="00E67A3F" w:rsidP="00E67A3F">
            <w:pPr>
              <w:rPr>
                <w:bCs/>
                <w:noProof/>
                <w:sz w:val="16"/>
                <w:szCs w:val="16"/>
                <w:lang w:eastAsia="en-GB"/>
              </w:rPr>
            </w:pPr>
            <w:r w:rsidRPr="00E67A3F">
              <w:rPr>
                <w:bCs/>
                <w:noProof/>
                <w:sz w:val="16"/>
                <w:szCs w:val="16"/>
                <w:lang w:eastAsia="en-GB"/>
              </w:rPr>
              <w:t>1,2,3,4,7,7-hexachloro-8,9,10-trinorborn-2-en-5,6-ylenedimethylene sulfite|1,4,5,6,7,7-hexachloro-8,9,10-trinorborn-5-en-2,3-ylenedimethylene sulfite</w:t>
            </w:r>
          </w:p>
        </w:tc>
        <w:tc>
          <w:tcPr>
            <w:tcW w:w="2153" w:type="dxa"/>
          </w:tcPr>
          <w:p w14:paraId="1BD03E5B" w14:textId="77777777" w:rsidR="00E67A3F" w:rsidRPr="00E67A3F" w:rsidRDefault="00722785" w:rsidP="00E67A3F">
            <w:pPr>
              <w:rPr>
                <w:color w:val="474340"/>
                <w:sz w:val="16"/>
                <w:szCs w:val="16"/>
                <w:lang w:eastAsia="en-GB"/>
              </w:rPr>
            </w:pPr>
            <w:r>
              <w:rPr>
                <w:color w:val="474340"/>
                <w:sz w:val="16"/>
                <w:szCs w:val="16"/>
              </w:rPr>
              <w:t>1,4,5,6,7,7-h</w:t>
            </w:r>
            <w:r w:rsidR="00E67A3F" w:rsidRPr="00E67A3F">
              <w:rPr>
                <w:color w:val="474340"/>
                <w:sz w:val="16"/>
                <w:szCs w:val="16"/>
              </w:rPr>
              <w:t>exachloro-5-norbornene-2,3-dicarboxylic acid</w:t>
            </w:r>
          </w:p>
          <w:p w14:paraId="1EF4F88F" w14:textId="77777777" w:rsidR="00E67A3F" w:rsidRPr="00E67A3F" w:rsidRDefault="00E67A3F" w:rsidP="00E67A3F">
            <w:pPr>
              <w:rPr>
                <w:bCs/>
                <w:noProof/>
                <w:sz w:val="16"/>
                <w:szCs w:val="16"/>
                <w:lang w:eastAsia="en-GB"/>
              </w:rPr>
            </w:pPr>
          </w:p>
        </w:tc>
      </w:tr>
      <w:tr w:rsidR="00E67A3F" w:rsidRPr="009973DE" w14:paraId="735F155F" w14:textId="77777777" w:rsidTr="006F2F0E">
        <w:tc>
          <w:tcPr>
            <w:tcW w:w="1680" w:type="dxa"/>
          </w:tcPr>
          <w:p w14:paraId="3CFC8C8C" w14:textId="77777777" w:rsidR="00E67A3F" w:rsidRPr="00E67A3F" w:rsidRDefault="00E67A3F" w:rsidP="00E67A3F">
            <w:pPr>
              <w:pStyle w:val="BodyText"/>
              <w:spacing w:after="0"/>
              <w:rPr>
                <w:b/>
                <w:bCs/>
                <w:sz w:val="16"/>
                <w:szCs w:val="16"/>
              </w:rPr>
            </w:pPr>
            <w:r w:rsidRPr="00E67A3F">
              <w:rPr>
                <w:b/>
                <w:bCs/>
                <w:sz w:val="16"/>
                <w:szCs w:val="16"/>
              </w:rPr>
              <w:t>Index no. in CLP Annex VI</w:t>
            </w:r>
          </w:p>
        </w:tc>
        <w:tc>
          <w:tcPr>
            <w:tcW w:w="2151" w:type="dxa"/>
          </w:tcPr>
          <w:p w14:paraId="3FA8BE1C" w14:textId="77777777" w:rsidR="00E67A3F" w:rsidRPr="00E67A3F" w:rsidRDefault="00E67A3F" w:rsidP="00E67A3F">
            <w:pPr>
              <w:rPr>
                <w:noProof/>
                <w:sz w:val="16"/>
                <w:szCs w:val="16"/>
                <w:lang w:eastAsia="en-GB"/>
              </w:rPr>
            </w:pPr>
            <w:r w:rsidRPr="00E67A3F">
              <w:rPr>
                <w:noProof/>
                <w:sz w:val="16"/>
                <w:szCs w:val="16"/>
                <w:lang w:eastAsia="en-GB"/>
              </w:rPr>
              <w:t>602-047-00-8</w:t>
            </w:r>
          </w:p>
        </w:tc>
        <w:tc>
          <w:tcPr>
            <w:tcW w:w="2153" w:type="dxa"/>
          </w:tcPr>
          <w:p w14:paraId="47921D8D" w14:textId="77777777" w:rsidR="00E67A3F" w:rsidRPr="00E67A3F" w:rsidRDefault="00E67A3F" w:rsidP="00E67A3F">
            <w:pPr>
              <w:rPr>
                <w:noProof/>
                <w:sz w:val="16"/>
                <w:szCs w:val="16"/>
                <w:lang w:eastAsia="en-GB"/>
              </w:rPr>
            </w:pPr>
            <w:r w:rsidRPr="00E67A3F">
              <w:rPr>
                <w:noProof/>
                <w:sz w:val="16"/>
                <w:szCs w:val="16"/>
                <w:lang w:eastAsia="en-GB"/>
              </w:rPr>
              <w:t>602-046-00-2</w:t>
            </w:r>
          </w:p>
        </w:tc>
        <w:tc>
          <w:tcPr>
            <w:tcW w:w="2153" w:type="dxa"/>
          </w:tcPr>
          <w:p w14:paraId="4B847AD8" w14:textId="77777777" w:rsidR="00E67A3F" w:rsidRPr="00E67A3F" w:rsidRDefault="00E67A3F" w:rsidP="00E67A3F">
            <w:pPr>
              <w:rPr>
                <w:b/>
                <w:noProof/>
                <w:sz w:val="16"/>
                <w:szCs w:val="16"/>
                <w:lang w:eastAsia="en-GB"/>
              </w:rPr>
            </w:pPr>
            <w:r w:rsidRPr="00E67A3F">
              <w:rPr>
                <w:sz w:val="16"/>
                <w:szCs w:val="16"/>
                <w:shd w:val="clear" w:color="auto" w:fill="FFFFFF"/>
              </w:rPr>
              <w:t>602-049-00-9</w:t>
            </w:r>
          </w:p>
        </w:tc>
        <w:tc>
          <w:tcPr>
            <w:tcW w:w="2153" w:type="dxa"/>
          </w:tcPr>
          <w:p w14:paraId="34699B64" w14:textId="77777777" w:rsidR="00E67A3F" w:rsidRPr="00E67A3F" w:rsidRDefault="00E67A3F" w:rsidP="00E67A3F">
            <w:pPr>
              <w:rPr>
                <w:sz w:val="16"/>
                <w:szCs w:val="16"/>
                <w:shd w:val="clear" w:color="auto" w:fill="FFFFFF"/>
              </w:rPr>
            </w:pPr>
            <w:r w:rsidRPr="00E67A3F">
              <w:rPr>
                <w:bCs/>
                <w:noProof/>
                <w:sz w:val="16"/>
                <w:szCs w:val="16"/>
                <w:lang w:eastAsia="en-GB"/>
              </w:rPr>
              <w:t>602-048-00-3</w:t>
            </w:r>
          </w:p>
        </w:tc>
        <w:tc>
          <w:tcPr>
            <w:tcW w:w="2153" w:type="dxa"/>
          </w:tcPr>
          <w:p w14:paraId="527B2CE2" w14:textId="77777777" w:rsidR="00E67A3F" w:rsidRPr="00E67A3F" w:rsidRDefault="00E67A3F" w:rsidP="00E67A3F">
            <w:pPr>
              <w:rPr>
                <w:sz w:val="16"/>
                <w:szCs w:val="16"/>
                <w:shd w:val="clear" w:color="auto" w:fill="FFFFFF"/>
              </w:rPr>
            </w:pPr>
            <w:r w:rsidRPr="00E67A3F">
              <w:rPr>
                <w:bCs/>
                <w:noProof/>
                <w:sz w:val="16"/>
                <w:szCs w:val="16"/>
                <w:lang w:eastAsia="en-GB"/>
              </w:rPr>
              <w:t>602-052-00-5</w:t>
            </w:r>
          </w:p>
        </w:tc>
        <w:tc>
          <w:tcPr>
            <w:tcW w:w="2153" w:type="dxa"/>
          </w:tcPr>
          <w:p w14:paraId="5A75C6F9" w14:textId="77777777" w:rsidR="00E67A3F" w:rsidRPr="00E67A3F" w:rsidRDefault="00E67A3F" w:rsidP="00E67A3F">
            <w:pPr>
              <w:rPr>
                <w:sz w:val="16"/>
                <w:szCs w:val="16"/>
                <w:shd w:val="clear" w:color="auto" w:fill="FFFFFF"/>
              </w:rPr>
            </w:pPr>
            <w:r w:rsidRPr="00E67A3F">
              <w:rPr>
                <w:bCs/>
                <w:noProof/>
                <w:sz w:val="16"/>
                <w:szCs w:val="16"/>
                <w:lang w:eastAsia="en-GB"/>
              </w:rPr>
              <w:t>-</w:t>
            </w:r>
          </w:p>
        </w:tc>
      </w:tr>
      <w:tr w:rsidR="00E67A3F" w:rsidRPr="009973DE" w14:paraId="3540E934" w14:textId="77777777" w:rsidTr="006F2F0E">
        <w:tc>
          <w:tcPr>
            <w:tcW w:w="1680" w:type="dxa"/>
          </w:tcPr>
          <w:p w14:paraId="21C3D254" w14:textId="77777777" w:rsidR="00E67A3F" w:rsidRPr="00E67A3F" w:rsidRDefault="00E67A3F" w:rsidP="00E67A3F">
            <w:pPr>
              <w:pStyle w:val="BodyText"/>
              <w:spacing w:after="0"/>
              <w:rPr>
                <w:b/>
                <w:bCs/>
                <w:sz w:val="16"/>
                <w:szCs w:val="16"/>
              </w:rPr>
            </w:pPr>
            <w:r w:rsidRPr="00E67A3F">
              <w:rPr>
                <w:b/>
                <w:bCs/>
                <w:sz w:val="16"/>
                <w:szCs w:val="16"/>
              </w:rPr>
              <w:t>Molecular formula:</w:t>
            </w:r>
          </w:p>
        </w:tc>
        <w:tc>
          <w:tcPr>
            <w:tcW w:w="2151" w:type="dxa"/>
            <w:vAlign w:val="center"/>
          </w:tcPr>
          <w:p w14:paraId="70689AE2" w14:textId="77777777" w:rsidR="00E67A3F" w:rsidRPr="00E67A3F" w:rsidRDefault="00E67A3F" w:rsidP="00E67A3F">
            <w:pPr>
              <w:rPr>
                <w:b/>
                <w:noProof/>
                <w:sz w:val="16"/>
                <w:szCs w:val="16"/>
                <w:lang w:eastAsia="en-GB"/>
              </w:rPr>
            </w:pPr>
            <w:r w:rsidRPr="00E67A3F">
              <w:rPr>
                <w:rFonts w:cs="Segoe UI"/>
                <w:sz w:val="16"/>
                <w:szCs w:val="16"/>
                <w:shd w:val="clear" w:color="auto" w:fill="FFFFFF"/>
              </w:rPr>
              <w:t>C</w:t>
            </w:r>
            <w:r w:rsidRPr="00E67A3F">
              <w:rPr>
                <w:rFonts w:cs="Segoe UI"/>
                <w:sz w:val="16"/>
                <w:szCs w:val="16"/>
                <w:shd w:val="clear" w:color="auto" w:fill="FFFFFF"/>
                <w:vertAlign w:val="subscript"/>
              </w:rPr>
              <w:t>10</w:t>
            </w:r>
            <w:r w:rsidRPr="00E67A3F">
              <w:rPr>
                <w:rFonts w:cs="Segoe UI"/>
                <w:sz w:val="16"/>
                <w:szCs w:val="16"/>
                <w:shd w:val="clear" w:color="auto" w:fill="FFFFFF"/>
              </w:rPr>
              <w:t>H</w:t>
            </w:r>
            <w:r w:rsidRPr="00E67A3F">
              <w:rPr>
                <w:rFonts w:cs="Segoe UI"/>
                <w:sz w:val="16"/>
                <w:szCs w:val="16"/>
                <w:shd w:val="clear" w:color="auto" w:fill="FFFFFF"/>
                <w:vertAlign w:val="subscript"/>
              </w:rPr>
              <w:t>6</w:t>
            </w:r>
            <w:r w:rsidRPr="00E67A3F">
              <w:rPr>
                <w:rFonts w:cs="Segoe UI"/>
                <w:sz w:val="16"/>
                <w:szCs w:val="16"/>
                <w:shd w:val="clear" w:color="auto" w:fill="FFFFFF"/>
              </w:rPr>
              <w:t>Cl</w:t>
            </w:r>
            <w:r w:rsidRPr="00E67A3F">
              <w:rPr>
                <w:rFonts w:cs="Segoe UI"/>
                <w:sz w:val="16"/>
                <w:szCs w:val="16"/>
                <w:shd w:val="clear" w:color="auto" w:fill="FFFFFF"/>
                <w:vertAlign w:val="subscript"/>
              </w:rPr>
              <w:t>8</w:t>
            </w:r>
          </w:p>
        </w:tc>
        <w:tc>
          <w:tcPr>
            <w:tcW w:w="2153" w:type="dxa"/>
            <w:vAlign w:val="center"/>
          </w:tcPr>
          <w:p w14:paraId="780ABD0B" w14:textId="77777777" w:rsidR="00E67A3F" w:rsidRPr="00E67A3F" w:rsidRDefault="00E67A3F" w:rsidP="00E67A3F">
            <w:pPr>
              <w:rPr>
                <w:rFonts w:cs="Segoe UI"/>
                <w:sz w:val="16"/>
                <w:szCs w:val="16"/>
                <w:shd w:val="clear" w:color="auto" w:fill="FFFFFF"/>
              </w:rPr>
            </w:pPr>
            <w:r w:rsidRPr="00E67A3F">
              <w:rPr>
                <w:rFonts w:cs="Segoe UI"/>
                <w:sz w:val="16"/>
                <w:szCs w:val="16"/>
                <w:shd w:val="clear" w:color="auto" w:fill="FFFFFF"/>
              </w:rPr>
              <w:t>C</w:t>
            </w:r>
            <w:r w:rsidRPr="00E67A3F">
              <w:rPr>
                <w:rFonts w:cs="Segoe UI"/>
                <w:sz w:val="16"/>
                <w:szCs w:val="16"/>
                <w:shd w:val="clear" w:color="auto" w:fill="FFFFFF"/>
                <w:vertAlign w:val="subscript"/>
              </w:rPr>
              <w:t>10</w:t>
            </w:r>
            <w:r w:rsidRPr="00E67A3F">
              <w:rPr>
                <w:rFonts w:cs="Segoe UI"/>
                <w:sz w:val="16"/>
                <w:szCs w:val="16"/>
                <w:shd w:val="clear" w:color="auto" w:fill="FFFFFF"/>
              </w:rPr>
              <w:t>H</w:t>
            </w:r>
            <w:r w:rsidRPr="00E67A3F">
              <w:rPr>
                <w:rFonts w:cs="Segoe UI"/>
                <w:sz w:val="16"/>
                <w:szCs w:val="16"/>
                <w:shd w:val="clear" w:color="auto" w:fill="FFFFFF"/>
                <w:vertAlign w:val="subscript"/>
              </w:rPr>
              <w:t>5</w:t>
            </w:r>
            <w:r w:rsidRPr="00E67A3F">
              <w:rPr>
                <w:rFonts w:cs="Segoe UI"/>
                <w:sz w:val="16"/>
                <w:szCs w:val="16"/>
                <w:shd w:val="clear" w:color="auto" w:fill="FFFFFF"/>
              </w:rPr>
              <w:t>Cl</w:t>
            </w:r>
            <w:r w:rsidRPr="00E67A3F">
              <w:rPr>
                <w:rFonts w:cs="Segoe UI"/>
                <w:sz w:val="16"/>
                <w:szCs w:val="16"/>
                <w:shd w:val="clear" w:color="auto" w:fill="FFFFFF"/>
                <w:vertAlign w:val="subscript"/>
              </w:rPr>
              <w:t>7</w:t>
            </w:r>
          </w:p>
        </w:tc>
        <w:tc>
          <w:tcPr>
            <w:tcW w:w="2153" w:type="dxa"/>
            <w:vAlign w:val="center"/>
          </w:tcPr>
          <w:p w14:paraId="4F035365" w14:textId="77777777" w:rsidR="00E67A3F" w:rsidRPr="00E67A3F" w:rsidRDefault="00E67A3F" w:rsidP="00E67A3F">
            <w:pPr>
              <w:rPr>
                <w:rFonts w:cs="Segoe UI"/>
                <w:sz w:val="16"/>
                <w:szCs w:val="16"/>
                <w:shd w:val="clear" w:color="auto" w:fill="FFFFFF"/>
              </w:rPr>
            </w:pPr>
            <w:r w:rsidRPr="00E67A3F">
              <w:rPr>
                <w:rFonts w:cs="Segoe UI"/>
                <w:sz w:val="16"/>
                <w:szCs w:val="16"/>
                <w:shd w:val="clear" w:color="auto" w:fill="FFFFFF"/>
              </w:rPr>
              <w:t>C</w:t>
            </w:r>
            <w:r w:rsidRPr="00E67A3F">
              <w:rPr>
                <w:rFonts w:cs="Segoe UI"/>
                <w:sz w:val="16"/>
                <w:szCs w:val="16"/>
                <w:shd w:val="clear" w:color="auto" w:fill="FFFFFF"/>
                <w:vertAlign w:val="subscript"/>
              </w:rPr>
              <w:t>12</w:t>
            </w:r>
            <w:r w:rsidRPr="00E67A3F">
              <w:rPr>
                <w:rFonts w:cs="Segoe UI"/>
                <w:sz w:val="16"/>
                <w:szCs w:val="16"/>
                <w:shd w:val="clear" w:color="auto" w:fill="FFFFFF"/>
              </w:rPr>
              <w:t>H</w:t>
            </w:r>
            <w:r w:rsidRPr="00E67A3F">
              <w:rPr>
                <w:rFonts w:cs="Segoe UI"/>
                <w:sz w:val="16"/>
                <w:szCs w:val="16"/>
                <w:shd w:val="clear" w:color="auto" w:fill="FFFFFF"/>
                <w:vertAlign w:val="subscript"/>
              </w:rPr>
              <w:t>8</w:t>
            </w:r>
            <w:r w:rsidRPr="00E67A3F">
              <w:rPr>
                <w:rFonts w:cs="Segoe UI"/>
                <w:sz w:val="16"/>
                <w:szCs w:val="16"/>
                <w:shd w:val="clear" w:color="auto" w:fill="FFFFFF"/>
              </w:rPr>
              <w:t>Cl</w:t>
            </w:r>
            <w:r w:rsidRPr="00E67A3F">
              <w:rPr>
                <w:rFonts w:cs="Segoe UI"/>
                <w:sz w:val="16"/>
                <w:szCs w:val="16"/>
                <w:shd w:val="clear" w:color="auto" w:fill="FFFFFF"/>
                <w:vertAlign w:val="subscript"/>
              </w:rPr>
              <w:t>6</w:t>
            </w:r>
            <w:r w:rsidRPr="00E67A3F">
              <w:rPr>
                <w:rFonts w:cs="Segoe UI"/>
                <w:sz w:val="16"/>
                <w:szCs w:val="16"/>
                <w:shd w:val="clear" w:color="auto" w:fill="FFFFFF"/>
              </w:rPr>
              <w:t>O</w:t>
            </w:r>
          </w:p>
        </w:tc>
        <w:tc>
          <w:tcPr>
            <w:tcW w:w="2153" w:type="dxa"/>
          </w:tcPr>
          <w:p w14:paraId="4DA32208" w14:textId="77777777" w:rsidR="00E67A3F" w:rsidRPr="00E67A3F" w:rsidRDefault="00E67A3F" w:rsidP="00E67A3F">
            <w:pPr>
              <w:rPr>
                <w:rFonts w:cs="Segoe UI"/>
                <w:sz w:val="16"/>
                <w:szCs w:val="16"/>
                <w:shd w:val="clear" w:color="auto" w:fill="FFFFFF"/>
              </w:rPr>
            </w:pPr>
            <w:r w:rsidRPr="00E67A3F">
              <w:rPr>
                <w:rFonts w:cs="Arial"/>
                <w:bCs/>
                <w:color w:val="4B4948"/>
                <w:sz w:val="16"/>
                <w:szCs w:val="16"/>
                <w:shd w:val="clear" w:color="auto" w:fill="FFFFFF"/>
              </w:rPr>
              <w:t>C</w:t>
            </w:r>
            <w:r w:rsidRPr="00E67A3F">
              <w:rPr>
                <w:rFonts w:cs="Arial"/>
                <w:bCs/>
                <w:color w:val="4B4948"/>
                <w:sz w:val="16"/>
                <w:szCs w:val="16"/>
                <w:shd w:val="clear" w:color="auto" w:fill="FFFFFF"/>
                <w:vertAlign w:val="subscript"/>
              </w:rPr>
              <w:t>12</w:t>
            </w:r>
            <w:r w:rsidRPr="00E67A3F">
              <w:rPr>
                <w:rFonts w:cs="Arial"/>
                <w:bCs/>
                <w:color w:val="4B4948"/>
                <w:sz w:val="16"/>
                <w:szCs w:val="16"/>
                <w:shd w:val="clear" w:color="auto" w:fill="FFFFFF"/>
              </w:rPr>
              <w:t>H</w:t>
            </w:r>
            <w:r w:rsidRPr="00E67A3F">
              <w:rPr>
                <w:rFonts w:cs="Arial"/>
                <w:bCs/>
                <w:color w:val="4B4948"/>
                <w:sz w:val="16"/>
                <w:szCs w:val="16"/>
                <w:shd w:val="clear" w:color="auto" w:fill="FFFFFF"/>
                <w:vertAlign w:val="subscript"/>
              </w:rPr>
              <w:t>8</w:t>
            </w:r>
            <w:r w:rsidRPr="00E67A3F">
              <w:rPr>
                <w:rFonts w:cs="Arial"/>
                <w:bCs/>
                <w:color w:val="4B4948"/>
                <w:sz w:val="16"/>
                <w:szCs w:val="16"/>
                <w:shd w:val="clear" w:color="auto" w:fill="FFFFFF"/>
              </w:rPr>
              <w:t>Cl</w:t>
            </w:r>
            <w:r w:rsidRPr="00E67A3F">
              <w:rPr>
                <w:rFonts w:cs="Arial"/>
                <w:bCs/>
                <w:color w:val="4B4948"/>
                <w:sz w:val="16"/>
                <w:szCs w:val="16"/>
                <w:shd w:val="clear" w:color="auto" w:fill="FFFFFF"/>
                <w:vertAlign w:val="subscript"/>
              </w:rPr>
              <w:t>6</w:t>
            </w:r>
          </w:p>
        </w:tc>
        <w:tc>
          <w:tcPr>
            <w:tcW w:w="2153" w:type="dxa"/>
          </w:tcPr>
          <w:p w14:paraId="065D6CAB" w14:textId="77777777" w:rsidR="00E67A3F" w:rsidRPr="00E67A3F" w:rsidRDefault="00E67A3F" w:rsidP="00E67A3F">
            <w:pPr>
              <w:rPr>
                <w:rFonts w:cs="Segoe UI"/>
                <w:sz w:val="16"/>
                <w:szCs w:val="16"/>
                <w:shd w:val="clear" w:color="auto" w:fill="FFFFFF"/>
              </w:rPr>
            </w:pPr>
            <w:r w:rsidRPr="00E67A3F">
              <w:rPr>
                <w:rFonts w:cs="Arial"/>
                <w:bCs/>
                <w:color w:val="4B4948"/>
                <w:sz w:val="16"/>
                <w:szCs w:val="16"/>
                <w:shd w:val="clear" w:color="auto" w:fill="FFFFFF"/>
              </w:rPr>
              <w:t>C</w:t>
            </w:r>
            <w:r w:rsidRPr="00E67A3F">
              <w:rPr>
                <w:rFonts w:cs="Arial"/>
                <w:bCs/>
                <w:color w:val="4B4948"/>
                <w:sz w:val="16"/>
                <w:szCs w:val="16"/>
                <w:shd w:val="clear" w:color="auto" w:fill="FFFFFF"/>
                <w:vertAlign w:val="subscript"/>
              </w:rPr>
              <w:t>9</w:t>
            </w:r>
            <w:r w:rsidRPr="00E67A3F">
              <w:rPr>
                <w:rFonts w:cs="Arial"/>
                <w:bCs/>
                <w:color w:val="4B4948"/>
                <w:sz w:val="16"/>
                <w:szCs w:val="16"/>
                <w:shd w:val="clear" w:color="auto" w:fill="FFFFFF"/>
              </w:rPr>
              <w:t>H</w:t>
            </w:r>
            <w:r w:rsidRPr="00E67A3F">
              <w:rPr>
                <w:rFonts w:cs="Arial"/>
                <w:bCs/>
                <w:color w:val="4B4948"/>
                <w:sz w:val="16"/>
                <w:szCs w:val="16"/>
                <w:shd w:val="clear" w:color="auto" w:fill="FFFFFF"/>
                <w:vertAlign w:val="subscript"/>
              </w:rPr>
              <w:t>6</w:t>
            </w:r>
            <w:r w:rsidRPr="00E67A3F">
              <w:rPr>
                <w:rFonts w:cs="Arial"/>
                <w:bCs/>
                <w:color w:val="4B4948"/>
                <w:sz w:val="16"/>
                <w:szCs w:val="16"/>
                <w:shd w:val="clear" w:color="auto" w:fill="FFFFFF"/>
              </w:rPr>
              <w:t>Cl</w:t>
            </w:r>
            <w:r w:rsidRPr="00E67A3F">
              <w:rPr>
                <w:rFonts w:cs="Arial"/>
                <w:bCs/>
                <w:color w:val="4B4948"/>
                <w:sz w:val="16"/>
                <w:szCs w:val="16"/>
                <w:shd w:val="clear" w:color="auto" w:fill="FFFFFF"/>
                <w:vertAlign w:val="subscript"/>
              </w:rPr>
              <w:t>6</w:t>
            </w:r>
            <w:r w:rsidRPr="00E67A3F">
              <w:rPr>
                <w:rFonts w:cs="Arial"/>
                <w:bCs/>
                <w:color w:val="4B4948"/>
                <w:sz w:val="16"/>
                <w:szCs w:val="16"/>
                <w:shd w:val="clear" w:color="auto" w:fill="FFFFFF"/>
              </w:rPr>
              <w:t>O</w:t>
            </w:r>
            <w:r w:rsidRPr="00E67A3F">
              <w:rPr>
                <w:rFonts w:cs="Arial"/>
                <w:bCs/>
                <w:color w:val="4B4948"/>
                <w:sz w:val="16"/>
                <w:szCs w:val="16"/>
                <w:shd w:val="clear" w:color="auto" w:fill="FFFFFF"/>
                <w:vertAlign w:val="subscript"/>
              </w:rPr>
              <w:t>3</w:t>
            </w:r>
            <w:r w:rsidRPr="00E67A3F">
              <w:rPr>
                <w:rFonts w:cs="Arial"/>
                <w:bCs/>
                <w:color w:val="4B4948"/>
                <w:sz w:val="16"/>
                <w:szCs w:val="16"/>
                <w:shd w:val="clear" w:color="auto" w:fill="FFFFFF"/>
              </w:rPr>
              <w:t>S</w:t>
            </w:r>
          </w:p>
        </w:tc>
        <w:tc>
          <w:tcPr>
            <w:tcW w:w="2153" w:type="dxa"/>
          </w:tcPr>
          <w:p w14:paraId="491E94D7" w14:textId="77777777" w:rsidR="00E67A3F" w:rsidRPr="00E67A3F" w:rsidRDefault="00E67A3F" w:rsidP="00E67A3F">
            <w:pPr>
              <w:rPr>
                <w:rFonts w:cs="Segoe UI"/>
                <w:sz w:val="16"/>
                <w:szCs w:val="16"/>
                <w:shd w:val="clear" w:color="auto" w:fill="FFFFFF"/>
              </w:rPr>
            </w:pPr>
            <w:r w:rsidRPr="00E67A3F">
              <w:rPr>
                <w:rFonts w:cs="Arial"/>
                <w:bCs/>
                <w:color w:val="4B4948"/>
                <w:sz w:val="16"/>
                <w:szCs w:val="16"/>
                <w:shd w:val="clear" w:color="auto" w:fill="FFFFFF"/>
              </w:rPr>
              <w:t>C</w:t>
            </w:r>
            <w:r w:rsidRPr="00E67A3F">
              <w:rPr>
                <w:rFonts w:cs="Arial"/>
                <w:bCs/>
                <w:color w:val="4B4948"/>
                <w:sz w:val="16"/>
                <w:szCs w:val="16"/>
                <w:shd w:val="clear" w:color="auto" w:fill="FFFFFF"/>
                <w:vertAlign w:val="subscript"/>
              </w:rPr>
              <w:t>9</w:t>
            </w:r>
            <w:r w:rsidRPr="00E67A3F">
              <w:rPr>
                <w:rFonts w:cs="Arial"/>
                <w:bCs/>
                <w:color w:val="4B4948"/>
                <w:sz w:val="16"/>
                <w:szCs w:val="16"/>
                <w:shd w:val="clear" w:color="auto" w:fill="FFFFFF"/>
              </w:rPr>
              <w:t>H</w:t>
            </w:r>
            <w:r w:rsidRPr="00E67A3F">
              <w:rPr>
                <w:rFonts w:cs="Arial"/>
                <w:bCs/>
                <w:color w:val="4B4948"/>
                <w:sz w:val="16"/>
                <w:szCs w:val="16"/>
                <w:shd w:val="clear" w:color="auto" w:fill="FFFFFF"/>
                <w:vertAlign w:val="subscript"/>
              </w:rPr>
              <w:t>4</w:t>
            </w:r>
            <w:r w:rsidRPr="00E67A3F">
              <w:rPr>
                <w:rFonts w:cs="Arial"/>
                <w:bCs/>
                <w:color w:val="4B4948"/>
                <w:sz w:val="16"/>
                <w:szCs w:val="16"/>
                <w:shd w:val="clear" w:color="auto" w:fill="FFFFFF"/>
              </w:rPr>
              <w:t>Cl</w:t>
            </w:r>
            <w:r w:rsidRPr="00E67A3F">
              <w:rPr>
                <w:rFonts w:cs="Arial"/>
                <w:bCs/>
                <w:color w:val="4B4948"/>
                <w:sz w:val="16"/>
                <w:szCs w:val="16"/>
                <w:shd w:val="clear" w:color="auto" w:fill="FFFFFF"/>
                <w:vertAlign w:val="subscript"/>
              </w:rPr>
              <w:t>6</w:t>
            </w:r>
            <w:r w:rsidRPr="00E67A3F">
              <w:rPr>
                <w:rFonts w:cs="Arial"/>
                <w:bCs/>
                <w:color w:val="4B4948"/>
                <w:sz w:val="16"/>
                <w:szCs w:val="16"/>
                <w:shd w:val="clear" w:color="auto" w:fill="FFFFFF"/>
              </w:rPr>
              <w:t>O</w:t>
            </w:r>
            <w:r w:rsidRPr="00E67A3F">
              <w:rPr>
                <w:rFonts w:cs="Arial"/>
                <w:bCs/>
                <w:color w:val="4B4948"/>
                <w:sz w:val="16"/>
                <w:szCs w:val="16"/>
                <w:shd w:val="clear" w:color="auto" w:fill="FFFFFF"/>
                <w:vertAlign w:val="subscript"/>
              </w:rPr>
              <w:t>4</w:t>
            </w:r>
          </w:p>
        </w:tc>
      </w:tr>
      <w:tr w:rsidR="00E67A3F" w:rsidRPr="009973DE" w14:paraId="44BA33A9" w14:textId="77777777" w:rsidTr="006F2F0E">
        <w:tc>
          <w:tcPr>
            <w:tcW w:w="1680" w:type="dxa"/>
          </w:tcPr>
          <w:p w14:paraId="163F355A" w14:textId="77777777" w:rsidR="00E67A3F" w:rsidRPr="00B03CEC" w:rsidRDefault="00E67A3F" w:rsidP="00E67A3F">
            <w:pPr>
              <w:pStyle w:val="BodyText"/>
              <w:spacing w:after="0"/>
              <w:rPr>
                <w:b/>
                <w:bCs/>
                <w:sz w:val="16"/>
                <w:szCs w:val="16"/>
              </w:rPr>
            </w:pPr>
            <w:r w:rsidRPr="00B03CEC">
              <w:rPr>
                <w:b/>
                <w:bCs/>
                <w:sz w:val="16"/>
                <w:szCs w:val="16"/>
              </w:rPr>
              <w:lastRenderedPageBreak/>
              <w:t>Structural formula</w:t>
            </w:r>
          </w:p>
        </w:tc>
        <w:tc>
          <w:tcPr>
            <w:tcW w:w="2151" w:type="dxa"/>
          </w:tcPr>
          <w:p w14:paraId="11EE7FC9" w14:textId="77777777" w:rsidR="00E67A3F" w:rsidRPr="00B03CEC" w:rsidRDefault="00E67A3F" w:rsidP="00E67A3F">
            <w:pPr>
              <w:rPr>
                <w:b/>
                <w:sz w:val="16"/>
                <w:szCs w:val="16"/>
              </w:rPr>
            </w:pPr>
            <w:r w:rsidRPr="00B03CEC">
              <w:rPr>
                <w:b/>
                <w:noProof/>
                <w:sz w:val="16"/>
                <w:szCs w:val="16"/>
                <w:lang w:eastAsia="en-GB"/>
              </w:rPr>
              <w:drawing>
                <wp:anchor distT="0" distB="0" distL="114300" distR="114300" simplePos="0" relativeHeight="251788288" behindDoc="1" locked="0" layoutInCell="1" allowOverlap="1" wp14:anchorId="58669569" wp14:editId="727EC0F2">
                  <wp:simplePos x="0" y="0"/>
                  <wp:positionH relativeFrom="column">
                    <wp:posOffset>16510</wp:posOffset>
                  </wp:positionH>
                  <wp:positionV relativeFrom="paragraph">
                    <wp:posOffset>22197</wp:posOffset>
                  </wp:positionV>
                  <wp:extent cx="1228090" cy="855980"/>
                  <wp:effectExtent l="0" t="0" r="0" b="1270"/>
                  <wp:wrapTight wrapText="bothSides">
                    <wp:wrapPolygon edited="0">
                      <wp:start x="0" y="0"/>
                      <wp:lineTo x="0" y="21151"/>
                      <wp:lineTo x="21109" y="21151"/>
                      <wp:lineTo x="211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1228090" cy="855980"/>
                          </a:xfrm>
                          <a:prstGeom prst="rect">
                            <a:avLst/>
                          </a:prstGeom>
                          <a:noFill/>
                          <a:ln w="9525">
                            <a:noFill/>
                            <a:miter lim="800000"/>
                            <a:headEnd/>
                            <a:tailEnd/>
                          </a:ln>
                        </pic:spPr>
                      </pic:pic>
                    </a:graphicData>
                  </a:graphic>
                </wp:anchor>
              </w:drawing>
            </w:r>
          </w:p>
        </w:tc>
        <w:tc>
          <w:tcPr>
            <w:tcW w:w="2153" w:type="dxa"/>
          </w:tcPr>
          <w:p w14:paraId="05A8FD71" w14:textId="77777777" w:rsidR="00E67A3F" w:rsidRPr="00B03CEC" w:rsidRDefault="00E67A3F" w:rsidP="00E67A3F">
            <w:pPr>
              <w:rPr>
                <w:b/>
                <w:sz w:val="16"/>
                <w:szCs w:val="16"/>
              </w:rPr>
            </w:pPr>
            <w:r w:rsidRPr="00B03CEC">
              <w:rPr>
                <w:b/>
                <w:noProof/>
                <w:sz w:val="16"/>
                <w:szCs w:val="16"/>
                <w:lang w:eastAsia="en-GB"/>
              </w:rPr>
              <w:drawing>
                <wp:anchor distT="0" distB="0" distL="114300" distR="114300" simplePos="0" relativeHeight="251787264" behindDoc="1" locked="0" layoutInCell="1" allowOverlap="1" wp14:anchorId="03BD0206" wp14:editId="05034845">
                  <wp:simplePos x="0" y="0"/>
                  <wp:positionH relativeFrom="column">
                    <wp:posOffset>99060</wp:posOffset>
                  </wp:positionH>
                  <wp:positionV relativeFrom="paragraph">
                    <wp:posOffset>47294</wp:posOffset>
                  </wp:positionV>
                  <wp:extent cx="1048385" cy="813435"/>
                  <wp:effectExtent l="0" t="0" r="0" b="5715"/>
                  <wp:wrapTight wrapText="bothSides">
                    <wp:wrapPolygon edited="0">
                      <wp:start x="0" y="0"/>
                      <wp:lineTo x="0" y="21246"/>
                      <wp:lineTo x="21194" y="21246"/>
                      <wp:lineTo x="21194"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1048385" cy="813435"/>
                          </a:xfrm>
                          <a:prstGeom prst="rect">
                            <a:avLst/>
                          </a:prstGeom>
                          <a:noFill/>
                          <a:ln w="9525">
                            <a:noFill/>
                            <a:miter lim="800000"/>
                            <a:headEnd/>
                            <a:tailEnd/>
                          </a:ln>
                        </pic:spPr>
                      </pic:pic>
                    </a:graphicData>
                  </a:graphic>
                </wp:anchor>
              </w:drawing>
            </w:r>
          </w:p>
        </w:tc>
        <w:tc>
          <w:tcPr>
            <w:tcW w:w="2153" w:type="dxa"/>
          </w:tcPr>
          <w:p w14:paraId="3F0F8D1A" w14:textId="77777777" w:rsidR="00E67A3F" w:rsidRPr="00B03CEC" w:rsidRDefault="00E67A3F" w:rsidP="00E67A3F">
            <w:pPr>
              <w:rPr>
                <w:b/>
                <w:sz w:val="16"/>
                <w:szCs w:val="16"/>
              </w:rPr>
            </w:pPr>
            <w:r w:rsidRPr="00B03CEC">
              <w:rPr>
                <w:b/>
                <w:noProof/>
                <w:sz w:val="16"/>
                <w:szCs w:val="16"/>
                <w:lang w:eastAsia="en-GB"/>
              </w:rPr>
              <w:drawing>
                <wp:anchor distT="0" distB="0" distL="114300" distR="114300" simplePos="0" relativeHeight="251789312" behindDoc="1" locked="0" layoutInCell="1" allowOverlap="1" wp14:anchorId="69F8395C" wp14:editId="72BD6466">
                  <wp:simplePos x="0" y="0"/>
                  <wp:positionH relativeFrom="column">
                    <wp:posOffset>43815</wp:posOffset>
                  </wp:positionH>
                  <wp:positionV relativeFrom="paragraph">
                    <wp:posOffset>35864</wp:posOffset>
                  </wp:positionV>
                  <wp:extent cx="1090295" cy="792480"/>
                  <wp:effectExtent l="0" t="0" r="0" b="7620"/>
                  <wp:wrapTight wrapText="bothSides">
                    <wp:wrapPolygon edited="0">
                      <wp:start x="0" y="0"/>
                      <wp:lineTo x="0" y="21288"/>
                      <wp:lineTo x="21135" y="21288"/>
                      <wp:lineTo x="21135"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1090295" cy="792480"/>
                          </a:xfrm>
                          <a:prstGeom prst="rect">
                            <a:avLst/>
                          </a:prstGeom>
                          <a:noFill/>
                          <a:ln w="9525">
                            <a:noFill/>
                            <a:miter lim="800000"/>
                            <a:headEnd/>
                            <a:tailEnd/>
                          </a:ln>
                        </pic:spPr>
                      </pic:pic>
                    </a:graphicData>
                  </a:graphic>
                </wp:anchor>
              </w:drawing>
            </w:r>
          </w:p>
        </w:tc>
        <w:tc>
          <w:tcPr>
            <w:tcW w:w="2153" w:type="dxa"/>
          </w:tcPr>
          <w:p w14:paraId="52A4E900" w14:textId="77777777" w:rsidR="00E67A3F" w:rsidRPr="00B03CEC" w:rsidRDefault="00E67A3F" w:rsidP="00E67A3F">
            <w:pPr>
              <w:rPr>
                <w:b/>
                <w:noProof/>
                <w:sz w:val="16"/>
                <w:szCs w:val="16"/>
                <w:lang w:eastAsia="en-GB"/>
              </w:rPr>
            </w:pPr>
            <w:r w:rsidRPr="00B03CEC">
              <w:rPr>
                <w:bCs/>
                <w:noProof/>
                <w:sz w:val="16"/>
                <w:szCs w:val="16"/>
                <w:lang w:eastAsia="en-GB"/>
              </w:rPr>
              <w:drawing>
                <wp:anchor distT="0" distB="0" distL="114300" distR="114300" simplePos="0" relativeHeight="251790336" behindDoc="1" locked="0" layoutInCell="1" allowOverlap="1" wp14:anchorId="66C17F0F" wp14:editId="283452C5">
                  <wp:simplePos x="0" y="0"/>
                  <wp:positionH relativeFrom="column">
                    <wp:posOffset>219075</wp:posOffset>
                  </wp:positionH>
                  <wp:positionV relativeFrom="paragraph">
                    <wp:posOffset>35864</wp:posOffset>
                  </wp:positionV>
                  <wp:extent cx="663575" cy="708025"/>
                  <wp:effectExtent l="0" t="0" r="3175" b="0"/>
                  <wp:wrapTight wrapText="bothSides">
                    <wp:wrapPolygon edited="0">
                      <wp:start x="11782" y="0"/>
                      <wp:lineTo x="4341" y="2325"/>
                      <wp:lineTo x="3721" y="2906"/>
                      <wp:lineTo x="7441" y="9299"/>
                      <wp:lineTo x="0" y="11623"/>
                      <wp:lineTo x="0" y="16273"/>
                      <wp:lineTo x="3100" y="18597"/>
                      <wp:lineTo x="4341" y="20922"/>
                      <wp:lineTo x="7441" y="20922"/>
                      <wp:lineTo x="18603" y="19178"/>
                      <wp:lineTo x="18603" y="18597"/>
                      <wp:lineTo x="21083" y="9299"/>
                      <wp:lineTo x="21083" y="6974"/>
                      <wp:lineTo x="14882" y="0"/>
                      <wp:lineTo x="11782" y="0"/>
                    </wp:wrapPolygon>
                  </wp:wrapTight>
                  <wp:docPr id="17" name="Picture 10" descr="Ald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drin"/>
                          <pic:cNvPicPr>
                            <a:picLocks noChangeAspect="1" noChangeArrowheads="1"/>
                          </pic:cNvPicPr>
                        </pic:nvPicPr>
                        <pic:blipFill>
                          <a:blip r:embed="rId27" cstate="print"/>
                          <a:srcRect/>
                          <a:stretch>
                            <a:fillRect/>
                          </a:stretch>
                        </pic:blipFill>
                        <pic:spPr bwMode="auto">
                          <a:xfrm>
                            <a:off x="0" y="0"/>
                            <a:ext cx="663575" cy="708025"/>
                          </a:xfrm>
                          <a:prstGeom prst="rect">
                            <a:avLst/>
                          </a:prstGeom>
                          <a:noFill/>
                          <a:ln w="9525">
                            <a:noFill/>
                            <a:miter lim="800000"/>
                            <a:headEnd/>
                            <a:tailEnd/>
                          </a:ln>
                        </pic:spPr>
                      </pic:pic>
                    </a:graphicData>
                  </a:graphic>
                </wp:anchor>
              </w:drawing>
            </w:r>
          </w:p>
        </w:tc>
        <w:tc>
          <w:tcPr>
            <w:tcW w:w="2153" w:type="dxa"/>
          </w:tcPr>
          <w:p w14:paraId="1B8B7494" w14:textId="77777777" w:rsidR="00E67A3F" w:rsidRPr="00B03CEC" w:rsidRDefault="00E67A3F" w:rsidP="00E67A3F">
            <w:pPr>
              <w:rPr>
                <w:b/>
                <w:noProof/>
                <w:sz w:val="16"/>
                <w:szCs w:val="16"/>
                <w:lang w:eastAsia="en-GB"/>
              </w:rPr>
            </w:pPr>
            <w:r w:rsidRPr="00B03CEC">
              <w:rPr>
                <w:bCs/>
                <w:noProof/>
                <w:sz w:val="16"/>
                <w:szCs w:val="16"/>
                <w:lang w:eastAsia="en-GB"/>
              </w:rPr>
              <w:drawing>
                <wp:anchor distT="0" distB="0" distL="114300" distR="114300" simplePos="0" relativeHeight="251791360" behindDoc="1" locked="0" layoutInCell="1" allowOverlap="1" wp14:anchorId="7A580DC1" wp14:editId="1F149C2D">
                  <wp:simplePos x="0" y="0"/>
                  <wp:positionH relativeFrom="column">
                    <wp:posOffset>60325</wp:posOffset>
                  </wp:positionH>
                  <wp:positionV relativeFrom="paragraph">
                    <wp:posOffset>20900</wp:posOffset>
                  </wp:positionV>
                  <wp:extent cx="1037590" cy="676275"/>
                  <wp:effectExtent l="0" t="0" r="0" b="9525"/>
                  <wp:wrapTight wrapText="bothSides">
                    <wp:wrapPolygon edited="0">
                      <wp:start x="0" y="0"/>
                      <wp:lineTo x="0" y="21296"/>
                      <wp:lineTo x="21018" y="21296"/>
                      <wp:lineTo x="21018" y="0"/>
                      <wp:lineTo x="0" y="0"/>
                    </wp:wrapPolygon>
                  </wp:wrapTight>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1037590" cy="676275"/>
                          </a:xfrm>
                          <a:prstGeom prst="rect">
                            <a:avLst/>
                          </a:prstGeom>
                          <a:noFill/>
                          <a:ln w="9525">
                            <a:noFill/>
                            <a:miter lim="800000"/>
                            <a:headEnd/>
                            <a:tailEnd/>
                          </a:ln>
                        </pic:spPr>
                      </pic:pic>
                    </a:graphicData>
                  </a:graphic>
                </wp:anchor>
              </w:drawing>
            </w:r>
          </w:p>
        </w:tc>
        <w:tc>
          <w:tcPr>
            <w:tcW w:w="2153" w:type="dxa"/>
          </w:tcPr>
          <w:p w14:paraId="5004017F" w14:textId="77777777" w:rsidR="00E67A3F" w:rsidRPr="00B03CEC" w:rsidRDefault="00E67A3F" w:rsidP="00E67A3F">
            <w:pPr>
              <w:rPr>
                <w:b/>
                <w:noProof/>
                <w:sz w:val="16"/>
                <w:szCs w:val="16"/>
                <w:lang w:eastAsia="en-GB"/>
              </w:rPr>
            </w:pPr>
            <w:r w:rsidRPr="00B03CEC">
              <w:rPr>
                <w:bCs/>
                <w:noProof/>
                <w:sz w:val="16"/>
                <w:szCs w:val="16"/>
                <w:lang w:eastAsia="en-GB"/>
              </w:rPr>
              <w:drawing>
                <wp:anchor distT="0" distB="0" distL="114300" distR="114300" simplePos="0" relativeHeight="251792384" behindDoc="1" locked="0" layoutInCell="1" allowOverlap="1" wp14:anchorId="74B835F3" wp14:editId="59FA8FAE">
                  <wp:simplePos x="0" y="0"/>
                  <wp:positionH relativeFrom="column">
                    <wp:posOffset>162891</wp:posOffset>
                  </wp:positionH>
                  <wp:positionV relativeFrom="paragraph">
                    <wp:posOffset>53340</wp:posOffset>
                  </wp:positionV>
                  <wp:extent cx="746760" cy="665480"/>
                  <wp:effectExtent l="0" t="0" r="0" b="1270"/>
                  <wp:wrapTight wrapText="bothSides">
                    <wp:wrapPolygon edited="0">
                      <wp:start x="0" y="0"/>
                      <wp:lineTo x="0" y="21023"/>
                      <wp:lineTo x="20939" y="21023"/>
                      <wp:lineTo x="2093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srcRect/>
                          <a:stretch>
                            <a:fillRect/>
                          </a:stretch>
                        </pic:blipFill>
                        <pic:spPr bwMode="auto">
                          <a:xfrm>
                            <a:off x="0" y="0"/>
                            <a:ext cx="746760" cy="665480"/>
                          </a:xfrm>
                          <a:prstGeom prst="rect">
                            <a:avLst/>
                          </a:prstGeom>
                          <a:noFill/>
                          <a:ln w="9525">
                            <a:noFill/>
                            <a:miter lim="800000"/>
                            <a:headEnd/>
                            <a:tailEnd/>
                          </a:ln>
                        </pic:spPr>
                      </pic:pic>
                    </a:graphicData>
                  </a:graphic>
                </wp:anchor>
              </w:drawing>
            </w:r>
          </w:p>
        </w:tc>
      </w:tr>
      <w:tr w:rsidR="00E67A3F" w:rsidRPr="009973DE" w14:paraId="460BE8F6" w14:textId="77777777" w:rsidTr="006F2F0E">
        <w:tc>
          <w:tcPr>
            <w:tcW w:w="1680" w:type="dxa"/>
          </w:tcPr>
          <w:p w14:paraId="365CC205" w14:textId="77777777" w:rsidR="00E67A3F" w:rsidRPr="00B03CEC" w:rsidRDefault="00E67A3F" w:rsidP="00E67A3F">
            <w:pPr>
              <w:pStyle w:val="BodyText"/>
              <w:spacing w:after="0"/>
              <w:rPr>
                <w:b/>
                <w:bCs/>
                <w:sz w:val="16"/>
                <w:szCs w:val="16"/>
              </w:rPr>
            </w:pPr>
            <w:r w:rsidRPr="00B03CEC">
              <w:rPr>
                <w:b/>
                <w:bCs/>
                <w:sz w:val="16"/>
                <w:szCs w:val="16"/>
              </w:rPr>
              <w:t>Molecular weight, g/mole</w:t>
            </w:r>
          </w:p>
        </w:tc>
        <w:tc>
          <w:tcPr>
            <w:tcW w:w="2151" w:type="dxa"/>
          </w:tcPr>
          <w:p w14:paraId="1F8C1BAD" w14:textId="77777777" w:rsidR="00E67A3F" w:rsidRPr="00B03CEC" w:rsidRDefault="00E67A3F" w:rsidP="00E67A3F">
            <w:pPr>
              <w:rPr>
                <w:b/>
                <w:sz w:val="16"/>
                <w:szCs w:val="16"/>
              </w:rPr>
            </w:pPr>
            <w:r w:rsidRPr="00B03CEC">
              <w:rPr>
                <w:sz w:val="16"/>
                <w:szCs w:val="16"/>
              </w:rPr>
              <w:t xml:space="preserve">409.78 </w:t>
            </w:r>
          </w:p>
        </w:tc>
        <w:tc>
          <w:tcPr>
            <w:tcW w:w="2153" w:type="dxa"/>
          </w:tcPr>
          <w:p w14:paraId="5D0E77DD" w14:textId="77777777" w:rsidR="00E67A3F" w:rsidRPr="00B03CEC" w:rsidRDefault="00E67A3F" w:rsidP="00E67A3F">
            <w:pPr>
              <w:rPr>
                <w:b/>
                <w:sz w:val="16"/>
                <w:szCs w:val="16"/>
              </w:rPr>
            </w:pPr>
            <w:r w:rsidRPr="00B03CEC">
              <w:rPr>
                <w:sz w:val="16"/>
                <w:szCs w:val="16"/>
              </w:rPr>
              <w:t xml:space="preserve">373.32 </w:t>
            </w:r>
          </w:p>
        </w:tc>
        <w:tc>
          <w:tcPr>
            <w:tcW w:w="2153" w:type="dxa"/>
          </w:tcPr>
          <w:p w14:paraId="0F194616" w14:textId="77777777" w:rsidR="00E67A3F" w:rsidRPr="00B03CEC" w:rsidRDefault="00E67A3F" w:rsidP="00E67A3F">
            <w:pPr>
              <w:rPr>
                <w:b/>
                <w:sz w:val="16"/>
                <w:szCs w:val="16"/>
              </w:rPr>
            </w:pPr>
            <w:r w:rsidRPr="00B03CEC">
              <w:rPr>
                <w:sz w:val="16"/>
                <w:szCs w:val="16"/>
              </w:rPr>
              <w:t xml:space="preserve">380.91 </w:t>
            </w:r>
          </w:p>
        </w:tc>
        <w:tc>
          <w:tcPr>
            <w:tcW w:w="2153" w:type="dxa"/>
          </w:tcPr>
          <w:p w14:paraId="57A26394" w14:textId="77777777" w:rsidR="00E67A3F" w:rsidRPr="00B03CEC" w:rsidRDefault="00E67A3F" w:rsidP="00E67A3F">
            <w:pPr>
              <w:rPr>
                <w:bCs/>
                <w:sz w:val="16"/>
                <w:szCs w:val="16"/>
              </w:rPr>
            </w:pPr>
            <w:r w:rsidRPr="00B03CEC">
              <w:rPr>
                <w:bCs/>
                <w:sz w:val="16"/>
                <w:szCs w:val="16"/>
              </w:rPr>
              <w:t>364.92</w:t>
            </w:r>
          </w:p>
          <w:p w14:paraId="0BD2F757" w14:textId="77777777" w:rsidR="00E67A3F" w:rsidRPr="00B03CEC" w:rsidRDefault="00E67A3F" w:rsidP="00E67A3F">
            <w:pPr>
              <w:rPr>
                <w:sz w:val="16"/>
                <w:szCs w:val="16"/>
              </w:rPr>
            </w:pPr>
          </w:p>
        </w:tc>
        <w:tc>
          <w:tcPr>
            <w:tcW w:w="2153" w:type="dxa"/>
          </w:tcPr>
          <w:p w14:paraId="37677E87" w14:textId="77777777" w:rsidR="00E67A3F" w:rsidRPr="00B03CEC" w:rsidRDefault="00E67A3F" w:rsidP="00E67A3F">
            <w:pPr>
              <w:rPr>
                <w:sz w:val="16"/>
                <w:szCs w:val="16"/>
              </w:rPr>
            </w:pPr>
            <w:r w:rsidRPr="00B03CEC">
              <w:rPr>
                <w:sz w:val="16"/>
                <w:szCs w:val="16"/>
              </w:rPr>
              <w:t>406.93</w:t>
            </w:r>
          </w:p>
        </w:tc>
        <w:tc>
          <w:tcPr>
            <w:tcW w:w="2153" w:type="dxa"/>
          </w:tcPr>
          <w:p w14:paraId="186DC42E" w14:textId="77777777" w:rsidR="00E67A3F" w:rsidRPr="00B03CEC" w:rsidRDefault="00E67A3F" w:rsidP="00E67A3F">
            <w:pPr>
              <w:rPr>
                <w:sz w:val="16"/>
                <w:szCs w:val="16"/>
              </w:rPr>
            </w:pPr>
            <w:r w:rsidRPr="00B03CEC">
              <w:rPr>
                <w:bCs/>
                <w:sz w:val="16"/>
                <w:szCs w:val="16"/>
              </w:rPr>
              <w:t xml:space="preserve">388.85 </w:t>
            </w:r>
          </w:p>
        </w:tc>
      </w:tr>
      <w:tr w:rsidR="00E67A3F" w:rsidRPr="009973DE" w14:paraId="3526A890" w14:textId="77777777" w:rsidTr="006F2F0E">
        <w:trPr>
          <w:trHeight w:val="180"/>
        </w:trPr>
        <w:tc>
          <w:tcPr>
            <w:tcW w:w="1680" w:type="dxa"/>
          </w:tcPr>
          <w:p w14:paraId="51F4ED73" w14:textId="77777777" w:rsidR="00E67A3F" w:rsidRPr="00B03CEC" w:rsidRDefault="00E67A3F" w:rsidP="00E67A3F">
            <w:pPr>
              <w:pStyle w:val="BodyText"/>
              <w:spacing w:after="0"/>
              <w:rPr>
                <w:b/>
                <w:bCs/>
                <w:sz w:val="16"/>
                <w:szCs w:val="16"/>
              </w:rPr>
            </w:pPr>
            <w:r w:rsidRPr="00B03CEC">
              <w:rPr>
                <w:b/>
                <w:bCs/>
                <w:sz w:val="16"/>
                <w:szCs w:val="16"/>
              </w:rPr>
              <w:t>Melting point</w:t>
            </w:r>
          </w:p>
          <w:p w14:paraId="3C462494" w14:textId="77777777" w:rsidR="00E67A3F" w:rsidRPr="00B03CEC" w:rsidRDefault="00E67A3F" w:rsidP="00E67A3F">
            <w:pPr>
              <w:pStyle w:val="BodyText"/>
              <w:spacing w:after="0"/>
              <w:rPr>
                <w:b/>
                <w:bCs/>
                <w:sz w:val="16"/>
                <w:szCs w:val="16"/>
              </w:rPr>
            </w:pPr>
            <w:r w:rsidRPr="00B03CEC">
              <w:rPr>
                <w:b/>
                <w:bCs/>
                <w:sz w:val="16"/>
                <w:szCs w:val="16"/>
              </w:rPr>
              <w:t>(experimental)</w:t>
            </w:r>
          </w:p>
        </w:tc>
        <w:tc>
          <w:tcPr>
            <w:tcW w:w="2151" w:type="dxa"/>
          </w:tcPr>
          <w:p w14:paraId="69F60666" w14:textId="77777777" w:rsidR="00E67A3F" w:rsidRPr="00B03CEC" w:rsidRDefault="00E67A3F" w:rsidP="00E67A3F">
            <w:pPr>
              <w:rPr>
                <w:b/>
                <w:sz w:val="16"/>
                <w:szCs w:val="16"/>
              </w:rPr>
            </w:pPr>
            <w:r w:rsidRPr="00B03CEC">
              <w:rPr>
                <w:sz w:val="16"/>
                <w:szCs w:val="16"/>
              </w:rPr>
              <w:t xml:space="preserve">106 °C </w:t>
            </w:r>
          </w:p>
        </w:tc>
        <w:tc>
          <w:tcPr>
            <w:tcW w:w="2153" w:type="dxa"/>
          </w:tcPr>
          <w:p w14:paraId="1E605F95" w14:textId="77777777" w:rsidR="00E67A3F" w:rsidRPr="00B03CEC" w:rsidRDefault="00E67A3F" w:rsidP="00E67A3F">
            <w:pPr>
              <w:rPr>
                <w:sz w:val="16"/>
                <w:szCs w:val="16"/>
              </w:rPr>
            </w:pPr>
            <w:r w:rsidRPr="00B03CEC">
              <w:rPr>
                <w:sz w:val="16"/>
                <w:szCs w:val="16"/>
              </w:rPr>
              <w:t>95.5 °C</w:t>
            </w:r>
          </w:p>
        </w:tc>
        <w:tc>
          <w:tcPr>
            <w:tcW w:w="2153" w:type="dxa"/>
          </w:tcPr>
          <w:p w14:paraId="723F9983" w14:textId="77777777" w:rsidR="00E67A3F" w:rsidRPr="00B03CEC" w:rsidRDefault="00E67A3F" w:rsidP="00E67A3F">
            <w:pPr>
              <w:rPr>
                <w:sz w:val="16"/>
                <w:szCs w:val="16"/>
              </w:rPr>
            </w:pPr>
            <w:r w:rsidRPr="00B03CEC">
              <w:rPr>
                <w:sz w:val="16"/>
                <w:szCs w:val="16"/>
              </w:rPr>
              <w:t>226-230 °C</w:t>
            </w:r>
          </w:p>
        </w:tc>
        <w:tc>
          <w:tcPr>
            <w:tcW w:w="2153" w:type="dxa"/>
          </w:tcPr>
          <w:p w14:paraId="0CF1343F" w14:textId="77777777" w:rsidR="00E67A3F" w:rsidRPr="00B03CEC" w:rsidRDefault="00E67A3F" w:rsidP="00E67A3F">
            <w:pPr>
              <w:rPr>
                <w:sz w:val="16"/>
                <w:szCs w:val="16"/>
              </w:rPr>
            </w:pPr>
            <w:r w:rsidRPr="00B03CEC">
              <w:rPr>
                <w:bCs/>
                <w:sz w:val="16"/>
                <w:szCs w:val="16"/>
              </w:rPr>
              <w:t>104 °C, 240°C</w:t>
            </w:r>
          </w:p>
        </w:tc>
        <w:tc>
          <w:tcPr>
            <w:tcW w:w="2153" w:type="dxa"/>
          </w:tcPr>
          <w:p w14:paraId="1C6E1FE4" w14:textId="77777777" w:rsidR="00E67A3F" w:rsidRPr="00B03CEC" w:rsidRDefault="00E67A3F" w:rsidP="00E67A3F">
            <w:pPr>
              <w:rPr>
                <w:sz w:val="16"/>
                <w:szCs w:val="16"/>
              </w:rPr>
            </w:pPr>
            <w:r w:rsidRPr="00B03CEC">
              <w:rPr>
                <w:sz w:val="16"/>
                <w:szCs w:val="16"/>
              </w:rPr>
              <w:t>106 °C</w:t>
            </w:r>
          </w:p>
        </w:tc>
        <w:tc>
          <w:tcPr>
            <w:tcW w:w="2153" w:type="dxa"/>
          </w:tcPr>
          <w:p w14:paraId="47CA40D9" w14:textId="77777777" w:rsidR="00E67A3F" w:rsidRPr="00B03CEC" w:rsidRDefault="00E67A3F" w:rsidP="00E67A3F">
            <w:pPr>
              <w:rPr>
                <w:sz w:val="16"/>
                <w:szCs w:val="16"/>
              </w:rPr>
            </w:pPr>
            <w:r w:rsidRPr="00B03CEC">
              <w:rPr>
                <w:bCs/>
                <w:sz w:val="16"/>
                <w:szCs w:val="16"/>
              </w:rPr>
              <w:t>209 °C</w:t>
            </w:r>
          </w:p>
        </w:tc>
      </w:tr>
      <w:tr w:rsidR="00E67A3F" w:rsidRPr="009973DE" w14:paraId="7EE82BE8" w14:textId="77777777" w:rsidTr="006F2F0E">
        <w:tc>
          <w:tcPr>
            <w:tcW w:w="1680" w:type="dxa"/>
          </w:tcPr>
          <w:p w14:paraId="271D6D16" w14:textId="77777777" w:rsidR="00E67A3F" w:rsidRPr="00B03CEC" w:rsidRDefault="00E67A3F" w:rsidP="00E67A3F">
            <w:pPr>
              <w:pStyle w:val="BodyText"/>
              <w:spacing w:after="0"/>
              <w:rPr>
                <w:b/>
                <w:bCs/>
                <w:sz w:val="16"/>
                <w:szCs w:val="16"/>
              </w:rPr>
            </w:pPr>
            <w:r w:rsidRPr="00B03CEC">
              <w:rPr>
                <w:b/>
                <w:bCs/>
                <w:sz w:val="16"/>
                <w:szCs w:val="16"/>
              </w:rPr>
              <w:t>Boiling point (experimental)</w:t>
            </w:r>
          </w:p>
        </w:tc>
        <w:tc>
          <w:tcPr>
            <w:tcW w:w="2151" w:type="dxa"/>
          </w:tcPr>
          <w:p w14:paraId="2EEEB77D" w14:textId="77777777" w:rsidR="00E67A3F" w:rsidRPr="00B03CEC" w:rsidRDefault="00E67A3F" w:rsidP="00E67A3F">
            <w:pPr>
              <w:rPr>
                <w:b/>
                <w:sz w:val="16"/>
                <w:szCs w:val="16"/>
              </w:rPr>
            </w:pPr>
            <w:r w:rsidRPr="00B03CEC">
              <w:rPr>
                <w:sz w:val="16"/>
                <w:szCs w:val="16"/>
              </w:rPr>
              <w:t>175 °C at 2 mm Hg</w:t>
            </w:r>
          </w:p>
        </w:tc>
        <w:tc>
          <w:tcPr>
            <w:tcW w:w="2153" w:type="dxa"/>
          </w:tcPr>
          <w:p w14:paraId="17020FBA" w14:textId="77777777" w:rsidR="00E67A3F" w:rsidRPr="00B03CEC" w:rsidRDefault="00E67A3F" w:rsidP="00E67A3F">
            <w:pPr>
              <w:rPr>
                <w:sz w:val="16"/>
                <w:szCs w:val="16"/>
              </w:rPr>
            </w:pPr>
            <w:r w:rsidRPr="00B03CEC">
              <w:rPr>
                <w:sz w:val="16"/>
                <w:szCs w:val="16"/>
              </w:rPr>
              <w:t xml:space="preserve">310 °C </w:t>
            </w:r>
          </w:p>
        </w:tc>
        <w:tc>
          <w:tcPr>
            <w:tcW w:w="2153" w:type="dxa"/>
          </w:tcPr>
          <w:p w14:paraId="452219D4" w14:textId="77777777" w:rsidR="00E67A3F" w:rsidRPr="00B03CEC" w:rsidRDefault="00E67A3F" w:rsidP="00E67A3F">
            <w:pPr>
              <w:rPr>
                <w:sz w:val="16"/>
                <w:szCs w:val="16"/>
              </w:rPr>
            </w:pPr>
            <w:r w:rsidRPr="00B03CEC">
              <w:rPr>
                <w:sz w:val="16"/>
                <w:szCs w:val="16"/>
              </w:rPr>
              <w:t>-</w:t>
            </w:r>
          </w:p>
        </w:tc>
        <w:tc>
          <w:tcPr>
            <w:tcW w:w="2153" w:type="dxa"/>
          </w:tcPr>
          <w:p w14:paraId="4845A9E4" w14:textId="77777777" w:rsidR="00E67A3F" w:rsidRPr="00B03CEC" w:rsidRDefault="00E67A3F" w:rsidP="00E67A3F">
            <w:pPr>
              <w:rPr>
                <w:sz w:val="16"/>
                <w:szCs w:val="16"/>
              </w:rPr>
            </w:pPr>
            <w:r w:rsidRPr="00B03CEC">
              <w:rPr>
                <w:bCs/>
                <w:sz w:val="16"/>
                <w:szCs w:val="16"/>
              </w:rPr>
              <w:t>-</w:t>
            </w:r>
          </w:p>
        </w:tc>
        <w:tc>
          <w:tcPr>
            <w:tcW w:w="2153" w:type="dxa"/>
          </w:tcPr>
          <w:p w14:paraId="33935B6F" w14:textId="77777777" w:rsidR="00E67A3F" w:rsidRPr="00B03CEC" w:rsidRDefault="00E67A3F" w:rsidP="00E67A3F">
            <w:pPr>
              <w:rPr>
                <w:sz w:val="16"/>
                <w:szCs w:val="16"/>
              </w:rPr>
            </w:pPr>
            <w:r w:rsidRPr="00B03CEC">
              <w:rPr>
                <w:bCs/>
                <w:sz w:val="16"/>
                <w:szCs w:val="16"/>
              </w:rPr>
              <w:t>-</w:t>
            </w:r>
          </w:p>
        </w:tc>
        <w:tc>
          <w:tcPr>
            <w:tcW w:w="2153" w:type="dxa"/>
          </w:tcPr>
          <w:p w14:paraId="37276F5E" w14:textId="77777777" w:rsidR="00E67A3F" w:rsidRPr="00B03CEC" w:rsidRDefault="00E67A3F" w:rsidP="00E67A3F">
            <w:pPr>
              <w:rPr>
                <w:sz w:val="16"/>
                <w:szCs w:val="16"/>
              </w:rPr>
            </w:pPr>
            <w:r w:rsidRPr="00B03CEC">
              <w:rPr>
                <w:bCs/>
                <w:sz w:val="16"/>
                <w:szCs w:val="16"/>
              </w:rPr>
              <w:t>-</w:t>
            </w:r>
          </w:p>
        </w:tc>
      </w:tr>
      <w:tr w:rsidR="00E67A3F" w:rsidRPr="009973DE" w14:paraId="067A42F3" w14:textId="77777777" w:rsidTr="006F2F0E">
        <w:tc>
          <w:tcPr>
            <w:tcW w:w="1680" w:type="dxa"/>
          </w:tcPr>
          <w:p w14:paraId="2BE95D6A" w14:textId="77777777" w:rsidR="00E67A3F" w:rsidRPr="00B03CEC" w:rsidRDefault="00E67A3F" w:rsidP="00E67A3F">
            <w:pPr>
              <w:pStyle w:val="BodyText"/>
              <w:spacing w:after="0"/>
              <w:rPr>
                <w:b/>
                <w:bCs/>
                <w:sz w:val="16"/>
                <w:szCs w:val="16"/>
              </w:rPr>
            </w:pPr>
            <w:r w:rsidRPr="00B03CEC">
              <w:rPr>
                <w:b/>
                <w:bCs/>
                <w:sz w:val="16"/>
                <w:szCs w:val="16"/>
              </w:rPr>
              <w:t>Vapour pressure</w:t>
            </w:r>
          </w:p>
        </w:tc>
        <w:tc>
          <w:tcPr>
            <w:tcW w:w="2151" w:type="dxa"/>
          </w:tcPr>
          <w:p w14:paraId="32B18858" w14:textId="77777777" w:rsidR="00E67A3F" w:rsidRPr="00B03CEC" w:rsidRDefault="00E67A3F" w:rsidP="00E67A3F">
            <w:pPr>
              <w:rPr>
                <w:sz w:val="16"/>
                <w:szCs w:val="16"/>
              </w:rPr>
            </w:pPr>
            <w:r w:rsidRPr="00B03CEC">
              <w:rPr>
                <w:sz w:val="16"/>
                <w:szCs w:val="16"/>
              </w:rPr>
              <w:t>0.0013 Pa at 25 °C (experimental)</w:t>
            </w:r>
          </w:p>
          <w:p w14:paraId="5FC873D4" w14:textId="77777777" w:rsidR="00E67A3F" w:rsidRPr="00B03CEC" w:rsidRDefault="00E67A3F" w:rsidP="00E67A3F">
            <w:pPr>
              <w:rPr>
                <w:sz w:val="16"/>
                <w:szCs w:val="16"/>
              </w:rPr>
            </w:pPr>
            <w:r w:rsidRPr="00B03CEC">
              <w:rPr>
                <w:sz w:val="16"/>
                <w:szCs w:val="16"/>
              </w:rPr>
              <w:t>0.003 Pa at 25 °C (estimated)</w:t>
            </w:r>
          </w:p>
        </w:tc>
        <w:tc>
          <w:tcPr>
            <w:tcW w:w="2153" w:type="dxa"/>
          </w:tcPr>
          <w:p w14:paraId="28108062" w14:textId="77777777" w:rsidR="00E67A3F" w:rsidRPr="00B03CEC" w:rsidRDefault="00E67A3F" w:rsidP="00E67A3F">
            <w:pPr>
              <w:rPr>
                <w:sz w:val="16"/>
                <w:szCs w:val="16"/>
              </w:rPr>
            </w:pPr>
            <w:r w:rsidRPr="00B03CEC">
              <w:rPr>
                <w:sz w:val="16"/>
                <w:szCs w:val="16"/>
              </w:rPr>
              <w:t>0.053 Pa at 25 °C (experimental)</w:t>
            </w:r>
          </w:p>
          <w:p w14:paraId="1C19E674" w14:textId="77777777" w:rsidR="00E67A3F" w:rsidRPr="00B03CEC" w:rsidRDefault="00E67A3F" w:rsidP="00E67A3F">
            <w:pPr>
              <w:rPr>
                <w:sz w:val="16"/>
                <w:szCs w:val="16"/>
              </w:rPr>
            </w:pPr>
            <w:r w:rsidRPr="00B03CEC">
              <w:rPr>
                <w:sz w:val="16"/>
                <w:szCs w:val="16"/>
              </w:rPr>
              <w:t>0.03 Pa at 25 °C (estimated)</w:t>
            </w:r>
          </w:p>
        </w:tc>
        <w:tc>
          <w:tcPr>
            <w:tcW w:w="2153" w:type="dxa"/>
          </w:tcPr>
          <w:p w14:paraId="28AAA21F" w14:textId="77777777" w:rsidR="00E67A3F" w:rsidRPr="00B03CEC" w:rsidRDefault="00E67A3F" w:rsidP="00E67A3F">
            <w:pPr>
              <w:rPr>
                <w:sz w:val="16"/>
                <w:szCs w:val="16"/>
              </w:rPr>
            </w:pPr>
            <w:r w:rsidRPr="00B03CEC">
              <w:rPr>
                <w:sz w:val="16"/>
                <w:szCs w:val="16"/>
              </w:rPr>
              <w:t>4.0E-04 Pa at 20 °C (experimental)</w:t>
            </w:r>
          </w:p>
          <w:p w14:paraId="351A38A8" w14:textId="77777777" w:rsidR="00E67A3F" w:rsidRPr="00B03CEC" w:rsidRDefault="00E67A3F" w:rsidP="00E67A3F">
            <w:pPr>
              <w:rPr>
                <w:sz w:val="16"/>
                <w:szCs w:val="16"/>
              </w:rPr>
            </w:pPr>
            <w:r w:rsidRPr="00B03CEC">
              <w:rPr>
                <w:sz w:val="16"/>
                <w:szCs w:val="16"/>
              </w:rPr>
              <w:t>3.7 E-04 Pa at 25 °C (estimated)</w:t>
            </w:r>
          </w:p>
        </w:tc>
        <w:tc>
          <w:tcPr>
            <w:tcW w:w="2153" w:type="dxa"/>
          </w:tcPr>
          <w:p w14:paraId="49FC641D" w14:textId="77777777" w:rsidR="00E67A3F" w:rsidRPr="00B03CEC" w:rsidRDefault="00E67A3F" w:rsidP="00E67A3F">
            <w:pPr>
              <w:rPr>
                <w:bCs/>
                <w:sz w:val="16"/>
                <w:szCs w:val="16"/>
              </w:rPr>
            </w:pPr>
            <w:r w:rsidRPr="00B03CEC">
              <w:rPr>
                <w:bCs/>
                <w:sz w:val="16"/>
                <w:szCs w:val="16"/>
              </w:rPr>
              <w:t>0.016 Pa at 25 °C (experimental)</w:t>
            </w:r>
          </w:p>
          <w:p w14:paraId="729999A1" w14:textId="77777777" w:rsidR="00E67A3F" w:rsidRPr="00B03CEC" w:rsidRDefault="00E67A3F" w:rsidP="00E67A3F">
            <w:pPr>
              <w:rPr>
                <w:sz w:val="16"/>
                <w:szCs w:val="16"/>
              </w:rPr>
            </w:pPr>
            <w:r w:rsidRPr="00B03CEC">
              <w:rPr>
                <w:bCs/>
                <w:sz w:val="16"/>
                <w:szCs w:val="16"/>
              </w:rPr>
              <w:t xml:space="preserve"> 2.5 E-04 Pa at 25 °C (estimated)</w:t>
            </w:r>
          </w:p>
        </w:tc>
        <w:tc>
          <w:tcPr>
            <w:tcW w:w="2153" w:type="dxa"/>
          </w:tcPr>
          <w:p w14:paraId="09A7A150" w14:textId="77777777" w:rsidR="00E67A3F" w:rsidRPr="00B03CEC" w:rsidRDefault="00E67A3F" w:rsidP="00E67A3F">
            <w:pPr>
              <w:rPr>
                <w:bCs/>
                <w:sz w:val="16"/>
                <w:szCs w:val="16"/>
              </w:rPr>
            </w:pPr>
            <w:r w:rsidRPr="00B03CEC">
              <w:rPr>
                <w:bCs/>
                <w:sz w:val="16"/>
                <w:szCs w:val="16"/>
              </w:rPr>
              <w:t>8.0E-05 Pa at 25 °C (experimental)</w:t>
            </w:r>
          </w:p>
          <w:p w14:paraId="7EE43C38" w14:textId="77777777" w:rsidR="00E67A3F" w:rsidRPr="00B03CEC" w:rsidRDefault="00E67A3F" w:rsidP="00E67A3F">
            <w:pPr>
              <w:rPr>
                <w:sz w:val="16"/>
                <w:szCs w:val="16"/>
              </w:rPr>
            </w:pPr>
            <w:r w:rsidRPr="00B03CEC">
              <w:rPr>
                <w:bCs/>
                <w:sz w:val="16"/>
                <w:szCs w:val="16"/>
              </w:rPr>
              <w:t>1.7E-04 Pa at 25 °C (estimated)</w:t>
            </w:r>
          </w:p>
        </w:tc>
        <w:tc>
          <w:tcPr>
            <w:tcW w:w="2153" w:type="dxa"/>
          </w:tcPr>
          <w:p w14:paraId="14E73F76" w14:textId="77777777" w:rsidR="00E67A3F" w:rsidRPr="00B03CEC" w:rsidRDefault="00E67A3F" w:rsidP="00E67A3F">
            <w:pPr>
              <w:rPr>
                <w:sz w:val="16"/>
                <w:szCs w:val="16"/>
              </w:rPr>
            </w:pPr>
            <w:r w:rsidRPr="00B03CEC">
              <w:rPr>
                <w:bCs/>
                <w:sz w:val="16"/>
                <w:szCs w:val="16"/>
              </w:rPr>
              <w:t>1.9E-06 Pa at 25 °C (estimated)</w:t>
            </w:r>
          </w:p>
        </w:tc>
      </w:tr>
      <w:tr w:rsidR="00E67A3F" w:rsidRPr="009973DE" w14:paraId="77B9875C" w14:textId="77777777" w:rsidTr="006F2F0E">
        <w:tc>
          <w:tcPr>
            <w:tcW w:w="1680" w:type="dxa"/>
          </w:tcPr>
          <w:p w14:paraId="1B6716C8" w14:textId="77777777" w:rsidR="00E67A3F" w:rsidRPr="00B03CEC" w:rsidRDefault="00E67A3F" w:rsidP="00E67A3F">
            <w:pPr>
              <w:pStyle w:val="BodyText"/>
              <w:spacing w:after="0"/>
              <w:rPr>
                <w:b/>
                <w:bCs/>
                <w:sz w:val="16"/>
                <w:szCs w:val="16"/>
              </w:rPr>
            </w:pPr>
            <w:r w:rsidRPr="00B03CEC">
              <w:rPr>
                <w:b/>
                <w:bCs/>
                <w:sz w:val="16"/>
                <w:szCs w:val="16"/>
              </w:rPr>
              <w:t>Water solubility</w:t>
            </w:r>
          </w:p>
        </w:tc>
        <w:tc>
          <w:tcPr>
            <w:tcW w:w="2151" w:type="dxa"/>
          </w:tcPr>
          <w:p w14:paraId="5CE1BA77" w14:textId="77777777" w:rsidR="00E67A3F" w:rsidRPr="00B03CEC" w:rsidRDefault="00E67A3F" w:rsidP="00E67A3F">
            <w:pPr>
              <w:rPr>
                <w:sz w:val="16"/>
                <w:szCs w:val="16"/>
              </w:rPr>
            </w:pPr>
            <w:r w:rsidRPr="00B03CEC">
              <w:rPr>
                <w:sz w:val="16"/>
                <w:szCs w:val="16"/>
              </w:rPr>
              <w:t>0.056 mg/L at 25 °C (experimental)</w:t>
            </w:r>
          </w:p>
          <w:p w14:paraId="5ABB4FD4" w14:textId="77777777" w:rsidR="00E67A3F" w:rsidRPr="00B03CEC" w:rsidRDefault="00E67A3F" w:rsidP="00E67A3F">
            <w:pPr>
              <w:rPr>
                <w:sz w:val="16"/>
                <w:szCs w:val="16"/>
              </w:rPr>
            </w:pPr>
            <w:r w:rsidRPr="00B03CEC">
              <w:rPr>
                <w:sz w:val="16"/>
                <w:szCs w:val="16"/>
              </w:rPr>
              <w:t>0.013 mg/L at 25 °C (estimated)</w:t>
            </w:r>
          </w:p>
        </w:tc>
        <w:tc>
          <w:tcPr>
            <w:tcW w:w="2153" w:type="dxa"/>
          </w:tcPr>
          <w:p w14:paraId="5EF267BB" w14:textId="77777777" w:rsidR="00E67A3F" w:rsidRPr="00B03CEC" w:rsidRDefault="00E67A3F" w:rsidP="00E67A3F">
            <w:pPr>
              <w:rPr>
                <w:sz w:val="16"/>
                <w:szCs w:val="16"/>
              </w:rPr>
            </w:pPr>
            <w:r w:rsidRPr="00B03CEC">
              <w:rPr>
                <w:sz w:val="16"/>
                <w:szCs w:val="16"/>
              </w:rPr>
              <w:t>0.18 mg/L at 25 °C (experimental)</w:t>
            </w:r>
          </w:p>
          <w:p w14:paraId="14826A78" w14:textId="77777777" w:rsidR="00E67A3F" w:rsidRPr="00B03CEC" w:rsidRDefault="00E67A3F" w:rsidP="00E67A3F">
            <w:pPr>
              <w:rPr>
                <w:b/>
                <w:sz w:val="16"/>
                <w:szCs w:val="16"/>
              </w:rPr>
            </w:pPr>
            <w:r w:rsidRPr="00B03CEC">
              <w:rPr>
                <w:sz w:val="16"/>
                <w:szCs w:val="16"/>
              </w:rPr>
              <w:t>0.095 mg/L at 25 °C (estimated)</w:t>
            </w:r>
          </w:p>
        </w:tc>
        <w:tc>
          <w:tcPr>
            <w:tcW w:w="2153" w:type="dxa"/>
          </w:tcPr>
          <w:p w14:paraId="6A3B48E5" w14:textId="77777777" w:rsidR="00E67A3F" w:rsidRPr="00B03CEC" w:rsidRDefault="00E67A3F" w:rsidP="00E67A3F">
            <w:pPr>
              <w:rPr>
                <w:sz w:val="16"/>
                <w:szCs w:val="16"/>
              </w:rPr>
            </w:pPr>
            <w:r w:rsidRPr="00B03CEC">
              <w:rPr>
                <w:sz w:val="16"/>
                <w:szCs w:val="16"/>
              </w:rPr>
              <w:t>0.195 - 0.25  mg/L at 25 °C (experimental)</w:t>
            </w:r>
          </w:p>
          <w:p w14:paraId="7F686815" w14:textId="77777777" w:rsidR="00E67A3F" w:rsidRPr="00B03CEC" w:rsidRDefault="00E67A3F" w:rsidP="00E67A3F">
            <w:pPr>
              <w:rPr>
                <w:sz w:val="16"/>
                <w:szCs w:val="16"/>
              </w:rPr>
            </w:pPr>
            <w:r w:rsidRPr="00B03CEC">
              <w:rPr>
                <w:sz w:val="16"/>
                <w:szCs w:val="16"/>
              </w:rPr>
              <w:t>0.15 mg/L at 25 °C (estimated)</w:t>
            </w:r>
          </w:p>
        </w:tc>
        <w:tc>
          <w:tcPr>
            <w:tcW w:w="2153" w:type="dxa"/>
          </w:tcPr>
          <w:p w14:paraId="636DE73C" w14:textId="77777777" w:rsidR="00E67A3F" w:rsidRPr="00B03CEC" w:rsidRDefault="00E67A3F" w:rsidP="00E67A3F">
            <w:pPr>
              <w:rPr>
                <w:bCs/>
                <w:sz w:val="16"/>
                <w:szCs w:val="16"/>
              </w:rPr>
            </w:pPr>
            <w:r w:rsidRPr="00B03CEC">
              <w:rPr>
                <w:bCs/>
                <w:sz w:val="16"/>
                <w:szCs w:val="16"/>
              </w:rPr>
              <w:t>0.017 mg/L at 25 °C (experimental)</w:t>
            </w:r>
          </w:p>
          <w:p w14:paraId="0A4CE183" w14:textId="77777777" w:rsidR="00E67A3F" w:rsidRPr="00B03CEC" w:rsidRDefault="00E67A3F" w:rsidP="00E67A3F">
            <w:pPr>
              <w:rPr>
                <w:sz w:val="16"/>
                <w:szCs w:val="16"/>
              </w:rPr>
            </w:pPr>
            <w:r w:rsidRPr="00B03CEC">
              <w:rPr>
                <w:bCs/>
                <w:sz w:val="16"/>
                <w:szCs w:val="16"/>
              </w:rPr>
              <w:t>0.002 - 0.014 mg/L at 25 °C (estimated)</w:t>
            </w:r>
          </w:p>
        </w:tc>
        <w:tc>
          <w:tcPr>
            <w:tcW w:w="2153" w:type="dxa"/>
          </w:tcPr>
          <w:p w14:paraId="4274039B" w14:textId="77777777" w:rsidR="00E67A3F" w:rsidRPr="00B03CEC" w:rsidRDefault="00E67A3F" w:rsidP="00E67A3F">
            <w:pPr>
              <w:rPr>
                <w:sz w:val="16"/>
                <w:szCs w:val="16"/>
              </w:rPr>
            </w:pPr>
            <w:r w:rsidRPr="00B03CEC">
              <w:rPr>
                <w:sz w:val="16"/>
                <w:szCs w:val="16"/>
              </w:rPr>
              <w:t>0.325 mg/L at 22</w:t>
            </w:r>
            <w:r w:rsidRPr="00B03CEC">
              <w:rPr>
                <w:bCs/>
                <w:sz w:val="16"/>
                <w:szCs w:val="16"/>
              </w:rPr>
              <w:t xml:space="preserve"> °C (experimental)</w:t>
            </w:r>
          </w:p>
          <w:p w14:paraId="77BB20CE" w14:textId="77777777" w:rsidR="00E67A3F" w:rsidRPr="00B03CEC" w:rsidRDefault="00E67A3F" w:rsidP="00E67A3F">
            <w:pPr>
              <w:rPr>
                <w:sz w:val="16"/>
                <w:szCs w:val="16"/>
              </w:rPr>
            </w:pPr>
            <w:r w:rsidRPr="00B03CEC">
              <w:rPr>
                <w:sz w:val="16"/>
                <w:szCs w:val="16"/>
              </w:rPr>
              <w:t>1.5 mg/L at 25 °C (estimated)</w:t>
            </w:r>
          </w:p>
        </w:tc>
        <w:tc>
          <w:tcPr>
            <w:tcW w:w="2153" w:type="dxa"/>
          </w:tcPr>
          <w:p w14:paraId="60E67452" w14:textId="77777777" w:rsidR="00E67A3F" w:rsidRPr="00B03CEC" w:rsidRDefault="00E67A3F" w:rsidP="00E67A3F">
            <w:pPr>
              <w:rPr>
                <w:bCs/>
                <w:sz w:val="16"/>
                <w:szCs w:val="16"/>
              </w:rPr>
            </w:pPr>
            <w:r w:rsidRPr="00B03CEC">
              <w:rPr>
                <w:bCs/>
                <w:sz w:val="16"/>
                <w:szCs w:val="16"/>
              </w:rPr>
              <w:t>3,500 mg/L at 25 °C (experimental)</w:t>
            </w:r>
          </w:p>
          <w:p w14:paraId="040966CD" w14:textId="77777777" w:rsidR="00E67A3F" w:rsidRPr="00B03CEC" w:rsidRDefault="00E67A3F" w:rsidP="00E67A3F">
            <w:pPr>
              <w:rPr>
                <w:sz w:val="16"/>
                <w:szCs w:val="16"/>
              </w:rPr>
            </w:pPr>
            <w:r w:rsidRPr="00B03CEC">
              <w:rPr>
                <w:bCs/>
                <w:sz w:val="16"/>
                <w:szCs w:val="16"/>
              </w:rPr>
              <w:t>18 mg/L at 25 °C (estimated)</w:t>
            </w:r>
          </w:p>
        </w:tc>
      </w:tr>
      <w:tr w:rsidR="00E67A3F" w:rsidRPr="009973DE" w14:paraId="431ABB19" w14:textId="77777777" w:rsidTr="006F2F0E">
        <w:tc>
          <w:tcPr>
            <w:tcW w:w="1680" w:type="dxa"/>
          </w:tcPr>
          <w:p w14:paraId="238AB9CD" w14:textId="77777777" w:rsidR="00E67A3F" w:rsidRPr="00B03CEC" w:rsidRDefault="00E67A3F" w:rsidP="00E67A3F">
            <w:pPr>
              <w:pStyle w:val="BodyText"/>
              <w:spacing w:after="0"/>
              <w:rPr>
                <w:b/>
                <w:bCs/>
                <w:sz w:val="16"/>
                <w:szCs w:val="16"/>
              </w:rPr>
            </w:pPr>
            <w:r w:rsidRPr="00B03CEC">
              <w:rPr>
                <w:b/>
                <w:bCs/>
                <w:sz w:val="16"/>
                <w:szCs w:val="16"/>
              </w:rPr>
              <w:t>log K</w:t>
            </w:r>
            <w:r w:rsidRPr="00B03CEC">
              <w:rPr>
                <w:b/>
                <w:bCs/>
                <w:sz w:val="16"/>
                <w:szCs w:val="16"/>
                <w:vertAlign w:val="subscript"/>
              </w:rPr>
              <w:t>OW</w:t>
            </w:r>
          </w:p>
        </w:tc>
        <w:tc>
          <w:tcPr>
            <w:tcW w:w="2151" w:type="dxa"/>
          </w:tcPr>
          <w:p w14:paraId="1C06BE2C" w14:textId="77777777" w:rsidR="00E67A3F" w:rsidRPr="00B03CEC" w:rsidRDefault="00E67A3F" w:rsidP="00E67A3F">
            <w:pPr>
              <w:rPr>
                <w:sz w:val="16"/>
                <w:szCs w:val="16"/>
              </w:rPr>
            </w:pPr>
            <w:r w:rsidRPr="00B03CEC">
              <w:rPr>
                <w:sz w:val="16"/>
                <w:szCs w:val="16"/>
              </w:rPr>
              <w:t>6.1-6.2 (experimental)</w:t>
            </w:r>
          </w:p>
          <w:p w14:paraId="49BA6983" w14:textId="77777777" w:rsidR="00E67A3F" w:rsidRPr="00B03CEC" w:rsidRDefault="00E67A3F" w:rsidP="00E67A3F">
            <w:pPr>
              <w:rPr>
                <w:b/>
                <w:sz w:val="16"/>
                <w:szCs w:val="16"/>
              </w:rPr>
            </w:pPr>
            <w:r w:rsidRPr="00B03CEC">
              <w:rPr>
                <w:sz w:val="16"/>
                <w:szCs w:val="16"/>
              </w:rPr>
              <w:t>6.3 (estimated)</w:t>
            </w:r>
          </w:p>
        </w:tc>
        <w:tc>
          <w:tcPr>
            <w:tcW w:w="2153" w:type="dxa"/>
          </w:tcPr>
          <w:p w14:paraId="0F6EA407" w14:textId="77777777" w:rsidR="00E67A3F" w:rsidRPr="00B03CEC" w:rsidRDefault="00E67A3F" w:rsidP="00E67A3F">
            <w:pPr>
              <w:rPr>
                <w:sz w:val="16"/>
                <w:szCs w:val="16"/>
              </w:rPr>
            </w:pPr>
            <w:r w:rsidRPr="00B03CEC">
              <w:rPr>
                <w:sz w:val="16"/>
                <w:szCs w:val="16"/>
              </w:rPr>
              <w:t>5.5-6.1 (experimental)</w:t>
            </w:r>
          </w:p>
          <w:p w14:paraId="2297676D" w14:textId="77777777" w:rsidR="00E67A3F" w:rsidRPr="00B03CEC" w:rsidRDefault="00E67A3F" w:rsidP="00E67A3F">
            <w:pPr>
              <w:rPr>
                <w:b/>
                <w:sz w:val="16"/>
                <w:szCs w:val="16"/>
              </w:rPr>
            </w:pPr>
            <w:r w:rsidRPr="00B03CEC">
              <w:rPr>
                <w:sz w:val="16"/>
                <w:szCs w:val="16"/>
              </w:rPr>
              <w:t>5.9 (estimated)</w:t>
            </w:r>
          </w:p>
        </w:tc>
        <w:tc>
          <w:tcPr>
            <w:tcW w:w="2153" w:type="dxa"/>
          </w:tcPr>
          <w:p w14:paraId="256793FF" w14:textId="77777777" w:rsidR="00E67A3F" w:rsidRPr="00B03CEC" w:rsidRDefault="00E67A3F" w:rsidP="00E67A3F">
            <w:pPr>
              <w:rPr>
                <w:sz w:val="16"/>
                <w:szCs w:val="16"/>
              </w:rPr>
            </w:pPr>
            <w:r w:rsidRPr="00B03CEC">
              <w:rPr>
                <w:sz w:val="16"/>
                <w:szCs w:val="16"/>
              </w:rPr>
              <w:t>5.2-5.4 (experimental)</w:t>
            </w:r>
          </w:p>
          <w:p w14:paraId="11A5577C" w14:textId="77777777" w:rsidR="00E67A3F" w:rsidRPr="00B03CEC" w:rsidRDefault="00E67A3F" w:rsidP="00E67A3F">
            <w:pPr>
              <w:rPr>
                <w:b/>
                <w:sz w:val="16"/>
                <w:szCs w:val="16"/>
              </w:rPr>
            </w:pPr>
            <w:r w:rsidRPr="00B03CEC">
              <w:rPr>
                <w:sz w:val="16"/>
                <w:szCs w:val="16"/>
              </w:rPr>
              <w:t>5.4 (estimated)</w:t>
            </w:r>
          </w:p>
        </w:tc>
        <w:tc>
          <w:tcPr>
            <w:tcW w:w="2153" w:type="dxa"/>
          </w:tcPr>
          <w:p w14:paraId="0F19EC38" w14:textId="77777777" w:rsidR="00E67A3F" w:rsidRPr="00B03CEC" w:rsidRDefault="00E67A3F" w:rsidP="00E67A3F">
            <w:pPr>
              <w:rPr>
                <w:sz w:val="16"/>
                <w:szCs w:val="16"/>
              </w:rPr>
            </w:pPr>
            <w:r w:rsidRPr="00B03CEC">
              <w:rPr>
                <w:sz w:val="16"/>
                <w:szCs w:val="16"/>
              </w:rPr>
              <w:t>6.5 (experimental)</w:t>
            </w:r>
          </w:p>
          <w:p w14:paraId="7087CE59" w14:textId="77777777" w:rsidR="00E67A3F" w:rsidRPr="00B03CEC" w:rsidRDefault="00E67A3F" w:rsidP="00E67A3F">
            <w:pPr>
              <w:rPr>
                <w:sz w:val="16"/>
                <w:szCs w:val="16"/>
              </w:rPr>
            </w:pPr>
            <w:r w:rsidRPr="00B03CEC">
              <w:rPr>
                <w:sz w:val="16"/>
                <w:szCs w:val="16"/>
              </w:rPr>
              <w:t>6.8 (estimated)</w:t>
            </w:r>
          </w:p>
        </w:tc>
        <w:tc>
          <w:tcPr>
            <w:tcW w:w="2153" w:type="dxa"/>
          </w:tcPr>
          <w:p w14:paraId="25041A67" w14:textId="77777777" w:rsidR="00E67A3F" w:rsidRPr="00B03CEC" w:rsidRDefault="00E67A3F" w:rsidP="00E67A3F">
            <w:pPr>
              <w:rPr>
                <w:sz w:val="16"/>
                <w:szCs w:val="16"/>
              </w:rPr>
            </w:pPr>
            <w:r w:rsidRPr="00B03CEC">
              <w:rPr>
                <w:sz w:val="16"/>
                <w:szCs w:val="16"/>
              </w:rPr>
              <w:t>3.8 (experimental)</w:t>
            </w:r>
          </w:p>
          <w:p w14:paraId="2975B4D1" w14:textId="77777777" w:rsidR="00E67A3F" w:rsidRPr="00B03CEC" w:rsidRDefault="00E67A3F" w:rsidP="00E67A3F">
            <w:pPr>
              <w:rPr>
                <w:sz w:val="16"/>
                <w:szCs w:val="16"/>
              </w:rPr>
            </w:pPr>
            <w:r w:rsidRPr="00B03CEC">
              <w:rPr>
                <w:sz w:val="16"/>
                <w:szCs w:val="16"/>
              </w:rPr>
              <w:t>2.25 (estimated)</w:t>
            </w:r>
          </w:p>
        </w:tc>
        <w:tc>
          <w:tcPr>
            <w:tcW w:w="2153" w:type="dxa"/>
          </w:tcPr>
          <w:p w14:paraId="23A66FC6" w14:textId="77777777" w:rsidR="00E67A3F" w:rsidRPr="00B03CEC" w:rsidRDefault="00E67A3F" w:rsidP="00E67A3F">
            <w:pPr>
              <w:rPr>
                <w:sz w:val="16"/>
                <w:szCs w:val="16"/>
              </w:rPr>
            </w:pPr>
            <w:r w:rsidRPr="00B03CEC">
              <w:rPr>
                <w:bCs/>
                <w:sz w:val="16"/>
                <w:szCs w:val="16"/>
              </w:rPr>
              <w:t>3.1 (estimated)</w:t>
            </w:r>
          </w:p>
        </w:tc>
      </w:tr>
    </w:tbl>
    <w:p w14:paraId="73888273" w14:textId="77777777" w:rsidR="00491C41" w:rsidRDefault="00491C41" w:rsidP="008E617A">
      <w:pPr>
        <w:rPr>
          <w:b/>
          <w:sz w:val="18"/>
          <w:szCs w:val="18"/>
        </w:rPr>
      </w:pPr>
    </w:p>
    <w:p w14:paraId="570163D9" w14:textId="77777777" w:rsidR="00E67A3F" w:rsidRDefault="006F2F0E" w:rsidP="008E617A">
      <w:pPr>
        <w:rPr>
          <w:sz w:val="16"/>
          <w:szCs w:val="16"/>
        </w:rPr>
      </w:pPr>
      <w:r w:rsidRPr="00B03CEC">
        <w:rPr>
          <w:b/>
          <w:bCs/>
          <w:sz w:val="16"/>
          <w:szCs w:val="16"/>
        </w:rPr>
        <w:t xml:space="preserve"> </w:t>
      </w:r>
      <w:r w:rsidRPr="00B03CEC">
        <w:rPr>
          <w:sz w:val="16"/>
          <w:szCs w:val="16"/>
        </w:rPr>
        <w:t xml:space="preserve">    </w:t>
      </w:r>
    </w:p>
    <w:p w14:paraId="6B604F3A" w14:textId="77777777" w:rsidR="00E67A3F" w:rsidRDefault="00E67A3F">
      <w:pPr>
        <w:widowControl/>
        <w:rPr>
          <w:sz w:val="16"/>
          <w:szCs w:val="16"/>
        </w:rPr>
      </w:pPr>
      <w:r>
        <w:rPr>
          <w:sz w:val="16"/>
          <w:szCs w:val="16"/>
        </w:rPr>
        <w:br w:type="page"/>
      </w:r>
    </w:p>
    <w:tbl>
      <w:tblPr>
        <w:tblStyle w:val="TableGrid"/>
        <w:tblW w:w="14596" w:type="dxa"/>
        <w:tblLayout w:type="fixed"/>
        <w:tblLook w:val="04A0" w:firstRow="1" w:lastRow="0" w:firstColumn="1" w:lastColumn="0" w:noHBand="0" w:noVBand="1"/>
      </w:tblPr>
      <w:tblGrid>
        <w:gridCol w:w="1953"/>
        <w:gridCol w:w="3160"/>
        <w:gridCol w:w="3161"/>
        <w:gridCol w:w="3161"/>
        <w:gridCol w:w="3161"/>
      </w:tblGrid>
      <w:tr w:rsidR="00B233B5" w:rsidRPr="009973DE" w14:paraId="03C76CB2" w14:textId="77777777" w:rsidTr="00E67A3F">
        <w:tc>
          <w:tcPr>
            <w:tcW w:w="1953" w:type="dxa"/>
          </w:tcPr>
          <w:p w14:paraId="68CC4447" w14:textId="6023E624" w:rsidR="00B233B5" w:rsidRPr="00B03CEC" w:rsidRDefault="00B233B5" w:rsidP="00B233B5">
            <w:pPr>
              <w:pStyle w:val="BodyText"/>
              <w:spacing w:after="0"/>
              <w:rPr>
                <w:b/>
                <w:bCs/>
                <w:sz w:val="16"/>
                <w:szCs w:val="16"/>
              </w:rPr>
            </w:pPr>
            <w:r w:rsidRPr="00B03CEC">
              <w:rPr>
                <w:b/>
                <w:bCs/>
                <w:sz w:val="16"/>
                <w:szCs w:val="16"/>
              </w:rPr>
              <w:lastRenderedPageBreak/>
              <w:t>Substance name</w:t>
            </w:r>
          </w:p>
        </w:tc>
        <w:tc>
          <w:tcPr>
            <w:tcW w:w="3160" w:type="dxa"/>
          </w:tcPr>
          <w:p w14:paraId="7F643A52" w14:textId="77777777" w:rsidR="00B233B5" w:rsidRPr="00722785" w:rsidRDefault="00B233B5" w:rsidP="00B233B5">
            <w:pPr>
              <w:pStyle w:val="BodyText"/>
              <w:spacing w:after="0"/>
              <w:rPr>
                <w:bCs/>
                <w:sz w:val="16"/>
                <w:szCs w:val="16"/>
              </w:rPr>
            </w:pPr>
            <w:r w:rsidRPr="00722785">
              <w:rPr>
                <w:sz w:val="16"/>
                <w:szCs w:val="16"/>
              </w:rPr>
              <w:t>Dechlorane 602</w:t>
            </w:r>
          </w:p>
        </w:tc>
        <w:tc>
          <w:tcPr>
            <w:tcW w:w="3161" w:type="dxa"/>
          </w:tcPr>
          <w:p w14:paraId="431E5686" w14:textId="77777777" w:rsidR="00B233B5" w:rsidRPr="00722785" w:rsidRDefault="00B233B5" w:rsidP="00B233B5">
            <w:pPr>
              <w:keepNext/>
              <w:rPr>
                <w:sz w:val="16"/>
                <w:szCs w:val="16"/>
              </w:rPr>
            </w:pPr>
            <w:r w:rsidRPr="00722785">
              <w:rPr>
                <w:sz w:val="16"/>
                <w:szCs w:val="16"/>
              </w:rPr>
              <w:t>Dechlorane 603</w:t>
            </w:r>
          </w:p>
        </w:tc>
        <w:tc>
          <w:tcPr>
            <w:tcW w:w="3161" w:type="dxa"/>
          </w:tcPr>
          <w:p w14:paraId="7DEA1A88" w14:textId="77777777" w:rsidR="00B233B5" w:rsidRPr="00722785" w:rsidRDefault="00B233B5" w:rsidP="00B233B5">
            <w:pPr>
              <w:pStyle w:val="BodyText"/>
              <w:spacing w:after="0"/>
              <w:rPr>
                <w:bCs/>
                <w:sz w:val="16"/>
                <w:szCs w:val="16"/>
              </w:rPr>
            </w:pPr>
            <w:r w:rsidRPr="00722785">
              <w:rPr>
                <w:sz w:val="16"/>
                <w:szCs w:val="16"/>
              </w:rPr>
              <w:t>Dechlorane 604</w:t>
            </w:r>
          </w:p>
        </w:tc>
        <w:tc>
          <w:tcPr>
            <w:tcW w:w="3161" w:type="dxa"/>
          </w:tcPr>
          <w:p w14:paraId="1908DB07" w14:textId="77777777" w:rsidR="00B233B5" w:rsidRPr="00722785" w:rsidRDefault="00B233B5" w:rsidP="00B233B5">
            <w:pPr>
              <w:pStyle w:val="BodyText"/>
              <w:spacing w:after="0"/>
              <w:rPr>
                <w:bCs/>
                <w:sz w:val="16"/>
                <w:szCs w:val="16"/>
              </w:rPr>
            </w:pPr>
            <w:r w:rsidRPr="00722785">
              <w:rPr>
                <w:sz w:val="16"/>
                <w:szCs w:val="16"/>
              </w:rPr>
              <w:t>Chlordene Plus</w:t>
            </w:r>
          </w:p>
        </w:tc>
      </w:tr>
      <w:tr w:rsidR="00B233B5" w:rsidRPr="009973DE" w14:paraId="68300CE6" w14:textId="77777777" w:rsidTr="00E67A3F">
        <w:tc>
          <w:tcPr>
            <w:tcW w:w="1953" w:type="dxa"/>
          </w:tcPr>
          <w:p w14:paraId="14A19147" w14:textId="77777777" w:rsidR="00B233B5" w:rsidRPr="00B03CEC" w:rsidRDefault="00B233B5" w:rsidP="00B233B5">
            <w:pPr>
              <w:pStyle w:val="BodyText"/>
              <w:spacing w:after="0"/>
              <w:rPr>
                <w:b/>
                <w:bCs/>
                <w:sz w:val="16"/>
                <w:szCs w:val="16"/>
              </w:rPr>
            </w:pPr>
            <w:r w:rsidRPr="00B03CEC">
              <w:rPr>
                <w:b/>
                <w:bCs/>
                <w:sz w:val="16"/>
                <w:szCs w:val="16"/>
              </w:rPr>
              <w:t>EC number:</w:t>
            </w:r>
          </w:p>
        </w:tc>
        <w:tc>
          <w:tcPr>
            <w:tcW w:w="3160" w:type="dxa"/>
          </w:tcPr>
          <w:p w14:paraId="154F1581" w14:textId="77777777" w:rsidR="00B233B5" w:rsidRPr="00722785" w:rsidRDefault="00B233B5" w:rsidP="00B233B5">
            <w:pPr>
              <w:rPr>
                <w:sz w:val="16"/>
                <w:szCs w:val="16"/>
              </w:rPr>
            </w:pPr>
            <w:r w:rsidRPr="00722785">
              <w:rPr>
                <w:sz w:val="16"/>
                <w:szCs w:val="16"/>
              </w:rPr>
              <w:t>250-472-9</w:t>
            </w:r>
          </w:p>
        </w:tc>
        <w:tc>
          <w:tcPr>
            <w:tcW w:w="3161" w:type="dxa"/>
          </w:tcPr>
          <w:p w14:paraId="15F8BEFF" w14:textId="77777777" w:rsidR="00B233B5" w:rsidRPr="00722785" w:rsidRDefault="00B07E39" w:rsidP="00B233B5">
            <w:pPr>
              <w:pStyle w:val="BodyText"/>
              <w:spacing w:after="0"/>
              <w:rPr>
                <w:bCs/>
                <w:noProof/>
                <w:sz w:val="16"/>
                <w:szCs w:val="16"/>
                <w:lang w:eastAsia="en-GB"/>
              </w:rPr>
            </w:pPr>
            <w:r w:rsidRPr="00722785">
              <w:rPr>
                <w:bCs/>
                <w:noProof/>
                <w:sz w:val="16"/>
                <w:szCs w:val="16"/>
                <w:lang w:eastAsia="en-GB"/>
              </w:rPr>
              <w:t>-</w:t>
            </w:r>
          </w:p>
        </w:tc>
        <w:tc>
          <w:tcPr>
            <w:tcW w:w="3161" w:type="dxa"/>
          </w:tcPr>
          <w:p w14:paraId="02C3FAE8" w14:textId="77777777" w:rsidR="00B233B5" w:rsidRPr="00722785" w:rsidRDefault="00B233B5" w:rsidP="00B233B5">
            <w:pPr>
              <w:rPr>
                <w:sz w:val="16"/>
                <w:szCs w:val="16"/>
              </w:rPr>
            </w:pPr>
            <w:r w:rsidRPr="00722785">
              <w:rPr>
                <w:sz w:val="16"/>
                <w:szCs w:val="16"/>
              </w:rPr>
              <w:t>252-097-6</w:t>
            </w:r>
          </w:p>
        </w:tc>
        <w:tc>
          <w:tcPr>
            <w:tcW w:w="3161" w:type="dxa"/>
          </w:tcPr>
          <w:p w14:paraId="337D4796" w14:textId="77777777" w:rsidR="00B233B5" w:rsidRPr="00722785" w:rsidRDefault="00B07E39" w:rsidP="00B233B5">
            <w:pPr>
              <w:pStyle w:val="BodyText"/>
              <w:spacing w:after="0"/>
              <w:rPr>
                <w:bCs/>
                <w:noProof/>
                <w:sz w:val="16"/>
                <w:szCs w:val="16"/>
                <w:lang w:eastAsia="en-GB"/>
              </w:rPr>
            </w:pPr>
            <w:r w:rsidRPr="00722785">
              <w:rPr>
                <w:bCs/>
                <w:noProof/>
                <w:sz w:val="16"/>
                <w:szCs w:val="16"/>
                <w:lang w:eastAsia="en-GB"/>
              </w:rPr>
              <w:t>-</w:t>
            </w:r>
          </w:p>
        </w:tc>
      </w:tr>
      <w:tr w:rsidR="00B233B5" w:rsidRPr="009973DE" w14:paraId="01D5BDD5" w14:textId="77777777" w:rsidTr="00E67A3F">
        <w:tc>
          <w:tcPr>
            <w:tcW w:w="1953" w:type="dxa"/>
          </w:tcPr>
          <w:p w14:paraId="166BC85F" w14:textId="77777777" w:rsidR="00B233B5" w:rsidRPr="00B03CEC" w:rsidRDefault="00B233B5" w:rsidP="00B233B5">
            <w:pPr>
              <w:pStyle w:val="BodyText"/>
              <w:spacing w:after="0"/>
              <w:rPr>
                <w:b/>
                <w:bCs/>
                <w:sz w:val="16"/>
                <w:szCs w:val="16"/>
              </w:rPr>
            </w:pPr>
            <w:r w:rsidRPr="00B03CEC">
              <w:rPr>
                <w:b/>
                <w:bCs/>
                <w:sz w:val="16"/>
                <w:szCs w:val="16"/>
              </w:rPr>
              <w:t>EC name:</w:t>
            </w:r>
          </w:p>
        </w:tc>
        <w:tc>
          <w:tcPr>
            <w:tcW w:w="3160" w:type="dxa"/>
          </w:tcPr>
          <w:p w14:paraId="3FF29ECE" w14:textId="77777777" w:rsidR="00B233B5" w:rsidRPr="00722785" w:rsidRDefault="00B233B5" w:rsidP="00B233B5">
            <w:pPr>
              <w:rPr>
                <w:sz w:val="16"/>
                <w:szCs w:val="16"/>
              </w:rPr>
            </w:pPr>
            <w:r w:rsidRPr="00722785">
              <w:rPr>
                <w:sz w:val="16"/>
                <w:szCs w:val="16"/>
              </w:rPr>
              <w:t>1,2,3,4,6,7,8,9,10,10,11,11-Dodecachloro-1,4,4a,5a,6,9,9a,9b-octahydro-1,4:6,9-dimethanodibenzofuran</w:t>
            </w:r>
          </w:p>
        </w:tc>
        <w:tc>
          <w:tcPr>
            <w:tcW w:w="3161" w:type="dxa"/>
          </w:tcPr>
          <w:p w14:paraId="59C32AD0" w14:textId="77777777" w:rsidR="00B233B5" w:rsidRPr="00722785" w:rsidRDefault="00B233B5" w:rsidP="00D53DBD">
            <w:pPr>
              <w:rPr>
                <w:sz w:val="16"/>
                <w:szCs w:val="16"/>
              </w:rPr>
            </w:pPr>
          </w:p>
        </w:tc>
        <w:tc>
          <w:tcPr>
            <w:tcW w:w="3161" w:type="dxa"/>
          </w:tcPr>
          <w:p w14:paraId="2F4E4F92" w14:textId="77777777" w:rsidR="00B233B5" w:rsidRPr="00722785" w:rsidRDefault="00B233B5" w:rsidP="00B233B5">
            <w:pPr>
              <w:rPr>
                <w:sz w:val="16"/>
                <w:szCs w:val="16"/>
              </w:rPr>
            </w:pPr>
            <w:r w:rsidRPr="00722785">
              <w:rPr>
                <w:sz w:val="16"/>
                <w:szCs w:val="16"/>
              </w:rPr>
              <w:t>1,2,3,4,7,7-Hexachloro-5-(tetrabromophenyl)bicyclo[2.2.1]hept-2-ene</w:t>
            </w:r>
          </w:p>
        </w:tc>
        <w:tc>
          <w:tcPr>
            <w:tcW w:w="3161" w:type="dxa"/>
          </w:tcPr>
          <w:p w14:paraId="6A4F5DFE" w14:textId="77777777" w:rsidR="00B233B5" w:rsidRPr="00722785" w:rsidRDefault="00B233B5" w:rsidP="00B52C33">
            <w:pPr>
              <w:rPr>
                <w:color w:val="474340"/>
                <w:sz w:val="16"/>
                <w:szCs w:val="16"/>
              </w:rPr>
            </w:pPr>
          </w:p>
        </w:tc>
      </w:tr>
      <w:tr w:rsidR="00E67A3F" w:rsidRPr="00B329D1" w14:paraId="0D856750" w14:textId="77777777" w:rsidTr="00E67A3F">
        <w:tc>
          <w:tcPr>
            <w:tcW w:w="1953" w:type="dxa"/>
          </w:tcPr>
          <w:p w14:paraId="7FE03EB6" w14:textId="77777777" w:rsidR="00E67A3F" w:rsidRPr="00B03CEC" w:rsidRDefault="00E67A3F" w:rsidP="00E67A3F">
            <w:pPr>
              <w:pStyle w:val="BodyText"/>
              <w:spacing w:after="0"/>
              <w:rPr>
                <w:b/>
                <w:bCs/>
                <w:sz w:val="16"/>
                <w:szCs w:val="16"/>
              </w:rPr>
            </w:pPr>
            <w:r w:rsidRPr="00B03CEC">
              <w:rPr>
                <w:b/>
                <w:sz w:val="16"/>
                <w:szCs w:val="16"/>
              </w:rPr>
              <w:t>Canonical SMILES</w:t>
            </w:r>
            <w:r w:rsidRPr="00B03CEC">
              <w:rPr>
                <w:b/>
                <w:sz w:val="16"/>
                <w:szCs w:val="16"/>
              </w:rPr>
              <w:tab/>
            </w:r>
          </w:p>
        </w:tc>
        <w:tc>
          <w:tcPr>
            <w:tcW w:w="3160" w:type="dxa"/>
          </w:tcPr>
          <w:p w14:paraId="58D2BE02" w14:textId="77777777" w:rsidR="00E67A3F" w:rsidRPr="00722785" w:rsidRDefault="00E67A3F" w:rsidP="00E67A3F">
            <w:pPr>
              <w:rPr>
                <w:sz w:val="16"/>
                <w:szCs w:val="16"/>
              </w:rPr>
            </w:pPr>
            <w:r w:rsidRPr="00722785">
              <w:rPr>
                <w:sz w:val="16"/>
                <w:szCs w:val="16"/>
              </w:rPr>
              <w:t>C12C3C(C4(C(=C(C3(C4(Cl)Cl)Cl)Cl)Cl)Cl)OC1C5(C(=C(C2(C5(Cl)Cl)Cl)Cl)Cl)Cl</w:t>
            </w:r>
          </w:p>
        </w:tc>
        <w:tc>
          <w:tcPr>
            <w:tcW w:w="3161" w:type="dxa"/>
          </w:tcPr>
          <w:p w14:paraId="27D0473E" w14:textId="77777777" w:rsidR="00E67A3F" w:rsidRPr="00722785" w:rsidRDefault="00E67A3F" w:rsidP="00E67A3F">
            <w:pPr>
              <w:rPr>
                <w:sz w:val="16"/>
                <w:szCs w:val="16"/>
              </w:rPr>
            </w:pPr>
            <w:r w:rsidRPr="00722785">
              <w:rPr>
                <w:sz w:val="16"/>
                <w:szCs w:val="16"/>
              </w:rPr>
              <w:t>C62(Cl)C(Cl)(Cl)C(Cl)(C(Cl)=C6Cl)C1C3C4C5(Cl)C(Cl)(Cl)C(Cl)(C(Cl)=C5Cl)C4C(C21)C3</w:t>
            </w:r>
          </w:p>
        </w:tc>
        <w:tc>
          <w:tcPr>
            <w:tcW w:w="3161" w:type="dxa"/>
          </w:tcPr>
          <w:p w14:paraId="7C49DA4E" w14:textId="77777777" w:rsidR="00E67A3F" w:rsidRPr="002E01E5" w:rsidRDefault="00E67A3F" w:rsidP="00E67A3F">
            <w:pPr>
              <w:rPr>
                <w:sz w:val="16"/>
                <w:szCs w:val="16"/>
                <w:lang w:val="de-DE"/>
              </w:rPr>
            </w:pPr>
            <w:r w:rsidRPr="002E01E5">
              <w:rPr>
                <w:sz w:val="16"/>
                <w:szCs w:val="16"/>
                <w:lang w:val="de-DE"/>
              </w:rPr>
              <w:t>C1C(C2(C(=C(C1(C2(Cl)Cl)Cl)Cl)Cl)Cl)C3=CC(=C(C(=C3Br)Br)Br)Br</w:t>
            </w:r>
          </w:p>
        </w:tc>
        <w:tc>
          <w:tcPr>
            <w:tcW w:w="3161" w:type="dxa"/>
          </w:tcPr>
          <w:p w14:paraId="3848D8CC" w14:textId="77777777" w:rsidR="00C86568" w:rsidRPr="00BC7A84" w:rsidRDefault="00C86568" w:rsidP="00C86568">
            <w:pPr>
              <w:autoSpaceDE w:val="0"/>
              <w:autoSpaceDN w:val="0"/>
              <w:adjustRightInd w:val="0"/>
              <w:rPr>
                <w:rFonts w:cs="Arial"/>
                <w:sz w:val="16"/>
                <w:szCs w:val="16"/>
                <w:lang w:val="de-DE" w:eastAsia="en-GB"/>
              </w:rPr>
            </w:pPr>
            <w:r w:rsidRPr="00BC7A84">
              <w:rPr>
                <w:rFonts w:cs="Arial"/>
                <w:sz w:val="16"/>
                <w:szCs w:val="16"/>
                <w:lang w:val="de-DE" w:eastAsia="en-GB"/>
              </w:rPr>
              <w:t>ClC4=C(Cl)[C@@]5(Cl)[C@@H]1[C@@H](C[C@H]2[C@@H]1[C@]3(Cl)C(Cl)=C(Cl)[C@@]2(Cl)C3(Cl)Cl)[C@]4(Cl)C5(Cl)Cl</w:t>
            </w:r>
          </w:p>
          <w:p w14:paraId="5DB1EAB1" w14:textId="5C40E8B7" w:rsidR="00E67A3F" w:rsidRPr="00822BE8" w:rsidRDefault="00E67A3F" w:rsidP="00E67A3F">
            <w:pPr>
              <w:rPr>
                <w:sz w:val="16"/>
                <w:szCs w:val="16"/>
                <w:lang w:val="de-DE"/>
              </w:rPr>
            </w:pPr>
          </w:p>
        </w:tc>
      </w:tr>
      <w:tr w:rsidR="00B233B5" w:rsidRPr="009973DE" w14:paraId="36E2A86B" w14:textId="77777777" w:rsidTr="00E67A3F">
        <w:tc>
          <w:tcPr>
            <w:tcW w:w="1953" w:type="dxa"/>
          </w:tcPr>
          <w:p w14:paraId="51D927D3" w14:textId="77777777" w:rsidR="00B233B5" w:rsidRPr="00B03CEC" w:rsidRDefault="00E67A3F" w:rsidP="00B233B5">
            <w:pPr>
              <w:pStyle w:val="BodyText"/>
              <w:spacing w:after="0"/>
              <w:rPr>
                <w:b/>
                <w:bCs/>
                <w:sz w:val="16"/>
                <w:szCs w:val="16"/>
              </w:rPr>
            </w:pPr>
            <w:r w:rsidRPr="00B03CEC">
              <w:rPr>
                <w:b/>
                <w:bCs/>
                <w:sz w:val="16"/>
                <w:szCs w:val="16"/>
              </w:rPr>
              <w:t>CAS number (in the EC inventory):</w:t>
            </w:r>
          </w:p>
        </w:tc>
        <w:tc>
          <w:tcPr>
            <w:tcW w:w="3160" w:type="dxa"/>
          </w:tcPr>
          <w:p w14:paraId="12D9B999" w14:textId="77777777" w:rsidR="00B233B5" w:rsidRPr="00722785" w:rsidRDefault="00B233B5" w:rsidP="00B233B5">
            <w:pPr>
              <w:rPr>
                <w:bCs/>
                <w:sz w:val="16"/>
                <w:szCs w:val="16"/>
              </w:rPr>
            </w:pPr>
            <w:r w:rsidRPr="00722785">
              <w:rPr>
                <w:sz w:val="16"/>
                <w:szCs w:val="16"/>
              </w:rPr>
              <w:t>31107-44-5</w:t>
            </w:r>
          </w:p>
        </w:tc>
        <w:tc>
          <w:tcPr>
            <w:tcW w:w="3161" w:type="dxa"/>
          </w:tcPr>
          <w:p w14:paraId="45B1E44B" w14:textId="77777777" w:rsidR="00B233B5" w:rsidRPr="00722785" w:rsidRDefault="00B233B5" w:rsidP="00B233B5">
            <w:pPr>
              <w:rPr>
                <w:bCs/>
                <w:sz w:val="16"/>
                <w:szCs w:val="16"/>
              </w:rPr>
            </w:pPr>
            <w:r w:rsidRPr="00722785">
              <w:rPr>
                <w:sz w:val="16"/>
                <w:szCs w:val="16"/>
              </w:rPr>
              <w:t>13560-92-4</w:t>
            </w:r>
          </w:p>
        </w:tc>
        <w:tc>
          <w:tcPr>
            <w:tcW w:w="3161" w:type="dxa"/>
          </w:tcPr>
          <w:p w14:paraId="548FF68C" w14:textId="77777777" w:rsidR="00B233B5" w:rsidRPr="00722785" w:rsidRDefault="00B233B5" w:rsidP="00B233B5">
            <w:pPr>
              <w:rPr>
                <w:bCs/>
                <w:sz w:val="16"/>
                <w:szCs w:val="16"/>
              </w:rPr>
            </w:pPr>
            <w:r w:rsidRPr="00722785">
              <w:rPr>
                <w:sz w:val="16"/>
                <w:szCs w:val="16"/>
              </w:rPr>
              <w:t>34571-16-9</w:t>
            </w:r>
          </w:p>
        </w:tc>
        <w:tc>
          <w:tcPr>
            <w:tcW w:w="3161" w:type="dxa"/>
          </w:tcPr>
          <w:p w14:paraId="31F248E1" w14:textId="77777777" w:rsidR="00B233B5" w:rsidRPr="00822BE8" w:rsidRDefault="00B233B5" w:rsidP="00B233B5">
            <w:pPr>
              <w:rPr>
                <w:bCs/>
                <w:sz w:val="16"/>
                <w:szCs w:val="16"/>
              </w:rPr>
            </w:pPr>
            <w:r w:rsidRPr="00822BE8">
              <w:rPr>
                <w:sz w:val="16"/>
                <w:szCs w:val="16"/>
              </w:rPr>
              <w:t>13560-91-3</w:t>
            </w:r>
          </w:p>
        </w:tc>
      </w:tr>
      <w:tr w:rsidR="00E67A3F" w:rsidRPr="009973DE" w14:paraId="7F194411" w14:textId="77777777" w:rsidTr="00E67A3F">
        <w:tc>
          <w:tcPr>
            <w:tcW w:w="1953" w:type="dxa"/>
          </w:tcPr>
          <w:p w14:paraId="3063F20E" w14:textId="77777777" w:rsidR="00E67A3F" w:rsidRPr="00B03CEC" w:rsidRDefault="00E67A3F" w:rsidP="00E67A3F">
            <w:pPr>
              <w:pStyle w:val="BodyText"/>
              <w:spacing w:after="0"/>
              <w:rPr>
                <w:b/>
                <w:bCs/>
                <w:sz w:val="16"/>
                <w:szCs w:val="16"/>
              </w:rPr>
            </w:pPr>
            <w:r w:rsidRPr="00B03CEC">
              <w:rPr>
                <w:b/>
                <w:bCs/>
                <w:sz w:val="16"/>
                <w:szCs w:val="16"/>
              </w:rPr>
              <w:t>CAS no.</w:t>
            </w:r>
          </w:p>
        </w:tc>
        <w:tc>
          <w:tcPr>
            <w:tcW w:w="3160" w:type="dxa"/>
          </w:tcPr>
          <w:p w14:paraId="0549CD1E" w14:textId="77777777" w:rsidR="00E67A3F" w:rsidRPr="00722785" w:rsidRDefault="00E67A3F" w:rsidP="00E67A3F">
            <w:pPr>
              <w:rPr>
                <w:bCs/>
                <w:noProof/>
                <w:sz w:val="16"/>
                <w:szCs w:val="16"/>
                <w:lang w:eastAsia="en-GB"/>
              </w:rPr>
            </w:pPr>
            <w:r w:rsidRPr="00722785">
              <w:rPr>
                <w:sz w:val="16"/>
                <w:szCs w:val="16"/>
              </w:rPr>
              <w:t>31107-44-5</w:t>
            </w:r>
          </w:p>
        </w:tc>
        <w:tc>
          <w:tcPr>
            <w:tcW w:w="3161" w:type="dxa"/>
          </w:tcPr>
          <w:p w14:paraId="7B4EBD0E" w14:textId="77777777" w:rsidR="00E67A3F" w:rsidRPr="00722785" w:rsidRDefault="00E67A3F" w:rsidP="00E67A3F">
            <w:pPr>
              <w:rPr>
                <w:bCs/>
                <w:noProof/>
                <w:sz w:val="16"/>
                <w:szCs w:val="16"/>
                <w:lang w:eastAsia="en-GB"/>
              </w:rPr>
            </w:pPr>
            <w:r w:rsidRPr="00722785">
              <w:rPr>
                <w:sz w:val="16"/>
                <w:szCs w:val="16"/>
              </w:rPr>
              <w:t>13560-92-4</w:t>
            </w:r>
          </w:p>
        </w:tc>
        <w:tc>
          <w:tcPr>
            <w:tcW w:w="3161" w:type="dxa"/>
          </w:tcPr>
          <w:p w14:paraId="16B7B507" w14:textId="77777777" w:rsidR="00E67A3F" w:rsidRPr="00722785" w:rsidRDefault="00E67A3F" w:rsidP="00E67A3F">
            <w:pPr>
              <w:rPr>
                <w:bCs/>
                <w:noProof/>
                <w:sz w:val="16"/>
                <w:szCs w:val="16"/>
                <w:lang w:eastAsia="en-GB"/>
              </w:rPr>
            </w:pPr>
            <w:r w:rsidRPr="00722785">
              <w:rPr>
                <w:sz w:val="16"/>
                <w:szCs w:val="16"/>
              </w:rPr>
              <w:t>34571-16-9</w:t>
            </w:r>
          </w:p>
        </w:tc>
        <w:tc>
          <w:tcPr>
            <w:tcW w:w="3161" w:type="dxa"/>
          </w:tcPr>
          <w:p w14:paraId="20A89999" w14:textId="77777777" w:rsidR="00E67A3F" w:rsidRPr="00822BE8" w:rsidRDefault="00E67A3F" w:rsidP="00E67A3F">
            <w:pPr>
              <w:rPr>
                <w:bCs/>
                <w:noProof/>
                <w:sz w:val="16"/>
                <w:szCs w:val="16"/>
                <w:lang w:eastAsia="en-GB"/>
              </w:rPr>
            </w:pPr>
            <w:r w:rsidRPr="00822BE8">
              <w:rPr>
                <w:sz w:val="16"/>
                <w:szCs w:val="16"/>
              </w:rPr>
              <w:t>13560-91-3</w:t>
            </w:r>
          </w:p>
        </w:tc>
      </w:tr>
      <w:tr w:rsidR="00E67A3F" w:rsidRPr="009973DE" w14:paraId="09C9B41E" w14:textId="77777777" w:rsidTr="00E67A3F">
        <w:tc>
          <w:tcPr>
            <w:tcW w:w="1953" w:type="dxa"/>
          </w:tcPr>
          <w:p w14:paraId="075536F1" w14:textId="77777777" w:rsidR="00E67A3F" w:rsidRPr="00B03CEC" w:rsidRDefault="00E67A3F" w:rsidP="00E67A3F">
            <w:pPr>
              <w:pStyle w:val="BodyText"/>
              <w:spacing w:after="0"/>
              <w:rPr>
                <w:b/>
                <w:bCs/>
                <w:sz w:val="16"/>
                <w:szCs w:val="16"/>
              </w:rPr>
            </w:pPr>
            <w:r w:rsidRPr="00B03CEC">
              <w:rPr>
                <w:b/>
                <w:bCs/>
                <w:sz w:val="16"/>
                <w:szCs w:val="16"/>
              </w:rPr>
              <w:t>CAS name:</w:t>
            </w:r>
          </w:p>
        </w:tc>
        <w:tc>
          <w:tcPr>
            <w:tcW w:w="3160" w:type="dxa"/>
          </w:tcPr>
          <w:p w14:paraId="6B296B47" w14:textId="77777777" w:rsidR="00E67A3F" w:rsidRPr="00722785" w:rsidRDefault="00E67A3F" w:rsidP="00E67A3F">
            <w:pPr>
              <w:rPr>
                <w:bCs/>
                <w:noProof/>
                <w:sz w:val="16"/>
                <w:szCs w:val="16"/>
                <w:lang w:eastAsia="en-GB"/>
              </w:rPr>
            </w:pPr>
          </w:p>
        </w:tc>
        <w:tc>
          <w:tcPr>
            <w:tcW w:w="3161" w:type="dxa"/>
          </w:tcPr>
          <w:p w14:paraId="2F0577AF" w14:textId="77777777" w:rsidR="00E67A3F" w:rsidRPr="00722785" w:rsidRDefault="00E67A3F" w:rsidP="00E67A3F">
            <w:pPr>
              <w:rPr>
                <w:bCs/>
                <w:noProof/>
                <w:sz w:val="16"/>
                <w:szCs w:val="16"/>
                <w:lang w:eastAsia="en-GB"/>
              </w:rPr>
            </w:pPr>
          </w:p>
        </w:tc>
        <w:tc>
          <w:tcPr>
            <w:tcW w:w="3161" w:type="dxa"/>
          </w:tcPr>
          <w:p w14:paraId="7FCD35D5" w14:textId="77777777" w:rsidR="00E67A3F" w:rsidRPr="00722785" w:rsidRDefault="00E67A3F" w:rsidP="00E67A3F">
            <w:pPr>
              <w:rPr>
                <w:bCs/>
                <w:noProof/>
                <w:sz w:val="16"/>
                <w:szCs w:val="16"/>
                <w:lang w:eastAsia="en-GB"/>
              </w:rPr>
            </w:pPr>
          </w:p>
        </w:tc>
        <w:tc>
          <w:tcPr>
            <w:tcW w:w="3161" w:type="dxa"/>
          </w:tcPr>
          <w:p w14:paraId="7E973498" w14:textId="77777777" w:rsidR="00E67A3F" w:rsidRPr="00822BE8" w:rsidRDefault="00E67A3F" w:rsidP="00E67A3F">
            <w:pPr>
              <w:rPr>
                <w:bCs/>
                <w:noProof/>
                <w:sz w:val="16"/>
                <w:szCs w:val="16"/>
                <w:lang w:eastAsia="en-GB"/>
              </w:rPr>
            </w:pPr>
          </w:p>
        </w:tc>
      </w:tr>
      <w:tr w:rsidR="00E67A3F" w:rsidRPr="009973DE" w14:paraId="05F8B55C" w14:textId="77777777" w:rsidTr="00DA2190">
        <w:trPr>
          <w:trHeight w:val="1116"/>
        </w:trPr>
        <w:tc>
          <w:tcPr>
            <w:tcW w:w="1953" w:type="dxa"/>
          </w:tcPr>
          <w:p w14:paraId="1A0F90FB" w14:textId="77777777" w:rsidR="00E67A3F" w:rsidRPr="00B03CEC" w:rsidRDefault="00E67A3F" w:rsidP="00E67A3F">
            <w:pPr>
              <w:pStyle w:val="BodyText"/>
              <w:spacing w:after="0"/>
              <w:rPr>
                <w:b/>
                <w:bCs/>
                <w:sz w:val="16"/>
                <w:szCs w:val="16"/>
              </w:rPr>
            </w:pPr>
            <w:r w:rsidRPr="00B03CEC">
              <w:rPr>
                <w:b/>
                <w:bCs/>
                <w:sz w:val="16"/>
                <w:szCs w:val="16"/>
              </w:rPr>
              <w:t>IUPAC name:</w:t>
            </w:r>
          </w:p>
        </w:tc>
        <w:tc>
          <w:tcPr>
            <w:tcW w:w="3160" w:type="dxa"/>
          </w:tcPr>
          <w:p w14:paraId="5BE8B61F" w14:textId="412C9510" w:rsidR="00E67A3F" w:rsidRPr="00722785" w:rsidRDefault="00935699" w:rsidP="00DA2190">
            <w:pPr>
              <w:widowControl/>
              <w:shd w:val="clear" w:color="auto" w:fill="FFFFFF"/>
              <w:spacing w:before="100" w:beforeAutospacing="1" w:after="100" w:afterAutospacing="1" w:line="225" w:lineRule="atLeast"/>
              <w:ind w:left="-81"/>
              <w:rPr>
                <w:bCs/>
                <w:noProof/>
                <w:sz w:val="16"/>
                <w:szCs w:val="16"/>
                <w:lang w:eastAsia="en-GB"/>
              </w:rPr>
            </w:pPr>
            <w:r w:rsidRPr="00935699">
              <w:rPr>
                <w:color w:val="000000" w:themeColor="text1"/>
                <w:sz w:val="16"/>
                <w:szCs w:val="16"/>
                <w:lang w:eastAsia="en-GB"/>
              </w:rPr>
              <w:t>1,4,5,6,7,11,12,13,14,14,15,15-dodecachloro-9-oxapentacyclo[9.2.1.1⁴,⁷.0²,¹</w:t>
            </w:r>
            <w:r w:rsidRPr="00935699">
              <w:rPr>
                <w:rFonts w:ascii="Cambria Math" w:hAnsi="Cambria Math" w:cs="Cambria Math"/>
                <w:color w:val="000000" w:themeColor="text1"/>
                <w:sz w:val="16"/>
                <w:szCs w:val="16"/>
                <w:lang w:eastAsia="en-GB"/>
              </w:rPr>
              <w:t>⁰</w:t>
            </w:r>
            <w:r w:rsidRPr="00935699">
              <w:rPr>
                <w:color w:val="000000" w:themeColor="text1"/>
                <w:sz w:val="16"/>
                <w:szCs w:val="16"/>
                <w:lang w:eastAsia="en-GB"/>
              </w:rPr>
              <w:t>.0</w:t>
            </w:r>
            <w:r w:rsidRPr="00935699">
              <w:rPr>
                <w:rFonts w:cs="Verdana"/>
                <w:color w:val="000000" w:themeColor="text1"/>
                <w:sz w:val="16"/>
                <w:szCs w:val="16"/>
                <w:lang w:eastAsia="en-GB"/>
              </w:rPr>
              <w:t>³</w:t>
            </w:r>
            <w:r w:rsidRPr="00935699">
              <w:rPr>
                <w:color w:val="000000" w:themeColor="text1"/>
                <w:sz w:val="16"/>
                <w:szCs w:val="16"/>
                <w:lang w:eastAsia="en-GB"/>
              </w:rPr>
              <w:t>,</w:t>
            </w:r>
            <w:r w:rsidRPr="00935699">
              <w:rPr>
                <w:rFonts w:cs="Verdana"/>
                <w:color w:val="000000" w:themeColor="text1"/>
                <w:sz w:val="16"/>
                <w:szCs w:val="16"/>
                <w:lang w:eastAsia="en-GB"/>
              </w:rPr>
              <w:t>⁸</w:t>
            </w:r>
            <w:r w:rsidRPr="00935699">
              <w:rPr>
                <w:color w:val="000000" w:themeColor="text1"/>
                <w:sz w:val="16"/>
                <w:szCs w:val="16"/>
                <w:lang w:eastAsia="en-GB"/>
              </w:rPr>
              <w:t>]pentadeca-5,12-diene</w:t>
            </w:r>
          </w:p>
        </w:tc>
        <w:tc>
          <w:tcPr>
            <w:tcW w:w="3161" w:type="dxa"/>
          </w:tcPr>
          <w:p w14:paraId="099F9CE1" w14:textId="77777777" w:rsidR="00E67A3F" w:rsidRPr="00722785" w:rsidRDefault="00EB3C29" w:rsidP="00722785">
            <w:pPr>
              <w:rPr>
                <w:bCs/>
                <w:noProof/>
                <w:sz w:val="16"/>
                <w:szCs w:val="16"/>
                <w:lang w:eastAsia="en-GB"/>
              </w:rPr>
            </w:pPr>
            <w:r w:rsidRPr="00EB3C29">
              <w:rPr>
                <w:bCs/>
                <w:noProof/>
                <w:sz w:val="16"/>
                <w:szCs w:val="16"/>
                <w:lang w:eastAsia="en-GB"/>
              </w:rPr>
              <w:t>1,2,3,4,5,6,7,8,12,12,13,13-dodecachloro-1,4,4a,5,8,8a,9,9a,10,10a-decahydro-1,4:5,8:9,10-trimethanoanthracene</w:t>
            </w:r>
          </w:p>
        </w:tc>
        <w:tc>
          <w:tcPr>
            <w:tcW w:w="3161" w:type="dxa"/>
          </w:tcPr>
          <w:p w14:paraId="4B522081" w14:textId="77777777" w:rsidR="00E67A3F" w:rsidRPr="00722785" w:rsidRDefault="00FA3892" w:rsidP="00935699">
            <w:pPr>
              <w:rPr>
                <w:bCs/>
                <w:noProof/>
                <w:sz w:val="16"/>
                <w:szCs w:val="16"/>
                <w:lang w:eastAsia="en-GB"/>
              </w:rPr>
            </w:pPr>
            <w:r w:rsidRPr="00FA3892">
              <w:rPr>
                <w:bCs/>
                <w:noProof/>
                <w:sz w:val="16"/>
                <w:szCs w:val="16"/>
                <w:lang w:eastAsia="en-GB"/>
              </w:rPr>
              <w:t>1,2,3,4,7,7-hexachloro-5-(2,3,4,5-tetrabromophenyl)bicyclo[2.2.1]hept-2-ene</w:t>
            </w:r>
          </w:p>
        </w:tc>
        <w:tc>
          <w:tcPr>
            <w:tcW w:w="3161" w:type="dxa"/>
          </w:tcPr>
          <w:p w14:paraId="403680D1" w14:textId="543FA2F8" w:rsidR="00E67A3F" w:rsidRPr="00C90A64" w:rsidRDefault="00C86568" w:rsidP="00DA2190">
            <w:pPr>
              <w:autoSpaceDE w:val="0"/>
              <w:autoSpaceDN w:val="0"/>
              <w:adjustRightInd w:val="0"/>
              <w:rPr>
                <w:bCs/>
                <w:noProof/>
                <w:sz w:val="16"/>
                <w:szCs w:val="16"/>
                <w:lang w:eastAsia="en-GB"/>
              </w:rPr>
            </w:pPr>
            <w:r w:rsidRPr="00DA2190">
              <w:rPr>
                <w:rFonts w:cs="Arial"/>
                <w:sz w:val="16"/>
                <w:szCs w:val="16"/>
                <w:lang w:eastAsia="en-GB"/>
              </w:rPr>
              <w:t>(1</w:t>
            </w:r>
            <w:r w:rsidRPr="00DA2190">
              <w:rPr>
                <w:rFonts w:cs="Arial"/>
                <w:i/>
                <w:sz w:val="16"/>
                <w:szCs w:val="16"/>
                <w:lang w:eastAsia="en-GB"/>
              </w:rPr>
              <w:t>R</w:t>
            </w:r>
            <w:r w:rsidRPr="00DA2190">
              <w:rPr>
                <w:rFonts w:cs="Arial"/>
                <w:sz w:val="16"/>
                <w:szCs w:val="16"/>
                <w:lang w:eastAsia="en-GB"/>
              </w:rPr>
              <w:t>,4</w:t>
            </w:r>
            <w:r w:rsidRPr="00DA2190">
              <w:rPr>
                <w:rFonts w:cs="Arial"/>
                <w:i/>
                <w:sz w:val="16"/>
                <w:szCs w:val="16"/>
                <w:lang w:eastAsia="en-GB"/>
              </w:rPr>
              <w:t>S</w:t>
            </w:r>
            <w:r w:rsidRPr="00DA2190">
              <w:rPr>
                <w:rFonts w:cs="Arial"/>
                <w:sz w:val="16"/>
                <w:szCs w:val="16"/>
                <w:lang w:eastAsia="en-GB"/>
              </w:rPr>
              <w:t>,4a</w:t>
            </w:r>
            <w:r w:rsidRPr="00DA2190">
              <w:rPr>
                <w:rFonts w:cs="Arial"/>
                <w:i/>
                <w:sz w:val="16"/>
                <w:szCs w:val="16"/>
                <w:lang w:eastAsia="en-GB"/>
              </w:rPr>
              <w:t>R</w:t>
            </w:r>
            <w:r w:rsidRPr="00DA2190">
              <w:rPr>
                <w:rFonts w:cs="Arial"/>
                <w:sz w:val="16"/>
                <w:szCs w:val="16"/>
                <w:lang w:eastAsia="en-GB"/>
              </w:rPr>
              <w:t>,4b</w:t>
            </w:r>
            <w:r w:rsidRPr="00DA2190">
              <w:rPr>
                <w:rFonts w:cs="Arial"/>
                <w:i/>
                <w:sz w:val="16"/>
                <w:szCs w:val="16"/>
                <w:lang w:eastAsia="en-GB"/>
              </w:rPr>
              <w:t>S</w:t>
            </w:r>
            <w:r w:rsidRPr="00DA2190">
              <w:rPr>
                <w:rFonts w:cs="Arial"/>
                <w:sz w:val="16"/>
                <w:szCs w:val="16"/>
                <w:lang w:eastAsia="en-GB"/>
              </w:rPr>
              <w:t>,5</w:t>
            </w:r>
            <w:r w:rsidRPr="00DA2190">
              <w:rPr>
                <w:rFonts w:cs="Arial"/>
                <w:i/>
                <w:sz w:val="16"/>
                <w:szCs w:val="16"/>
                <w:lang w:eastAsia="en-GB"/>
              </w:rPr>
              <w:t>S</w:t>
            </w:r>
            <w:r w:rsidRPr="00DA2190">
              <w:rPr>
                <w:rFonts w:cs="Arial"/>
                <w:sz w:val="16"/>
                <w:szCs w:val="16"/>
                <w:lang w:eastAsia="en-GB"/>
              </w:rPr>
              <w:t>,8</w:t>
            </w:r>
            <w:r w:rsidRPr="00DA2190">
              <w:rPr>
                <w:rFonts w:cs="Arial"/>
                <w:i/>
                <w:sz w:val="16"/>
                <w:szCs w:val="16"/>
                <w:lang w:eastAsia="en-GB"/>
              </w:rPr>
              <w:t>R</w:t>
            </w:r>
            <w:r w:rsidRPr="00DA2190">
              <w:rPr>
                <w:rFonts w:cs="Arial"/>
                <w:sz w:val="16"/>
                <w:szCs w:val="16"/>
                <w:lang w:eastAsia="en-GB"/>
              </w:rPr>
              <w:t>,8a</w:t>
            </w:r>
            <w:r w:rsidRPr="00DA2190">
              <w:rPr>
                <w:rFonts w:cs="Arial"/>
                <w:i/>
                <w:sz w:val="16"/>
                <w:szCs w:val="16"/>
                <w:lang w:eastAsia="en-GB"/>
              </w:rPr>
              <w:t>S</w:t>
            </w:r>
            <w:r w:rsidRPr="00DA2190">
              <w:rPr>
                <w:rFonts w:cs="Arial"/>
                <w:sz w:val="16"/>
                <w:szCs w:val="16"/>
                <w:lang w:eastAsia="en-GB"/>
              </w:rPr>
              <w:t>,9a</w:t>
            </w:r>
            <w:r w:rsidRPr="00DA2190">
              <w:rPr>
                <w:rFonts w:cs="Arial"/>
                <w:i/>
                <w:sz w:val="16"/>
                <w:szCs w:val="16"/>
                <w:lang w:eastAsia="en-GB"/>
              </w:rPr>
              <w:t>R</w:t>
            </w:r>
            <w:r w:rsidRPr="00DA2190">
              <w:rPr>
                <w:rFonts w:cs="Arial"/>
                <w:sz w:val="16"/>
                <w:szCs w:val="16"/>
                <w:lang w:eastAsia="en-GB"/>
              </w:rPr>
              <w:t>)-1,2,3,4,5,6,7,8,10,10,11,11-dodecachloro-4,4a,4b,5,8,8a,9,9a-octahydro-1H-1,4:5,8-dimethanofluorene</w:t>
            </w:r>
          </w:p>
        </w:tc>
      </w:tr>
      <w:tr w:rsidR="00E67A3F" w:rsidRPr="009973DE" w14:paraId="43DF2228" w14:textId="77777777" w:rsidTr="00E67A3F">
        <w:tc>
          <w:tcPr>
            <w:tcW w:w="1953" w:type="dxa"/>
          </w:tcPr>
          <w:p w14:paraId="31523F53" w14:textId="77777777" w:rsidR="00E67A3F" w:rsidRPr="00B03CEC" w:rsidRDefault="00E67A3F" w:rsidP="00E67A3F">
            <w:pPr>
              <w:pStyle w:val="BodyText"/>
              <w:spacing w:after="0"/>
              <w:rPr>
                <w:b/>
                <w:bCs/>
                <w:sz w:val="16"/>
                <w:szCs w:val="16"/>
              </w:rPr>
            </w:pPr>
            <w:r w:rsidRPr="00B03CEC">
              <w:rPr>
                <w:b/>
                <w:bCs/>
                <w:sz w:val="16"/>
                <w:szCs w:val="16"/>
              </w:rPr>
              <w:t xml:space="preserve">Index number in </w:t>
            </w:r>
            <w:r>
              <w:rPr>
                <w:b/>
                <w:bCs/>
                <w:sz w:val="16"/>
                <w:szCs w:val="16"/>
              </w:rPr>
              <w:t>CLP Annex VI</w:t>
            </w:r>
          </w:p>
        </w:tc>
        <w:tc>
          <w:tcPr>
            <w:tcW w:w="3160" w:type="dxa"/>
          </w:tcPr>
          <w:p w14:paraId="3B540FC5" w14:textId="77777777" w:rsidR="00E67A3F" w:rsidRPr="00722785" w:rsidRDefault="00E67A3F" w:rsidP="00E67A3F">
            <w:pPr>
              <w:rPr>
                <w:bCs/>
                <w:noProof/>
                <w:sz w:val="16"/>
                <w:szCs w:val="16"/>
                <w:lang w:eastAsia="en-GB"/>
              </w:rPr>
            </w:pPr>
            <w:r w:rsidRPr="00722785">
              <w:rPr>
                <w:bCs/>
                <w:noProof/>
                <w:sz w:val="16"/>
                <w:szCs w:val="16"/>
                <w:lang w:eastAsia="en-GB"/>
              </w:rPr>
              <w:t>-</w:t>
            </w:r>
          </w:p>
        </w:tc>
        <w:tc>
          <w:tcPr>
            <w:tcW w:w="3161" w:type="dxa"/>
          </w:tcPr>
          <w:p w14:paraId="22EDD062" w14:textId="77777777" w:rsidR="00E67A3F" w:rsidRPr="00722785" w:rsidRDefault="00E67A3F" w:rsidP="00E67A3F">
            <w:pPr>
              <w:rPr>
                <w:bCs/>
                <w:noProof/>
                <w:sz w:val="16"/>
                <w:szCs w:val="16"/>
                <w:lang w:eastAsia="en-GB"/>
              </w:rPr>
            </w:pPr>
            <w:r w:rsidRPr="00722785">
              <w:rPr>
                <w:bCs/>
                <w:noProof/>
                <w:sz w:val="16"/>
                <w:szCs w:val="16"/>
                <w:lang w:eastAsia="en-GB"/>
              </w:rPr>
              <w:t>-</w:t>
            </w:r>
          </w:p>
        </w:tc>
        <w:tc>
          <w:tcPr>
            <w:tcW w:w="3161" w:type="dxa"/>
          </w:tcPr>
          <w:p w14:paraId="186014F3" w14:textId="77777777" w:rsidR="00E67A3F" w:rsidRPr="00722785" w:rsidRDefault="00E67A3F" w:rsidP="00E67A3F">
            <w:pPr>
              <w:rPr>
                <w:bCs/>
                <w:noProof/>
                <w:sz w:val="16"/>
                <w:szCs w:val="16"/>
                <w:lang w:eastAsia="en-GB"/>
              </w:rPr>
            </w:pPr>
            <w:r w:rsidRPr="00722785">
              <w:rPr>
                <w:bCs/>
                <w:noProof/>
                <w:sz w:val="16"/>
                <w:szCs w:val="16"/>
                <w:lang w:eastAsia="en-GB"/>
              </w:rPr>
              <w:t>-</w:t>
            </w:r>
          </w:p>
        </w:tc>
        <w:tc>
          <w:tcPr>
            <w:tcW w:w="3161" w:type="dxa"/>
          </w:tcPr>
          <w:p w14:paraId="39105D7C" w14:textId="77777777" w:rsidR="00E67A3F" w:rsidRPr="00DA2190" w:rsidRDefault="00E67A3F" w:rsidP="00E67A3F">
            <w:pPr>
              <w:rPr>
                <w:bCs/>
                <w:noProof/>
                <w:sz w:val="18"/>
                <w:szCs w:val="18"/>
                <w:lang w:eastAsia="en-GB"/>
              </w:rPr>
            </w:pPr>
            <w:r w:rsidRPr="00DA2190">
              <w:rPr>
                <w:bCs/>
                <w:noProof/>
                <w:sz w:val="18"/>
                <w:szCs w:val="18"/>
                <w:lang w:eastAsia="en-GB"/>
              </w:rPr>
              <w:t>-</w:t>
            </w:r>
          </w:p>
        </w:tc>
      </w:tr>
      <w:tr w:rsidR="00E67A3F" w:rsidRPr="009973DE" w14:paraId="2975409F" w14:textId="77777777" w:rsidTr="00E67A3F">
        <w:tc>
          <w:tcPr>
            <w:tcW w:w="1953" w:type="dxa"/>
          </w:tcPr>
          <w:p w14:paraId="622E36A4" w14:textId="77777777" w:rsidR="00E67A3F" w:rsidRPr="00B03CEC" w:rsidRDefault="00E67A3F" w:rsidP="00E67A3F">
            <w:pPr>
              <w:pStyle w:val="BodyText"/>
              <w:spacing w:after="0"/>
              <w:rPr>
                <w:b/>
                <w:bCs/>
                <w:sz w:val="16"/>
                <w:szCs w:val="16"/>
              </w:rPr>
            </w:pPr>
            <w:r w:rsidRPr="00B03CEC">
              <w:rPr>
                <w:b/>
                <w:bCs/>
                <w:sz w:val="16"/>
                <w:szCs w:val="16"/>
              </w:rPr>
              <w:t>Molecular formula:</w:t>
            </w:r>
          </w:p>
        </w:tc>
        <w:tc>
          <w:tcPr>
            <w:tcW w:w="3160" w:type="dxa"/>
          </w:tcPr>
          <w:p w14:paraId="21F310D0" w14:textId="77777777" w:rsidR="00E67A3F" w:rsidRPr="00722785" w:rsidRDefault="00E67A3F" w:rsidP="00E67A3F">
            <w:pPr>
              <w:rPr>
                <w:bCs/>
                <w:noProof/>
                <w:sz w:val="16"/>
                <w:szCs w:val="16"/>
                <w:lang w:eastAsia="en-GB"/>
              </w:rPr>
            </w:pPr>
            <w:r w:rsidRPr="00722785">
              <w:rPr>
                <w:rFonts w:cs="Arial"/>
                <w:bCs/>
                <w:color w:val="4B4948"/>
                <w:sz w:val="16"/>
                <w:szCs w:val="16"/>
                <w:shd w:val="clear" w:color="auto" w:fill="FFFFFF"/>
              </w:rPr>
              <w:t>C</w:t>
            </w:r>
            <w:r w:rsidRPr="00722785">
              <w:rPr>
                <w:rFonts w:cs="Arial"/>
                <w:bCs/>
                <w:color w:val="4B4948"/>
                <w:sz w:val="16"/>
                <w:szCs w:val="16"/>
                <w:shd w:val="clear" w:color="auto" w:fill="FFFFFF"/>
                <w:vertAlign w:val="subscript"/>
              </w:rPr>
              <w:t>14</w:t>
            </w:r>
            <w:r w:rsidRPr="00722785">
              <w:rPr>
                <w:rFonts w:cs="Arial"/>
                <w:bCs/>
                <w:color w:val="4B4948"/>
                <w:sz w:val="16"/>
                <w:szCs w:val="16"/>
                <w:shd w:val="clear" w:color="auto" w:fill="FFFFFF"/>
              </w:rPr>
              <w:t>H</w:t>
            </w:r>
            <w:r w:rsidRPr="00722785">
              <w:rPr>
                <w:rFonts w:cs="Arial"/>
                <w:bCs/>
                <w:color w:val="4B4948"/>
                <w:sz w:val="16"/>
                <w:szCs w:val="16"/>
                <w:shd w:val="clear" w:color="auto" w:fill="FFFFFF"/>
                <w:vertAlign w:val="subscript"/>
              </w:rPr>
              <w:t>4</w:t>
            </w:r>
            <w:r w:rsidRPr="00722785">
              <w:rPr>
                <w:rFonts w:cs="Arial"/>
                <w:bCs/>
                <w:color w:val="4B4948"/>
                <w:sz w:val="16"/>
                <w:szCs w:val="16"/>
                <w:shd w:val="clear" w:color="auto" w:fill="FFFFFF"/>
              </w:rPr>
              <w:t>Cl</w:t>
            </w:r>
            <w:r w:rsidRPr="00722785">
              <w:rPr>
                <w:rFonts w:cs="Arial"/>
                <w:bCs/>
                <w:color w:val="4B4948"/>
                <w:sz w:val="16"/>
                <w:szCs w:val="16"/>
                <w:shd w:val="clear" w:color="auto" w:fill="FFFFFF"/>
                <w:vertAlign w:val="subscript"/>
              </w:rPr>
              <w:t>12</w:t>
            </w:r>
            <w:r w:rsidRPr="00722785">
              <w:rPr>
                <w:rFonts w:cs="Arial"/>
                <w:bCs/>
                <w:color w:val="4B4948"/>
                <w:sz w:val="16"/>
                <w:szCs w:val="16"/>
                <w:shd w:val="clear" w:color="auto" w:fill="FFFFFF"/>
              </w:rPr>
              <w:t>O</w:t>
            </w:r>
          </w:p>
        </w:tc>
        <w:tc>
          <w:tcPr>
            <w:tcW w:w="3161" w:type="dxa"/>
          </w:tcPr>
          <w:p w14:paraId="04D8D03C" w14:textId="77777777" w:rsidR="00E67A3F" w:rsidRPr="00722785" w:rsidRDefault="00E67A3F" w:rsidP="00E67A3F">
            <w:pPr>
              <w:rPr>
                <w:bCs/>
                <w:noProof/>
                <w:sz w:val="16"/>
                <w:szCs w:val="16"/>
                <w:lang w:eastAsia="en-GB"/>
              </w:rPr>
            </w:pPr>
            <w:r w:rsidRPr="00722785">
              <w:rPr>
                <w:rFonts w:cs="Arial"/>
                <w:bCs/>
                <w:color w:val="4B4948"/>
                <w:sz w:val="16"/>
                <w:szCs w:val="16"/>
                <w:shd w:val="clear" w:color="auto" w:fill="FFFFFF"/>
              </w:rPr>
              <w:t>C</w:t>
            </w:r>
            <w:r w:rsidRPr="00722785">
              <w:rPr>
                <w:rFonts w:cs="Arial"/>
                <w:bCs/>
                <w:color w:val="4B4948"/>
                <w:sz w:val="16"/>
                <w:szCs w:val="16"/>
                <w:shd w:val="clear" w:color="auto" w:fill="FFFFFF"/>
                <w:vertAlign w:val="subscript"/>
              </w:rPr>
              <w:t>17</w:t>
            </w:r>
            <w:r w:rsidRPr="00722785">
              <w:rPr>
                <w:rFonts w:cs="Arial"/>
                <w:bCs/>
                <w:color w:val="4B4948"/>
                <w:sz w:val="16"/>
                <w:szCs w:val="16"/>
                <w:shd w:val="clear" w:color="auto" w:fill="FFFFFF"/>
              </w:rPr>
              <w:t>H</w:t>
            </w:r>
            <w:r w:rsidRPr="00722785">
              <w:rPr>
                <w:rFonts w:cs="Arial"/>
                <w:bCs/>
                <w:color w:val="4B4948"/>
                <w:sz w:val="16"/>
                <w:szCs w:val="16"/>
                <w:shd w:val="clear" w:color="auto" w:fill="FFFFFF"/>
                <w:vertAlign w:val="subscript"/>
              </w:rPr>
              <w:t>8</w:t>
            </w:r>
            <w:r w:rsidRPr="00722785">
              <w:rPr>
                <w:rFonts w:cs="Arial"/>
                <w:bCs/>
                <w:color w:val="4B4948"/>
                <w:sz w:val="16"/>
                <w:szCs w:val="16"/>
                <w:shd w:val="clear" w:color="auto" w:fill="FFFFFF"/>
              </w:rPr>
              <w:t>Cl</w:t>
            </w:r>
            <w:r w:rsidRPr="00722785">
              <w:rPr>
                <w:rFonts w:cs="Arial"/>
                <w:bCs/>
                <w:color w:val="4B4948"/>
                <w:sz w:val="16"/>
                <w:szCs w:val="16"/>
                <w:shd w:val="clear" w:color="auto" w:fill="FFFFFF"/>
                <w:vertAlign w:val="subscript"/>
              </w:rPr>
              <w:t>12</w:t>
            </w:r>
          </w:p>
        </w:tc>
        <w:tc>
          <w:tcPr>
            <w:tcW w:w="3161" w:type="dxa"/>
          </w:tcPr>
          <w:p w14:paraId="0CB94B04" w14:textId="77777777" w:rsidR="00E67A3F" w:rsidRPr="00722785" w:rsidRDefault="00E67A3F" w:rsidP="00E67A3F">
            <w:pPr>
              <w:rPr>
                <w:bCs/>
                <w:noProof/>
                <w:sz w:val="16"/>
                <w:szCs w:val="16"/>
                <w:lang w:eastAsia="en-GB"/>
              </w:rPr>
            </w:pPr>
            <w:r w:rsidRPr="00722785">
              <w:rPr>
                <w:rFonts w:cs="Arial"/>
                <w:bCs/>
                <w:color w:val="4B4948"/>
                <w:sz w:val="16"/>
                <w:szCs w:val="16"/>
                <w:shd w:val="clear" w:color="auto" w:fill="FFFFFF"/>
              </w:rPr>
              <w:t>C</w:t>
            </w:r>
            <w:r w:rsidRPr="00722785">
              <w:rPr>
                <w:rFonts w:cs="Arial"/>
                <w:bCs/>
                <w:color w:val="4B4948"/>
                <w:sz w:val="16"/>
                <w:szCs w:val="16"/>
                <w:shd w:val="clear" w:color="auto" w:fill="FFFFFF"/>
                <w:vertAlign w:val="subscript"/>
              </w:rPr>
              <w:t>13</w:t>
            </w:r>
            <w:r w:rsidRPr="00722785">
              <w:rPr>
                <w:rFonts w:cs="Arial"/>
                <w:bCs/>
                <w:color w:val="4B4948"/>
                <w:sz w:val="16"/>
                <w:szCs w:val="16"/>
                <w:shd w:val="clear" w:color="auto" w:fill="FFFFFF"/>
              </w:rPr>
              <w:t>H</w:t>
            </w:r>
            <w:r w:rsidRPr="00722785">
              <w:rPr>
                <w:rFonts w:cs="Arial"/>
                <w:bCs/>
                <w:color w:val="4B4948"/>
                <w:sz w:val="16"/>
                <w:szCs w:val="16"/>
                <w:shd w:val="clear" w:color="auto" w:fill="FFFFFF"/>
                <w:vertAlign w:val="subscript"/>
              </w:rPr>
              <w:t>4</w:t>
            </w:r>
            <w:r w:rsidRPr="00722785">
              <w:rPr>
                <w:rFonts w:cs="Arial"/>
                <w:bCs/>
                <w:color w:val="4B4948"/>
                <w:sz w:val="16"/>
                <w:szCs w:val="16"/>
                <w:shd w:val="clear" w:color="auto" w:fill="FFFFFF"/>
              </w:rPr>
              <w:t>Br</w:t>
            </w:r>
            <w:r w:rsidRPr="00722785">
              <w:rPr>
                <w:rFonts w:cs="Arial"/>
                <w:bCs/>
                <w:color w:val="4B4948"/>
                <w:sz w:val="16"/>
                <w:szCs w:val="16"/>
                <w:shd w:val="clear" w:color="auto" w:fill="FFFFFF"/>
                <w:vertAlign w:val="subscript"/>
              </w:rPr>
              <w:t>4</w:t>
            </w:r>
            <w:r w:rsidRPr="00722785">
              <w:rPr>
                <w:rFonts w:cs="Arial"/>
                <w:bCs/>
                <w:color w:val="4B4948"/>
                <w:sz w:val="16"/>
                <w:szCs w:val="16"/>
                <w:shd w:val="clear" w:color="auto" w:fill="FFFFFF"/>
              </w:rPr>
              <w:t>Cl</w:t>
            </w:r>
            <w:r w:rsidRPr="00722785">
              <w:rPr>
                <w:rFonts w:cs="Arial"/>
                <w:bCs/>
                <w:color w:val="4B4948"/>
                <w:sz w:val="16"/>
                <w:szCs w:val="16"/>
                <w:shd w:val="clear" w:color="auto" w:fill="FFFFFF"/>
                <w:vertAlign w:val="subscript"/>
              </w:rPr>
              <w:t>6</w:t>
            </w:r>
          </w:p>
        </w:tc>
        <w:tc>
          <w:tcPr>
            <w:tcW w:w="3161" w:type="dxa"/>
          </w:tcPr>
          <w:p w14:paraId="3B7F9B4A" w14:textId="77777777" w:rsidR="00E67A3F" w:rsidRPr="00722785" w:rsidRDefault="00E67A3F" w:rsidP="00E67A3F">
            <w:pPr>
              <w:rPr>
                <w:rFonts w:cs="Arial"/>
                <w:bCs/>
                <w:color w:val="4B4948"/>
                <w:sz w:val="16"/>
                <w:szCs w:val="16"/>
                <w:shd w:val="clear" w:color="auto" w:fill="FFFFFF"/>
              </w:rPr>
            </w:pPr>
            <w:r w:rsidRPr="00722785">
              <w:rPr>
                <w:rFonts w:cs="Arial"/>
                <w:bCs/>
                <w:color w:val="4B4948"/>
                <w:sz w:val="16"/>
                <w:szCs w:val="16"/>
                <w:shd w:val="clear" w:color="auto" w:fill="FFFFFF"/>
              </w:rPr>
              <w:t>C</w:t>
            </w:r>
            <w:r w:rsidRPr="00722785">
              <w:rPr>
                <w:rFonts w:cs="Arial"/>
                <w:bCs/>
                <w:color w:val="4B4948"/>
                <w:sz w:val="16"/>
                <w:szCs w:val="16"/>
                <w:shd w:val="clear" w:color="auto" w:fill="FFFFFF"/>
                <w:vertAlign w:val="subscript"/>
              </w:rPr>
              <w:t>15</w:t>
            </w:r>
            <w:r w:rsidRPr="00722785">
              <w:rPr>
                <w:rFonts w:cs="Arial"/>
                <w:bCs/>
                <w:color w:val="4B4948"/>
                <w:sz w:val="16"/>
                <w:szCs w:val="16"/>
                <w:shd w:val="clear" w:color="auto" w:fill="FFFFFF"/>
              </w:rPr>
              <w:t>H</w:t>
            </w:r>
            <w:r w:rsidRPr="00722785">
              <w:rPr>
                <w:rFonts w:cs="Arial"/>
                <w:bCs/>
                <w:color w:val="4B4948"/>
                <w:sz w:val="16"/>
                <w:szCs w:val="16"/>
                <w:shd w:val="clear" w:color="auto" w:fill="FFFFFF"/>
                <w:vertAlign w:val="subscript"/>
              </w:rPr>
              <w:t>6</w:t>
            </w:r>
            <w:r w:rsidRPr="00722785">
              <w:rPr>
                <w:rFonts w:cs="Arial"/>
                <w:bCs/>
                <w:color w:val="4B4948"/>
                <w:sz w:val="16"/>
                <w:szCs w:val="16"/>
                <w:shd w:val="clear" w:color="auto" w:fill="FFFFFF"/>
              </w:rPr>
              <w:t>Cl</w:t>
            </w:r>
            <w:r w:rsidRPr="00722785">
              <w:rPr>
                <w:rFonts w:cs="Arial"/>
                <w:bCs/>
                <w:color w:val="4B4948"/>
                <w:sz w:val="16"/>
                <w:szCs w:val="16"/>
                <w:shd w:val="clear" w:color="auto" w:fill="FFFFFF"/>
                <w:vertAlign w:val="subscript"/>
              </w:rPr>
              <w:t>12</w:t>
            </w:r>
          </w:p>
        </w:tc>
      </w:tr>
      <w:tr w:rsidR="00E67A3F" w:rsidRPr="009973DE" w14:paraId="4822932A" w14:textId="77777777" w:rsidTr="00E67A3F">
        <w:trPr>
          <w:trHeight w:val="1088"/>
        </w:trPr>
        <w:tc>
          <w:tcPr>
            <w:tcW w:w="1953" w:type="dxa"/>
          </w:tcPr>
          <w:p w14:paraId="123CEC55" w14:textId="77777777" w:rsidR="00E67A3F" w:rsidRPr="00B03CEC" w:rsidRDefault="00E67A3F" w:rsidP="00E67A3F">
            <w:pPr>
              <w:pStyle w:val="BodyText"/>
              <w:spacing w:after="0"/>
              <w:rPr>
                <w:b/>
                <w:bCs/>
                <w:sz w:val="16"/>
                <w:szCs w:val="16"/>
              </w:rPr>
            </w:pPr>
            <w:r w:rsidRPr="00B03CEC">
              <w:rPr>
                <w:b/>
                <w:bCs/>
                <w:sz w:val="16"/>
                <w:szCs w:val="16"/>
              </w:rPr>
              <w:t>Structural formula</w:t>
            </w:r>
          </w:p>
        </w:tc>
        <w:tc>
          <w:tcPr>
            <w:tcW w:w="3160" w:type="dxa"/>
            <w:vAlign w:val="center"/>
          </w:tcPr>
          <w:p w14:paraId="464320D1" w14:textId="77777777" w:rsidR="00E67A3F" w:rsidRPr="00722785" w:rsidRDefault="00E67A3F" w:rsidP="00E67A3F">
            <w:pPr>
              <w:jc w:val="center"/>
              <w:rPr>
                <w:bCs/>
                <w:sz w:val="16"/>
                <w:szCs w:val="16"/>
              </w:rPr>
            </w:pPr>
            <w:r w:rsidRPr="00722785">
              <w:rPr>
                <w:noProof/>
                <w:sz w:val="16"/>
                <w:szCs w:val="16"/>
                <w:lang w:eastAsia="en-GB"/>
              </w:rPr>
              <w:drawing>
                <wp:inline distT="0" distB="0" distL="0" distR="0" wp14:anchorId="7C66EF55" wp14:editId="13F88A04">
                  <wp:extent cx="1242608" cy="122895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253881" cy="1240102"/>
                          </a:xfrm>
                          <a:prstGeom prst="rect">
                            <a:avLst/>
                          </a:prstGeom>
                        </pic:spPr>
                      </pic:pic>
                    </a:graphicData>
                  </a:graphic>
                </wp:inline>
              </w:drawing>
            </w:r>
          </w:p>
        </w:tc>
        <w:tc>
          <w:tcPr>
            <w:tcW w:w="3161" w:type="dxa"/>
            <w:vAlign w:val="center"/>
          </w:tcPr>
          <w:p w14:paraId="184EC4A6" w14:textId="77777777" w:rsidR="00E67A3F" w:rsidRPr="00722785" w:rsidRDefault="00E67A3F" w:rsidP="00E67A3F">
            <w:pPr>
              <w:jc w:val="center"/>
              <w:rPr>
                <w:bCs/>
                <w:sz w:val="16"/>
                <w:szCs w:val="16"/>
              </w:rPr>
            </w:pPr>
            <w:r w:rsidRPr="00722785">
              <w:rPr>
                <w:noProof/>
                <w:sz w:val="16"/>
                <w:szCs w:val="16"/>
                <w:lang w:eastAsia="en-GB"/>
              </w:rPr>
              <w:drawing>
                <wp:inline distT="0" distB="0" distL="0" distR="0" wp14:anchorId="40D371ED" wp14:editId="0AC66CF7">
                  <wp:extent cx="1330960" cy="12065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330960" cy="1206500"/>
                          </a:xfrm>
                          <a:prstGeom prst="rect">
                            <a:avLst/>
                          </a:prstGeom>
                        </pic:spPr>
                      </pic:pic>
                    </a:graphicData>
                  </a:graphic>
                </wp:inline>
              </w:drawing>
            </w:r>
          </w:p>
        </w:tc>
        <w:tc>
          <w:tcPr>
            <w:tcW w:w="3161" w:type="dxa"/>
            <w:vAlign w:val="center"/>
          </w:tcPr>
          <w:p w14:paraId="20DADC2A" w14:textId="77777777" w:rsidR="00E67A3F" w:rsidRPr="00722785" w:rsidRDefault="00E67A3F" w:rsidP="00E67A3F">
            <w:pPr>
              <w:jc w:val="center"/>
              <w:rPr>
                <w:bCs/>
                <w:sz w:val="16"/>
                <w:szCs w:val="16"/>
              </w:rPr>
            </w:pPr>
            <w:r w:rsidRPr="00722785">
              <w:rPr>
                <w:noProof/>
                <w:sz w:val="16"/>
                <w:szCs w:val="16"/>
                <w:lang w:eastAsia="en-GB"/>
              </w:rPr>
              <w:drawing>
                <wp:inline distT="0" distB="0" distL="0" distR="0" wp14:anchorId="794EE75D" wp14:editId="630EDE5B">
                  <wp:extent cx="833770" cy="1009497"/>
                  <wp:effectExtent l="0" t="0" r="444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839938" cy="1016965"/>
                          </a:xfrm>
                          <a:prstGeom prst="rect">
                            <a:avLst/>
                          </a:prstGeom>
                        </pic:spPr>
                      </pic:pic>
                    </a:graphicData>
                  </a:graphic>
                </wp:inline>
              </w:drawing>
            </w:r>
          </w:p>
        </w:tc>
        <w:tc>
          <w:tcPr>
            <w:tcW w:w="3161" w:type="dxa"/>
            <w:vAlign w:val="center"/>
          </w:tcPr>
          <w:p w14:paraId="073CF228" w14:textId="77777777" w:rsidR="00E67A3F" w:rsidRPr="00722785" w:rsidRDefault="00C86568" w:rsidP="00E67A3F">
            <w:pPr>
              <w:jc w:val="center"/>
              <w:rPr>
                <w:bCs/>
                <w:noProof/>
                <w:sz w:val="16"/>
                <w:szCs w:val="16"/>
                <w:lang w:eastAsia="en-GB"/>
              </w:rPr>
            </w:pPr>
            <w:r w:rsidRPr="00C86568">
              <w:rPr>
                <w:bCs/>
                <w:noProof/>
                <w:sz w:val="16"/>
                <w:szCs w:val="16"/>
                <w:lang w:eastAsia="en-GB"/>
              </w:rPr>
              <w:object w:dxaOrig="3571" w:dyaOrig="1861" w14:anchorId="4C7547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45pt;height:72.55pt" o:ole="">
                  <v:imagedata r:id="rId33" o:title=""/>
                </v:shape>
                <o:OLEObject Type="Embed" ProgID="ACD.ChemSketch.20" ShapeID="_x0000_i1025" DrawAspect="Content" ObjectID="_1565614926" r:id="rId34"/>
              </w:object>
            </w:r>
          </w:p>
        </w:tc>
      </w:tr>
      <w:tr w:rsidR="00E67A3F" w:rsidRPr="009973DE" w14:paraId="42C16229" w14:textId="77777777" w:rsidTr="00E67A3F">
        <w:tc>
          <w:tcPr>
            <w:tcW w:w="1953" w:type="dxa"/>
          </w:tcPr>
          <w:p w14:paraId="717499A8" w14:textId="77777777" w:rsidR="00E67A3F" w:rsidRPr="00B03CEC" w:rsidRDefault="00E67A3F" w:rsidP="00E67A3F">
            <w:pPr>
              <w:pStyle w:val="BodyText"/>
              <w:spacing w:after="0"/>
              <w:rPr>
                <w:b/>
                <w:bCs/>
                <w:sz w:val="16"/>
                <w:szCs w:val="16"/>
              </w:rPr>
            </w:pPr>
            <w:r w:rsidRPr="00B03CEC">
              <w:rPr>
                <w:b/>
                <w:bCs/>
                <w:sz w:val="16"/>
                <w:szCs w:val="16"/>
              </w:rPr>
              <w:t>Molecular weight, g/mole</w:t>
            </w:r>
          </w:p>
        </w:tc>
        <w:tc>
          <w:tcPr>
            <w:tcW w:w="3160" w:type="dxa"/>
          </w:tcPr>
          <w:p w14:paraId="2137B559" w14:textId="77777777" w:rsidR="00E67A3F" w:rsidRPr="00722785" w:rsidRDefault="00E67A3F" w:rsidP="00E67A3F">
            <w:pPr>
              <w:rPr>
                <w:sz w:val="16"/>
                <w:szCs w:val="16"/>
              </w:rPr>
            </w:pPr>
            <w:r w:rsidRPr="00722785">
              <w:rPr>
                <w:sz w:val="16"/>
                <w:szCs w:val="16"/>
              </w:rPr>
              <w:t>613.62</w:t>
            </w:r>
          </w:p>
        </w:tc>
        <w:tc>
          <w:tcPr>
            <w:tcW w:w="3161" w:type="dxa"/>
          </w:tcPr>
          <w:p w14:paraId="7134DFC9" w14:textId="77777777" w:rsidR="00E67A3F" w:rsidRPr="00722785" w:rsidRDefault="00E67A3F" w:rsidP="00E67A3F">
            <w:pPr>
              <w:rPr>
                <w:sz w:val="16"/>
                <w:szCs w:val="16"/>
              </w:rPr>
            </w:pPr>
            <w:r w:rsidRPr="00722785">
              <w:rPr>
                <w:sz w:val="16"/>
                <w:szCs w:val="16"/>
              </w:rPr>
              <w:t>637.69</w:t>
            </w:r>
          </w:p>
        </w:tc>
        <w:tc>
          <w:tcPr>
            <w:tcW w:w="3161" w:type="dxa"/>
          </w:tcPr>
          <w:p w14:paraId="147A14AA" w14:textId="77777777" w:rsidR="00E67A3F" w:rsidRPr="00722785" w:rsidRDefault="00E67A3F" w:rsidP="00E67A3F">
            <w:pPr>
              <w:rPr>
                <w:sz w:val="16"/>
                <w:szCs w:val="16"/>
              </w:rPr>
            </w:pPr>
            <w:r w:rsidRPr="00722785">
              <w:rPr>
                <w:sz w:val="16"/>
                <w:szCs w:val="16"/>
              </w:rPr>
              <w:t>692.49</w:t>
            </w:r>
          </w:p>
        </w:tc>
        <w:tc>
          <w:tcPr>
            <w:tcW w:w="3161" w:type="dxa"/>
          </w:tcPr>
          <w:p w14:paraId="2A776DF0" w14:textId="77777777" w:rsidR="00E67A3F" w:rsidRPr="00722785" w:rsidRDefault="00E67A3F" w:rsidP="00E67A3F">
            <w:pPr>
              <w:rPr>
                <w:sz w:val="16"/>
                <w:szCs w:val="16"/>
              </w:rPr>
            </w:pPr>
            <w:r w:rsidRPr="00722785">
              <w:rPr>
                <w:sz w:val="16"/>
                <w:szCs w:val="16"/>
              </w:rPr>
              <w:t>611.61</w:t>
            </w:r>
          </w:p>
        </w:tc>
      </w:tr>
      <w:tr w:rsidR="00E67A3F" w:rsidRPr="009973DE" w14:paraId="04FC42B7" w14:textId="77777777" w:rsidTr="00E67A3F">
        <w:trPr>
          <w:trHeight w:val="180"/>
        </w:trPr>
        <w:tc>
          <w:tcPr>
            <w:tcW w:w="1953" w:type="dxa"/>
          </w:tcPr>
          <w:p w14:paraId="0FDF8DCC" w14:textId="77777777" w:rsidR="00E67A3F" w:rsidRPr="00B03CEC" w:rsidRDefault="00E67A3F" w:rsidP="00E67A3F">
            <w:pPr>
              <w:pStyle w:val="BodyText"/>
              <w:spacing w:after="0"/>
              <w:rPr>
                <w:b/>
                <w:bCs/>
                <w:sz w:val="16"/>
                <w:szCs w:val="16"/>
              </w:rPr>
            </w:pPr>
            <w:r>
              <w:rPr>
                <w:b/>
                <w:bCs/>
                <w:sz w:val="16"/>
                <w:szCs w:val="16"/>
              </w:rPr>
              <w:t>Melting point</w:t>
            </w:r>
          </w:p>
        </w:tc>
        <w:tc>
          <w:tcPr>
            <w:tcW w:w="3160" w:type="dxa"/>
          </w:tcPr>
          <w:p w14:paraId="0E4F88DB" w14:textId="77777777" w:rsidR="00E67A3F" w:rsidRPr="00722785" w:rsidRDefault="00E67A3F" w:rsidP="00E67A3F">
            <w:pPr>
              <w:rPr>
                <w:bCs/>
                <w:sz w:val="16"/>
                <w:szCs w:val="16"/>
              </w:rPr>
            </w:pPr>
            <w:r w:rsidRPr="00722785">
              <w:rPr>
                <w:bCs/>
                <w:sz w:val="16"/>
                <w:szCs w:val="16"/>
              </w:rPr>
              <w:t>190 °C (estimated)</w:t>
            </w:r>
          </w:p>
        </w:tc>
        <w:tc>
          <w:tcPr>
            <w:tcW w:w="3161" w:type="dxa"/>
          </w:tcPr>
          <w:p w14:paraId="1C41E073" w14:textId="77777777" w:rsidR="00E67A3F" w:rsidRPr="00722785" w:rsidRDefault="00E67A3F" w:rsidP="00E67A3F">
            <w:pPr>
              <w:rPr>
                <w:bCs/>
                <w:sz w:val="16"/>
                <w:szCs w:val="16"/>
              </w:rPr>
            </w:pPr>
            <w:r w:rsidRPr="00722785">
              <w:rPr>
                <w:sz w:val="16"/>
                <w:szCs w:val="16"/>
              </w:rPr>
              <w:t xml:space="preserve">198 °C </w:t>
            </w:r>
            <w:r w:rsidRPr="00722785">
              <w:rPr>
                <w:bCs/>
                <w:sz w:val="16"/>
                <w:szCs w:val="16"/>
              </w:rPr>
              <w:t>(estimated)</w:t>
            </w:r>
          </w:p>
        </w:tc>
        <w:tc>
          <w:tcPr>
            <w:tcW w:w="3161" w:type="dxa"/>
          </w:tcPr>
          <w:p w14:paraId="264C59AC" w14:textId="77777777" w:rsidR="00E67A3F" w:rsidRPr="00722785" w:rsidRDefault="00E67A3F" w:rsidP="00E67A3F">
            <w:pPr>
              <w:rPr>
                <w:bCs/>
                <w:sz w:val="16"/>
                <w:szCs w:val="16"/>
              </w:rPr>
            </w:pPr>
            <w:r w:rsidRPr="00722785">
              <w:rPr>
                <w:bCs/>
                <w:sz w:val="16"/>
                <w:szCs w:val="16"/>
              </w:rPr>
              <w:t>203 °C (estimated)</w:t>
            </w:r>
          </w:p>
        </w:tc>
        <w:tc>
          <w:tcPr>
            <w:tcW w:w="3161" w:type="dxa"/>
          </w:tcPr>
          <w:p w14:paraId="5A18D04F" w14:textId="77777777" w:rsidR="00E67A3F" w:rsidRPr="00722785" w:rsidRDefault="00E67A3F" w:rsidP="00E67A3F">
            <w:pPr>
              <w:rPr>
                <w:bCs/>
                <w:sz w:val="16"/>
                <w:szCs w:val="16"/>
              </w:rPr>
            </w:pPr>
            <w:r w:rsidRPr="00722785">
              <w:rPr>
                <w:bCs/>
                <w:sz w:val="16"/>
                <w:szCs w:val="16"/>
              </w:rPr>
              <w:t>189 °C (estimated)</w:t>
            </w:r>
          </w:p>
        </w:tc>
      </w:tr>
      <w:tr w:rsidR="00E67A3F" w:rsidRPr="009973DE" w14:paraId="0DF13A34" w14:textId="77777777" w:rsidTr="00E67A3F">
        <w:tc>
          <w:tcPr>
            <w:tcW w:w="1953" w:type="dxa"/>
          </w:tcPr>
          <w:p w14:paraId="5C981C0E" w14:textId="77777777" w:rsidR="00E67A3F" w:rsidRPr="00B03CEC" w:rsidRDefault="00E67A3F" w:rsidP="00E67A3F">
            <w:pPr>
              <w:pStyle w:val="BodyText"/>
              <w:spacing w:after="0"/>
              <w:rPr>
                <w:b/>
                <w:bCs/>
                <w:sz w:val="16"/>
                <w:szCs w:val="16"/>
              </w:rPr>
            </w:pPr>
            <w:r w:rsidRPr="00B03CEC">
              <w:rPr>
                <w:b/>
                <w:bCs/>
                <w:sz w:val="16"/>
                <w:szCs w:val="16"/>
              </w:rPr>
              <w:t>Boiling poin</w:t>
            </w:r>
            <w:r>
              <w:rPr>
                <w:b/>
                <w:bCs/>
                <w:sz w:val="16"/>
                <w:szCs w:val="16"/>
              </w:rPr>
              <w:t>t</w:t>
            </w:r>
          </w:p>
        </w:tc>
        <w:tc>
          <w:tcPr>
            <w:tcW w:w="3160" w:type="dxa"/>
          </w:tcPr>
          <w:p w14:paraId="52791A0E" w14:textId="77777777" w:rsidR="00E67A3F" w:rsidRPr="00722785" w:rsidRDefault="00E67A3F" w:rsidP="00E67A3F">
            <w:pPr>
              <w:rPr>
                <w:bCs/>
                <w:sz w:val="16"/>
                <w:szCs w:val="16"/>
              </w:rPr>
            </w:pPr>
            <w:r w:rsidRPr="00722785">
              <w:rPr>
                <w:bCs/>
                <w:sz w:val="16"/>
                <w:szCs w:val="16"/>
              </w:rPr>
              <w:t>-</w:t>
            </w:r>
          </w:p>
        </w:tc>
        <w:tc>
          <w:tcPr>
            <w:tcW w:w="3161" w:type="dxa"/>
          </w:tcPr>
          <w:p w14:paraId="0AE9642E" w14:textId="77777777" w:rsidR="00E67A3F" w:rsidRPr="00722785" w:rsidRDefault="00E67A3F" w:rsidP="00E67A3F">
            <w:pPr>
              <w:rPr>
                <w:bCs/>
                <w:sz w:val="16"/>
                <w:szCs w:val="16"/>
              </w:rPr>
            </w:pPr>
            <w:r w:rsidRPr="00722785">
              <w:rPr>
                <w:bCs/>
                <w:sz w:val="16"/>
                <w:szCs w:val="16"/>
              </w:rPr>
              <w:t>-</w:t>
            </w:r>
          </w:p>
        </w:tc>
        <w:tc>
          <w:tcPr>
            <w:tcW w:w="3161" w:type="dxa"/>
          </w:tcPr>
          <w:p w14:paraId="36B4EB10" w14:textId="77777777" w:rsidR="00E67A3F" w:rsidRPr="00722785" w:rsidRDefault="00E67A3F" w:rsidP="00E67A3F">
            <w:pPr>
              <w:rPr>
                <w:bCs/>
                <w:sz w:val="16"/>
                <w:szCs w:val="16"/>
              </w:rPr>
            </w:pPr>
            <w:r w:rsidRPr="00722785">
              <w:rPr>
                <w:bCs/>
                <w:sz w:val="16"/>
                <w:szCs w:val="16"/>
              </w:rPr>
              <w:t>-</w:t>
            </w:r>
          </w:p>
        </w:tc>
        <w:tc>
          <w:tcPr>
            <w:tcW w:w="3161" w:type="dxa"/>
          </w:tcPr>
          <w:p w14:paraId="55AAA10C" w14:textId="77777777" w:rsidR="00E67A3F" w:rsidRPr="00722785" w:rsidRDefault="00E67A3F" w:rsidP="00E67A3F">
            <w:pPr>
              <w:rPr>
                <w:bCs/>
                <w:sz w:val="16"/>
                <w:szCs w:val="16"/>
              </w:rPr>
            </w:pPr>
            <w:r w:rsidRPr="00722785">
              <w:rPr>
                <w:bCs/>
                <w:sz w:val="16"/>
                <w:szCs w:val="16"/>
              </w:rPr>
              <w:t>-</w:t>
            </w:r>
          </w:p>
        </w:tc>
      </w:tr>
      <w:tr w:rsidR="00E67A3F" w:rsidRPr="009973DE" w14:paraId="7C5A57A4" w14:textId="77777777" w:rsidTr="00E67A3F">
        <w:tc>
          <w:tcPr>
            <w:tcW w:w="1953" w:type="dxa"/>
          </w:tcPr>
          <w:p w14:paraId="7A52A57E" w14:textId="77777777" w:rsidR="00E67A3F" w:rsidRPr="00B03CEC" w:rsidRDefault="00E67A3F" w:rsidP="00E67A3F">
            <w:pPr>
              <w:pStyle w:val="BodyText"/>
              <w:spacing w:after="0"/>
              <w:rPr>
                <w:b/>
                <w:bCs/>
                <w:sz w:val="16"/>
                <w:szCs w:val="16"/>
              </w:rPr>
            </w:pPr>
            <w:r w:rsidRPr="00B03CEC">
              <w:rPr>
                <w:b/>
                <w:bCs/>
                <w:sz w:val="16"/>
                <w:szCs w:val="16"/>
              </w:rPr>
              <w:t>Vapour pressure</w:t>
            </w:r>
          </w:p>
        </w:tc>
        <w:tc>
          <w:tcPr>
            <w:tcW w:w="3160" w:type="dxa"/>
          </w:tcPr>
          <w:p w14:paraId="4FA3D35A" w14:textId="77777777" w:rsidR="00E67A3F" w:rsidRPr="00722785" w:rsidRDefault="00E67A3F" w:rsidP="00E67A3F">
            <w:pPr>
              <w:rPr>
                <w:bCs/>
                <w:sz w:val="16"/>
                <w:szCs w:val="16"/>
              </w:rPr>
            </w:pPr>
            <w:r w:rsidRPr="00722785">
              <w:rPr>
                <w:bCs/>
                <w:sz w:val="16"/>
                <w:szCs w:val="16"/>
              </w:rPr>
              <w:t>1.1E-06</w:t>
            </w:r>
            <w:r w:rsidRPr="00722785">
              <w:rPr>
                <w:rFonts w:cs="Courier New"/>
                <w:color w:val="000000"/>
                <w:sz w:val="16"/>
                <w:szCs w:val="16"/>
              </w:rPr>
              <w:t xml:space="preserve"> </w:t>
            </w:r>
            <w:r w:rsidRPr="00722785">
              <w:rPr>
                <w:bCs/>
                <w:sz w:val="16"/>
                <w:szCs w:val="16"/>
              </w:rPr>
              <w:t>Pa at 25 °C (estimated)</w:t>
            </w:r>
          </w:p>
        </w:tc>
        <w:tc>
          <w:tcPr>
            <w:tcW w:w="3161" w:type="dxa"/>
          </w:tcPr>
          <w:p w14:paraId="5AEFF1D8" w14:textId="77777777" w:rsidR="00E67A3F" w:rsidRPr="00722785" w:rsidRDefault="00E67A3F" w:rsidP="00E67A3F">
            <w:pPr>
              <w:rPr>
                <w:sz w:val="16"/>
                <w:szCs w:val="16"/>
              </w:rPr>
            </w:pPr>
            <w:r w:rsidRPr="00722785">
              <w:rPr>
                <w:bCs/>
                <w:sz w:val="16"/>
                <w:szCs w:val="16"/>
              </w:rPr>
              <w:t>3.2E-07</w:t>
            </w:r>
            <w:r w:rsidRPr="00722785">
              <w:rPr>
                <w:rFonts w:cs="Courier New"/>
                <w:color w:val="000000"/>
                <w:sz w:val="16"/>
                <w:szCs w:val="16"/>
              </w:rPr>
              <w:t xml:space="preserve"> </w:t>
            </w:r>
            <w:r w:rsidRPr="00722785">
              <w:rPr>
                <w:bCs/>
                <w:sz w:val="16"/>
                <w:szCs w:val="16"/>
              </w:rPr>
              <w:t>Pa at 25 °C (estimated)</w:t>
            </w:r>
          </w:p>
        </w:tc>
        <w:tc>
          <w:tcPr>
            <w:tcW w:w="3161" w:type="dxa"/>
          </w:tcPr>
          <w:p w14:paraId="421DD69E" w14:textId="77777777" w:rsidR="00E67A3F" w:rsidRPr="00722785" w:rsidRDefault="00E67A3F" w:rsidP="00E67A3F">
            <w:pPr>
              <w:rPr>
                <w:sz w:val="16"/>
                <w:szCs w:val="16"/>
              </w:rPr>
            </w:pPr>
            <w:r w:rsidRPr="00722785">
              <w:rPr>
                <w:bCs/>
                <w:sz w:val="16"/>
                <w:szCs w:val="16"/>
              </w:rPr>
              <w:t>1.7E-07 Pa at 25 °C (estimated)</w:t>
            </w:r>
          </w:p>
        </w:tc>
        <w:tc>
          <w:tcPr>
            <w:tcW w:w="3161" w:type="dxa"/>
          </w:tcPr>
          <w:p w14:paraId="0DBF3B80" w14:textId="77777777" w:rsidR="00E67A3F" w:rsidRPr="00722785" w:rsidRDefault="00E67A3F" w:rsidP="00E67A3F">
            <w:pPr>
              <w:rPr>
                <w:bCs/>
                <w:sz w:val="16"/>
                <w:szCs w:val="16"/>
              </w:rPr>
            </w:pPr>
            <w:r w:rsidRPr="00722785">
              <w:rPr>
                <w:bCs/>
                <w:sz w:val="16"/>
                <w:szCs w:val="16"/>
              </w:rPr>
              <w:t>1.3E-06 Pa at 25 °C (estimated)</w:t>
            </w:r>
          </w:p>
        </w:tc>
      </w:tr>
      <w:tr w:rsidR="00E67A3F" w:rsidRPr="009973DE" w14:paraId="4D2C95A5" w14:textId="77777777" w:rsidTr="00E67A3F">
        <w:tc>
          <w:tcPr>
            <w:tcW w:w="1953" w:type="dxa"/>
          </w:tcPr>
          <w:p w14:paraId="30E12CFC" w14:textId="77777777" w:rsidR="00E67A3F" w:rsidRPr="00B03CEC" w:rsidRDefault="00E67A3F" w:rsidP="00E67A3F">
            <w:pPr>
              <w:pStyle w:val="BodyText"/>
              <w:spacing w:after="0"/>
              <w:rPr>
                <w:b/>
                <w:bCs/>
                <w:sz w:val="16"/>
                <w:szCs w:val="16"/>
              </w:rPr>
            </w:pPr>
            <w:r w:rsidRPr="00B03CEC">
              <w:rPr>
                <w:b/>
                <w:bCs/>
                <w:sz w:val="16"/>
                <w:szCs w:val="16"/>
              </w:rPr>
              <w:t>Water solubility</w:t>
            </w:r>
          </w:p>
        </w:tc>
        <w:tc>
          <w:tcPr>
            <w:tcW w:w="3160" w:type="dxa"/>
          </w:tcPr>
          <w:p w14:paraId="49878382" w14:textId="77777777" w:rsidR="00E67A3F" w:rsidRPr="00722785" w:rsidRDefault="00E67A3F" w:rsidP="00E67A3F">
            <w:pPr>
              <w:rPr>
                <w:bCs/>
                <w:sz w:val="16"/>
                <w:szCs w:val="16"/>
              </w:rPr>
            </w:pPr>
            <w:r w:rsidRPr="00722785">
              <w:rPr>
                <w:bCs/>
                <w:sz w:val="16"/>
                <w:szCs w:val="16"/>
              </w:rPr>
              <w:t>≤1.7E-05</w:t>
            </w:r>
            <w:r w:rsidRPr="00722785">
              <w:rPr>
                <w:rFonts w:cs="Courier New"/>
                <w:color w:val="000000"/>
                <w:sz w:val="16"/>
                <w:szCs w:val="16"/>
              </w:rPr>
              <w:t xml:space="preserve"> </w:t>
            </w:r>
            <w:r w:rsidRPr="00722785">
              <w:rPr>
                <w:bCs/>
                <w:sz w:val="16"/>
                <w:szCs w:val="16"/>
              </w:rPr>
              <w:t>mg/L at 25 °C (estimated)</w:t>
            </w:r>
          </w:p>
        </w:tc>
        <w:tc>
          <w:tcPr>
            <w:tcW w:w="3161" w:type="dxa"/>
          </w:tcPr>
          <w:p w14:paraId="6ECCE266" w14:textId="77777777" w:rsidR="00E67A3F" w:rsidRPr="00722785" w:rsidRDefault="00E67A3F" w:rsidP="00E67A3F">
            <w:pPr>
              <w:rPr>
                <w:bCs/>
                <w:sz w:val="16"/>
                <w:szCs w:val="16"/>
              </w:rPr>
            </w:pPr>
            <w:r w:rsidRPr="00722785">
              <w:rPr>
                <w:bCs/>
                <w:sz w:val="16"/>
                <w:szCs w:val="16"/>
              </w:rPr>
              <w:t>≤6.4E-07 mg/L at 25 °C (estimated)</w:t>
            </w:r>
          </w:p>
        </w:tc>
        <w:tc>
          <w:tcPr>
            <w:tcW w:w="3161" w:type="dxa"/>
          </w:tcPr>
          <w:p w14:paraId="45164A88" w14:textId="77777777" w:rsidR="00E67A3F" w:rsidRPr="00722785" w:rsidRDefault="00E67A3F" w:rsidP="00E67A3F">
            <w:pPr>
              <w:rPr>
                <w:bCs/>
                <w:sz w:val="16"/>
                <w:szCs w:val="16"/>
              </w:rPr>
            </w:pPr>
            <w:r w:rsidRPr="00722785">
              <w:rPr>
                <w:bCs/>
                <w:sz w:val="16"/>
                <w:szCs w:val="16"/>
              </w:rPr>
              <w:t>≤4.7E-06 mg/L at 25 °C (estimated)</w:t>
            </w:r>
          </w:p>
        </w:tc>
        <w:tc>
          <w:tcPr>
            <w:tcW w:w="3161" w:type="dxa"/>
          </w:tcPr>
          <w:p w14:paraId="03361768" w14:textId="77777777" w:rsidR="00E67A3F" w:rsidRPr="00722785" w:rsidRDefault="00E67A3F" w:rsidP="00E67A3F">
            <w:pPr>
              <w:rPr>
                <w:bCs/>
                <w:sz w:val="16"/>
                <w:szCs w:val="16"/>
              </w:rPr>
            </w:pPr>
            <w:r w:rsidRPr="00722785">
              <w:rPr>
                <w:bCs/>
                <w:sz w:val="16"/>
                <w:szCs w:val="16"/>
              </w:rPr>
              <w:t>6E-07 mg/L at 25 °C (estimated)</w:t>
            </w:r>
          </w:p>
        </w:tc>
      </w:tr>
      <w:tr w:rsidR="00E67A3F" w:rsidRPr="009973DE" w14:paraId="1B029ADB" w14:textId="77777777" w:rsidTr="00E67A3F">
        <w:tc>
          <w:tcPr>
            <w:tcW w:w="1953" w:type="dxa"/>
          </w:tcPr>
          <w:p w14:paraId="4275C2DF" w14:textId="77777777" w:rsidR="00E67A3F" w:rsidRPr="00B03CEC" w:rsidRDefault="00E67A3F" w:rsidP="00E67A3F">
            <w:pPr>
              <w:pStyle w:val="BodyText"/>
              <w:spacing w:after="0"/>
              <w:rPr>
                <w:b/>
                <w:bCs/>
                <w:sz w:val="16"/>
                <w:szCs w:val="16"/>
              </w:rPr>
            </w:pPr>
            <w:r w:rsidRPr="00B03CEC">
              <w:rPr>
                <w:b/>
                <w:bCs/>
                <w:sz w:val="16"/>
                <w:szCs w:val="16"/>
              </w:rPr>
              <w:t>log K</w:t>
            </w:r>
            <w:r w:rsidRPr="00B03CEC">
              <w:rPr>
                <w:b/>
                <w:bCs/>
                <w:sz w:val="16"/>
                <w:szCs w:val="16"/>
                <w:vertAlign w:val="subscript"/>
              </w:rPr>
              <w:t>OW</w:t>
            </w:r>
          </w:p>
        </w:tc>
        <w:tc>
          <w:tcPr>
            <w:tcW w:w="3160" w:type="dxa"/>
          </w:tcPr>
          <w:p w14:paraId="3AC1AD05" w14:textId="77777777" w:rsidR="00E67A3F" w:rsidRPr="00722785" w:rsidRDefault="00E67A3F" w:rsidP="00E67A3F">
            <w:pPr>
              <w:rPr>
                <w:sz w:val="16"/>
                <w:szCs w:val="16"/>
              </w:rPr>
            </w:pPr>
            <w:r w:rsidRPr="00722785">
              <w:rPr>
                <w:sz w:val="16"/>
                <w:szCs w:val="16"/>
              </w:rPr>
              <w:t>8.0 (estimated)</w:t>
            </w:r>
          </w:p>
        </w:tc>
        <w:tc>
          <w:tcPr>
            <w:tcW w:w="3161" w:type="dxa"/>
          </w:tcPr>
          <w:p w14:paraId="331761A6" w14:textId="77777777" w:rsidR="00E67A3F" w:rsidRPr="00722785" w:rsidRDefault="00E67A3F" w:rsidP="00E67A3F">
            <w:pPr>
              <w:rPr>
                <w:bCs/>
                <w:sz w:val="16"/>
                <w:szCs w:val="16"/>
              </w:rPr>
            </w:pPr>
            <w:r w:rsidRPr="00722785">
              <w:rPr>
                <w:sz w:val="16"/>
                <w:szCs w:val="16"/>
              </w:rPr>
              <w:t>11.2 (estimated)</w:t>
            </w:r>
          </w:p>
        </w:tc>
        <w:tc>
          <w:tcPr>
            <w:tcW w:w="3161" w:type="dxa"/>
          </w:tcPr>
          <w:p w14:paraId="2309E610" w14:textId="77777777" w:rsidR="00E67A3F" w:rsidRPr="00722785" w:rsidRDefault="00E67A3F" w:rsidP="00E67A3F">
            <w:pPr>
              <w:rPr>
                <w:bCs/>
                <w:sz w:val="16"/>
                <w:szCs w:val="16"/>
              </w:rPr>
            </w:pPr>
            <w:r w:rsidRPr="00722785">
              <w:rPr>
                <w:sz w:val="16"/>
                <w:szCs w:val="16"/>
              </w:rPr>
              <w:t>10.6 (estimated)</w:t>
            </w:r>
          </w:p>
        </w:tc>
        <w:tc>
          <w:tcPr>
            <w:tcW w:w="3161" w:type="dxa"/>
          </w:tcPr>
          <w:p w14:paraId="4DCBB599" w14:textId="77777777" w:rsidR="00E67A3F" w:rsidRPr="00722785" w:rsidRDefault="00E67A3F" w:rsidP="00E67A3F">
            <w:pPr>
              <w:rPr>
                <w:bCs/>
                <w:sz w:val="16"/>
                <w:szCs w:val="16"/>
              </w:rPr>
            </w:pPr>
            <w:r w:rsidRPr="00722785">
              <w:rPr>
                <w:sz w:val="16"/>
                <w:szCs w:val="16"/>
              </w:rPr>
              <w:t>9.8 (estimated)</w:t>
            </w:r>
          </w:p>
        </w:tc>
      </w:tr>
    </w:tbl>
    <w:p w14:paraId="4DFB8917" w14:textId="77777777" w:rsidR="00D23EDA" w:rsidRPr="00D23EDA" w:rsidRDefault="00CF54D1" w:rsidP="00D23EDA">
      <w:pPr>
        <w:pStyle w:val="BodyText"/>
        <w:tabs>
          <w:tab w:val="left" w:pos="567"/>
          <w:tab w:val="left" w:pos="993"/>
        </w:tabs>
        <w:spacing w:before="120" w:after="0"/>
        <w:ind w:left="993" w:hanging="993"/>
        <w:rPr>
          <w:bCs/>
          <w:sz w:val="18"/>
          <w:szCs w:val="18"/>
        </w:rPr>
      </w:pPr>
      <w:r w:rsidRPr="00986027">
        <w:rPr>
          <w:bCs/>
          <w:sz w:val="18"/>
          <w:szCs w:val="18"/>
        </w:rPr>
        <w:lastRenderedPageBreak/>
        <w:t xml:space="preserve">Note: a – </w:t>
      </w:r>
      <w:r w:rsidRPr="00986027">
        <w:rPr>
          <w:bCs/>
          <w:sz w:val="18"/>
          <w:szCs w:val="18"/>
        </w:rPr>
        <w:tab/>
      </w:r>
      <w:r w:rsidR="00D23EDA" w:rsidRPr="00D23EDA">
        <w:rPr>
          <w:bCs/>
          <w:sz w:val="18"/>
          <w:szCs w:val="18"/>
        </w:rPr>
        <w:t xml:space="preserve">Chlordane consists of more than 140 compounds, of which trans-chlordane, cis-chlordane and trans-nonachlor are present in the highest amounts (Dearth &amp; Hites, 1991; Liu et al., 2009). </w:t>
      </w:r>
    </w:p>
    <w:p w14:paraId="45C726C6" w14:textId="77777777" w:rsidR="00D23EDA" w:rsidRPr="00D23EDA" w:rsidRDefault="00D23EDA" w:rsidP="00D23EDA">
      <w:pPr>
        <w:pStyle w:val="BodyText"/>
        <w:tabs>
          <w:tab w:val="left" w:pos="567"/>
          <w:tab w:val="left" w:pos="993"/>
        </w:tabs>
        <w:spacing w:before="120" w:after="0"/>
        <w:ind w:left="993" w:hanging="993"/>
        <w:rPr>
          <w:bCs/>
          <w:sz w:val="18"/>
          <w:szCs w:val="18"/>
        </w:rPr>
      </w:pPr>
      <w:r>
        <w:rPr>
          <w:bCs/>
          <w:sz w:val="18"/>
          <w:szCs w:val="18"/>
        </w:rPr>
        <w:tab/>
        <w:t xml:space="preserve">b </w:t>
      </w:r>
      <w:r w:rsidRPr="00986027">
        <w:rPr>
          <w:bCs/>
          <w:sz w:val="18"/>
          <w:szCs w:val="18"/>
        </w:rPr>
        <w:t xml:space="preserve">– </w:t>
      </w:r>
      <w:r w:rsidRPr="00986027">
        <w:rPr>
          <w:bCs/>
          <w:sz w:val="18"/>
          <w:szCs w:val="18"/>
        </w:rPr>
        <w:tab/>
      </w:r>
      <w:r w:rsidRPr="00D23EDA">
        <w:rPr>
          <w:bCs/>
          <w:sz w:val="18"/>
          <w:szCs w:val="18"/>
        </w:rPr>
        <w:t>Technical heptachlor usually contains about 72 % (±)-heptachlor and 28 % related compounds including about 18 % trans-chlordane (EFSA, 2007).</w:t>
      </w:r>
    </w:p>
    <w:p w14:paraId="04275798" w14:textId="77777777" w:rsidR="004C4FC5" w:rsidRDefault="00D23EDA" w:rsidP="00D23EDA">
      <w:pPr>
        <w:pStyle w:val="BodyText"/>
        <w:tabs>
          <w:tab w:val="left" w:pos="567"/>
          <w:tab w:val="left" w:pos="993"/>
        </w:tabs>
        <w:spacing w:before="120" w:after="0"/>
        <w:ind w:left="993" w:hanging="993"/>
        <w:rPr>
          <w:bCs/>
          <w:sz w:val="19"/>
          <w:szCs w:val="19"/>
        </w:rPr>
      </w:pPr>
      <w:r>
        <w:rPr>
          <w:bCs/>
          <w:sz w:val="18"/>
          <w:szCs w:val="18"/>
        </w:rPr>
        <w:tab/>
        <w:t xml:space="preserve">c </w:t>
      </w:r>
      <w:r w:rsidRPr="00986027">
        <w:rPr>
          <w:bCs/>
          <w:sz w:val="18"/>
          <w:szCs w:val="18"/>
        </w:rPr>
        <w:t xml:space="preserve">– </w:t>
      </w:r>
      <w:r w:rsidRPr="00986027">
        <w:rPr>
          <w:bCs/>
          <w:sz w:val="18"/>
          <w:szCs w:val="18"/>
        </w:rPr>
        <w:tab/>
      </w:r>
      <w:r w:rsidR="00CF54D1" w:rsidRPr="00986027">
        <w:rPr>
          <w:bCs/>
          <w:sz w:val="18"/>
          <w:szCs w:val="18"/>
        </w:rPr>
        <w:t>A stereoisomer</w:t>
      </w:r>
      <w:r w:rsidR="00986027">
        <w:rPr>
          <w:bCs/>
          <w:sz w:val="18"/>
          <w:szCs w:val="18"/>
        </w:rPr>
        <w:t xml:space="preserve"> of dieldrin</w:t>
      </w:r>
      <w:r w:rsidR="00CF54D1" w:rsidRPr="00986027">
        <w:rPr>
          <w:bCs/>
          <w:sz w:val="18"/>
          <w:szCs w:val="18"/>
        </w:rPr>
        <w:t xml:space="preserve"> called endrin (CAS no. 72-20-8) was also made commercially. It has effectively the same physico-chemical properties as dieldrin</w:t>
      </w:r>
      <w:r w:rsidR="00CF54D1" w:rsidRPr="00D9636D">
        <w:rPr>
          <w:bCs/>
          <w:sz w:val="19"/>
          <w:szCs w:val="19"/>
        </w:rPr>
        <w:t>.</w:t>
      </w:r>
    </w:p>
    <w:p w14:paraId="745817A4" w14:textId="77777777" w:rsidR="004C4FC5" w:rsidRPr="00D9636D" w:rsidRDefault="00D23EDA" w:rsidP="004C4FC5">
      <w:pPr>
        <w:pStyle w:val="BodyText"/>
        <w:tabs>
          <w:tab w:val="left" w:pos="567"/>
          <w:tab w:val="left" w:pos="993"/>
        </w:tabs>
        <w:spacing w:before="120" w:after="0"/>
        <w:ind w:left="993" w:hanging="993"/>
        <w:rPr>
          <w:bCs/>
          <w:sz w:val="19"/>
          <w:szCs w:val="19"/>
        </w:rPr>
      </w:pPr>
      <w:r>
        <w:rPr>
          <w:bCs/>
          <w:sz w:val="19"/>
          <w:szCs w:val="19"/>
        </w:rPr>
        <w:tab/>
        <w:t>d</w:t>
      </w:r>
      <w:r w:rsidR="004C4FC5" w:rsidRPr="00986027">
        <w:rPr>
          <w:bCs/>
          <w:sz w:val="18"/>
          <w:szCs w:val="18"/>
        </w:rPr>
        <w:t xml:space="preserve"> – </w:t>
      </w:r>
      <w:r w:rsidR="004C4FC5" w:rsidRPr="00986027">
        <w:rPr>
          <w:bCs/>
          <w:sz w:val="18"/>
          <w:szCs w:val="18"/>
        </w:rPr>
        <w:tab/>
        <w:t>A stereoisomer</w:t>
      </w:r>
      <w:r w:rsidR="004C4FC5">
        <w:rPr>
          <w:bCs/>
          <w:sz w:val="18"/>
          <w:szCs w:val="18"/>
        </w:rPr>
        <w:t xml:space="preserve"> of aldrin called iso</w:t>
      </w:r>
      <w:r w:rsidR="004C4FC5" w:rsidRPr="00986027">
        <w:rPr>
          <w:bCs/>
          <w:sz w:val="18"/>
          <w:szCs w:val="18"/>
        </w:rPr>
        <w:t xml:space="preserve">drin (CAS no. </w:t>
      </w:r>
      <w:r w:rsidR="004C4FC5" w:rsidRPr="00D23EDA">
        <w:rPr>
          <w:bCs/>
          <w:sz w:val="18"/>
          <w:szCs w:val="18"/>
        </w:rPr>
        <w:t>465-73-6</w:t>
      </w:r>
      <w:r w:rsidR="004C4FC5" w:rsidRPr="00986027">
        <w:rPr>
          <w:bCs/>
          <w:sz w:val="18"/>
          <w:szCs w:val="18"/>
        </w:rPr>
        <w:t xml:space="preserve">) was also made commercially. It has effectively the same physico-chemical properties as </w:t>
      </w:r>
      <w:r w:rsidR="004C4FC5">
        <w:rPr>
          <w:bCs/>
          <w:sz w:val="18"/>
          <w:szCs w:val="18"/>
        </w:rPr>
        <w:t>a</w:t>
      </w:r>
      <w:r w:rsidR="004C4FC5" w:rsidRPr="00986027">
        <w:rPr>
          <w:bCs/>
          <w:sz w:val="18"/>
          <w:szCs w:val="18"/>
        </w:rPr>
        <w:t>ldrin</w:t>
      </w:r>
      <w:r w:rsidR="004C4FC5" w:rsidRPr="00D9636D">
        <w:rPr>
          <w:bCs/>
          <w:sz w:val="19"/>
          <w:szCs w:val="19"/>
        </w:rPr>
        <w:t>.</w:t>
      </w:r>
    </w:p>
    <w:p w14:paraId="728FDBF8" w14:textId="77777777" w:rsidR="004C4FC5" w:rsidRPr="00F0628F" w:rsidRDefault="004C4FC5" w:rsidP="004C4FC5">
      <w:pPr>
        <w:pStyle w:val="BodyText"/>
        <w:ind w:left="360" w:right="374"/>
        <w:jc w:val="both"/>
        <w:rPr>
          <w:rStyle w:val="Strong"/>
          <w:bCs/>
        </w:rPr>
        <w:sectPr w:rsidR="004C4FC5" w:rsidRPr="00F0628F" w:rsidSect="001221A8">
          <w:pgSz w:w="16838" w:h="11906" w:orient="landscape" w:code="9"/>
          <w:pgMar w:top="1797" w:right="1440" w:bottom="1701" w:left="1440" w:header="709" w:footer="709" w:gutter="0"/>
          <w:cols w:space="708"/>
          <w:docGrid w:linePitch="360"/>
        </w:sectPr>
      </w:pPr>
    </w:p>
    <w:p w14:paraId="13F6C0CB" w14:textId="77777777" w:rsidR="00B12C39" w:rsidRDefault="00BB6734" w:rsidP="00C748EF">
      <w:pPr>
        <w:pStyle w:val="Heading2"/>
      </w:pPr>
      <w:bookmarkStart w:id="211" w:name="_Toc341888506"/>
      <w:bookmarkStart w:id="212" w:name="_Toc342400360"/>
      <w:bookmarkStart w:id="213" w:name="_Toc354499571"/>
      <w:bookmarkStart w:id="214" w:name="_Toc357083646"/>
      <w:bookmarkStart w:id="215" w:name="_Toc357184195"/>
      <w:bookmarkStart w:id="216" w:name="_Toc357184431"/>
      <w:bookmarkStart w:id="217" w:name="_Toc357185233"/>
      <w:bookmarkStart w:id="218" w:name="_Toc357186081"/>
      <w:bookmarkStart w:id="219" w:name="_Toc357186230"/>
      <w:bookmarkStart w:id="220" w:name="_Toc357437516"/>
      <w:bookmarkStart w:id="221" w:name="_Toc357590789"/>
      <w:bookmarkStart w:id="222" w:name="_Toc357692821"/>
      <w:bookmarkStart w:id="223" w:name="_Toc365649648"/>
      <w:bookmarkStart w:id="224" w:name="_Toc365649797"/>
      <w:bookmarkStart w:id="225" w:name="_Toc366489849"/>
      <w:bookmarkStart w:id="226" w:name="_Toc418498554"/>
      <w:bookmarkStart w:id="227" w:name="_Toc418505997"/>
      <w:bookmarkStart w:id="228" w:name="_Toc491862221"/>
      <w:r>
        <w:lastRenderedPageBreak/>
        <w:t xml:space="preserve">1.5 </w:t>
      </w:r>
      <w:r w:rsidR="00B12C39" w:rsidRPr="003F2F19">
        <w:t>Physicochemical properties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7C4EDD6C" w14:textId="6B8E1B41" w:rsidR="00CF54D1" w:rsidRDefault="008B4A04" w:rsidP="00CF54D1">
      <w:pPr>
        <w:pStyle w:val="BodyText"/>
        <w:jc w:val="both"/>
      </w:pPr>
      <w:bookmarkStart w:id="229" w:name="_Toc297618127"/>
      <w:bookmarkStart w:id="230" w:name="_Toc316637461"/>
      <w:bookmarkStart w:id="231" w:name="_Toc341889785"/>
      <w:bookmarkStart w:id="232" w:name="_Toc357184846"/>
      <w:bookmarkStart w:id="233" w:name="_Toc359563697"/>
      <w:r w:rsidRPr="008B4A04">
        <w:t>Unless otherwise stated,</w:t>
      </w:r>
      <w:r w:rsidR="00CF54D1">
        <w:t xml:space="preserve"> the</w:t>
      </w:r>
      <w:r w:rsidRPr="008B4A04">
        <w:t xml:space="preserve"> data are taken from the</w:t>
      </w:r>
      <w:r w:rsidR="00CF54D1">
        <w:t xml:space="preserve"> REACH registration on the</w:t>
      </w:r>
      <w:r w:rsidRPr="008B4A04">
        <w:t xml:space="preserve"> ECHA public dissemination website.</w:t>
      </w:r>
      <w:r w:rsidR="00896A52">
        <w:t xml:space="preserve"> There is no information available for the individual syn</w:t>
      </w:r>
      <w:r w:rsidR="00C90A64">
        <w:t>-</w:t>
      </w:r>
      <w:r w:rsidR="00896A52">
        <w:t xml:space="preserve"> and anti</w:t>
      </w:r>
      <w:r w:rsidR="00C90A64">
        <w:t>-</w:t>
      </w:r>
      <w:r w:rsidR="00896A52">
        <w:t xml:space="preserve"> isomers. Therefore it is not possible to conclude whether there are </w:t>
      </w:r>
      <w:r w:rsidR="00C90A64">
        <w:t>physicoch</w:t>
      </w:r>
      <w:r w:rsidR="00896A52">
        <w:t>emical differences between these or not.</w:t>
      </w:r>
    </w:p>
    <w:p w14:paraId="7891627B" w14:textId="77777777" w:rsidR="00B12C39" w:rsidRPr="00C526E8" w:rsidRDefault="00FC5D4E" w:rsidP="00C526E8">
      <w:pPr>
        <w:pStyle w:val="Caption"/>
      </w:pPr>
      <w:bookmarkStart w:id="234" w:name="_Toc491778956"/>
      <w:r w:rsidRPr="00C526E8">
        <w:t xml:space="preserve">Table </w:t>
      </w:r>
      <w:fldSimple w:instr=" SEQ Table \* ARABIC ">
        <w:r w:rsidR="00F0628F">
          <w:rPr>
            <w:noProof/>
          </w:rPr>
          <w:t>6</w:t>
        </w:r>
      </w:fldSimple>
      <w:r w:rsidR="00BA03FB" w:rsidRPr="00C526E8">
        <w:t>:</w:t>
      </w:r>
      <w:r w:rsidR="00B12C39" w:rsidRPr="00C526E8">
        <w:t xml:space="preserve"> Overview of physicochemical properties</w:t>
      </w:r>
      <w:bookmarkEnd w:id="229"/>
      <w:bookmarkEnd w:id="230"/>
      <w:bookmarkEnd w:id="231"/>
      <w:bookmarkEnd w:id="232"/>
      <w:bookmarkEnd w:id="233"/>
      <w:bookmarkEnd w:id="234"/>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701"/>
        <w:gridCol w:w="4536"/>
      </w:tblGrid>
      <w:tr w:rsidR="00A263F4" w:rsidRPr="00B03CEC" w14:paraId="3B581D30" w14:textId="77777777" w:rsidTr="00142D00">
        <w:trPr>
          <w:cantSplit/>
          <w:tblHeader/>
        </w:trPr>
        <w:tc>
          <w:tcPr>
            <w:tcW w:w="2155" w:type="dxa"/>
          </w:tcPr>
          <w:p w14:paraId="7C7BF866" w14:textId="77777777" w:rsidR="00A263F4" w:rsidRPr="00B03CEC" w:rsidRDefault="00A263F4" w:rsidP="00B12C39">
            <w:pPr>
              <w:pStyle w:val="TableColumnHeader"/>
              <w:rPr>
                <w:sz w:val="16"/>
                <w:szCs w:val="16"/>
              </w:rPr>
            </w:pPr>
            <w:r w:rsidRPr="00B03CEC">
              <w:rPr>
                <w:sz w:val="16"/>
                <w:szCs w:val="16"/>
              </w:rPr>
              <w:t>Property</w:t>
            </w:r>
          </w:p>
        </w:tc>
        <w:tc>
          <w:tcPr>
            <w:tcW w:w="1701" w:type="dxa"/>
          </w:tcPr>
          <w:p w14:paraId="3AF55AAA" w14:textId="77777777" w:rsidR="00A263F4" w:rsidRPr="00B03CEC" w:rsidRDefault="00A263F4" w:rsidP="00B12C39">
            <w:pPr>
              <w:pStyle w:val="TableColumnHeader"/>
              <w:rPr>
                <w:sz w:val="16"/>
                <w:szCs w:val="16"/>
              </w:rPr>
            </w:pPr>
            <w:r w:rsidRPr="00B03CEC">
              <w:rPr>
                <w:sz w:val="16"/>
                <w:szCs w:val="16"/>
              </w:rPr>
              <w:t>Value [Unit]</w:t>
            </w:r>
          </w:p>
        </w:tc>
        <w:tc>
          <w:tcPr>
            <w:tcW w:w="4536" w:type="dxa"/>
          </w:tcPr>
          <w:p w14:paraId="71A3FE1A" w14:textId="77777777" w:rsidR="00A263F4" w:rsidRPr="00B03CEC" w:rsidRDefault="00A263F4" w:rsidP="00B12C39">
            <w:pPr>
              <w:pStyle w:val="TableColumnHeader"/>
              <w:rPr>
                <w:sz w:val="16"/>
                <w:szCs w:val="16"/>
              </w:rPr>
            </w:pPr>
            <w:r w:rsidRPr="00B03CEC">
              <w:rPr>
                <w:sz w:val="16"/>
                <w:szCs w:val="16"/>
              </w:rPr>
              <w:t>Reference/source of information</w:t>
            </w:r>
            <w:r>
              <w:rPr>
                <w:sz w:val="16"/>
                <w:szCs w:val="16"/>
              </w:rPr>
              <w:t>/remarks</w:t>
            </w:r>
          </w:p>
        </w:tc>
      </w:tr>
      <w:tr w:rsidR="00A263F4" w:rsidRPr="00B03CEC" w14:paraId="6BF5FD69" w14:textId="77777777" w:rsidTr="00142D00">
        <w:trPr>
          <w:cantSplit/>
        </w:trPr>
        <w:tc>
          <w:tcPr>
            <w:tcW w:w="2155" w:type="dxa"/>
          </w:tcPr>
          <w:p w14:paraId="3E648A16" w14:textId="77777777" w:rsidR="00A263F4" w:rsidRPr="00B03CEC" w:rsidRDefault="00A263F4" w:rsidP="00995456">
            <w:pPr>
              <w:pStyle w:val="TableRowHeader"/>
              <w:jc w:val="left"/>
              <w:rPr>
                <w:sz w:val="16"/>
                <w:szCs w:val="16"/>
              </w:rPr>
            </w:pPr>
            <w:r w:rsidRPr="00B03CEC">
              <w:rPr>
                <w:sz w:val="16"/>
                <w:szCs w:val="16"/>
              </w:rPr>
              <w:t>Physical state at 20°C and 101.3 kPa</w:t>
            </w:r>
          </w:p>
        </w:tc>
        <w:tc>
          <w:tcPr>
            <w:tcW w:w="1701" w:type="dxa"/>
          </w:tcPr>
          <w:p w14:paraId="32124B0E" w14:textId="77777777" w:rsidR="00A263F4" w:rsidRPr="00CF54D1" w:rsidRDefault="00A263F4" w:rsidP="00995456">
            <w:pPr>
              <w:pStyle w:val="StyleTabletextItalic"/>
              <w:jc w:val="left"/>
              <w:rPr>
                <w:i w:val="0"/>
                <w:sz w:val="16"/>
                <w:szCs w:val="16"/>
              </w:rPr>
            </w:pPr>
            <w:r w:rsidRPr="00CF54D1">
              <w:rPr>
                <w:i w:val="0"/>
                <w:sz w:val="16"/>
                <w:szCs w:val="16"/>
              </w:rPr>
              <w:t>The substance is a free flowing solid</w:t>
            </w:r>
          </w:p>
        </w:tc>
        <w:tc>
          <w:tcPr>
            <w:tcW w:w="4536" w:type="dxa"/>
          </w:tcPr>
          <w:p w14:paraId="02D6227E" w14:textId="77777777" w:rsidR="00A263F4" w:rsidRPr="00B03CEC" w:rsidRDefault="00A263F4" w:rsidP="00995456">
            <w:pPr>
              <w:pStyle w:val="StyleTabletextItalic"/>
              <w:jc w:val="left"/>
              <w:rPr>
                <w:sz w:val="16"/>
                <w:szCs w:val="16"/>
              </w:rPr>
            </w:pPr>
          </w:p>
        </w:tc>
      </w:tr>
      <w:tr w:rsidR="00A263F4" w:rsidRPr="00B03CEC" w14:paraId="628F5F1F" w14:textId="77777777" w:rsidTr="00142D00">
        <w:trPr>
          <w:cantSplit/>
        </w:trPr>
        <w:tc>
          <w:tcPr>
            <w:tcW w:w="2155" w:type="dxa"/>
          </w:tcPr>
          <w:p w14:paraId="5707837B" w14:textId="77777777" w:rsidR="00A263F4" w:rsidRPr="00B03CEC" w:rsidRDefault="00A263F4" w:rsidP="00995456">
            <w:pPr>
              <w:pStyle w:val="TableRowHeader"/>
              <w:jc w:val="left"/>
              <w:rPr>
                <w:sz w:val="16"/>
                <w:szCs w:val="16"/>
              </w:rPr>
            </w:pPr>
            <w:r w:rsidRPr="00B03CEC">
              <w:rPr>
                <w:sz w:val="16"/>
                <w:szCs w:val="16"/>
              </w:rPr>
              <w:t>Melting/freezing point</w:t>
            </w:r>
          </w:p>
        </w:tc>
        <w:tc>
          <w:tcPr>
            <w:tcW w:w="1701" w:type="dxa"/>
          </w:tcPr>
          <w:p w14:paraId="564BEA76" w14:textId="77777777" w:rsidR="00A263F4" w:rsidRPr="00CF54D1" w:rsidRDefault="00AF5464" w:rsidP="00995456">
            <w:pPr>
              <w:pStyle w:val="StyleTabletextItalic"/>
              <w:jc w:val="left"/>
              <w:rPr>
                <w:i w:val="0"/>
                <w:sz w:val="16"/>
                <w:szCs w:val="16"/>
              </w:rPr>
            </w:pPr>
            <w:r>
              <w:rPr>
                <w:i w:val="0"/>
                <w:sz w:val="16"/>
                <w:szCs w:val="16"/>
              </w:rPr>
              <w:t>Decomposition from 340 – 382 </w:t>
            </w:r>
            <w:r w:rsidR="00A263F4" w:rsidRPr="00CF54D1">
              <w:rPr>
                <w:i w:val="0"/>
                <w:sz w:val="16"/>
                <w:szCs w:val="16"/>
              </w:rPr>
              <w:t xml:space="preserve">°C (no melting observed) </w:t>
            </w:r>
          </w:p>
        </w:tc>
        <w:tc>
          <w:tcPr>
            <w:tcW w:w="4536" w:type="dxa"/>
          </w:tcPr>
          <w:p w14:paraId="396E9678" w14:textId="77777777" w:rsidR="00A263F4" w:rsidRPr="00B03CEC" w:rsidRDefault="00A263F4" w:rsidP="00995456">
            <w:pPr>
              <w:pStyle w:val="StyleTabletextItalic"/>
              <w:jc w:val="left"/>
              <w:rPr>
                <w:sz w:val="16"/>
                <w:szCs w:val="16"/>
              </w:rPr>
            </w:pPr>
          </w:p>
        </w:tc>
      </w:tr>
      <w:tr w:rsidR="00A263F4" w:rsidRPr="00B03CEC" w14:paraId="594C52E2" w14:textId="77777777" w:rsidTr="00142D00">
        <w:trPr>
          <w:cantSplit/>
        </w:trPr>
        <w:tc>
          <w:tcPr>
            <w:tcW w:w="2155" w:type="dxa"/>
          </w:tcPr>
          <w:p w14:paraId="314106D3" w14:textId="77777777" w:rsidR="00A263F4" w:rsidRPr="00B03CEC" w:rsidRDefault="00A263F4" w:rsidP="00995456">
            <w:pPr>
              <w:pStyle w:val="TableRowHeader"/>
              <w:jc w:val="left"/>
              <w:rPr>
                <w:sz w:val="16"/>
                <w:szCs w:val="16"/>
              </w:rPr>
            </w:pPr>
            <w:r w:rsidRPr="00B03CEC">
              <w:rPr>
                <w:sz w:val="16"/>
                <w:szCs w:val="16"/>
              </w:rPr>
              <w:t>Boiling point</w:t>
            </w:r>
          </w:p>
        </w:tc>
        <w:tc>
          <w:tcPr>
            <w:tcW w:w="1701" w:type="dxa"/>
          </w:tcPr>
          <w:p w14:paraId="26AF88F9" w14:textId="77777777" w:rsidR="00A263F4" w:rsidRPr="00B03CEC" w:rsidRDefault="00A263F4" w:rsidP="00995456">
            <w:pPr>
              <w:pStyle w:val="StyleTabletextItalic"/>
              <w:jc w:val="left"/>
              <w:rPr>
                <w:sz w:val="16"/>
                <w:szCs w:val="16"/>
              </w:rPr>
            </w:pPr>
            <w:r w:rsidRPr="00B03CEC">
              <w:rPr>
                <w:sz w:val="16"/>
                <w:szCs w:val="16"/>
              </w:rPr>
              <w:t>Data waived on the basis of a melting point &gt; 300 °C</w:t>
            </w:r>
          </w:p>
        </w:tc>
        <w:tc>
          <w:tcPr>
            <w:tcW w:w="4536" w:type="dxa"/>
          </w:tcPr>
          <w:p w14:paraId="37267467" w14:textId="77777777" w:rsidR="00A263F4" w:rsidRPr="00B03CEC" w:rsidRDefault="00A263F4" w:rsidP="00CF54D1">
            <w:pPr>
              <w:pStyle w:val="Tabletext0"/>
              <w:jc w:val="left"/>
              <w:rPr>
                <w:sz w:val="16"/>
                <w:szCs w:val="16"/>
              </w:rPr>
            </w:pPr>
          </w:p>
        </w:tc>
      </w:tr>
      <w:tr w:rsidR="00A263F4" w:rsidRPr="00B03CEC" w14:paraId="1BD11D53" w14:textId="77777777" w:rsidTr="00142D00">
        <w:trPr>
          <w:cantSplit/>
        </w:trPr>
        <w:tc>
          <w:tcPr>
            <w:tcW w:w="2155" w:type="dxa"/>
          </w:tcPr>
          <w:p w14:paraId="60147C2B" w14:textId="77777777" w:rsidR="00A263F4" w:rsidRPr="00B03CEC" w:rsidRDefault="00A263F4" w:rsidP="00995456">
            <w:pPr>
              <w:pStyle w:val="TableRowHeader"/>
              <w:jc w:val="left"/>
              <w:rPr>
                <w:sz w:val="16"/>
                <w:szCs w:val="16"/>
              </w:rPr>
            </w:pPr>
            <w:r w:rsidRPr="00B03CEC">
              <w:rPr>
                <w:sz w:val="16"/>
                <w:szCs w:val="16"/>
              </w:rPr>
              <w:t xml:space="preserve">Vapour pressure </w:t>
            </w:r>
          </w:p>
        </w:tc>
        <w:tc>
          <w:tcPr>
            <w:tcW w:w="1701" w:type="dxa"/>
          </w:tcPr>
          <w:p w14:paraId="0CEC762F" w14:textId="77777777" w:rsidR="00A263F4" w:rsidRPr="00B03CEC" w:rsidRDefault="00A263F4" w:rsidP="00995456">
            <w:pPr>
              <w:pStyle w:val="StyleTabletextItalic"/>
              <w:jc w:val="left"/>
              <w:rPr>
                <w:sz w:val="16"/>
                <w:szCs w:val="16"/>
              </w:rPr>
            </w:pPr>
            <w:r w:rsidRPr="00B03CEC">
              <w:rPr>
                <w:sz w:val="16"/>
                <w:szCs w:val="16"/>
              </w:rPr>
              <w:t>Data waived on the ba</w:t>
            </w:r>
            <w:r w:rsidR="00CF54D1">
              <w:rPr>
                <w:sz w:val="16"/>
                <w:szCs w:val="16"/>
              </w:rPr>
              <w:t>sis of a melting point &gt; 300 °C</w:t>
            </w:r>
          </w:p>
        </w:tc>
        <w:tc>
          <w:tcPr>
            <w:tcW w:w="4536" w:type="dxa"/>
          </w:tcPr>
          <w:p w14:paraId="667EA683" w14:textId="77777777" w:rsidR="00CF54D1" w:rsidRPr="00CF54D1" w:rsidRDefault="00CF54D1" w:rsidP="00CF54D1">
            <w:pPr>
              <w:pStyle w:val="Tabletext0"/>
              <w:jc w:val="left"/>
              <w:rPr>
                <w:sz w:val="16"/>
                <w:szCs w:val="16"/>
              </w:rPr>
            </w:pPr>
            <w:r>
              <w:rPr>
                <w:sz w:val="16"/>
                <w:szCs w:val="16"/>
              </w:rPr>
              <w:t>A</w:t>
            </w:r>
            <w:r w:rsidRPr="00CF54D1">
              <w:rPr>
                <w:sz w:val="16"/>
                <w:szCs w:val="16"/>
              </w:rPr>
              <w:t xml:space="preserve"> vapour pressure of approximately 9.4E-08 Pa at 25</w:t>
            </w:r>
            <w:r>
              <w:rPr>
                <w:sz w:val="16"/>
                <w:szCs w:val="16"/>
              </w:rPr>
              <w:t> </w:t>
            </w:r>
            <w:r w:rsidRPr="00CF54D1">
              <w:rPr>
                <w:sz w:val="16"/>
                <w:szCs w:val="16"/>
              </w:rPr>
              <w:t xml:space="preserve">°C </w:t>
            </w:r>
            <w:r>
              <w:rPr>
                <w:sz w:val="16"/>
                <w:szCs w:val="16"/>
              </w:rPr>
              <w:t xml:space="preserve">is predicted </w:t>
            </w:r>
            <w:r w:rsidRPr="00CF54D1">
              <w:rPr>
                <w:sz w:val="16"/>
                <w:szCs w:val="16"/>
              </w:rPr>
              <w:t>using MPBPVP v1.43 (U.S. EPA, 2012, modified Grain method, recommended for solids). This is highly uncertain (approximately ±1 log unit) as it is close to the lower limit of the range of the model, where there is some scatter in the training set. However, the molecular weight of the substance is within the range of the model’s training set. Also, structural analogues are part of the MPBPVP training and test sets.</w:t>
            </w:r>
          </w:p>
          <w:p w14:paraId="23C6EDB2" w14:textId="77777777" w:rsidR="00CF54D1" w:rsidRPr="00CF54D1" w:rsidRDefault="00CF54D1" w:rsidP="00CF54D1">
            <w:pPr>
              <w:pStyle w:val="Tabletext0"/>
              <w:jc w:val="left"/>
              <w:rPr>
                <w:sz w:val="16"/>
                <w:szCs w:val="16"/>
              </w:rPr>
            </w:pPr>
            <w:r w:rsidRPr="00CF54D1">
              <w:rPr>
                <w:sz w:val="16"/>
                <w:szCs w:val="16"/>
              </w:rPr>
              <w:t xml:space="preserve">A measured vapour pressure of approximately 0.008 hPa (0.8 Pa) at 200 °C was reported by Occidental Chemical Company (2003). </w:t>
            </w:r>
            <w:r>
              <w:rPr>
                <w:sz w:val="16"/>
                <w:szCs w:val="16"/>
              </w:rPr>
              <w:t>A</w:t>
            </w:r>
            <w:r w:rsidRPr="00CF54D1">
              <w:rPr>
                <w:sz w:val="16"/>
                <w:szCs w:val="16"/>
              </w:rPr>
              <w:t xml:space="preserve">n extrapolated vapour pressure of 4.6E-04 Pa at 25 °C </w:t>
            </w:r>
            <w:r>
              <w:rPr>
                <w:sz w:val="16"/>
                <w:szCs w:val="16"/>
              </w:rPr>
              <w:t xml:space="preserve">can be </w:t>
            </w:r>
            <w:r w:rsidRPr="00CF54D1">
              <w:rPr>
                <w:sz w:val="16"/>
                <w:szCs w:val="16"/>
              </w:rPr>
              <w:t>estimated from this result using EUSES v2.1.2, and this is preferred for assessment purposes. There is some uncertainty due to the extrapolation from very high temperature, and the unknown reliability of the underlying result.</w:t>
            </w:r>
          </w:p>
          <w:p w14:paraId="2199940B" w14:textId="77777777" w:rsidR="00A263F4" w:rsidRPr="00CF54D1" w:rsidRDefault="00CF54D1" w:rsidP="00CF54D1">
            <w:pPr>
              <w:pStyle w:val="StyleTabletextItalic"/>
              <w:jc w:val="left"/>
              <w:rPr>
                <w:i w:val="0"/>
                <w:iCs w:val="0"/>
                <w:sz w:val="16"/>
                <w:szCs w:val="16"/>
              </w:rPr>
            </w:pPr>
            <w:r w:rsidRPr="00CF54D1">
              <w:rPr>
                <w:i w:val="0"/>
                <w:iCs w:val="0"/>
                <w:sz w:val="16"/>
                <w:szCs w:val="16"/>
              </w:rPr>
              <w:t>The substance has a very low vapour pressure at environmentally relevant temperatures.</w:t>
            </w:r>
          </w:p>
        </w:tc>
      </w:tr>
      <w:tr w:rsidR="00CF54D1" w:rsidRPr="00B03CEC" w14:paraId="2F475EBF" w14:textId="77777777" w:rsidTr="00142D00">
        <w:trPr>
          <w:cantSplit/>
        </w:trPr>
        <w:tc>
          <w:tcPr>
            <w:tcW w:w="2155" w:type="dxa"/>
          </w:tcPr>
          <w:p w14:paraId="405EBCE3" w14:textId="77777777" w:rsidR="00CF54D1" w:rsidRPr="00B03CEC" w:rsidRDefault="00CF54D1" w:rsidP="00CF54D1">
            <w:pPr>
              <w:pStyle w:val="TableRowHeader"/>
              <w:jc w:val="left"/>
              <w:rPr>
                <w:sz w:val="16"/>
                <w:szCs w:val="16"/>
              </w:rPr>
            </w:pPr>
            <w:r w:rsidRPr="00CF54D1">
              <w:rPr>
                <w:sz w:val="16"/>
                <w:szCs w:val="16"/>
              </w:rPr>
              <w:t>Surface tension</w:t>
            </w:r>
          </w:p>
        </w:tc>
        <w:tc>
          <w:tcPr>
            <w:tcW w:w="1701" w:type="dxa"/>
          </w:tcPr>
          <w:p w14:paraId="0D81321A" w14:textId="77777777" w:rsidR="00CF54D1" w:rsidRPr="00B03CEC" w:rsidRDefault="00CF54D1" w:rsidP="00CF54D1">
            <w:pPr>
              <w:pStyle w:val="StyleTabletextItalic"/>
              <w:jc w:val="left"/>
              <w:rPr>
                <w:sz w:val="16"/>
                <w:szCs w:val="16"/>
              </w:rPr>
            </w:pPr>
            <w:r>
              <w:rPr>
                <w:sz w:val="16"/>
                <w:szCs w:val="16"/>
              </w:rPr>
              <w:t>D</w:t>
            </w:r>
            <w:r w:rsidRPr="00CF54D1">
              <w:rPr>
                <w:sz w:val="16"/>
                <w:szCs w:val="16"/>
              </w:rPr>
              <w:t>ata waive</w:t>
            </w:r>
            <w:r>
              <w:rPr>
                <w:sz w:val="16"/>
                <w:szCs w:val="16"/>
              </w:rPr>
              <w:t xml:space="preserve">d </w:t>
            </w:r>
            <w:r w:rsidRPr="00CF54D1">
              <w:rPr>
                <w:sz w:val="16"/>
                <w:szCs w:val="16"/>
              </w:rPr>
              <w:t>on the basis of low water solubility (&lt;1 mg/L).</w:t>
            </w:r>
          </w:p>
        </w:tc>
        <w:tc>
          <w:tcPr>
            <w:tcW w:w="4536" w:type="dxa"/>
          </w:tcPr>
          <w:p w14:paraId="306BB68F" w14:textId="77777777" w:rsidR="00CF54D1" w:rsidRDefault="00CF54D1" w:rsidP="00CF54D1">
            <w:pPr>
              <w:pStyle w:val="Tabletext0"/>
              <w:jc w:val="left"/>
              <w:rPr>
                <w:sz w:val="16"/>
                <w:szCs w:val="16"/>
              </w:rPr>
            </w:pPr>
          </w:p>
        </w:tc>
      </w:tr>
      <w:tr w:rsidR="00F56DE6" w:rsidRPr="00B03CEC" w14:paraId="12C399EE" w14:textId="77777777" w:rsidTr="00142D00">
        <w:trPr>
          <w:cantSplit/>
        </w:trPr>
        <w:tc>
          <w:tcPr>
            <w:tcW w:w="2155" w:type="dxa"/>
            <w:tcBorders>
              <w:top w:val="single" w:sz="4" w:space="0" w:color="auto"/>
              <w:left w:val="single" w:sz="4" w:space="0" w:color="auto"/>
              <w:bottom w:val="single" w:sz="4" w:space="0" w:color="auto"/>
              <w:right w:val="single" w:sz="4" w:space="0" w:color="auto"/>
            </w:tcBorders>
          </w:tcPr>
          <w:p w14:paraId="600A9436" w14:textId="77777777" w:rsidR="00F56DE6" w:rsidRPr="00F56DE6" w:rsidRDefault="00F56DE6" w:rsidP="00F56DE6">
            <w:pPr>
              <w:pStyle w:val="TableRowHeader"/>
              <w:rPr>
                <w:sz w:val="16"/>
                <w:szCs w:val="16"/>
              </w:rPr>
            </w:pPr>
            <w:r w:rsidRPr="00F56DE6">
              <w:rPr>
                <w:sz w:val="16"/>
                <w:szCs w:val="16"/>
              </w:rPr>
              <w:t>Dissociation constant</w:t>
            </w:r>
          </w:p>
        </w:tc>
        <w:tc>
          <w:tcPr>
            <w:tcW w:w="1701" w:type="dxa"/>
            <w:tcBorders>
              <w:top w:val="single" w:sz="4" w:space="0" w:color="auto"/>
              <w:left w:val="single" w:sz="4" w:space="0" w:color="auto"/>
              <w:bottom w:val="single" w:sz="4" w:space="0" w:color="auto"/>
              <w:right w:val="single" w:sz="4" w:space="0" w:color="auto"/>
            </w:tcBorders>
          </w:tcPr>
          <w:p w14:paraId="10E4B8C2" w14:textId="77777777" w:rsidR="00F56DE6" w:rsidRPr="00F56DE6" w:rsidRDefault="00F56DE6" w:rsidP="00F56DE6">
            <w:pPr>
              <w:pStyle w:val="StyleTabletextItalic"/>
              <w:jc w:val="left"/>
              <w:rPr>
                <w:sz w:val="16"/>
                <w:szCs w:val="16"/>
              </w:rPr>
            </w:pPr>
            <w:r w:rsidRPr="00F56DE6">
              <w:rPr>
                <w:sz w:val="16"/>
                <w:szCs w:val="16"/>
              </w:rPr>
              <w:t>Data waived on the basis of low solubility in water.</w:t>
            </w:r>
          </w:p>
        </w:tc>
        <w:tc>
          <w:tcPr>
            <w:tcW w:w="4536" w:type="dxa"/>
            <w:tcBorders>
              <w:top w:val="single" w:sz="4" w:space="0" w:color="auto"/>
              <w:left w:val="single" w:sz="4" w:space="0" w:color="auto"/>
              <w:bottom w:val="single" w:sz="4" w:space="0" w:color="auto"/>
              <w:right w:val="single" w:sz="4" w:space="0" w:color="auto"/>
            </w:tcBorders>
          </w:tcPr>
          <w:p w14:paraId="3190957D" w14:textId="77777777" w:rsidR="00F56DE6" w:rsidRPr="00B03CEC" w:rsidRDefault="00F56DE6" w:rsidP="00F56DE6">
            <w:pPr>
              <w:pStyle w:val="Tabletext0"/>
              <w:jc w:val="left"/>
              <w:rPr>
                <w:sz w:val="16"/>
                <w:szCs w:val="16"/>
              </w:rPr>
            </w:pPr>
            <w:r w:rsidRPr="00AC3E25">
              <w:rPr>
                <w:sz w:val="16"/>
                <w:szCs w:val="16"/>
              </w:rPr>
              <w:t>The substance does not contain any acidic or basic functional groups.</w:t>
            </w:r>
          </w:p>
        </w:tc>
      </w:tr>
    </w:tbl>
    <w:p w14:paraId="74F4F7CE" w14:textId="77777777" w:rsidR="00CF54D1" w:rsidRDefault="00CF54D1"/>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43"/>
        <w:gridCol w:w="4677"/>
      </w:tblGrid>
      <w:tr w:rsidR="009A1D09" w:rsidRPr="00B03CEC" w14:paraId="1D2D2D75" w14:textId="77777777" w:rsidTr="000A1A6A">
        <w:trPr>
          <w:cantSplit/>
          <w:tblHeader/>
        </w:trPr>
        <w:tc>
          <w:tcPr>
            <w:tcW w:w="1872" w:type="dxa"/>
          </w:tcPr>
          <w:p w14:paraId="74D38A73" w14:textId="77777777" w:rsidR="009A1D09" w:rsidRPr="00B03CEC" w:rsidRDefault="009A1D09" w:rsidP="000A1A6A">
            <w:pPr>
              <w:pStyle w:val="TableColumnHeader"/>
              <w:rPr>
                <w:sz w:val="16"/>
                <w:szCs w:val="16"/>
              </w:rPr>
            </w:pPr>
            <w:r w:rsidRPr="00B03CEC">
              <w:rPr>
                <w:sz w:val="16"/>
                <w:szCs w:val="16"/>
              </w:rPr>
              <w:lastRenderedPageBreak/>
              <w:t>Property</w:t>
            </w:r>
          </w:p>
        </w:tc>
        <w:tc>
          <w:tcPr>
            <w:tcW w:w="1843" w:type="dxa"/>
          </w:tcPr>
          <w:p w14:paraId="72735E47" w14:textId="77777777" w:rsidR="009A1D09" w:rsidRPr="00B03CEC" w:rsidRDefault="009A1D09" w:rsidP="000A1A6A">
            <w:pPr>
              <w:pStyle w:val="TableColumnHeader"/>
              <w:rPr>
                <w:sz w:val="16"/>
                <w:szCs w:val="16"/>
              </w:rPr>
            </w:pPr>
            <w:r w:rsidRPr="00B03CEC">
              <w:rPr>
                <w:sz w:val="16"/>
                <w:szCs w:val="16"/>
              </w:rPr>
              <w:t>Value [Unit]</w:t>
            </w:r>
          </w:p>
        </w:tc>
        <w:tc>
          <w:tcPr>
            <w:tcW w:w="4677" w:type="dxa"/>
          </w:tcPr>
          <w:p w14:paraId="4EF4B76A" w14:textId="77777777" w:rsidR="009A1D09" w:rsidRPr="00B03CEC" w:rsidRDefault="009A1D09" w:rsidP="000A1A6A">
            <w:pPr>
              <w:pStyle w:val="TableColumnHeader"/>
              <w:rPr>
                <w:sz w:val="16"/>
                <w:szCs w:val="16"/>
              </w:rPr>
            </w:pPr>
            <w:r w:rsidRPr="00B03CEC">
              <w:rPr>
                <w:sz w:val="16"/>
                <w:szCs w:val="16"/>
              </w:rPr>
              <w:t>Reference/source of information</w:t>
            </w:r>
            <w:r>
              <w:rPr>
                <w:sz w:val="16"/>
                <w:szCs w:val="16"/>
              </w:rPr>
              <w:t>/remarks</w:t>
            </w:r>
          </w:p>
        </w:tc>
      </w:tr>
      <w:tr w:rsidR="00CF54D1" w:rsidRPr="00B03CEC" w14:paraId="6C2504EE" w14:textId="77777777" w:rsidTr="00CF54D1">
        <w:trPr>
          <w:cantSplit/>
        </w:trPr>
        <w:tc>
          <w:tcPr>
            <w:tcW w:w="1872" w:type="dxa"/>
          </w:tcPr>
          <w:p w14:paraId="6935B413" w14:textId="77777777" w:rsidR="00CF54D1" w:rsidRPr="00B03CEC" w:rsidRDefault="00CF54D1" w:rsidP="00CF54D1">
            <w:pPr>
              <w:pStyle w:val="TableRowHeader"/>
              <w:jc w:val="left"/>
              <w:rPr>
                <w:sz w:val="16"/>
                <w:szCs w:val="16"/>
              </w:rPr>
            </w:pPr>
            <w:r w:rsidRPr="00B03CEC">
              <w:rPr>
                <w:sz w:val="16"/>
                <w:szCs w:val="16"/>
              </w:rPr>
              <w:t>Water solubility</w:t>
            </w:r>
          </w:p>
        </w:tc>
        <w:tc>
          <w:tcPr>
            <w:tcW w:w="1843" w:type="dxa"/>
          </w:tcPr>
          <w:p w14:paraId="4C4A1D2F" w14:textId="77777777" w:rsidR="00CF54D1" w:rsidRPr="00B03CEC" w:rsidRDefault="00CF54D1" w:rsidP="00CF54D1">
            <w:pPr>
              <w:pStyle w:val="Tabletext0"/>
              <w:jc w:val="left"/>
              <w:rPr>
                <w:sz w:val="16"/>
                <w:szCs w:val="16"/>
                <w:lang w:eastAsia="en-GB"/>
              </w:rPr>
            </w:pPr>
            <w:r w:rsidRPr="00B03CEC">
              <w:rPr>
                <w:sz w:val="16"/>
                <w:szCs w:val="16"/>
                <w:lang w:eastAsia="en-GB"/>
              </w:rPr>
              <w:t>&lt; 1.67 ng/L</w:t>
            </w:r>
            <w:r w:rsidRPr="00B03CEC">
              <w:rPr>
                <w:sz w:val="16"/>
                <w:szCs w:val="16"/>
              </w:rPr>
              <w:t xml:space="preserve"> at </w:t>
            </w:r>
            <w:r>
              <w:rPr>
                <w:sz w:val="16"/>
                <w:szCs w:val="16"/>
                <w:lang w:eastAsia="en-GB"/>
              </w:rPr>
              <w:t>20 </w:t>
            </w:r>
            <w:r w:rsidRPr="00B03CEC">
              <w:rPr>
                <w:sz w:val="16"/>
                <w:szCs w:val="16"/>
                <w:lang w:eastAsia="en-GB"/>
              </w:rPr>
              <w:t>°C (below the limit of quantitation)</w:t>
            </w:r>
          </w:p>
          <w:p w14:paraId="524E7D93" w14:textId="77777777" w:rsidR="00CF54D1" w:rsidRPr="00B03CEC" w:rsidRDefault="00CF54D1" w:rsidP="00CF54D1">
            <w:pPr>
              <w:pStyle w:val="StyleTabletextItalic"/>
              <w:jc w:val="left"/>
              <w:rPr>
                <w:sz w:val="16"/>
                <w:szCs w:val="16"/>
              </w:rPr>
            </w:pPr>
          </w:p>
        </w:tc>
        <w:tc>
          <w:tcPr>
            <w:tcW w:w="4677" w:type="dxa"/>
          </w:tcPr>
          <w:p w14:paraId="283440A7" w14:textId="45B889BE" w:rsidR="00CF54D1" w:rsidRDefault="00CF54D1" w:rsidP="00CF54D1">
            <w:pPr>
              <w:pStyle w:val="Tabletext0"/>
              <w:spacing w:after="120"/>
              <w:rPr>
                <w:sz w:val="16"/>
                <w:szCs w:val="16"/>
              </w:rPr>
            </w:pPr>
            <w:r w:rsidRPr="00B03CEC">
              <w:rPr>
                <w:sz w:val="16"/>
                <w:szCs w:val="16"/>
              </w:rPr>
              <w:t>Reliability 1: OECD Test Guideline 105 (column elution method) and GLP (</w:t>
            </w:r>
            <w:r w:rsidR="00404A83">
              <w:rPr>
                <w:sz w:val="16"/>
                <w:szCs w:val="16"/>
              </w:rPr>
              <w:t>ECHA website, 2017)</w:t>
            </w:r>
            <w:r w:rsidRPr="00B03CEC">
              <w:rPr>
                <w:sz w:val="16"/>
                <w:szCs w:val="16"/>
              </w:rPr>
              <w:t>)</w:t>
            </w:r>
            <w:r>
              <w:rPr>
                <w:sz w:val="16"/>
                <w:szCs w:val="16"/>
              </w:rPr>
              <w:t>.</w:t>
            </w:r>
          </w:p>
          <w:p w14:paraId="77A10EBF" w14:textId="77777777" w:rsidR="00CF54D1" w:rsidRDefault="00CF54D1" w:rsidP="009A1D09">
            <w:pPr>
              <w:pStyle w:val="Tabletext0"/>
              <w:spacing w:after="120"/>
              <w:rPr>
                <w:sz w:val="16"/>
                <w:szCs w:val="16"/>
              </w:rPr>
            </w:pPr>
            <w:r w:rsidRPr="00CF54D1">
              <w:rPr>
                <w:sz w:val="16"/>
                <w:szCs w:val="16"/>
              </w:rPr>
              <w:t>Dechlorane Plus (&gt;99</w:t>
            </w:r>
            <w:r w:rsidR="00BA580B">
              <w:rPr>
                <w:sz w:val="16"/>
                <w:szCs w:val="16"/>
              </w:rPr>
              <w:t xml:space="preserve"> </w:t>
            </w:r>
            <w:r w:rsidRPr="00CF54D1">
              <w:rPr>
                <w:sz w:val="16"/>
                <w:szCs w:val="16"/>
              </w:rPr>
              <w:t>% purity) was coated onto the column using dichloromethane. HPLC grade reagent water was pumped through the column at two different flow rates, and analysed using gas chromatography with micro electron capture detection (GC-ECD).</w:t>
            </w:r>
          </w:p>
          <w:p w14:paraId="78BFAB8C" w14:textId="77777777" w:rsidR="00986027" w:rsidRPr="00B03CEC" w:rsidRDefault="00986027" w:rsidP="00986027">
            <w:pPr>
              <w:pStyle w:val="Tabletext0"/>
              <w:spacing w:after="120"/>
              <w:rPr>
                <w:sz w:val="16"/>
                <w:szCs w:val="16"/>
              </w:rPr>
            </w:pPr>
            <w:r w:rsidRPr="00986027">
              <w:rPr>
                <w:sz w:val="16"/>
                <w:szCs w:val="16"/>
              </w:rPr>
              <w:t>There is some uncertainty in the precise value for water solubility. However, all available measurements and predictions</w:t>
            </w:r>
            <w:r w:rsidRPr="00986027">
              <w:rPr>
                <w:rStyle w:val="FootnoteReference"/>
                <w:rFonts w:ascii="Verdana" w:hAnsi="Verdana"/>
                <w:sz w:val="18"/>
                <w:szCs w:val="18"/>
                <w:lang w:eastAsia="en-GB"/>
              </w:rPr>
              <w:footnoteReference w:id="3"/>
            </w:r>
            <w:r>
              <w:rPr>
                <w:sz w:val="16"/>
                <w:szCs w:val="16"/>
              </w:rPr>
              <w:t xml:space="preserve"> </w:t>
            </w:r>
            <w:r w:rsidRPr="00986027">
              <w:rPr>
                <w:sz w:val="16"/>
                <w:szCs w:val="16"/>
              </w:rPr>
              <w:t>are in agreement that the substance is very poorly water soluble.</w:t>
            </w:r>
          </w:p>
        </w:tc>
      </w:tr>
      <w:tr w:rsidR="00CF54D1" w:rsidRPr="00B03CEC" w14:paraId="320942C8" w14:textId="77777777" w:rsidTr="00CF54D1">
        <w:trPr>
          <w:cantSplit/>
        </w:trPr>
        <w:tc>
          <w:tcPr>
            <w:tcW w:w="1872" w:type="dxa"/>
          </w:tcPr>
          <w:p w14:paraId="633B0E07" w14:textId="77777777" w:rsidR="00CF54D1" w:rsidRPr="00B03CEC" w:rsidRDefault="00CF54D1" w:rsidP="00CF54D1">
            <w:pPr>
              <w:pStyle w:val="TableRowHeader"/>
              <w:jc w:val="left"/>
              <w:rPr>
                <w:sz w:val="16"/>
                <w:szCs w:val="16"/>
              </w:rPr>
            </w:pPr>
            <w:r w:rsidRPr="00B03CEC">
              <w:rPr>
                <w:sz w:val="16"/>
                <w:szCs w:val="16"/>
              </w:rPr>
              <w:t>Partition coefficient n-octanol/water (log value)</w:t>
            </w:r>
          </w:p>
        </w:tc>
        <w:tc>
          <w:tcPr>
            <w:tcW w:w="1843" w:type="dxa"/>
          </w:tcPr>
          <w:p w14:paraId="6B960E36" w14:textId="77777777" w:rsidR="00CF54D1" w:rsidRPr="00B03CEC" w:rsidRDefault="00CF54D1" w:rsidP="00CF54D1">
            <w:pPr>
              <w:pStyle w:val="StyleTabletextItalic"/>
              <w:jc w:val="left"/>
              <w:rPr>
                <w:sz w:val="16"/>
                <w:szCs w:val="16"/>
              </w:rPr>
            </w:pPr>
            <w:r w:rsidRPr="00B03CEC">
              <w:rPr>
                <w:sz w:val="16"/>
                <w:szCs w:val="16"/>
              </w:rPr>
              <w:t>Waived by Registrant due to low water solubility.</w:t>
            </w:r>
          </w:p>
        </w:tc>
        <w:tc>
          <w:tcPr>
            <w:tcW w:w="4677" w:type="dxa"/>
          </w:tcPr>
          <w:p w14:paraId="76AC2E7E" w14:textId="77777777" w:rsidR="00CF54D1" w:rsidRPr="00B03CEC" w:rsidRDefault="00CF54D1" w:rsidP="00CF54D1">
            <w:pPr>
              <w:pStyle w:val="Tabletext0"/>
              <w:rPr>
                <w:sz w:val="16"/>
                <w:szCs w:val="16"/>
              </w:rPr>
            </w:pPr>
            <w:r w:rsidRPr="00B03CEC">
              <w:rPr>
                <w:sz w:val="16"/>
                <w:szCs w:val="16"/>
              </w:rPr>
              <w:t xml:space="preserve">Chou </w:t>
            </w:r>
            <w:r w:rsidRPr="00B03CEC">
              <w:rPr>
                <w:i/>
                <w:sz w:val="16"/>
                <w:szCs w:val="16"/>
              </w:rPr>
              <w:t>et al</w:t>
            </w:r>
            <w:r w:rsidRPr="00B03CEC">
              <w:rPr>
                <w:sz w:val="16"/>
                <w:szCs w:val="16"/>
              </w:rPr>
              <w:t>. (1979) reported a log K</w:t>
            </w:r>
            <w:r w:rsidRPr="00B03CEC">
              <w:rPr>
                <w:sz w:val="16"/>
                <w:szCs w:val="16"/>
                <w:vertAlign w:val="subscript"/>
              </w:rPr>
              <w:t>OW</w:t>
            </w:r>
            <w:r w:rsidRPr="00B03CEC">
              <w:rPr>
                <w:sz w:val="16"/>
                <w:szCs w:val="16"/>
              </w:rPr>
              <w:t xml:space="preserve"> of 9.3 (also reported by the U.S. EPA</w:t>
            </w:r>
            <w:r>
              <w:rPr>
                <w:sz w:val="16"/>
                <w:szCs w:val="16"/>
              </w:rPr>
              <w:t>,</w:t>
            </w:r>
            <w:r w:rsidRPr="00B03CEC">
              <w:rPr>
                <w:sz w:val="16"/>
                <w:szCs w:val="16"/>
              </w:rPr>
              <w:t xml:space="preserve"> 2012). This is a calculated value; </w:t>
            </w:r>
            <w:r>
              <w:rPr>
                <w:sz w:val="16"/>
                <w:szCs w:val="16"/>
              </w:rPr>
              <w:t>its</w:t>
            </w:r>
            <w:r w:rsidRPr="00B03CEC">
              <w:rPr>
                <w:sz w:val="16"/>
                <w:szCs w:val="16"/>
              </w:rPr>
              <w:t xml:space="preserve"> validity has not been assess</w:t>
            </w:r>
            <w:r>
              <w:rPr>
                <w:sz w:val="16"/>
                <w:szCs w:val="16"/>
              </w:rPr>
              <w:t>ed</w:t>
            </w:r>
            <w:r w:rsidRPr="00B03CEC">
              <w:rPr>
                <w:sz w:val="16"/>
                <w:szCs w:val="16"/>
              </w:rPr>
              <w:t xml:space="preserve">. </w:t>
            </w:r>
          </w:p>
          <w:p w14:paraId="468081CC" w14:textId="77777777" w:rsidR="00CF54D1" w:rsidRPr="00B03CEC" w:rsidRDefault="00CF54D1" w:rsidP="00CF54D1">
            <w:pPr>
              <w:pStyle w:val="Tabletext0"/>
              <w:rPr>
                <w:sz w:val="16"/>
                <w:szCs w:val="16"/>
              </w:rPr>
            </w:pPr>
            <w:r>
              <w:rPr>
                <w:sz w:val="16"/>
                <w:szCs w:val="16"/>
              </w:rPr>
              <w:t>A</w:t>
            </w:r>
            <w:r w:rsidRPr="00B03CEC">
              <w:rPr>
                <w:sz w:val="16"/>
                <w:szCs w:val="16"/>
              </w:rPr>
              <w:t xml:space="preserve"> log K</w:t>
            </w:r>
            <w:r w:rsidRPr="00B03CEC">
              <w:rPr>
                <w:sz w:val="16"/>
                <w:szCs w:val="16"/>
                <w:vertAlign w:val="subscript"/>
              </w:rPr>
              <w:t>OW</w:t>
            </w:r>
            <w:r w:rsidRPr="00B03CEC">
              <w:rPr>
                <w:sz w:val="16"/>
                <w:szCs w:val="16"/>
              </w:rPr>
              <w:t xml:space="preserve"> of 11.3 </w:t>
            </w:r>
            <w:r>
              <w:rPr>
                <w:sz w:val="16"/>
                <w:szCs w:val="16"/>
              </w:rPr>
              <w:t xml:space="preserve">is predicted </w:t>
            </w:r>
            <w:r w:rsidRPr="00B03CEC">
              <w:rPr>
                <w:sz w:val="16"/>
                <w:szCs w:val="16"/>
              </w:rPr>
              <w:t>using KOWWIN (U.S. EPA, 2012). This result was also reported in the U.S. EPA (2001) review. The predicted result is considered to be within the validity range of the model because the molecular weight of the substance is within the range for this parameter for both the training and test sets. The number of aliphatic chlorines exceeds the maximum occurrences of this fragment in a single compound in the training set (8 in Dechlorane Plus, maximum 6 in the training set). The value is above the log K</w:t>
            </w:r>
            <w:r w:rsidRPr="00B03CEC">
              <w:rPr>
                <w:sz w:val="16"/>
                <w:szCs w:val="16"/>
                <w:vertAlign w:val="subscript"/>
              </w:rPr>
              <w:t>OW</w:t>
            </w:r>
            <w:r w:rsidRPr="00B03CEC">
              <w:rPr>
                <w:sz w:val="16"/>
                <w:szCs w:val="16"/>
              </w:rPr>
              <w:t xml:space="preserve"> values used in the training and tests sets and above the normal experimental range, but is indicative of the expected lipophilic character of the substance. It would be unusual to expect to quantify values above approximately 9 experimentally.</w:t>
            </w:r>
          </w:p>
          <w:p w14:paraId="4B0049D9" w14:textId="5389250D" w:rsidR="00CF54D1" w:rsidRDefault="00CF54D1" w:rsidP="00CF54D1">
            <w:pPr>
              <w:pStyle w:val="Tabletext0"/>
              <w:rPr>
                <w:sz w:val="16"/>
                <w:szCs w:val="16"/>
              </w:rPr>
            </w:pPr>
            <w:r w:rsidRPr="00B03CEC">
              <w:rPr>
                <w:sz w:val="16"/>
                <w:szCs w:val="16"/>
              </w:rPr>
              <w:t xml:space="preserve">The log of the ratio of </w:t>
            </w:r>
            <w:r>
              <w:rPr>
                <w:sz w:val="16"/>
                <w:szCs w:val="16"/>
              </w:rPr>
              <w:t>n-</w:t>
            </w:r>
            <w:r w:rsidRPr="00B03CEC">
              <w:rPr>
                <w:sz w:val="16"/>
                <w:szCs w:val="16"/>
              </w:rPr>
              <w:t>octanol and water solubilities is &gt;8.4, using a solubility of &lt; 2 ng/L at 20 °C for water (</w:t>
            </w:r>
            <w:r w:rsidR="00404A83">
              <w:rPr>
                <w:sz w:val="16"/>
                <w:szCs w:val="16"/>
              </w:rPr>
              <w:t>ECHA website, 2017</w:t>
            </w:r>
            <w:r w:rsidRPr="00B03CEC">
              <w:rPr>
                <w:sz w:val="16"/>
                <w:szCs w:val="16"/>
              </w:rPr>
              <w:t xml:space="preserve">) and 470 mg/L at 25 °C for </w:t>
            </w:r>
            <w:r w:rsidR="00986027">
              <w:rPr>
                <w:sz w:val="16"/>
                <w:szCs w:val="16"/>
              </w:rPr>
              <w:t>n-</w:t>
            </w:r>
            <w:r w:rsidRPr="00B03CEC">
              <w:rPr>
                <w:sz w:val="16"/>
                <w:szCs w:val="16"/>
              </w:rPr>
              <w:t xml:space="preserve">octanol (see below). </w:t>
            </w:r>
          </w:p>
          <w:p w14:paraId="651DE265" w14:textId="77777777" w:rsidR="00261963" w:rsidRPr="00261963" w:rsidRDefault="00261963" w:rsidP="00261963">
            <w:pPr>
              <w:pStyle w:val="Tabletext0"/>
              <w:rPr>
                <w:sz w:val="16"/>
                <w:szCs w:val="16"/>
              </w:rPr>
            </w:pPr>
            <w:r w:rsidRPr="00261963">
              <w:rPr>
                <w:sz w:val="16"/>
                <w:szCs w:val="16"/>
              </w:rPr>
              <w:t>Additional estimation methods give similar values. For example, the ACD/Percepta platform gives the following results: LogP Classic: 9.51±0.67; LogP GALAS: 9.16 (Reliability: Borderline; RI = 0.41. Chlordene and different chlordane isomers are in the training set).</w:t>
            </w:r>
          </w:p>
          <w:p w14:paraId="4683315B" w14:textId="77777777" w:rsidR="00CF54D1" w:rsidRPr="009A1D09" w:rsidRDefault="00CF54D1" w:rsidP="00986027">
            <w:pPr>
              <w:pStyle w:val="StyleTabletextItalic"/>
              <w:jc w:val="left"/>
              <w:rPr>
                <w:i w:val="0"/>
                <w:sz w:val="16"/>
                <w:szCs w:val="16"/>
              </w:rPr>
            </w:pPr>
            <w:r w:rsidRPr="009A1D09">
              <w:rPr>
                <w:i w:val="0"/>
                <w:sz w:val="16"/>
                <w:szCs w:val="16"/>
              </w:rPr>
              <w:t>Whilst there is clearly uncertainty in the value of log K</w:t>
            </w:r>
            <w:r w:rsidRPr="009A1D09">
              <w:rPr>
                <w:i w:val="0"/>
                <w:sz w:val="16"/>
                <w:szCs w:val="16"/>
                <w:vertAlign w:val="subscript"/>
              </w:rPr>
              <w:t>OW</w:t>
            </w:r>
            <w:r w:rsidRPr="009A1D09">
              <w:rPr>
                <w:i w:val="0"/>
                <w:sz w:val="16"/>
                <w:szCs w:val="16"/>
              </w:rPr>
              <w:t>, the value is</w:t>
            </w:r>
            <w:r w:rsidR="00986027">
              <w:rPr>
                <w:i w:val="0"/>
                <w:sz w:val="16"/>
                <w:szCs w:val="16"/>
              </w:rPr>
              <w:t xml:space="preserve"> assumed to be</w:t>
            </w:r>
            <w:r w:rsidRPr="009A1D09">
              <w:rPr>
                <w:i w:val="0"/>
                <w:sz w:val="16"/>
                <w:szCs w:val="16"/>
              </w:rPr>
              <w:t xml:space="preserve"> ≥9. </w:t>
            </w:r>
          </w:p>
        </w:tc>
      </w:tr>
    </w:tbl>
    <w:p w14:paraId="2853BA84" w14:textId="77777777" w:rsidR="00A263F4" w:rsidRDefault="00A263F4"/>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43"/>
        <w:gridCol w:w="4677"/>
      </w:tblGrid>
      <w:tr w:rsidR="00A63C8C" w:rsidRPr="00B03CEC" w14:paraId="449B72D3" w14:textId="77777777" w:rsidTr="00A63C8C">
        <w:trPr>
          <w:cantSplit/>
          <w:tblHeader/>
        </w:trPr>
        <w:tc>
          <w:tcPr>
            <w:tcW w:w="1872" w:type="dxa"/>
          </w:tcPr>
          <w:p w14:paraId="2F2714D9" w14:textId="77777777" w:rsidR="00A63C8C" w:rsidRPr="00B03CEC" w:rsidRDefault="00A63C8C" w:rsidP="00A63C8C">
            <w:pPr>
              <w:pStyle w:val="TableColumnHeader"/>
              <w:rPr>
                <w:sz w:val="16"/>
                <w:szCs w:val="16"/>
              </w:rPr>
            </w:pPr>
            <w:r w:rsidRPr="00B03CEC">
              <w:rPr>
                <w:sz w:val="16"/>
                <w:szCs w:val="16"/>
              </w:rPr>
              <w:lastRenderedPageBreak/>
              <w:t>Property</w:t>
            </w:r>
          </w:p>
        </w:tc>
        <w:tc>
          <w:tcPr>
            <w:tcW w:w="1843" w:type="dxa"/>
          </w:tcPr>
          <w:p w14:paraId="095799D5" w14:textId="77777777" w:rsidR="00A63C8C" w:rsidRPr="00B03CEC" w:rsidRDefault="00A63C8C" w:rsidP="00A63C8C">
            <w:pPr>
              <w:pStyle w:val="TableColumnHeader"/>
              <w:rPr>
                <w:sz w:val="16"/>
                <w:szCs w:val="16"/>
              </w:rPr>
            </w:pPr>
            <w:r w:rsidRPr="00B03CEC">
              <w:rPr>
                <w:sz w:val="16"/>
                <w:szCs w:val="16"/>
              </w:rPr>
              <w:t>Value [Unit]</w:t>
            </w:r>
          </w:p>
        </w:tc>
        <w:tc>
          <w:tcPr>
            <w:tcW w:w="4677" w:type="dxa"/>
          </w:tcPr>
          <w:p w14:paraId="00B5416C" w14:textId="77777777" w:rsidR="00A63C8C" w:rsidRPr="00B03CEC" w:rsidRDefault="00A63C8C" w:rsidP="00A63C8C">
            <w:pPr>
              <w:pStyle w:val="TableColumnHeader"/>
              <w:rPr>
                <w:sz w:val="16"/>
                <w:szCs w:val="16"/>
              </w:rPr>
            </w:pPr>
            <w:r w:rsidRPr="00B03CEC">
              <w:rPr>
                <w:sz w:val="16"/>
                <w:szCs w:val="16"/>
              </w:rPr>
              <w:t>Reference/source of information</w:t>
            </w:r>
            <w:r>
              <w:rPr>
                <w:sz w:val="16"/>
                <w:szCs w:val="16"/>
              </w:rPr>
              <w:t>/remarks</w:t>
            </w:r>
          </w:p>
        </w:tc>
      </w:tr>
      <w:tr w:rsidR="00A263F4" w:rsidRPr="00B03CEC" w14:paraId="167EFCD3" w14:textId="77777777" w:rsidTr="00B03CEC">
        <w:trPr>
          <w:cantSplit/>
        </w:trPr>
        <w:tc>
          <w:tcPr>
            <w:tcW w:w="1872" w:type="dxa"/>
          </w:tcPr>
          <w:p w14:paraId="1A90D109" w14:textId="77777777" w:rsidR="00A263F4" w:rsidRPr="00B03CEC" w:rsidRDefault="00A263F4" w:rsidP="00B03CEC">
            <w:pPr>
              <w:pStyle w:val="Tabletext0"/>
              <w:jc w:val="left"/>
              <w:rPr>
                <w:b/>
                <w:sz w:val="16"/>
                <w:szCs w:val="16"/>
              </w:rPr>
            </w:pPr>
            <w:r w:rsidRPr="00B03CEC">
              <w:rPr>
                <w:b/>
                <w:sz w:val="16"/>
                <w:szCs w:val="16"/>
              </w:rPr>
              <w:t>Partition coefficient air/water (log value)</w:t>
            </w:r>
          </w:p>
          <w:p w14:paraId="40B0170B" w14:textId="77777777" w:rsidR="00A263F4" w:rsidRPr="00B03CEC" w:rsidRDefault="00A263F4" w:rsidP="00A263F4">
            <w:pPr>
              <w:pStyle w:val="TableRowHeader"/>
              <w:jc w:val="left"/>
              <w:rPr>
                <w:sz w:val="16"/>
                <w:szCs w:val="16"/>
              </w:rPr>
            </w:pPr>
            <w:r w:rsidRPr="00B03CEC">
              <w:rPr>
                <w:sz w:val="16"/>
                <w:szCs w:val="16"/>
              </w:rPr>
              <w:t>[log K</w:t>
            </w:r>
            <w:r w:rsidRPr="00B03CEC">
              <w:rPr>
                <w:sz w:val="16"/>
                <w:szCs w:val="16"/>
                <w:vertAlign w:val="subscript"/>
              </w:rPr>
              <w:t>AW</w:t>
            </w:r>
            <w:r w:rsidRPr="00B03CEC">
              <w:rPr>
                <w:sz w:val="16"/>
                <w:szCs w:val="16"/>
              </w:rPr>
              <w:t>]</w:t>
            </w:r>
          </w:p>
        </w:tc>
        <w:tc>
          <w:tcPr>
            <w:tcW w:w="1843" w:type="dxa"/>
          </w:tcPr>
          <w:p w14:paraId="3E70D37E" w14:textId="77777777" w:rsidR="00A263F4" w:rsidRPr="00AC3E25" w:rsidRDefault="00A263F4" w:rsidP="00A263F4">
            <w:pPr>
              <w:pStyle w:val="Tabletext0"/>
              <w:rPr>
                <w:i/>
                <w:sz w:val="16"/>
                <w:szCs w:val="16"/>
              </w:rPr>
            </w:pPr>
            <w:r w:rsidRPr="00AC3E25">
              <w:rPr>
                <w:i/>
                <w:sz w:val="16"/>
                <w:szCs w:val="16"/>
              </w:rPr>
              <w:t>No data were provided by the Registrant.</w:t>
            </w:r>
          </w:p>
          <w:p w14:paraId="096E6217" w14:textId="77777777" w:rsidR="00A263F4" w:rsidRPr="00B03CEC" w:rsidRDefault="00A263F4" w:rsidP="00B03CEC">
            <w:pPr>
              <w:pStyle w:val="Tabletext0"/>
              <w:jc w:val="left"/>
              <w:rPr>
                <w:sz w:val="16"/>
                <w:szCs w:val="16"/>
              </w:rPr>
            </w:pPr>
          </w:p>
        </w:tc>
        <w:tc>
          <w:tcPr>
            <w:tcW w:w="4677" w:type="dxa"/>
          </w:tcPr>
          <w:p w14:paraId="6AB5D39C" w14:textId="77777777" w:rsidR="00A263F4" w:rsidRPr="00B03CEC" w:rsidRDefault="00A263F4" w:rsidP="00A263F4">
            <w:pPr>
              <w:pStyle w:val="Tabletext0"/>
              <w:rPr>
                <w:sz w:val="16"/>
                <w:szCs w:val="16"/>
              </w:rPr>
            </w:pPr>
            <w:r w:rsidRPr="00B03CEC">
              <w:rPr>
                <w:sz w:val="16"/>
                <w:szCs w:val="16"/>
              </w:rPr>
              <w:t>The following log K</w:t>
            </w:r>
            <w:r w:rsidRPr="00B03CEC">
              <w:rPr>
                <w:sz w:val="16"/>
                <w:szCs w:val="16"/>
                <w:vertAlign w:val="subscript"/>
              </w:rPr>
              <w:t>AW</w:t>
            </w:r>
            <w:r w:rsidRPr="00B03CEC">
              <w:rPr>
                <w:sz w:val="16"/>
                <w:szCs w:val="16"/>
              </w:rPr>
              <w:t xml:space="preserve"> values at 25 °C </w:t>
            </w:r>
            <w:r w:rsidR="00AC3E25">
              <w:rPr>
                <w:sz w:val="16"/>
                <w:szCs w:val="16"/>
              </w:rPr>
              <w:t xml:space="preserve">are </w:t>
            </w:r>
            <w:r w:rsidR="00AC3E25" w:rsidRPr="00B03CEC">
              <w:rPr>
                <w:sz w:val="16"/>
                <w:szCs w:val="16"/>
              </w:rPr>
              <w:t xml:space="preserve">estimated </w:t>
            </w:r>
            <w:r w:rsidRPr="00B03CEC">
              <w:rPr>
                <w:sz w:val="16"/>
                <w:szCs w:val="16"/>
              </w:rPr>
              <w:t xml:space="preserve">based on the Henry’s Law constant: </w:t>
            </w:r>
          </w:p>
          <w:p w14:paraId="5C83FDE8" w14:textId="77777777" w:rsidR="00A263F4" w:rsidRPr="00B03CEC" w:rsidRDefault="00A263F4" w:rsidP="00A263F4">
            <w:pPr>
              <w:pStyle w:val="Tabletext0"/>
              <w:ind w:left="459" w:hanging="459"/>
              <w:rPr>
                <w:sz w:val="16"/>
                <w:szCs w:val="16"/>
              </w:rPr>
            </w:pPr>
            <w:r w:rsidRPr="00B03CEC">
              <w:rPr>
                <w:sz w:val="16"/>
                <w:szCs w:val="16"/>
              </w:rPr>
              <w:t>-3.2 (from measured water solubility and estimated vapour pressure)</w:t>
            </w:r>
          </w:p>
          <w:p w14:paraId="4EB09F3F" w14:textId="77777777" w:rsidR="00A263F4" w:rsidRPr="00B03CEC" w:rsidRDefault="00A263F4" w:rsidP="00A263F4">
            <w:pPr>
              <w:pStyle w:val="Tabletext0"/>
              <w:ind w:left="459" w:hanging="459"/>
              <w:rPr>
                <w:sz w:val="16"/>
                <w:szCs w:val="16"/>
              </w:rPr>
            </w:pPr>
            <w:r w:rsidRPr="00B03CEC">
              <w:rPr>
                <w:sz w:val="16"/>
                <w:szCs w:val="16"/>
              </w:rPr>
              <w:t>0.44 (from measured water solubility and vapour pressure)</w:t>
            </w:r>
          </w:p>
          <w:p w14:paraId="68DA184A" w14:textId="77777777" w:rsidR="00A263F4" w:rsidRPr="00B03CEC" w:rsidRDefault="00A263F4" w:rsidP="00A263F4">
            <w:pPr>
              <w:pStyle w:val="Tabletext0"/>
              <w:ind w:left="459" w:hanging="459"/>
              <w:rPr>
                <w:sz w:val="16"/>
                <w:szCs w:val="16"/>
              </w:rPr>
            </w:pPr>
            <w:r w:rsidRPr="00B03CEC">
              <w:rPr>
                <w:sz w:val="16"/>
                <w:szCs w:val="16"/>
              </w:rPr>
              <w:t>-2.8 (from EPIWIN predicted water solubility using log K</w:t>
            </w:r>
            <w:r w:rsidRPr="00B03CEC">
              <w:rPr>
                <w:sz w:val="16"/>
                <w:szCs w:val="16"/>
                <w:vertAlign w:val="subscript"/>
              </w:rPr>
              <w:t>OW</w:t>
            </w:r>
            <w:r w:rsidRPr="00B03CEC">
              <w:rPr>
                <w:sz w:val="16"/>
                <w:szCs w:val="16"/>
              </w:rPr>
              <w:t xml:space="preserve"> of 9 and vapour pressure)</w:t>
            </w:r>
          </w:p>
          <w:p w14:paraId="11E2B803" w14:textId="77777777" w:rsidR="00A263F4" w:rsidRPr="00B03CEC" w:rsidRDefault="00A263F4" w:rsidP="00A263F4">
            <w:pPr>
              <w:pStyle w:val="Tabletext0"/>
              <w:ind w:left="459" w:hanging="459"/>
              <w:rPr>
                <w:sz w:val="16"/>
                <w:szCs w:val="16"/>
              </w:rPr>
            </w:pPr>
            <w:r w:rsidRPr="00B03CEC">
              <w:rPr>
                <w:sz w:val="16"/>
                <w:szCs w:val="16"/>
              </w:rPr>
              <w:t>-3.5 (from HENRYWIN v.3.20, predicted from structure using Bond Method).</w:t>
            </w:r>
          </w:p>
          <w:p w14:paraId="41B9F87F" w14:textId="77777777" w:rsidR="00A263F4" w:rsidRPr="00FD04C7" w:rsidRDefault="00A263F4" w:rsidP="00FD04C7">
            <w:pPr>
              <w:pStyle w:val="StyleTabletextItalic"/>
              <w:jc w:val="left"/>
              <w:rPr>
                <w:i w:val="0"/>
                <w:sz w:val="16"/>
                <w:szCs w:val="16"/>
              </w:rPr>
            </w:pPr>
            <w:r w:rsidRPr="00FD04C7">
              <w:rPr>
                <w:i w:val="0"/>
                <w:sz w:val="16"/>
                <w:szCs w:val="16"/>
              </w:rPr>
              <w:t>See discussion of Henry’s Law Constant (Section 3.2.2</w:t>
            </w:r>
            <w:r w:rsidR="000B745E" w:rsidRPr="00FD04C7">
              <w:rPr>
                <w:i w:val="0"/>
                <w:sz w:val="16"/>
                <w:szCs w:val="16"/>
              </w:rPr>
              <w:t xml:space="preserve"> </w:t>
            </w:r>
            <w:r w:rsidR="00FD04C7" w:rsidRPr="00FD04C7">
              <w:rPr>
                <w:i w:val="0"/>
                <w:sz w:val="16"/>
                <w:szCs w:val="16"/>
              </w:rPr>
              <w:t>of Appendix 1</w:t>
            </w:r>
            <w:r w:rsidRPr="00FD04C7">
              <w:rPr>
                <w:i w:val="0"/>
                <w:sz w:val="16"/>
                <w:szCs w:val="16"/>
              </w:rPr>
              <w:t>) for further details.</w:t>
            </w:r>
            <w:r w:rsidR="000B745E" w:rsidRPr="00FD04C7">
              <w:rPr>
                <w:rFonts w:cs="Arial"/>
                <w:i w:val="0"/>
                <w:color w:val="000000" w:themeColor="text1"/>
              </w:rPr>
              <w:t xml:space="preserve"> </w:t>
            </w:r>
          </w:p>
        </w:tc>
      </w:tr>
      <w:tr w:rsidR="00A263F4" w:rsidRPr="00B03CEC" w14:paraId="72E1C817" w14:textId="77777777" w:rsidTr="00B03CEC">
        <w:tc>
          <w:tcPr>
            <w:tcW w:w="1872" w:type="dxa"/>
          </w:tcPr>
          <w:p w14:paraId="20B5F894" w14:textId="77777777" w:rsidR="00A263F4" w:rsidRPr="00C929E3" w:rsidRDefault="00A263F4" w:rsidP="00B03CEC">
            <w:pPr>
              <w:pStyle w:val="Tabletext0"/>
              <w:jc w:val="left"/>
              <w:rPr>
                <w:b/>
                <w:sz w:val="16"/>
                <w:szCs w:val="16"/>
                <w:lang w:val="fr-FR"/>
              </w:rPr>
            </w:pPr>
            <w:r w:rsidRPr="00C929E3">
              <w:rPr>
                <w:b/>
                <w:sz w:val="16"/>
                <w:szCs w:val="16"/>
                <w:lang w:val="fr-FR"/>
              </w:rPr>
              <w:t>Partition coefficient n-octanol/air (log value)</w:t>
            </w:r>
          </w:p>
          <w:p w14:paraId="000E1C03" w14:textId="77777777" w:rsidR="00A263F4" w:rsidRPr="00C929E3" w:rsidRDefault="00A263F4" w:rsidP="00A263F4">
            <w:pPr>
              <w:pStyle w:val="TableRowHeader"/>
              <w:jc w:val="left"/>
              <w:rPr>
                <w:sz w:val="16"/>
                <w:szCs w:val="16"/>
                <w:lang w:val="fr-FR"/>
              </w:rPr>
            </w:pPr>
            <w:r w:rsidRPr="00C929E3">
              <w:rPr>
                <w:sz w:val="16"/>
                <w:szCs w:val="16"/>
                <w:lang w:val="fr-FR"/>
              </w:rPr>
              <w:t>[log K</w:t>
            </w:r>
            <w:r w:rsidRPr="00C929E3">
              <w:rPr>
                <w:sz w:val="16"/>
                <w:szCs w:val="16"/>
                <w:vertAlign w:val="subscript"/>
                <w:lang w:val="fr-FR"/>
              </w:rPr>
              <w:t>OA</w:t>
            </w:r>
            <w:r w:rsidRPr="00C929E3">
              <w:rPr>
                <w:sz w:val="16"/>
                <w:szCs w:val="16"/>
                <w:lang w:val="fr-FR"/>
              </w:rPr>
              <w:t>]</w:t>
            </w:r>
          </w:p>
        </w:tc>
        <w:tc>
          <w:tcPr>
            <w:tcW w:w="1843" w:type="dxa"/>
          </w:tcPr>
          <w:p w14:paraId="38555530" w14:textId="77777777" w:rsidR="00A263F4" w:rsidRPr="00AC3E25" w:rsidRDefault="00A263F4" w:rsidP="00A263F4">
            <w:pPr>
              <w:pStyle w:val="Tabletext0"/>
              <w:rPr>
                <w:i/>
                <w:sz w:val="16"/>
                <w:szCs w:val="16"/>
              </w:rPr>
            </w:pPr>
            <w:r w:rsidRPr="00AC3E25">
              <w:rPr>
                <w:i/>
                <w:sz w:val="16"/>
                <w:szCs w:val="16"/>
              </w:rPr>
              <w:t>No data were provided by the Registrant.</w:t>
            </w:r>
          </w:p>
          <w:p w14:paraId="3CB1F1D3" w14:textId="77777777" w:rsidR="00A263F4" w:rsidRPr="00AC3E25" w:rsidRDefault="00A263F4" w:rsidP="00B03CEC">
            <w:pPr>
              <w:pStyle w:val="Tabletext0"/>
              <w:jc w:val="left"/>
              <w:rPr>
                <w:i/>
                <w:sz w:val="16"/>
                <w:szCs w:val="16"/>
              </w:rPr>
            </w:pPr>
          </w:p>
        </w:tc>
        <w:tc>
          <w:tcPr>
            <w:tcW w:w="4677" w:type="dxa"/>
          </w:tcPr>
          <w:p w14:paraId="1196F589" w14:textId="77777777" w:rsidR="00A263F4" w:rsidRPr="00B03CEC" w:rsidRDefault="00AC3E25" w:rsidP="00A263F4">
            <w:pPr>
              <w:pStyle w:val="Tabletext0"/>
              <w:rPr>
                <w:sz w:val="16"/>
                <w:szCs w:val="16"/>
              </w:rPr>
            </w:pPr>
            <w:r>
              <w:rPr>
                <w:sz w:val="16"/>
                <w:szCs w:val="16"/>
              </w:rPr>
              <w:t>A</w:t>
            </w:r>
            <w:r w:rsidR="00A263F4" w:rsidRPr="00B03CEC">
              <w:rPr>
                <w:sz w:val="16"/>
                <w:szCs w:val="16"/>
              </w:rPr>
              <w:t xml:space="preserve"> log K</w:t>
            </w:r>
            <w:r w:rsidR="00A263F4" w:rsidRPr="00B03CEC">
              <w:rPr>
                <w:sz w:val="16"/>
                <w:szCs w:val="16"/>
                <w:vertAlign w:val="subscript"/>
              </w:rPr>
              <w:t>OA</w:t>
            </w:r>
            <w:r w:rsidR="00A263F4" w:rsidRPr="00B03CEC">
              <w:rPr>
                <w:sz w:val="16"/>
                <w:szCs w:val="16"/>
              </w:rPr>
              <w:t xml:space="preserve"> of 14.8</w:t>
            </w:r>
            <w:r>
              <w:rPr>
                <w:sz w:val="16"/>
                <w:szCs w:val="16"/>
              </w:rPr>
              <w:t xml:space="preserve"> is</w:t>
            </w:r>
            <w:r w:rsidR="00A263F4" w:rsidRPr="00B03CEC">
              <w:rPr>
                <w:sz w:val="16"/>
                <w:szCs w:val="16"/>
              </w:rPr>
              <w:t xml:space="preserve"> </w:t>
            </w:r>
            <w:r w:rsidRPr="00B03CEC">
              <w:rPr>
                <w:sz w:val="16"/>
                <w:szCs w:val="16"/>
              </w:rPr>
              <w:t xml:space="preserve">estimated </w:t>
            </w:r>
            <w:r w:rsidR="00A263F4" w:rsidRPr="00B03CEC">
              <w:rPr>
                <w:sz w:val="16"/>
                <w:szCs w:val="16"/>
              </w:rPr>
              <w:t>using KOAWIN (U.S. EPA 2012). This is a simple ratio of the octanol-water (log K</w:t>
            </w:r>
            <w:r w:rsidR="00A263F4" w:rsidRPr="00B03CEC">
              <w:rPr>
                <w:sz w:val="16"/>
                <w:szCs w:val="16"/>
                <w:vertAlign w:val="subscript"/>
              </w:rPr>
              <w:t>OW</w:t>
            </w:r>
            <w:r w:rsidR="00A263F4" w:rsidRPr="00B03CEC">
              <w:rPr>
                <w:sz w:val="16"/>
                <w:szCs w:val="16"/>
              </w:rPr>
              <w:t xml:space="preserve"> 11.3) and air-water (log K</w:t>
            </w:r>
            <w:r w:rsidR="00A263F4" w:rsidRPr="00B03CEC">
              <w:rPr>
                <w:sz w:val="16"/>
                <w:szCs w:val="16"/>
                <w:vertAlign w:val="subscript"/>
              </w:rPr>
              <w:t>AW</w:t>
            </w:r>
            <w:r w:rsidR="00A263F4" w:rsidRPr="00B03CEC">
              <w:rPr>
                <w:sz w:val="16"/>
                <w:szCs w:val="16"/>
              </w:rPr>
              <w:t xml:space="preserve"> -3.5) partition coefficients calculated within EPI Suite. </w:t>
            </w:r>
          </w:p>
          <w:p w14:paraId="67563FFD" w14:textId="77777777" w:rsidR="00A263F4" w:rsidRPr="00AC3E25" w:rsidRDefault="00A263F4" w:rsidP="00A263F4">
            <w:pPr>
              <w:pStyle w:val="StyleTabletextItalic"/>
              <w:jc w:val="left"/>
              <w:rPr>
                <w:i w:val="0"/>
                <w:sz w:val="16"/>
                <w:szCs w:val="16"/>
              </w:rPr>
            </w:pPr>
            <w:r w:rsidRPr="00AC3E25">
              <w:rPr>
                <w:i w:val="0"/>
                <w:sz w:val="16"/>
                <w:szCs w:val="16"/>
              </w:rPr>
              <w:t>There is uncertainty in this value resulting from uncertainty in the estimated K</w:t>
            </w:r>
            <w:r w:rsidRPr="00AC3E25">
              <w:rPr>
                <w:i w:val="0"/>
                <w:sz w:val="16"/>
                <w:szCs w:val="16"/>
                <w:vertAlign w:val="subscript"/>
              </w:rPr>
              <w:t>OW</w:t>
            </w:r>
            <w:r w:rsidRPr="00AC3E25">
              <w:rPr>
                <w:i w:val="0"/>
                <w:sz w:val="16"/>
                <w:szCs w:val="16"/>
              </w:rPr>
              <w:t xml:space="preserve"> and K</w:t>
            </w:r>
            <w:r w:rsidRPr="00AC3E25">
              <w:rPr>
                <w:i w:val="0"/>
                <w:sz w:val="16"/>
                <w:szCs w:val="16"/>
                <w:vertAlign w:val="subscript"/>
              </w:rPr>
              <w:t>AW</w:t>
            </w:r>
            <w:r w:rsidRPr="00AC3E25">
              <w:rPr>
                <w:i w:val="0"/>
                <w:sz w:val="16"/>
                <w:szCs w:val="16"/>
              </w:rPr>
              <w:t xml:space="preserve"> (see above). Using a log K</w:t>
            </w:r>
            <w:r w:rsidRPr="00AC3E25">
              <w:rPr>
                <w:i w:val="0"/>
                <w:sz w:val="16"/>
                <w:szCs w:val="16"/>
                <w:vertAlign w:val="subscript"/>
              </w:rPr>
              <w:t>OW</w:t>
            </w:r>
            <w:r w:rsidRPr="00AC3E25">
              <w:rPr>
                <w:i w:val="0"/>
                <w:sz w:val="16"/>
                <w:szCs w:val="16"/>
              </w:rPr>
              <w:t xml:space="preserve"> of 9, a log K</w:t>
            </w:r>
            <w:r w:rsidRPr="00AC3E25">
              <w:rPr>
                <w:i w:val="0"/>
                <w:sz w:val="16"/>
                <w:szCs w:val="16"/>
                <w:vertAlign w:val="subscript"/>
              </w:rPr>
              <w:t xml:space="preserve">OA </w:t>
            </w:r>
            <w:r w:rsidRPr="00AC3E25">
              <w:rPr>
                <w:i w:val="0"/>
                <w:sz w:val="16"/>
                <w:szCs w:val="16"/>
              </w:rPr>
              <w:t>of 12.5 is estimated with a log K</w:t>
            </w:r>
            <w:r w:rsidRPr="00AC3E25">
              <w:rPr>
                <w:i w:val="0"/>
                <w:sz w:val="16"/>
                <w:szCs w:val="16"/>
                <w:vertAlign w:val="subscript"/>
              </w:rPr>
              <w:t>AW</w:t>
            </w:r>
            <w:r w:rsidRPr="00AC3E25">
              <w:rPr>
                <w:i w:val="0"/>
                <w:sz w:val="16"/>
                <w:szCs w:val="16"/>
              </w:rPr>
              <w:t xml:space="preserve"> of -3.5, or 8.6 with a log K</w:t>
            </w:r>
            <w:r w:rsidRPr="00AC3E25">
              <w:rPr>
                <w:i w:val="0"/>
                <w:sz w:val="16"/>
                <w:szCs w:val="16"/>
                <w:vertAlign w:val="subscript"/>
              </w:rPr>
              <w:t>AW</w:t>
            </w:r>
            <w:r w:rsidRPr="00AC3E25">
              <w:rPr>
                <w:i w:val="0"/>
                <w:sz w:val="16"/>
                <w:szCs w:val="16"/>
              </w:rPr>
              <w:t xml:space="preserve"> = 0.44.</w:t>
            </w:r>
          </w:p>
        </w:tc>
      </w:tr>
      <w:tr w:rsidR="00A263F4" w:rsidRPr="00B03CEC" w14:paraId="21410D6E" w14:textId="77777777" w:rsidTr="00B03CEC">
        <w:tc>
          <w:tcPr>
            <w:tcW w:w="1872" w:type="dxa"/>
          </w:tcPr>
          <w:p w14:paraId="5AC60BDF" w14:textId="77777777" w:rsidR="00A263F4" w:rsidRPr="00B03CEC" w:rsidRDefault="00A263F4" w:rsidP="00A263F4">
            <w:pPr>
              <w:pStyle w:val="Tabletext0"/>
              <w:jc w:val="left"/>
              <w:rPr>
                <w:b/>
                <w:sz w:val="16"/>
                <w:szCs w:val="16"/>
              </w:rPr>
            </w:pPr>
            <w:r w:rsidRPr="00B03CEC">
              <w:rPr>
                <w:b/>
                <w:sz w:val="16"/>
                <w:szCs w:val="16"/>
              </w:rPr>
              <w:t>Henry’s Law Constant</w:t>
            </w:r>
          </w:p>
        </w:tc>
        <w:tc>
          <w:tcPr>
            <w:tcW w:w="1843" w:type="dxa"/>
          </w:tcPr>
          <w:p w14:paraId="7AC24B0A" w14:textId="77777777" w:rsidR="00A263F4" w:rsidRPr="00AC3E25" w:rsidRDefault="00A263F4" w:rsidP="00A263F4">
            <w:pPr>
              <w:pStyle w:val="Tabletext0"/>
              <w:rPr>
                <w:i/>
                <w:sz w:val="16"/>
                <w:szCs w:val="16"/>
              </w:rPr>
            </w:pPr>
            <w:r w:rsidRPr="00AC3E25">
              <w:rPr>
                <w:i/>
                <w:sz w:val="16"/>
                <w:szCs w:val="16"/>
              </w:rPr>
              <w:t>No data were provided by the Registrant.</w:t>
            </w:r>
          </w:p>
          <w:p w14:paraId="0AC5C775" w14:textId="77777777" w:rsidR="00A263F4" w:rsidRPr="00AC3E25" w:rsidRDefault="00A263F4" w:rsidP="00A263F4">
            <w:pPr>
              <w:pStyle w:val="Tabletext0"/>
              <w:jc w:val="left"/>
              <w:rPr>
                <w:i/>
                <w:sz w:val="16"/>
                <w:szCs w:val="16"/>
              </w:rPr>
            </w:pPr>
          </w:p>
        </w:tc>
        <w:tc>
          <w:tcPr>
            <w:tcW w:w="4677" w:type="dxa"/>
          </w:tcPr>
          <w:p w14:paraId="60817AB1" w14:textId="77777777" w:rsidR="00A263F4" w:rsidRPr="00B03CEC" w:rsidRDefault="00A263F4" w:rsidP="00A263F4">
            <w:pPr>
              <w:pStyle w:val="Tabletext0"/>
              <w:rPr>
                <w:sz w:val="16"/>
                <w:szCs w:val="16"/>
              </w:rPr>
            </w:pPr>
            <w:r w:rsidRPr="00B03CEC">
              <w:rPr>
                <w:sz w:val="16"/>
                <w:szCs w:val="16"/>
              </w:rPr>
              <w:t xml:space="preserve">The following values </w:t>
            </w:r>
            <w:r w:rsidR="00AC3E25">
              <w:rPr>
                <w:sz w:val="16"/>
                <w:szCs w:val="16"/>
              </w:rPr>
              <w:t>were obtained using</w:t>
            </w:r>
            <w:r w:rsidRPr="00B03CEC">
              <w:rPr>
                <w:sz w:val="16"/>
                <w:szCs w:val="16"/>
              </w:rPr>
              <w:t xml:space="preserve"> a range of estimation methods (including a structural fragment based QSAR method) in light of the uncertainty in vapour pressure and solubility measurements and predictions:</w:t>
            </w:r>
          </w:p>
          <w:p w14:paraId="624CB210" w14:textId="77777777" w:rsidR="00A263F4" w:rsidRPr="00B03CEC" w:rsidRDefault="00A263F4" w:rsidP="00A263F4">
            <w:pPr>
              <w:pStyle w:val="Tabletext0"/>
              <w:ind w:left="317" w:hanging="317"/>
              <w:rPr>
                <w:sz w:val="16"/>
                <w:szCs w:val="16"/>
              </w:rPr>
            </w:pPr>
            <w:r w:rsidRPr="00B03CEC">
              <w:rPr>
                <w:sz w:val="16"/>
                <w:szCs w:val="16"/>
              </w:rPr>
              <w:t>1.4 Pa.m</w:t>
            </w:r>
            <w:r w:rsidRPr="00B03CEC">
              <w:rPr>
                <w:sz w:val="16"/>
                <w:szCs w:val="16"/>
                <w:vertAlign w:val="superscript"/>
              </w:rPr>
              <w:t>3</w:t>
            </w:r>
            <w:r w:rsidRPr="00B03CEC">
              <w:rPr>
                <w:sz w:val="16"/>
                <w:szCs w:val="16"/>
              </w:rPr>
              <w:t>/mol at 25 °C (from measured water solubility and estimated vapour pressure)</w:t>
            </w:r>
          </w:p>
          <w:p w14:paraId="335800E1" w14:textId="77777777" w:rsidR="00A263F4" w:rsidRPr="00B03CEC" w:rsidRDefault="00A263F4" w:rsidP="00A263F4">
            <w:pPr>
              <w:pStyle w:val="Tabletext0"/>
              <w:ind w:left="317" w:hanging="317"/>
              <w:rPr>
                <w:sz w:val="16"/>
                <w:szCs w:val="16"/>
              </w:rPr>
            </w:pPr>
            <w:r w:rsidRPr="00B03CEC">
              <w:rPr>
                <w:sz w:val="16"/>
                <w:szCs w:val="16"/>
              </w:rPr>
              <w:t>6800 Pa.m</w:t>
            </w:r>
            <w:r w:rsidRPr="00B03CEC">
              <w:rPr>
                <w:sz w:val="16"/>
                <w:szCs w:val="16"/>
                <w:vertAlign w:val="superscript"/>
              </w:rPr>
              <w:t>3</w:t>
            </w:r>
            <w:r w:rsidRPr="00B03CEC">
              <w:rPr>
                <w:sz w:val="16"/>
                <w:szCs w:val="16"/>
              </w:rPr>
              <w:t>/mol at 25 °C (from measured water solubility and extrapolated vapour pressure)</w:t>
            </w:r>
          </w:p>
          <w:p w14:paraId="5226953F" w14:textId="77777777" w:rsidR="00A263F4" w:rsidRPr="00B03CEC" w:rsidRDefault="00A263F4" w:rsidP="00A263F4">
            <w:pPr>
              <w:pStyle w:val="Tabletext0"/>
              <w:ind w:left="317" w:hanging="317"/>
              <w:rPr>
                <w:sz w:val="16"/>
                <w:szCs w:val="16"/>
              </w:rPr>
            </w:pPr>
            <w:r w:rsidRPr="00B03CEC">
              <w:rPr>
                <w:sz w:val="16"/>
                <w:szCs w:val="16"/>
              </w:rPr>
              <w:t>41 Pa.m</w:t>
            </w:r>
            <w:r w:rsidRPr="00B03CEC">
              <w:rPr>
                <w:sz w:val="16"/>
                <w:szCs w:val="16"/>
                <w:vertAlign w:val="superscript"/>
              </w:rPr>
              <w:t>3</w:t>
            </w:r>
            <w:r w:rsidRPr="00B03CEC">
              <w:rPr>
                <w:sz w:val="16"/>
                <w:szCs w:val="16"/>
              </w:rPr>
              <w:t>/mol at 25 °C (from EPIWIN predicted water solubility using log K</w:t>
            </w:r>
            <w:r w:rsidRPr="00B03CEC">
              <w:rPr>
                <w:sz w:val="16"/>
                <w:szCs w:val="16"/>
                <w:vertAlign w:val="subscript"/>
              </w:rPr>
              <w:t>OW</w:t>
            </w:r>
            <w:r w:rsidRPr="00B03CEC">
              <w:rPr>
                <w:sz w:val="16"/>
                <w:szCs w:val="16"/>
              </w:rPr>
              <w:t xml:space="preserve"> of 9 and vapour pressure)</w:t>
            </w:r>
          </w:p>
          <w:p w14:paraId="2D38861A" w14:textId="77777777" w:rsidR="00A263F4" w:rsidRPr="00B03CEC" w:rsidRDefault="00A263F4" w:rsidP="00A263F4">
            <w:pPr>
              <w:pStyle w:val="Tabletext0"/>
              <w:ind w:left="317" w:hanging="317"/>
              <w:rPr>
                <w:sz w:val="16"/>
                <w:szCs w:val="16"/>
              </w:rPr>
            </w:pPr>
            <w:r w:rsidRPr="00B03CEC">
              <w:rPr>
                <w:sz w:val="16"/>
                <w:szCs w:val="16"/>
              </w:rPr>
              <w:t>0.75 Pa.m</w:t>
            </w:r>
            <w:r w:rsidRPr="00B03CEC">
              <w:rPr>
                <w:sz w:val="16"/>
                <w:szCs w:val="16"/>
                <w:vertAlign w:val="superscript"/>
              </w:rPr>
              <w:t>3</w:t>
            </w:r>
            <w:r w:rsidRPr="00B03CEC">
              <w:rPr>
                <w:sz w:val="16"/>
                <w:szCs w:val="16"/>
              </w:rPr>
              <w:t>/mol at 25 °C (from HENRYWIN v.3.20, predicted from structure using Bond Method).</w:t>
            </w:r>
          </w:p>
          <w:p w14:paraId="6C7D62B8" w14:textId="77777777" w:rsidR="00A263F4" w:rsidRPr="00AC3E25" w:rsidRDefault="00A263F4" w:rsidP="00FD04C7">
            <w:pPr>
              <w:pStyle w:val="StyleTabletextItalic"/>
              <w:jc w:val="left"/>
              <w:rPr>
                <w:i w:val="0"/>
                <w:sz w:val="16"/>
                <w:szCs w:val="16"/>
              </w:rPr>
            </w:pPr>
            <w:r w:rsidRPr="00AC3E25">
              <w:rPr>
                <w:i w:val="0"/>
                <w:sz w:val="16"/>
                <w:szCs w:val="16"/>
              </w:rPr>
              <w:t xml:space="preserve">The Bond method training set comprises much smaller molecules than Dechlorane Plus, which are generally much more soluble and of higher vapour pressure than the substance, although the predicted Henry’s Law constant is mid-range for the method. It is therefore difficult to estimate the uncertainty of the predicted values. See also Section 3.2.2 </w:t>
            </w:r>
            <w:r w:rsidR="000B745E" w:rsidRPr="00AC3E25">
              <w:rPr>
                <w:i w:val="0"/>
                <w:sz w:val="16"/>
                <w:szCs w:val="16"/>
              </w:rPr>
              <w:t xml:space="preserve">of </w:t>
            </w:r>
            <w:r w:rsidR="00FD04C7">
              <w:rPr>
                <w:i w:val="0"/>
                <w:sz w:val="16"/>
                <w:szCs w:val="16"/>
              </w:rPr>
              <w:t>Appendix 1</w:t>
            </w:r>
            <w:r w:rsidR="000B745E" w:rsidRPr="00AC3E25">
              <w:rPr>
                <w:i w:val="0"/>
                <w:sz w:val="16"/>
                <w:szCs w:val="16"/>
              </w:rPr>
              <w:t xml:space="preserve"> </w:t>
            </w:r>
            <w:r w:rsidRPr="00AC3E25">
              <w:rPr>
                <w:i w:val="0"/>
                <w:sz w:val="16"/>
                <w:szCs w:val="16"/>
              </w:rPr>
              <w:t>for further discussion.</w:t>
            </w:r>
          </w:p>
        </w:tc>
      </w:tr>
      <w:tr w:rsidR="00AC3E25" w:rsidRPr="00B03CEC" w14:paraId="15231737" w14:textId="77777777" w:rsidTr="00B03CEC">
        <w:tc>
          <w:tcPr>
            <w:tcW w:w="1872" w:type="dxa"/>
          </w:tcPr>
          <w:p w14:paraId="57ACEDAE" w14:textId="77777777" w:rsidR="00AC3E25" w:rsidRPr="00B03CEC" w:rsidRDefault="00AC3E25" w:rsidP="00AC3E25">
            <w:pPr>
              <w:pStyle w:val="Tabletext0"/>
              <w:jc w:val="left"/>
              <w:rPr>
                <w:b/>
                <w:sz w:val="16"/>
                <w:szCs w:val="16"/>
              </w:rPr>
            </w:pPr>
            <w:r w:rsidRPr="00AC3E25">
              <w:rPr>
                <w:b/>
                <w:sz w:val="16"/>
                <w:szCs w:val="16"/>
              </w:rPr>
              <w:t>Solubility in organic solvent</w:t>
            </w:r>
            <w:r w:rsidRPr="003F4D36">
              <w:rPr>
                <w:rStyle w:val="FootnoteReference"/>
                <w:rFonts w:ascii="Verdana" w:hAnsi="Verdana"/>
                <w:b/>
                <w:sz w:val="18"/>
                <w:szCs w:val="18"/>
              </w:rPr>
              <w:footnoteReference w:id="4"/>
            </w:r>
          </w:p>
        </w:tc>
        <w:tc>
          <w:tcPr>
            <w:tcW w:w="1843" w:type="dxa"/>
          </w:tcPr>
          <w:p w14:paraId="2027194F" w14:textId="77777777" w:rsidR="00AC3E25" w:rsidRPr="00AC3E25" w:rsidRDefault="00AC3E25" w:rsidP="00AC3E25">
            <w:pPr>
              <w:pStyle w:val="Tabletext0"/>
              <w:rPr>
                <w:sz w:val="16"/>
                <w:szCs w:val="16"/>
                <w:lang w:eastAsia="en-GB"/>
              </w:rPr>
            </w:pPr>
            <w:r w:rsidRPr="00AC3E25">
              <w:rPr>
                <w:sz w:val="16"/>
                <w:szCs w:val="16"/>
                <w:lang w:eastAsia="en-GB"/>
              </w:rPr>
              <w:t>n-O</w:t>
            </w:r>
            <w:r w:rsidRPr="00AC3E25">
              <w:rPr>
                <w:sz w:val="16"/>
                <w:szCs w:val="16"/>
              </w:rPr>
              <w:t>ctanol solubility:</w:t>
            </w:r>
            <w:r>
              <w:rPr>
                <w:sz w:val="16"/>
                <w:szCs w:val="16"/>
              </w:rPr>
              <w:t xml:space="preserve"> 470 </w:t>
            </w:r>
            <w:r w:rsidRPr="00AC3E25">
              <w:rPr>
                <w:sz w:val="16"/>
                <w:szCs w:val="16"/>
              </w:rPr>
              <w:t xml:space="preserve">mg/L (to the nearest 10 mg/L) at </w:t>
            </w:r>
            <w:r w:rsidRPr="00AC3E25">
              <w:rPr>
                <w:sz w:val="16"/>
                <w:szCs w:val="16"/>
                <w:lang w:eastAsia="en-GB"/>
              </w:rPr>
              <w:t>25 °C</w:t>
            </w:r>
          </w:p>
          <w:p w14:paraId="1702B129" w14:textId="77777777" w:rsidR="00AC3E25" w:rsidRPr="00AC3E25" w:rsidRDefault="00AC3E25" w:rsidP="00F56DE6">
            <w:pPr>
              <w:pStyle w:val="Tabletext0"/>
              <w:rPr>
                <w:i/>
                <w:sz w:val="16"/>
                <w:szCs w:val="16"/>
              </w:rPr>
            </w:pPr>
          </w:p>
        </w:tc>
        <w:tc>
          <w:tcPr>
            <w:tcW w:w="4677" w:type="dxa"/>
          </w:tcPr>
          <w:p w14:paraId="5D5333FB" w14:textId="77777777" w:rsidR="00F56DE6" w:rsidRPr="00AC3E25" w:rsidRDefault="00F56DE6" w:rsidP="00F56DE6">
            <w:pPr>
              <w:pStyle w:val="Tabletext0"/>
              <w:rPr>
                <w:sz w:val="16"/>
                <w:szCs w:val="16"/>
                <w:lang w:eastAsia="en-GB"/>
              </w:rPr>
            </w:pPr>
            <w:r w:rsidRPr="00AC3E25">
              <w:rPr>
                <w:sz w:val="16"/>
                <w:szCs w:val="16"/>
              </w:rPr>
              <w:t>Reliability 1: non-guideline study conducted in a GLP facility but not formally to GLP (reference not provided, but it appears to have been conducted in the UK in 2013)</w:t>
            </w:r>
          </w:p>
          <w:p w14:paraId="5BFE05F7" w14:textId="77777777" w:rsidR="00F56DE6" w:rsidRPr="00AC3E25" w:rsidRDefault="00F56DE6" w:rsidP="00F56DE6">
            <w:pPr>
              <w:pStyle w:val="Tabletext0"/>
              <w:rPr>
                <w:sz w:val="16"/>
                <w:szCs w:val="16"/>
              </w:rPr>
            </w:pPr>
            <w:r w:rsidRPr="00AC3E25">
              <w:rPr>
                <w:sz w:val="16"/>
                <w:szCs w:val="16"/>
              </w:rPr>
              <w:t xml:space="preserve">Approximately 2 g sample was weighed into a 125 mL conical flask and 20 mL </w:t>
            </w:r>
            <w:r>
              <w:rPr>
                <w:sz w:val="16"/>
                <w:szCs w:val="16"/>
              </w:rPr>
              <w:t>n-</w:t>
            </w:r>
            <w:r w:rsidRPr="00AC3E25">
              <w:rPr>
                <w:sz w:val="16"/>
                <w:szCs w:val="16"/>
              </w:rPr>
              <w:t>octanol was added. A magnetic stirrer was placed on a thermostatic water bath overnight followed by slow stirring. Stirring was stopped and test solutions containing insoluble test substance were allowed to settle for 30 minutes before filtration under gravity. Clear colourless filtrates were obtained and test solution was analysed using GC-ECD without further dilution.</w:t>
            </w:r>
          </w:p>
          <w:p w14:paraId="3B37B025" w14:textId="77777777" w:rsidR="00AC3E25" w:rsidRPr="00AC3E25" w:rsidRDefault="00AC3E25" w:rsidP="00AC3E25">
            <w:pPr>
              <w:pStyle w:val="Tabletext0"/>
              <w:rPr>
                <w:sz w:val="16"/>
                <w:szCs w:val="16"/>
              </w:rPr>
            </w:pPr>
            <w:r w:rsidRPr="00AC3E25">
              <w:rPr>
                <w:sz w:val="16"/>
                <w:szCs w:val="16"/>
              </w:rPr>
              <w:t xml:space="preserve">The solubility in octanol is used as part of the assessment of octanol-water partitioning and also bioaccumulation. Although the test solution was filtered, it is not known whether the reported result represents truly dissolved substance. </w:t>
            </w:r>
          </w:p>
          <w:p w14:paraId="626D45FE" w14:textId="77777777" w:rsidR="00AC3E25" w:rsidRPr="00AC3E25" w:rsidRDefault="00AC3E25" w:rsidP="00AC3E25">
            <w:pPr>
              <w:pStyle w:val="Tabletext0"/>
              <w:rPr>
                <w:sz w:val="16"/>
                <w:szCs w:val="16"/>
              </w:rPr>
            </w:pPr>
          </w:p>
        </w:tc>
      </w:tr>
    </w:tbl>
    <w:p w14:paraId="7E3E48B5" w14:textId="77777777" w:rsidR="00B12C39" w:rsidRDefault="00B12C39" w:rsidP="00B12C39">
      <w:pPr>
        <w:pStyle w:val="Heading1"/>
      </w:pPr>
      <w:bookmarkStart w:id="235" w:name="_Toc486319599"/>
      <w:bookmarkStart w:id="236" w:name="_Toc486320487"/>
      <w:bookmarkEnd w:id="235"/>
      <w:bookmarkEnd w:id="236"/>
      <w:r>
        <w:br w:type="page"/>
      </w:r>
      <w:bookmarkStart w:id="237" w:name="_Toc341888507"/>
      <w:bookmarkStart w:id="238" w:name="_Toc342400361"/>
      <w:bookmarkStart w:id="239" w:name="_Toc354499572"/>
      <w:bookmarkStart w:id="240" w:name="_Toc357083647"/>
      <w:bookmarkStart w:id="241" w:name="_Toc357184196"/>
      <w:bookmarkStart w:id="242" w:name="_Toc357184432"/>
      <w:bookmarkStart w:id="243" w:name="_Toc357185234"/>
      <w:bookmarkStart w:id="244" w:name="_Toc357186082"/>
      <w:bookmarkStart w:id="245" w:name="_Toc357186231"/>
      <w:bookmarkStart w:id="246" w:name="_Toc357437517"/>
      <w:bookmarkStart w:id="247" w:name="_Toc357590790"/>
      <w:bookmarkStart w:id="248" w:name="_Toc357692822"/>
      <w:bookmarkStart w:id="249" w:name="_Toc365649649"/>
      <w:bookmarkStart w:id="250" w:name="_Toc365649798"/>
      <w:bookmarkStart w:id="251" w:name="_Toc366489850"/>
      <w:bookmarkStart w:id="252" w:name="_Toc418498555"/>
      <w:bookmarkStart w:id="253" w:name="_Toc418505998"/>
      <w:bookmarkStart w:id="254" w:name="_Toc491862222"/>
      <w:r w:rsidRPr="003F2F19">
        <w:lastRenderedPageBreak/>
        <w:t>Harmonised classification and labelling</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36783CA5" w14:textId="77777777" w:rsidR="00142BFC" w:rsidRDefault="00851B8C" w:rsidP="00F56DE6">
      <w:pPr>
        <w:pStyle w:val="BodyText"/>
        <w:jc w:val="both"/>
      </w:pPr>
      <w:bookmarkStart w:id="255" w:name="_Toc265748360"/>
      <w:bookmarkStart w:id="256" w:name="_Toc277236424"/>
      <w:bookmarkStart w:id="257" w:name="_Toc284425462"/>
      <w:r w:rsidRPr="00DF1FA5">
        <w:t xml:space="preserve">No harmonised classification is reported for Dechlorane Plus (CAS 13560-89-9) in Annex VI of Regulation (EC) No. 1272/2008 (CLP Regulation). </w:t>
      </w:r>
    </w:p>
    <w:p w14:paraId="3DBB4734" w14:textId="77777777" w:rsidR="00F56DE6" w:rsidRPr="000A6FDD" w:rsidRDefault="00F56DE6" w:rsidP="00F56DE6">
      <w:pPr>
        <w:pStyle w:val="BodyText"/>
        <w:jc w:val="both"/>
        <w:rPr>
          <w:i/>
        </w:rPr>
      </w:pPr>
      <w:bookmarkStart w:id="258" w:name="_Toc285710604"/>
      <w:r w:rsidRPr="00DF1FA5">
        <w:t xml:space="preserve">There are no proposals for new or amended harmonised classification of Dechlorane Plus (CAS 13560-89-9) on the Registry of Intention. </w:t>
      </w:r>
    </w:p>
    <w:bookmarkEnd w:id="258"/>
    <w:p w14:paraId="54A777BF" w14:textId="77777777" w:rsidR="00F56DE6" w:rsidRPr="000A6FDD" w:rsidRDefault="00F56DE6" w:rsidP="00F56DE6">
      <w:pPr>
        <w:pStyle w:val="BodyText"/>
        <w:jc w:val="both"/>
      </w:pPr>
      <w:r w:rsidRPr="00DF1FA5">
        <w:t xml:space="preserve">The </w:t>
      </w:r>
      <w:r>
        <w:t>Registrant</w:t>
      </w:r>
      <w:r w:rsidRPr="00DF1FA5">
        <w:t xml:space="preserve"> has not proposed classification for any hazard.</w:t>
      </w:r>
    </w:p>
    <w:p w14:paraId="37A9BCC5" w14:textId="77777777" w:rsidR="00F56DE6" w:rsidRPr="000A6FDD" w:rsidRDefault="00F56DE6" w:rsidP="00F56DE6">
      <w:pPr>
        <w:pStyle w:val="BodyText"/>
        <w:jc w:val="both"/>
      </w:pPr>
      <w:r w:rsidRPr="00DF1FA5">
        <w:t xml:space="preserve">The European Chemical Agency (ECHA) online Classification &amp; Labelling (C&amp;L) Inventory database, which was checked on </w:t>
      </w:r>
      <w:r w:rsidR="003F4D36">
        <w:t>13 July</w:t>
      </w:r>
      <w:r>
        <w:t xml:space="preserve"> 201</w:t>
      </w:r>
      <w:r w:rsidR="003F4D36">
        <w:t>7</w:t>
      </w:r>
      <w:r w:rsidRPr="00DF1FA5">
        <w:t xml:space="preserve">, reports a joint submission (consisting of </w:t>
      </w:r>
      <w:r>
        <w:t>9</w:t>
      </w:r>
      <w:r w:rsidR="003F4D36">
        <w:t>2</w:t>
      </w:r>
      <w:r w:rsidRPr="00DF1FA5">
        <w:t xml:space="preserve"> notifiers) </w:t>
      </w:r>
      <w:r>
        <w:t>indicating</w:t>
      </w:r>
      <w:r w:rsidRPr="00DF1FA5">
        <w:t xml:space="preserve"> no classifi</w:t>
      </w:r>
      <w:r>
        <w:t>cation</w:t>
      </w:r>
      <w:r w:rsidRPr="00DF1FA5">
        <w:t xml:space="preserve"> according to </w:t>
      </w:r>
      <w:r>
        <w:t xml:space="preserve">the </w:t>
      </w:r>
      <w:r w:rsidRPr="00DF1FA5">
        <w:t xml:space="preserve">CLP criteria. In addition, </w:t>
      </w:r>
      <w:r w:rsidR="003F4D36">
        <w:t>7</w:t>
      </w:r>
      <w:r>
        <w:t>8</w:t>
      </w:r>
      <w:r w:rsidRPr="00DF1FA5">
        <w:t xml:space="preserve"> notifiers have classified the substance as Acute Toxicity Category 4, H332 Harmful if inhaled. </w:t>
      </w:r>
    </w:p>
    <w:p w14:paraId="05BB9801" w14:textId="77777777" w:rsidR="00F56DE6" w:rsidRPr="000A6FDD" w:rsidRDefault="00F56DE6" w:rsidP="00851B8C">
      <w:pPr>
        <w:pStyle w:val="BodyText"/>
      </w:pPr>
    </w:p>
    <w:p w14:paraId="08C307F4" w14:textId="77777777" w:rsidR="00B12C39" w:rsidRPr="00096A9A" w:rsidRDefault="00B12C39" w:rsidP="00B12C39">
      <w:pPr>
        <w:pStyle w:val="Heading1"/>
      </w:pPr>
      <w:bookmarkStart w:id="259" w:name="_Toc485806320"/>
      <w:bookmarkStart w:id="260" w:name="_Toc485824049"/>
      <w:bookmarkStart w:id="261" w:name="_Toc485824321"/>
      <w:bookmarkStart w:id="262" w:name="_Toc485824490"/>
      <w:bookmarkStart w:id="263" w:name="_Toc486250203"/>
      <w:bookmarkStart w:id="264" w:name="_Toc486318887"/>
      <w:bookmarkStart w:id="265" w:name="_Toc486319056"/>
      <w:bookmarkStart w:id="266" w:name="_Toc486319187"/>
      <w:bookmarkStart w:id="267" w:name="_Toc486319315"/>
      <w:bookmarkStart w:id="268" w:name="_Toc486319603"/>
      <w:bookmarkStart w:id="269" w:name="_Toc486320491"/>
      <w:bookmarkStart w:id="270" w:name="_Toc485806323"/>
      <w:bookmarkStart w:id="271" w:name="_Toc485824052"/>
      <w:bookmarkStart w:id="272" w:name="_Toc485824324"/>
      <w:bookmarkStart w:id="273" w:name="_Toc485824493"/>
      <w:bookmarkStart w:id="274" w:name="_Toc486250206"/>
      <w:bookmarkStart w:id="275" w:name="_Toc486318890"/>
      <w:bookmarkStart w:id="276" w:name="_Toc486319059"/>
      <w:bookmarkStart w:id="277" w:name="_Toc486319190"/>
      <w:bookmarkStart w:id="278" w:name="_Toc486319318"/>
      <w:bookmarkStart w:id="279" w:name="_Toc486319606"/>
      <w:bookmarkStart w:id="280" w:name="_Toc486320494"/>
      <w:bookmarkStart w:id="281" w:name="_Toc485806335"/>
      <w:bookmarkStart w:id="282" w:name="_Toc485824064"/>
      <w:bookmarkStart w:id="283" w:name="_Toc485824336"/>
      <w:bookmarkStart w:id="284" w:name="_Toc485824505"/>
      <w:bookmarkStart w:id="285" w:name="_Toc486250218"/>
      <w:bookmarkStart w:id="286" w:name="_Toc486318902"/>
      <w:bookmarkStart w:id="287" w:name="_Toc486319071"/>
      <w:bookmarkStart w:id="288" w:name="_Toc486319202"/>
      <w:bookmarkStart w:id="289" w:name="_Toc486319330"/>
      <w:bookmarkStart w:id="290" w:name="_Toc486319618"/>
      <w:bookmarkStart w:id="291" w:name="_Toc486320506"/>
      <w:bookmarkStart w:id="292" w:name="_Toc485806347"/>
      <w:bookmarkStart w:id="293" w:name="_Toc485824076"/>
      <w:bookmarkStart w:id="294" w:name="_Toc485824348"/>
      <w:bookmarkStart w:id="295" w:name="_Toc485824517"/>
      <w:bookmarkStart w:id="296" w:name="_Toc486250230"/>
      <w:bookmarkStart w:id="297" w:name="_Toc486318914"/>
      <w:bookmarkStart w:id="298" w:name="_Toc486319083"/>
      <w:bookmarkStart w:id="299" w:name="_Toc486319214"/>
      <w:bookmarkStart w:id="300" w:name="_Toc486319342"/>
      <w:bookmarkStart w:id="301" w:name="_Toc486319630"/>
      <w:bookmarkStart w:id="302" w:name="_Toc486320518"/>
      <w:bookmarkStart w:id="303" w:name="_Toc485806359"/>
      <w:bookmarkStart w:id="304" w:name="_Toc485824088"/>
      <w:bookmarkStart w:id="305" w:name="_Toc485824360"/>
      <w:bookmarkStart w:id="306" w:name="_Toc485824529"/>
      <w:bookmarkStart w:id="307" w:name="_Toc486250242"/>
      <w:bookmarkStart w:id="308" w:name="_Toc486318926"/>
      <w:bookmarkStart w:id="309" w:name="_Toc486319095"/>
      <w:bookmarkStart w:id="310" w:name="_Toc486319226"/>
      <w:bookmarkStart w:id="311" w:name="_Toc486319354"/>
      <w:bookmarkStart w:id="312" w:name="_Toc486319642"/>
      <w:bookmarkStart w:id="313" w:name="_Toc486320530"/>
      <w:bookmarkStart w:id="314" w:name="_Toc485806360"/>
      <w:bookmarkStart w:id="315" w:name="_Toc485824089"/>
      <w:bookmarkStart w:id="316" w:name="_Toc485824361"/>
      <w:bookmarkStart w:id="317" w:name="_Toc485824530"/>
      <w:bookmarkStart w:id="318" w:name="_Toc486250243"/>
      <w:bookmarkStart w:id="319" w:name="_Toc486318927"/>
      <w:bookmarkStart w:id="320" w:name="_Toc486319096"/>
      <w:bookmarkStart w:id="321" w:name="_Toc486319227"/>
      <w:bookmarkStart w:id="322" w:name="_Toc486319355"/>
      <w:bookmarkStart w:id="323" w:name="_Toc486319643"/>
      <w:bookmarkStart w:id="324" w:name="_Toc486320531"/>
      <w:bookmarkEnd w:id="255"/>
      <w:bookmarkEnd w:id="256"/>
      <w:bookmarkEnd w:id="257"/>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br w:type="page"/>
      </w:r>
      <w:bookmarkStart w:id="325" w:name="_Toc341888508"/>
      <w:bookmarkStart w:id="326" w:name="_Toc342400362"/>
      <w:bookmarkStart w:id="327" w:name="_Toc354499573"/>
      <w:bookmarkStart w:id="328" w:name="_Toc357083648"/>
      <w:bookmarkStart w:id="329" w:name="_Toc357184197"/>
      <w:bookmarkStart w:id="330" w:name="_Toc357184433"/>
      <w:bookmarkStart w:id="331" w:name="_Toc357185235"/>
      <w:bookmarkStart w:id="332" w:name="_Toc357186083"/>
      <w:bookmarkStart w:id="333" w:name="_Toc357186232"/>
      <w:bookmarkStart w:id="334" w:name="_Toc357437518"/>
      <w:bookmarkStart w:id="335" w:name="_Toc357590791"/>
      <w:bookmarkStart w:id="336" w:name="_Toc357692823"/>
      <w:bookmarkStart w:id="337" w:name="_Toc365649650"/>
      <w:bookmarkStart w:id="338" w:name="_Toc365649799"/>
      <w:bookmarkStart w:id="339" w:name="_Toc366489851"/>
      <w:bookmarkStart w:id="340" w:name="_Toc418498556"/>
      <w:bookmarkStart w:id="341" w:name="_Toc418505999"/>
      <w:bookmarkStart w:id="342" w:name="_Toc491862223"/>
      <w:r w:rsidRPr="00096A9A">
        <w:lastRenderedPageBreak/>
        <w:t>Environmental fate properties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14:paraId="3D14C7D9" w14:textId="77777777" w:rsidR="00B12C39" w:rsidRPr="00803871" w:rsidRDefault="00BB6734" w:rsidP="00C748EF">
      <w:pPr>
        <w:pStyle w:val="Heading2"/>
        <w:keepNext w:val="0"/>
      </w:pPr>
      <w:bookmarkStart w:id="343" w:name="_Toc341888509"/>
      <w:bookmarkStart w:id="344" w:name="_Toc342400363"/>
      <w:bookmarkStart w:id="345" w:name="_Toc354499574"/>
      <w:bookmarkStart w:id="346" w:name="_Toc357083649"/>
      <w:bookmarkStart w:id="347" w:name="_Toc357184198"/>
      <w:bookmarkStart w:id="348" w:name="_Toc357184434"/>
      <w:bookmarkStart w:id="349" w:name="_Toc357185236"/>
      <w:bookmarkStart w:id="350" w:name="_Toc357186084"/>
      <w:bookmarkStart w:id="351" w:name="_Toc357186233"/>
      <w:bookmarkStart w:id="352" w:name="_Toc357437519"/>
      <w:bookmarkStart w:id="353" w:name="_Toc357590792"/>
      <w:bookmarkStart w:id="354" w:name="_Toc357692824"/>
      <w:bookmarkStart w:id="355" w:name="_Toc365649651"/>
      <w:bookmarkStart w:id="356" w:name="_Toc365649800"/>
      <w:bookmarkStart w:id="357" w:name="_Toc366489852"/>
      <w:bookmarkStart w:id="358" w:name="_Toc418498557"/>
      <w:bookmarkStart w:id="359" w:name="_Toc418506000"/>
      <w:bookmarkStart w:id="360" w:name="_Toc491862224"/>
      <w:r>
        <w:t xml:space="preserve">3.1 </w:t>
      </w:r>
      <w:r w:rsidR="00B12C39" w:rsidRPr="00DC47F5">
        <w:t>Degradation</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00B12C39" w:rsidRPr="00803871">
        <w:t xml:space="preserve"> </w:t>
      </w:r>
    </w:p>
    <w:p w14:paraId="6143B01D" w14:textId="77777777" w:rsidR="005E725D" w:rsidRDefault="005E725D" w:rsidP="005E725D">
      <w:pPr>
        <w:pStyle w:val="CommentText"/>
        <w:jc w:val="both"/>
        <w:rPr>
          <w:color w:val="EE16EE"/>
        </w:rPr>
      </w:pPr>
    </w:p>
    <w:p w14:paraId="7CC83208" w14:textId="77777777" w:rsidR="00B12C39" w:rsidRPr="00096A9A" w:rsidRDefault="00852117" w:rsidP="00852117">
      <w:pPr>
        <w:pStyle w:val="Heading3"/>
        <w:tabs>
          <w:tab w:val="clear" w:pos="360"/>
          <w:tab w:val="num" w:pos="0"/>
        </w:tabs>
      </w:pPr>
      <w:bookmarkStart w:id="361" w:name="_Toc341888510"/>
      <w:bookmarkStart w:id="362" w:name="_Toc342400364"/>
      <w:bookmarkStart w:id="363" w:name="_Toc354499575"/>
      <w:bookmarkStart w:id="364" w:name="_Toc357083650"/>
      <w:bookmarkStart w:id="365" w:name="_Toc357184199"/>
      <w:bookmarkStart w:id="366" w:name="_Toc357184435"/>
      <w:bookmarkStart w:id="367" w:name="_Toc357185237"/>
      <w:bookmarkStart w:id="368" w:name="_Toc357186085"/>
      <w:bookmarkStart w:id="369" w:name="_Toc357186234"/>
      <w:bookmarkStart w:id="370" w:name="_Toc357437520"/>
      <w:bookmarkStart w:id="371" w:name="_Toc357590793"/>
      <w:bookmarkStart w:id="372" w:name="_Toc357692825"/>
      <w:bookmarkStart w:id="373" w:name="_Toc365649652"/>
      <w:bookmarkStart w:id="374" w:name="_Toc365649801"/>
      <w:bookmarkStart w:id="375" w:name="_Toc366489853"/>
      <w:bookmarkStart w:id="376" w:name="_Toc418498558"/>
      <w:bookmarkStart w:id="377" w:name="_Toc418506001"/>
      <w:bookmarkStart w:id="378" w:name="_Toc491862225"/>
      <w:r w:rsidRPr="00096A9A">
        <w:t xml:space="preserve">3.1.1 </w:t>
      </w:r>
      <w:r w:rsidR="00B12C39" w:rsidRPr="00096A9A">
        <w:t>Abiotic degradation</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27345385" w14:textId="77777777" w:rsidR="00B12C39" w:rsidRDefault="00852117" w:rsidP="00264345">
      <w:pPr>
        <w:pStyle w:val="Heading4"/>
        <w:tabs>
          <w:tab w:val="num" w:pos="284"/>
        </w:tabs>
      </w:pPr>
      <w:bookmarkStart w:id="379" w:name="_Toc341888511"/>
      <w:bookmarkStart w:id="380" w:name="_Toc342400365"/>
      <w:r w:rsidRPr="00096A9A">
        <w:t xml:space="preserve">3.1.1.2 </w:t>
      </w:r>
      <w:r w:rsidR="00B12C39" w:rsidRPr="00096A9A">
        <w:t>Hydrolysis</w:t>
      </w:r>
      <w:bookmarkEnd w:id="379"/>
      <w:bookmarkEnd w:id="380"/>
    </w:p>
    <w:p w14:paraId="1D74DD7A" w14:textId="77777777" w:rsidR="00851B8C" w:rsidRPr="000A6FDD" w:rsidRDefault="00851B8C" w:rsidP="003B371E">
      <w:pPr>
        <w:pStyle w:val="BodyText"/>
        <w:jc w:val="both"/>
      </w:pPr>
      <w:r w:rsidRPr="00DF1FA5">
        <w:t xml:space="preserve">The </w:t>
      </w:r>
      <w:r>
        <w:t>Registrant</w:t>
      </w:r>
      <w:r w:rsidRPr="00DF1FA5">
        <w:t xml:space="preserve"> waived the hydrolysis endpoint in accordance with Column 2 of REACH Annex VIII because the substance is highly insoluble in water. Dechlorane Plus does not contain any hydrolysable groups</w:t>
      </w:r>
      <w:r w:rsidR="00FC0298">
        <w:t>. H</w:t>
      </w:r>
      <w:r w:rsidR="00FC0298" w:rsidRPr="00DF1FA5">
        <w:t>ydrolysis is not expected to be a relevant fate process</w:t>
      </w:r>
      <w:r w:rsidRPr="00DF1FA5">
        <w:t>.</w:t>
      </w:r>
    </w:p>
    <w:p w14:paraId="276141BA" w14:textId="77777777" w:rsidR="00B12C39" w:rsidRDefault="00852117" w:rsidP="00264345">
      <w:pPr>
        <w:pStyle w:val="Heading4"/>
        <w:tabs>
          <w:tab w:val="num" w:pos="284"/>
        </w:tabs>
      </w:pPr>
      <w:r w:rsidRPr="00096A9A">
        <w:t xml:space="preserve">3.1.1.3 </w:t>
      </w:r>
      <w:r w:rsidR="00B12C39" w:rsidRPr="00096A9A">
        <w:t>Oxidation</w:t>
      </w:r>
    </w:p>
    <w:p w14:paraId="59233D15" w14:textId="77777777" w:rsidR="00851B8C" w:rsidRDefault="00851B8C" w:rsidP="00851B8C">
      <w:pPr>
        <w:jc w:val="both"/>
      </w:pPr>
      <w:r>
        <w:t>T</w:t>
      </w:r>
      <w:r w:rsidRPr="00DF1FA5">
        <w:t xml:space="preserve">he </w:t>
      </w:r>
      <w:r>
        <w:t xml:space="preserve">Registrant considers that an </w:t>
      </w:r>
      <w:r w:rsidRPr="00C21C2D">
        <w:t xml:space="preserve">estimated first-order rate constant </w:t>
      </w:r>
      <w:r w:rsidR="003F4DD6">
        <w:t xml:space="preserve">of 1/10 000 000 </w:t>
      </w:r>
      <w:r>
        <w:t>000 </w:t>
      </w:r>
      <w:r w:rsidRPr="00C21C2D">
        <w:t>s</w:t>
      </w:r>
      <w:r w:rsidRPr="00C21C2D">
        <w:rPr>
          <w:vertAlign w:val="superscript"/>
        </w:rPr>
        <w:t>-1</w:t>
      </w:r>
      <w:r w:rsidRPr="00C21C2D">
        <w:t xml:space="preserve"> </w:t>
      </w:r>
      <w:r>
        <w:t>(corresponding to a</w:t>
      </w:r>
      <w:r w:rsidRPr="00C21C2D">
        <w:t xml:space="preserve"> half-life of 2</w:t>
      </w:r>
      <w:r w:rsidR="000C797A">
        <w:t xml:space="preserve"> </w:t>
      </w:r>
      <w:r w:rsidRPr="00C21C2D">
        <w:t>100 years</w:t>
      </w:r>
      <w:r>
        <w:t>) for</w:t>
      </w:r>
      <w:r w:rsidRPr="00C21C2D">
        <w:t xml:space="preserve"> oxidation in water</w:t>
      </w:r>
      <w:r>
        <w:t xml:space="preserve"> by Chou </w:t>
      </w:r>
      <w:r w:rsidRPr="00C21C2D">
        <w:rPr>
          <w:i/>
        </w:rPr>
        <w:t>et al</w:t>
      </w:r>
      <w:r>
        <w:t xml:space="preserve">. (1979) is unreliable as </w:t>
      </w:r>
      <w:r w:rsidRPr="00C21C2D">
        <w:t>the calculation method was not described</w:t>
      </w:r>
      <w:r w:rsidRPr="00DF1FA5">
        <w:t xml:space="preserve">. </w:t>
      </w:r>
    </w:p>
    <w:p w14:paraId="37EB3788" w14:textId="77777777" w:rsidR="00990571" w:rsidRDefault="00990571" w:rsidP="00851B8C">
      <w:pPr>
        <w:jc w:val="both"/>
      </w:pPr>
    </w:p>
    <w:p w14:paraId="3FFE9F19" w14:textId="5DB5DA24" w:rsidR="00890F3E" w:rsidRPr="00504190" w:rsidRDefault="00890F3E" w:rsidP="00890F3E">
      <w:pPr>
        <w:jc w:val="both"/>
      </w:pPr>
      <w:r w:rsidRPr="00504190">
        <w:t xml:space="preserve">The potential for phototransformation in air has been predicted using </w:t>
      </w:r>
      <w:r>
        <w:t xml:space="preserve">the </w:t>
      </w:r>
      <w:r w:rsidRPr="00504190">
        <w:t xml:space="preserve">AOPWIN </w:t>
      </w:r>
      <w:r>
        <w:t>Program (v1.92)</w:t>
      </w:r>
      <w:r w:rsidRPr="00504190">
        <w:t>. Under standard atmospheric conditions, the half-life is predicted to be 17</w:t>
      </w:r>
      <w:r>
        <w:t> </w:t>
      </w:r>
      <w:r w:rsidRPr="00504190">
        <w:t xml:space="preserve">hours at 25 °C, based on reaction with hydroxyl radicals in the </w:t>
      </w:r>
      <w:r>
        <w:t xml:space="preserve">vapour </w:t>
      </w:r>
      <w:r w:rsidRPr="00504190">
        <w:t>phase. Complete information on training set development for this well-established predictive method is not publicly available, although hydroxyl radical rate constants for numerous polycyclic and highly chlorinated or brominated substances are represented in the training set. The molecular weight of Dechlorane Plus is high relative to substances in the training set, so the predicted half-life may be misleading</w:t>
      </w:r>
      <w:r>
        <w:t>.</w:t>
      </w:r>
      <w:r w:rsidRPr="00890F3E">
        <w:t xml:space="preserve"> </w:t>
      </w:r>
      <w:r>
        <w:t>However, given the very low vapour pressure of this substance (see Section 1.5), the relevance of this estimate is low.</w:t>
      </w:r>
      <w:r w:rsidRPr="00504190">
        <w:t xml:space="preserve"> </w:t>
      </w:r>
    </w:p>
    <w:p w14:paraId="3735BEB3" w14:textId="77777777" w:rsidR="00851B8C" w:rsidRPr="00851B8C" w:rsidRDefault="00851B8C" w:rsidP="00821902">
      <w:pPr>
        <w:pStyle w:val="BodyText"/>
      </w:pPr>
    </w:p>
    <w:p w14:paraId="23E1B9E9" w14:textId="77777777" w:rsidR="00B12C39" w:rsidRPr="00096A9A" w:rsidRDefault="00852117" w:rsidP="00264345">
      <w:pPr>
        <w:pStyle w:val="Heading4"/>
        <w:tabs>
          <w:tab w:val="num" w:pos="284"/>
        </w:tabs>
      </w:pPr>
      <w:bookmarkStart w:id="381" w:name="_Toc341888512"/>
      <w:bookmarkStart w:id="382" w:name="_Toc342400366"/>
      <w:r w:rsidRPr="00096A9A">
        <w:t xml:space="preserve">3.1.1.3 </w:t>
      </w:r>
      <w:r w:rsidR="00B12C39" w:rsidRPr="00096A9A">
        <w:t>Phototransformation/photolysis</w:t>
      </w:r>
      <w:bookmarkEnd w:id="381"/>
      <w:bookmarkEnd w:id="382"/>
    </w:p>
    <w:p w14:paraId="25A5F42A" w14:textId="77777777" w:rsidR="00B12C39" w:rsidRDefault="00852117" w:rsidP="00264345">
      <w:pPr>
        <w:pStyle w:val="Heading5"/>
        <w:tabs>
          <w:tab w:val="num" w:pos="284"/>
        </w:tabs>
      </w:pPr>
      <w:bookmarkStart w:id="383" w:name="_Toc341888513"/>
      <w:bookmarkStart w:id="384" w:name="_Toc342400367"/>
      <w:r w:rsidRPr="00096A9A">
        <w:t xml:space="preserve">3.1.1.3.1 </w:t>
      </w:r>
      <w:r w:rsidR="00B12C39" w:rsidRPr="00096A9A">
        <w:t>Phototransformation in air</w:t>
      </w:r>
      <w:bookmarkEnd w:id="383"/>
      <w:bookmarkEnd w:id="384"/>
    </w:p>
    <w:p w14:paraId="6A94C4E6" w14:textId="77777777" w:rsidR="000A1A6A" w:rsidRDefault="000A1A6A" w:rsidP="000A1A6A">
      <w:pPr>
        <w:jc w:val="both"/>
      </w:pPr>
      <w:r>
        <w:t>Details of available studies are summarised in Appendix 1 (</w:t>
      </w:r>
      <w:r w:rsidRPr="000A1A6A">
        <w:t xml:space="preserve">Sverko </w:t>
      </w:r>
      <w:r w:rsidRPr="000A1A6A">
        <w:rPr>
          <w:i/>
        </w:rPr>
        <w:t>et al</w:t>
      </w:r>
      <w:r w:rsidRPr="000A1A6A">
        <w:t xml:space="preserve">., 2008; Wang </w:t>
      </w:r>
      <w:r w:rsidRPr="000A1A6A">
        <w:rPr>
          <w:i/>
        </w:rPr>
        <w:t>et al.</w:t>
      </w:r>
      <w:r w:rsidRPr="000A1A6A">
        <w:t xml:space="preserve">, 2011; Li </w:t>
      </w:r>
      <w:r w:rsidRPr="000A1A6A">
        <w:rPr>
          <w:i/>
        </w:rPr>
        <w:t>et al</w:t>
      </w:r>
      <w:r w:rsidRPr="000A1A6A">
        <w:t xml:space="preserve">., 2013b; Wang </w:t>
      </w:r>
      <w:r w:rsidRPr="000A1A6A">
        <w:rPr>
          <w:i/>
        </w:rPr>
        <w:t>et al.</w:t>
      </w:r>
      <w:r w:rsidRPr="000A1A6A">
        <w:t xml:space="preserve">, 2013b; Tao </w:t>
      </w:r>
      <w:r w:rsidRPr="000A1A6A">
        <w:rPr>
          <w:i/>
        </w:rPr>
        <w:t>et al</w:t>
      </w:r>
      <w:r w:rsidRPr="000A1A6A">
        <w:t>., 2015).</w:t>
      </w:r>
      <w:r w:rsidR="003B371E" w:rsidRPr="003B371E">
        <w:t xml:space="preserve"> </w:t>
      </w:r>
      <w:r w:rsidR="003B371E">
        <w:t xml:space="preserve">These suggest that significant photodegradation can potentially occur (with the formation of at least mono-dechlorinated substances), and that the anti- isomer might be more </w:t>
      </w:r>
      <w:r w:rsidR="00EF6F3E">
        <w:t>photo</w:t>
      </w:r>
      <w:r w:rsidR="003B371E">
        <w:t>degradable than the syn- isomer. However, these studies cannot be directly related to natural conditions. The light intensity might not be comparable, and the use of organic solvents could promote the generation of hydrogen radicals (especially as the substance itself does not show any significant light absorption above 260 nm).</w:t>
      </w:r>
    </w:p>
    <w:p w14:paraId="68529CFE" w14:textId="77777777" w:rsidR="000A1A6A" w:rsidRDefault="000A1A6A" w:rsidP="002836E3">
      <w:pPr>
        <w:jc w:val="both"/>
      </w:pPr>
    </w:p>
    <w:p w14:paraId="445DBCA0" w14:textId="77777777" w:rsidR="0037675C" w:rsidRPr="008A438B" w:rsidRDefault="002836E3" w:rsidP="002836E3">
      <w:pPr>
        <w:jc w:val="both"/>
      </w:pPr>
      <w:r w:rsidRPr="008A438B">
        <w:t xml:space="preserve">Dechlorane Plus will be mainly adsorbed on particulates in air (see </w:t>
      </w:r>
      <w:r w:rsidRPr="000A1A6A">
        <w:rPr>
          <w:color w:val="000000" w:themeColor="text1"/>
        </w:rPr>
        <w:t>Section</w:t>
      </w:r>
      <w:r w:rsidR="00E32EEA" w:rsidRPr="000A1A6A">
        <w:rPr>
          <w:color w:val="000000" w:themeColor="text1"/>
        </w:rPr>
        <w:t xml:space="preserve"> </w:t>
      </w:r>
      <w:r w:rsidR="00892750" w:rsidRPr="000A1A6A">
        <w:rPr>
          <w:color w:val="000000" w:themeColor="text1"/>
        </w:rPr>
        <w:t>3.2.1</w:t>
      </w:r>
      <w:r w:rsidRPr="008A438B">
        <w:t xml:space="preserve">). Particulates will shield the substance from light and inhibit radical reactions. </w:t>
      </w:r>
      <w:r w:rsidR="008A438B" w:rsidRPr="000A1A6A">
        <w:rPr>
          <w:rFonts w:cs="Arial"/>
        </w:rPr>
        <w:t xml:space="preserve"> </w:t>
      </w:r>
    </w:p>
    <w:p w14:paraId="5B1A25BB" w14:textId="77777777" w:rsidR="0037675C" w:rsidRPr="008A438B" w:rsidRDefault="0037675C" w:rsidP="002836E3">
      <w:pPr>
        <w:jc w:val="both"/>
      </w:pPr>
    </w:p>
    <w:p w14:paraId="15266E72" w14:textId="01601460" w:rsidR="002836E3" w:rsidRPr="00D479FE" w:rsidRDefault="002836E3" w:rsidP="002836E3">
      <w:pPr>
        <w:jc w:val="both"/>
      </w:pPr>
      <w:r w:rsidRPr="008A438B">
        <w:t>Nevertheless, monitoring studies provide some evidence of changes in isomer ratios with increasing distance from the source</w:t>
      </w:r>
      <w:r w:rsidR="008A438B" w:rsidRPr="000A1A6A">
        <w:rPr>
          <w:rFonts w:cs="Arial"/>
        </w:rPr>
        <w:t xml:space="preserve"> (</w:t>
      </w:r>
      <w:r w:rsidR="00C22988" w:rsidRPr="000A1A6A">
        <w:rPr>
          <w:rFonts w:cs="Arial"/>
          <w:color w:val="000000" w:themeColor="text1"/>
        </w:rPr>
        <w:t>further details are provided</w:t>
      </w:r>
      <w:r w:rsidR="00892750" w:rsidRPr="000A1A6A">
        <w:rPr>
          <w:rFonts w:cs="Arial"/>
          <w:color w:val="000000" w:themeColor="text1"/>
        </w:rPr>
        <w:t xml:space="preserve"> </w:t>
      </w:r>
      <w:r w:rsidR="00E62DFB">
        <w:rPr>
          <w:rFonts w:cs="Arial"/>
          <w:color w:val="000000" w:themeColor="text1"/>
        </w:rPr>
        <w:t xml:space="preserve">in </w:t>
      </w:r>
      <w:r w:rsidR="00EF6F3E">
        <w:rPr>
          <w:rFonts w:cs="Arial"/>
          <w:color w:val="000000" w:themeColor="text1"/>
        </w:rPr>
        <w:t>S</w:t>
      </w:r>
      <w:r w:rsidR="00892750" w:rsidRPr="000A1A6A">
        <w:rPr>
          <w:rFonts w:cs="Arial"/>
          <w:color w:val="000000" w:themeColor="text1"/>
        </w:rPr>
        <w:t xml:space="preserve">ection 3.1.1.3.1 in </w:t>
      </w:r>
      <w:r w:rsidR="003B371E">
        <w:rPr>
          <w:rFonts w:cs="Arial"/>
          <w:color w:val="000000" w:themeColor="text1"/>
        </w:rPr>
        <w:t>Appendix 1</w:t>
      </w:r>
      <w:r w:rsidR="008A438B" w:rsidRPr="000A1A6A">
        <w:rPr>
          <w:rFonts w:cs="Arial"/>
        </w:rPr>
        <w:t>)</w:t>
      </w:r>
      <w:r w:rsidRPr="008A438B">
        <w:t xml:space="preserve">. For example, Möller </w:t>
      </w:r>
      <w:r w:rsidRPr="008A438B">
        <w:rPr>
          <w:i/>
        </w:rPr>
        <w:t>et al.</w:t>
      </w:r>
      <w:r w:rsidRPr="008A438B">
        <w:t xml:space="preserve"> (2010) found that the f</w:t>
      </w:r>
      <w:r w:rsidRPr="008A438B">
        <w:rPr>
          <w:vertAlign w:val="subscript"/>
        </w:rPr>
        <w:t>anti</w:t>
      </w:r>
      <w:r w:rsidRPr="008A438B">
        <w:t xml:space="preserve"> value decreased with decreasing northern latitude (r = 0.974, </w:t>
      </w:r>
      <w:r w:rsidRPr="008A438B">
        <w:rPr>
          <w:i/>
        </w:rPr>
        <w:t>p</w:t>
      </w:r>
      <w:r w:rsidRPr="008A438B">
        <w:t xml:space="preserve"> &lt;0.01) from 0.63 to around 0.33 southwards of the equator. Yang </w:t>
      </w:r>
      <w:r w:rsidRPr="008A438B">
        <w:rPr>
          <w:i/>
        </w:rPr>
        <w:t>et al</w:t>
      </w:r>
      <w:r w:rsidRPr="008A438B">
        <w:t>. (2012) also found that the mean f</w:t>
      </w:r>
      <w:r w:rsidRPr="008A438B">
        <w:rPr>
          <w:vertAlign w:val="subscript"/>
        </w:rPr>
        <w:t>anti</w:t>
      </w:r>
      <w:r w:rsidRPr="008A438B">
        <w:t xml:space="preserve"> value was highest in spring and lowest in the autumn, although the </w:t>
      </w:r>
      <w:r w:rsidRPr="008A438B">
        <w:lastRenderedPageBreak/>
        <w:t>differences were not statistically significant (</w:t>
      </w:r>
      <w:r w:rsidRPr="008A438B">
        <w:rPr>
          <w:i/>
        </w:rPr>
        <w:t>p</w:t>
      </w:r>
      <w:r w:rsidRPr="008A438B">
        <w:t xml:space="preserve"> &gt; 0.05). These observations are often explained as being due to the effects of UV light (i.e. the anti- isomer degrading more</w:t>
      </w:r>
      <w:r w:rsidRPr="00F81344">
        <w:t xml:space="preserve"> rapidly than the syn</w:t>
      </w:r>
      <w:r>
        <w:t>-</w:t>
      </w:r>
      <w:r w:rsidRPr="00F81344">
        <w:t xml:space="preserve"> isomer</w:t>
      </w:r>
      <w:r>
        <w:t xml:space="preserve">), although Sverko </w:t>
      </w:r>
      <w:r w:rsidRPr="00F81344">
        <w:rPr>
          <w:i/>
        </w:rPr>
        <w:t>et al</w:t>
      </w:r>
      <w:r>
        <w:t xml:space="preserve">. (2011) point out that it may reflect isomerisation of </w:t>
      </w:r>
      <w:r w:rsidRPr="00F81344">
        <w:t>the anti</w:t>
      </w:r>
      <w:r>
        <w:t>-</w:t>
      </w:r>
      <w:r w:rsidRPr="00F81344">
        <w:t xml:space="preserve"> isomer to the syn</w:t>
      </w:r>
      <w:r>
        <w:t>-</w:t>
      </w:r>
      <w:r w:rsidRPr="00F81344">
        <w:t xml:space="preserve"> isomer</w:t>
      </w:r>
      <w:r>
        <w:t xml:space="preserve">. </w:t>
      </w:r>
    </w:p>
    <w:p w14:paraId="7E67DA63" w14:textId="77777777" w:rsidR="0037675C" w:rsidRDefault="0037675C" w:rsidP="002836E3">
      <w:pPr>
        <w:jc w:val="both"/>
      </w:pPr>
    </w:p>
    <w:p w14:paraId="7131F309" w14:textId="77777777" w:rsidR="002836E3" w:rsidRPr="00D479FE" w:rsidRDefault="003B371E" w:rsidP="002836E3">
      <w:pPr>
        <w:jc w:val="both"/>
      </w:pPr>
      <w:r>
        <w:t>Overall, a</w:t>
      </w:r>
      <w:r w:rsidR="002836E3">
        <w:t>tmospheric phototransformation/photolysis is likely to be of relatively low relevance to the overall fate of the substance, but may account of some of the changes in isomer fractional abundance that are observed in some matrices compared to the commercial products.</w:t>
      </w:r>
    </w:p>
    <w:p w14:paraId="24458FD7" w14:textId="77777777" w:rsidR="002836E3" w:rsidRPr="002836E3" w:rsidRDefault="002836E3" w:rsidP="00821902">
      <w:pPr>
        <w:pStyle w:val="BodyText"/>
      </w:pPr>
    </w:p>
    <w:p w14:paraId="1BABF06B" w14:textId="77777777" w:rsidR="0016056A" w:rsidRDefault="00852117" w:rsidP="00264345">
      <w:pPr>
        <w:pStyle w:val="Heading5"/>
        <w:tabs>
          <w:tab w:val="num" w:pos="284"/>
        </w:tabs>
      </w:pPr>
      <w:bookmarkStart w:id="385" w:name="_Toc341888514"/>
      <w:bookmarkStart w:id="386" w:name="_Toc342400368"/>
      <w:r w:rsidRPr="00096A9A">
        <w:t>3.1.1.3.</w:t>
      </w:r>
      <w:r w:rsidR="006D6A68" w:rsidRPr="00096A9A">
        <w:t xml:space="preserve">2 </w:t>
      </w:r>
      <w:r w:rsidR="00B12C39" w:rsidRPr="00096A9A">
        <w:t>Phototransformation in water</w:t>
      </w:r>
      <w:bookmarkEnd w:id="385"/>
      <w:bookmarkEnd w:id="386"/>
    </w:p>
    <w:p w14:paraId="2E32ED06" w14:textId="77777777" w:rsidR="00A56AEE" w:rsidRPr="000A6FDD" w:rsidRDefault="003B371E" w:rsidP="00A56AEE">
      <w:pPr>
        <w:jc w:val="both"/>
      </w:pPr>
      <w:r>
        <w:t xml:space="preserve">Details of available studies are summarised in Appendix 1 </w:t>
      </w:r>
      <w:r w:rsidRPr="003B371E">
        <w:t xml:space="preserve">(Chou </w:t>
      </w:r>
      <w:r w:rsidRPr="003B371E">
        <w:rPr>
          <w:i/>
        </w:rPr>
        <w:t>et al.</w:t>
      </w:r>
      <w:r w:rsidRPr="003B371E">
        <w:t>, 1979).</w:t>
      </w:r>
      <w:r>
        <w:t xml:space="preserve"> </w:t>
      </w:r>
      <w:r w:rsidR="00A56AEE">
        <w:t xml:space="preserve">In general, aquatic photolysis is unlikely to be a significant fate process in natural waters, since light is attenuated with increasing water depth and shading. Radical reactions may also be inhibited by humic substances. </w:t>
      </w:r>
      <w:r w:rsidR="00A56AEE" w:rsidRPr="000A6FDD">
        <w:t xml:space="preserve">The </w:t>
      </w:r>
      <w:r w:rsidR="00A56AEE">
        <w:t>available information suggests</w:t>
      </w:r>
      <w:r w:rsidR="00A56AEE" w:rsidRPr="000A6FDD">
        <w:t xml:space="preserve"> that phototransformation in water is a potential but </w:t>
      </w:r>
      <w:r w:rsidR="00A56AEE">
        <w:t>in</w:t>
      </w:r>
      <w:r w:rsidR="00A56AEE" w:rsidRPr="000A6FDD">
        <w:t>significant removal process for Dechlorane Plus</w:t>
      </w:r>
      <w:r w:rsidR="00301909" w:rsidRPr="008A438B">
        <w:t>.</w:t>
      </w:r>
    </w:p>
    <w:p w14:paraId="72BBC2D6" w14:textId="77777777" w:rsidR="00A56AEE" w:rsidRPr="00A56AEE" w:rsidRDefault="00A56AEE" w:rsidP="00821902">
      <w:pPr>
        <w:pStyle w:val="BodyText"/>
      </w:pPr>
    </w:p>
    <w:p w14:paraId="282E8CC5" w14:textId="77777777" w:rsidR="001F5783" w:rsidRDefault="00852117" w:rsidP="00264345">
      <w:pPr>
        <w:pStyle w:val="Heading5"/>
        <w:tabs>
          <w:tab w:val="num" w:pos="284"/>
        </w:tabs>
      </w:pPr>
      <w:bookmarkStart w:id="387" w:name="_Toc341888515"/>
      <w:bookmarkStart w:id="388" w:name="_Toc342400369"/>
      <w:r w:rsidRPr="00096A9A">
        <w:t xml:space="preserve">3.1.1.3.3 </w:t>
      </w:r>
      <w:r w:rsidR="00B12C39" w:rsidRPr="00096A9A">
        <w:t>Phototransformation in soil</w:t>
      </w:r>
      <w:bookmarkStart w:id="389" w:name="_Toc341888516"/>
      <w:bookmarkStart w:id="390" w:name="_Toc342400370"/>
      <w:bookmarkStart w:id="391" w:name="_Toc354499576"/>
      <w:bookmarkEnd w:id="387"/>
      <w:bookmarkEnd w:id="388"/>
    </w:p>
    <w:p w14:paraId="1CDB3351" w14:textId="77777777" w:rsidR="00A56AEE" w:rsidRPr="000A6FDD" w:rsidRDefault="00A56AEE" w:rsidP="00A56AEE">
      <w:pPr>
        <w:jc w:val="both"/>
      </w:pPr>
      <w:r w:rsidRPr="000A6FDD">
        <w:t>No data</w:t>
      </w:r>
      <w:r w:rsidR="003B371E">
        <w:t xml:space="preserve"> were</w:t>
      </w:r>
      <w:r w:rsidRPr="000A6FDD">
        <w:t xml:space="preserve"> reported by the </w:t>
      </w:r>
      <w:r>
        <w:t>Registrant</w:t>
      </w:r>
      <w:r w:rsidRPr="000A6FDD">
        <w:t xml:space="preserve">. </w:t>
      </w:r>
      <w:r>
        <w:t>Similar to water, this is unlikely to be a significant removal pathway.</w:t>
      </w:r>
    </w:p>
    <w:p w14:paraId="204C646C" w14:textId="77777777" w:rsidR="00A56AEE" w:rsidRPr="00A56AEE" w:rsidRDefault="00A56AEE" w:rsidP="00821902">
      <w:pPr>
        <w:pStyle w:val="BodyText"/>
      </w:pPr>
    </w:p>
    <w:p w14:paraId="2DB54D57" w14:textId="77777777" w:rsidR="00B12C39" w:rsidRPr="00096A9A" w:rsidRDefault="00852117" w:rsidP="00B76533">
      <w:pPr>
        <w:pStyle w:val="Heading3"/>
        <w:tabs>
          <w:tab w:val="clear" w:pos="360"/>
          <w:tab w:val="num" w:pos="0"/>
        </w:tabs>
      </w:pPr>
      <w:bookmarkStart w:id="392" w:name="_Toc357083651"/>
      <w:bookmarkStart w:id="393" w:name="_Toc357184200"/>
      <w:bookmarkStart w:id="394" w:name="_Toc357184436"/>
      <w:bookmarkStart w:id="395" w:name="_Toc357185238"/>
      <w:bookmarkStart w:id="396" w:name="_Toc357186086"/>
      <w:bookmarkStart w:id="397" w:name="_Toc357186235"/>
      <w:bookmarkStart w:id="398" w:name="_Toc357437521"/>
      <w:bookmarkStart w:id="399" w:name="_Toc357590794"/>
      <w:bookmarkStart w:id="400" w:name="_Toc357692826"/>
      <w:bookmarkStart w:id="401" w:name="_Toc365649653"/>
      <w:bookmarkStart w:id="402" w:name="_Toc365649802"/>
      <w:bookmarkStart w:id="403" w:name="_Toc366489854"/>
      <w:bookmarkStart w:id="404" w:name="_Toc418498559"/>
      <w:bookmarkStart w:id="405" w:name="_Toc418506002"/>
      <w:bookmarkStart w:id="406" w:name="_Toc491862226"/>
      <w:r w:rsidRPr="00096A9A">
        <w:t xml:space="preserve">3.1.2 </w:t>
      </w:r>
      <w:r w:rsidR="00B12C39" w:rsidRPr="00096A9A">
        <w:t>Biodegradation</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1F64CEBC" w14:textId="77777777" w:rsidR="00B12C39" w:rsidRPr="00096A9A" w:rsidRDefault="00852117" w:rsidP="00264345">
      <w:pPr>
        <w:pStyle w:val="Heading4"/>
        <w:keepNext w:val="0"/>
        <w:tabs>
          <w:tab w:val="num" w:pos="284"/>
        </w:tabs>
      </w:pPr>
      <w:bookmarkStart w:id="407" w:name="_Toc341888517"/>
      <w:bookmarkStart w:id="408" w:name="_Toc342400371"/>
      <w:r w:rsidRPr="00096A9A">
        <w:t xml:space="preserve">3.1.2.1 </w:t>
      </w:r>
      <w:r w:rsidR="00B12C39" w:rsidRPr="00096A9A">
        <w:t>Biodegradation in water</w:t>
      </w:r>
      <w:bookmarkEnd w:id="407"/>
      <w:bookmarkEnd w:id="408"/>
    </w:p>
    <w:p w14:paraId="795BCAC0" w14:textId="77777777" w:rsidR="001F5783" w:rsidRDefault="00852117" w:rsidP="00264345">
      <w:pPr>
        <w:pStyle w:val="Heading5"/>
        <w:keepNext w:val="0"/>
        <w:tabs>
          <w:tab w:val="num" w:pos="284"/>
        </w:tabs>
      </w:pPr>
      <w:r w:rsidRPr="00096A9A">
        <w:t xml:space="preserve">3.1.2.1.1 </w:t>
      </w:r>
      <w:r w:rsidR="001F5783" w:rsidRPr="00096A9A">
        <w:t>Estimated data</w:t>
      </w:r>
    </w:p>
    <w:p w14:paraId="517E1A64" w14:textId="77777777" w:rsidR="009C010F" w:rsidRPr="000A6FDD" w:rsidRDefault="009C010F" w:rsidP="009C010F">
      <w:pPr>
        <w:jc w:val="both"/>
      </w:pPr>
      <w:r w:rsidRPr="000A6FDD">
        <w:t xml:space="preserve">The </w:t>
      </w:r>
      <w:r w:rsidR="000A3AE3" w:rsidRPr="000A6FDD">
        <w:t xml:space="preserve">aerobic </w:t>
      </w:r>
      <w:r w:rsidRPr="000A6FDD">
        <w:t xml:space="preserve">biodegradation potential of the substance </w:t>
      </w:r>
      <w:r w:rsidR="000A3AE3">
        <w:t>can</w:t>
      </w:r>
      <w:r>
        <w:t xml:space="preserve"> be</w:t>
      </w:r>
      <w:r w:rsidRPr="000A6FDD">
        <w:t xml:space="preserve"> assessed using BIOWIN v4.10 (U.S. EPA, 2012). </w:t>
      </w:r>
      <w:r w:rsidR="000A3AE3">
        <w:t xml:space="preserve">It has </w:t>
      </w:r>
      <w:r w:rsidR="0055550A">
        <w:t>six different models</w:t>
      </w:r>
      <w:r w:rsidR="000A3AE3">
        <w:t xml:space="preserve"> which have been developed based on expert judgment. </w:t>
      </w:r>
      <w:r w:rsidRPr="000A6FDD">
        <w:t xml:space="preserve">The program outputs for the non-linear model (BIOWIN 2), ultimate biodegradation (BIOWIN 3) and the MITI non-linear model (BIOWIN 6) can be used </w:t>
      </w:r>
      <w:r w:rsidR="000A3AE3">
        <w:t>as a</w:t>
      </w:r>
      <w:r w:rsidRPr="000A6FDD">
        <w:t xml:space="preserve"> screening assessment of persistence (P) in accordance with the REACH Guidance R.7b (ECHA, 20</w:t>
      </w:r>
      <w:r>
        <w:t>1</w:t>
      </w:r>
      <w:r w:rsidR="00DD6E1D">
        <w:t>7</w:t>
      </w:r>
      <w:r>
        <w:t>b</w:t>
      </w:r>
      <w:r w:rsidRPr="000A6FDD">
        <w:t>).</w:t>
      </w:r>
      <w:r w:rsidR="0055550A">
        <w:t xml:space="preserve"> </w:t>
      </w:r>
      <w:r w:rsidRPr="000A6FDD">
        <w:t>The following results indicate that a substance may be persistent:</w:t>
      </w:r>
    </w:p>
    <w:p w14:paraId="6DC744DE" w14:textId="77777777" w:rsidR="0055550A" w:rsidRDefault="0055550A" w:rsidP="009C010F">
      <w:pPr>
        <w:jc w:val="both"/>
      </w:pPr>
    </w:p>
    <w:p w14:paraId="10A9F0FD" w14:textId="77777777" w:rsidR="009C010F" w:rsidRPr="000A6FDD" w:rsidRDefault="009C010F" w:rsidP="0055550A">
      <w:pPr>
        <w:ind w:left="1276"/>
        <w:jc w:val="both"/>
      </w:pPr>
      <w:r w:rsidRPr="000A6FDD">
        <w:t xml:space="preserve">BIOWIN 2: Does not biodegrade fast (&lt;0.5) or </w:t>
      </w:r>
    </w:p>
    <w:p w14:paraId="628EC298" w14:textId="2E31D3CB" w:rsidR="000A3AE3" w:rsidRPr="00EF6F3E" w:rsidRDefault="000A3AE3" w:rsidP="000A3AE3">
      <w:pPr>
        <w:ind w:left="1276"/>
        <w:jc w:val="both"/>
      </w:pPr>
      <w:r w:rsidRPr="000A6FDD">
        <w:t>BIOWIN 3: ≥</w:t>
      </w:r>
      <w:r w:rsidRPr="00822BE8">
        <w:t>months (</w:t>
      </w:r>
      <w:r w:rsidR="00990571" w:rsidRPr="00DA2190">
        <w:rPr>
          <w:rFonts w:cs="Verdana"/>
        </w:rPr>
        <w:t>&lt; 2.25 (to 2.75)</w:t>
      </w:r>
      <w:r w:rsidR="00990571" w:rsidRPr="00631EFD">
        <w:rPr>
          <w:rStyle w:val="FootnoteReference"/>
          <w:rFonts w:ascii="Verdana" w:hAnsi="Verdana" w:cs="Verdana"/>
          <w:sz w:val="20"/>
        </w:rPr>
        <w:footnoteReference w:id="5"/>
      </w:r>
      <w:r w:rsidRPr="00822BE8">
        <w:t>)</w:t>
      </w:r>
    </w:p>
    <w:p w14:paraId="19CC3343" w14:textId="77777777" w:rsidR="009C010F" w:rsidRPr="000A6FDD" w:rsidRDefault="009C010F" w:rsidP="0055550A">
      <w:pPr>
        <w:ind w:left="1276"/>
        <w:jc w:val="both"/>
      </w:pPr>
      <w:r w:rsidRPr="000A6FDD">
        <w:t xml:space="preserve">BIOWIN 6: Not readily biodegradable (&lt;0.5) and </w:t>
      </w:r>
    </w:p>
    <w:p w14:paraId="49D75659" w14:textId="77777777" w:rsidR="0055550A" w:rsidRDefault="0055550A" w:rsidP="009C010F">
      <w:pPr>
        <w:jc w:val="both"/>
      </w:pPr>
    </w:p>
    <w:p w14:paraId="65187955" w14:textId="77777777" w:rsidR="009C010F" w:rsidRPr="000A6FDD" w:rsidRDefault="000A3AE3" w:rsidP="009C010F">
      <w:pPr>
        <w:jc w:val="both"/>
      </w:pPr>
      <w:r>
        <w:t xml:space="preserve">Inputting the structural details of </w:t>
      </w:r>
      <w:r w:rsidRPr="000A6FDD">
        <w:t xml:space="preserve">Dechlorane Plus </w:t>
      </w:r>
      <w:r>
        <w:t xml:space="preserve">results in a </w:t>
      </w:r>
      <w:r w:rsidR="009C010F" w:rsidRPr="000A6FDD">
        <w:t>BIOWIN 2 value of 0, a BIOWIN 3 value of -1.</w:t>
      </w:r>
      <w:r w:rsidR="00F34C8A">
        <w:t>60</w:t>
      </w:r>
      <w:r w:rsidR="009C010F" w:rsidRPr="000A6FDD">
        <w:t xml:space="preserve"> and a BIOWIN 6 value of 0. These values </w:t>
      </w:r>
      <w:r>
        <w:t xml:space="preserve">are all significantly below the cut-offs, </w:t>
      </w:r>
      <w:r w:rsidR="009C010F" w:rsidRPr="000A6FDD">
        <w:t>indicat</w:t>
      </w:r>
      <w:r>
        <w:t>ing</w:t>
      </w:r>
      <w:r w:rsidR="009C010F" w:rsidRPr="000A6FDD">
        <w:t xml:space="preserve"> that Dechlorane Plus is not expected to be </w:t>
      </w:r>
      <w:r w:rsidRPr="000A6FDD">
        <w:t>aerobic</w:t>
      </w:r>
      <w:r>
        <w:t>ally</w:t>
      </w:r>
      <w:r w:rsidRPr="000A6FDD">
        <w:t xml:space="preserve"> </w:t>
      </w:r>
      <w:r w:rsidR="009C010F" w:rsidRPr="000A6FDD">
        <w:t>biodegradable.</w:t>
      </w:r>
    </w:p>
    <w:p w14:paraId="76F3AC62" w14:textId="77777777" w:rsidR="0055550A" w:rsidRDefault="0055550A" w:rsidP="009C010F">
      <w:pPr>
        <w:jc w:val="both"/>
      </w:pPr>
    </w:p>
    <w:p w14:paraId="7D292B20" w14:textId="5FE17C63" w:rsidR="00AF260E" w:rsidRPr="000A6FDD" w:rsidRDefault="009C010F" w:rsidP="009C010F">
      <w:pPr>
        <w:jc w:val="both"/>
      </w:pPr>
      <w:r w:rsidRPr="000A6FDD">
        <w:t xml:space="preserve">With regard to validity, the BIOWIN </w:t>
      </w:r>
      <w:r w:rsidR="000A3AE3">
        <w:t>models</w:t>
      </w:r>
      <w:r w:rsidRPr="000A6FDD">
        <w:t xml:space="preserve"> are based on structural group contributions and there is no </w:t>
      </w:r>
      <w:r w:rsidR="000A3AE3" w:rsidRPr="000A6FDD">
        <w:t xml:space="preserve">defined </w:t>
      </w:r>
      <w:r w:rsidRPr="000A6FDD">
        <w:t xml:space="preserve">estimation domain as such. The software providers acknowledge that multiple occurrences of a contributing positive fragment group can sometimes lead to </w:t>
      </w:r>
      <w:r w:rsidR="000A3AE3">
        <w:t xml:space="preserve">incorrect </w:t>
      </w:r>
      <w:r w:rsidRPr="000A6FDD">
        <w:t>prediction of rapid degradation</w:t>
      </w:r>
      <w:r w:rsidR="000A3AE3">
        <w:t>. I</w:t>
      </w:r>
      <w:r w:rsidRPr="000A6FDD">
        <w:t xml:space="preserve">n </w:t>
      </w:r>
      <w:r w:rsidRPr="000A6FDD">
        <w:lastRenderedPageBreak/>
        <w:t xml:space="preserve">view of the group fragment values present in Dechlorane Plus, and the prediction of </w:t>
      </w:r>
      <w:r w:rsidR="000A3AE3">
        <w:t>“</w:t>
      </w:r>
      <w:r w:rsidRPr="000A6FDD">
        <w:t>not biodegradable</w:t>
      </w:r>
      <w:r w:rsidR="000A3AE3">
        <w:t>”</w:t>
      </w:r>
      <w:r w:rsidRPr="000A6FDD">
        <w:t xml:space="preserve">, this is </w:t>
      </w:r>
      <w:r w:rsidR="000A3AE3" w:rsidRPr="000A6FDD">
        <w:t xml:space="preserve">unlikely </w:t>
      </w:r>
      <w:r w:rsidR="000A3AE3">
        <w:t xml:space="preserve">to be </w:t>
      </w:r>
      <w:r w:rsidRPr="000A6FDD">
        <w:t>a problem for the substance.</w:t>
      </w:r>
    </w:p>
    <w:p w14:paraId="2F6870D3" w14:textId="77777777" w:rsidR="0055550A" w:rsidRPr="00E511DD" w:rsidRDefault="0055550A" w:rsidP="009C010F">
      <w:pPr>
        <w:jc w:val="both"/>
      </w:pPr>
    </w:p>
    <w:p w14:paraId="3E1FE77A" w14:textId="2B82B2F7" w:rsidR="00AB51D2" w:rsidRDefault="00E511DD" w:rsidP="00E511DD">
      <w:pPr>
        <w:jc w:val="both"/>
      </w:pPr>
      <w:r w:rsidRPr="00E511DD">
        <w:rPr>
          <w:iCs/>
        </w:rPr>
        <w:t xml:space="preserve">The BIOWIN model validity is considered in detail in the appendix (section 3.1.2.1.1). </w:t>
      </w:r>
      <w:r w:rsidR="000239AA">
        <w:rPr>
          <w:iCs/>
        </w:rPr>
        <w:t xml:space="preserve">In summary </w:t>
      </w:r>
      <w:r w:rsidR="00AB51D2" w:rsidRPr="00B57F30">
        <w:t xml:space="preserve">the BIOWIN 2 and 3 model estimates have a degree of uncertainty due to </w:t>
      </w:r>
      <w:r>
        <w:t>(</w:t>
      </w:r>
      <w:r w:rsidR="00AB51D2" w:rsidRPr="00B57F30">
        <w:t xml:space="preserve">i) the lack of fragment coefficients to represent the whole </w:t>
      </w:r>
      <w:r>
        <w:t xml:space="preserve">Dechlorane Plus </w:t>
      </w:r>
      <w:r w:rsidR="00AB51D2" w:rsidRPr="00B57F30">
        <w:t xml:space="preserve">structure and, </w:t>
      </w:r>
      <w:r>
        <w:t>(</w:t>
      </w:r>
      <w:r w:rsidR="00AB51D2" w:rsidRPr="00B57F30">
        <w:t>ii) the number of identified fragments exceeding the maximum of occurrence in training set substances. The latter issue does not appear to affect the prediction that Dechlorane Plus is not biodegradable.  For BIOWIN 6,</w:t>
      </w:r>
      <w:r>
        <w:t xml:space="preserve"> the</w:t>
      </w:r>
      <w:r w:rsidR="00AB51D2" w:rsidRPr="00B57F30">
        <w:t xml:space="preserve"> Dechlorane Plus structure is fully represented by the model fragments. The number of each fragment in the Dechlorane Plus structure is also within the range of the training set. The training set substances include two chemicals, which contain the hexchloronorbornene moiety of Dechlorane Plus. The model predictions for those substances do agree with the measured data. Overall BIOWIN 6 is considered to be a relevant and reliable model for Dechlorane Plus. The model provides support to the BIOWIN 2 and 3 predictions as all three models are consistent in predicting that Dechlorane Plus does not biodegrade fast.</w:t>
      </w:r>
    </w:p>
    <w:p w14:paraId="3F67EDB3" w14:textId="77777777" w:rsidR="00AB51D2" w:rsidRPr="00B57F30" w:rsidRDefault="00AB51D2" w:rsidP="00AB51D2"/>
    <w:p w14:paraId="68FFFBB3" w14:textId="77777777" w:rsidR="00AB51D2" w:rsidRPr="00B57F30" w:rsidRDefault="00AB51D2" w:rsidP="00AB51D2">
      <w:r w:rsidRPr="00B57F30">
        <w:t>It is concluded that based on the estimated data associated uncertainties, that Dechlorane Plus is unlikely to be biodegradable.</w:t>
      </w:r>
    </w:p>
    <w:p w14:paraId="50F4103D" w14:textId="77777777" w:rsidR="00AB51D2" w:rsidRDefault="00AB51D2" w:rsidP="009C010F">
      <w:pPr>
        <w:jc w:val="both"/>
      </w:pPr>
    </w:p>
    <w:p w14:paraId="54BD0E6A" w14:textId="4896D86E" w:rsidR="009C010F" w:rsidRPr="000A6FDD" w:rsidRDefault="000239AA" w:rsidP="009C010F">
      <w:pPr>
        <w:jc w:val="both"/>
      </w:pPr>
      <w:r>
        <w:t>Overall i</w:t>
      </w:r>
      <w:r w:rsidR="009C010F" w:rsidRPr="000A6FDD">
        <w:t xml:space="preserve">t can therefore be concluded, based on estimated data, that Dechlorane Plus is </w:t>
      </w:r>
      <w:r w:rsidR="009C010F">
        <w:t>unlikely to be</w:t>
      </w:r>
      <w:r w:rsidR="009C010F" w:rsidRPr="000A6FDD">
        <w:t xml:space="preserve"> biodegradable.</w:t>
      </w:r>
    </w:p>
    <w:p w14:paraId="73DEE873" w14:textId="77777777" w:rsidR="003B13E5" w:rsidRPr="00CE417A" w:rsidRDefault="003B13E5" w:rsidP="00821902">
      <w:pPr>
        <w:jc w:val="both"/>
      </w:pPr>
    </w:p>
    <w:p w14:paraId="49886BDA" w14:textId="77777777" w:rsidR="00B12C39" w:rsidRPr="00CE417A" w:rsidRDefault="00852117" w:rsidP="00264345">
      <w:pPr>
        <w:pStyle w:val="Heading5"/>
        <w:keepNext w:val="0"/>
        <w:tabs>
          <w:tab w:val="num" w:pos="284"/>
        </w:tabs>
        <w:rPr>
          <w:szCs w:val="20"/>
        </w:rPr>
      </w:pPr>
      <w:bookmarkStart w:id="409" w:name="_Toc341888519"/>
      <w:bookmarkStart w:id="410" w:name="_Toc342400372"/>
      <w:r w:rsidRPr="00CE417A">
        <w:rPr>
          <w:szCs w:val="20"/>
        </w:rPr>
        <w:t xml:space="preserve">3.1.2.1.2 </w:t>
      </w:r>
      <w:r w:rsidR="00B12C39" w:rsidRPr="00CE417A">
        <w:rPr>
          <w:szCs w:val="20"/>
        </w:rPr>
        <w:t>Screening tests</w:t>
      </w:r>
      <w:bookmarkEnd w:id="409"/>
      <w:bookmarkEnd w:id="410"/>
    </w:p>
    <w:p w14:paraId="119E6F94" w14:textId="77777777" w:rsidR="0098119F" w:rsidRPr="00CE417A" w:rsidRDefault="0098119F" w:rsidP="0055550A">
      <w:pPr>
        <w:jc w:val="both"/>
      </w:pPr>
      <w:r w:rsidRPr="00CE417A">
        <w:t>Two old biodegradation screening studies were included in the registration dossier as key studies</w:t>
      </w:r>
      <w:r w:rsidR="0055550A">
        <w:t xml:space="preserve">, and </w:t>
      </w:r>
      <w:r w:rsidR="000B745E" w:rsidRPr="009B3F7A">
        <w:rPr>
          <w:rFonts w:cs="Arial"/>
          <w:color w:val="000000" w:themeColor="text1"/>
        </w:rPr>
        <w:t xml:space="preserve">further details are provided in </w:t>
      </w:r>
      <w:r w:rsidR="0055550A">
        <w:rPr>
          <w:rFonts w:cs="Arial"/>
          <w:color w:val="000000" w:themeColor="text1"/>
        </w:rPr>
        <w:t>Appendix 1 (</w:t>
      </w:r>
      <w:r w:rsidR="0055550A" w:rsidRPr="0055550A">
        <w:t>Boudreau, 1973;</w:t>
      </w:r>
      <w:r w:rsidR="0055550A" w:rsidRPr="0055550A">
        <w:rPr>
          <w:rFonts w:cs="Arial"/>
          <w:color w:val="000000" w:themeColor="text1"/>
        </w:rPr>
        <w:t xml:space="preserve"> </w:t>
      </w:r>
      <w:r w:rsidR="0055550A" w:rsidRPr="0055550A">
        <w:t xml:space="preserve">Chou </w:t>
      </w:r>
      <w:r w:rsidR="0055550A" w:rsidRPr="0055550A">
        <w:rPr>
          <w:i/>
        </w:rPr>
        <w:t>et al.</w:t>
      </w:r>
      <w:r w:rsidR="00146989">
        <w:t>,</w:t>
      </w:r>
      <w:r w:rsidR="0055550A" w:rsidRPr="0055550A">
        <w:t xml:space="preserve"> 1979</w:t>
      </w:r>
      <w:r w:rsidR="00866044" w:rsidRPr="00CE417A">
        <w:t xml:space="preserve">). </w:t>
      </w:r>
      <w:r w:rsidR="00146989" w:rsidRPr="000A6FDD">
        <w:t xml:space="preserve">Neither was performed according to a standard </w:t>
      </w:r>
      <w:r w:rsidR="00146989">
        <w:t xml:space="preserve">test </w:t>
      </w:r>
      <w:r w:rsidR="00146989" w:rsidRPr="000A6FDD">
        <w:t>guideline method</w:t>
      </w:r>
      <w:r w:rsidR="00146989">
        <w:t>, and neither assessed biodegradation using biological oxygen demand or carbon dioxide evolution, which would be appropriate for such an insoluble substance</w:t>
      </w:r>
      <w:r w:rsidR="00146989" w:rsidRPr="000A6FDD">
        <w:t xml:space="preserve">. No biodegradation was observed </w:t>
      </w:r>
      <w:r w:rsidR="00146989">
        <w:t>over 21 days in the first test (based on</w:t>
      </w:r>
      <w:r w:rsidR="00146989" w:rsidRPr="000A6FDD">
        <w:t xml:space="preserve"> analysis of the test substance</w:t>
      </w:r>
      <w:r w:rsidR="00146989">
        <w:t>)</w:t>
      </w:r>
      <w:r w:rsidR="00146989" w:rsidRPr="000A6FDD">
        <w:t xml:space="preserve">. </w:t>
      </w:r>
      <w:r w:rsidR="00146989">
        <w:t>In the second,</w:t>
      </w:r>
      <w:r w:rsidR="00146989" w:rsidRPr="00146989">
        <w:t xml:space="preserve"> d</w:t>
      </w:r>
      <w:r w:rsidR="00146989" w:rsidRPr="000A6FDD">
        <w:t>egradation was determined as loss of radioactivity</w:t>
      </w:r>
      <w:r w:rsidR="00146989">
        <w:t>; significant loss was observed a</w:t>
      </w:r>
      <w:r w:rsidR="00146989" w:rsidRPr="000A6FDD">
        <w:t>fter 6 weeks</w:t>
      </w:r>
      <w:r w:rsidR="00146989">
        <w:t>’ [42 days’] incubation under</w:t>
      </w:r>
      <w:r w:rsidR="00146989" w:rsidRPr="000A6FDD">
        <w:t xml:space="preserve"> aerobic conditions</w:t>
      </w:r>
      <w:r w:rsidR="00146989">
        <w:t xml:space="preserve">, but no mass balance was performed, no metabolites were detected, </w:t>
      </w:r>
      <w:r w:rsidR="00146989" w:rsidRPr="00FD1E99">
        <w:t>adsorption to sludge or bacteria cannot be excluded</w:t>
      </w:r>
      <w:r w:rsidR="00146989">
        <w:t xml:space="preserve"> and</w:t>
      </w:r>
      <w:r w:rsidR="00146989" w:rsidRPr="00FD1E99">
        <w:t xml:space="preserve"> the position of radiolabelling in the molecule </w:t>
      </w:r>
      <w:r w:rsidR="00146989">
        <w:t>wa</w:t>
      </w:r>
      <w:r w:rsidR="00146989" w:rsidRPr="00FD1E99">
        <w:t>s not</w:t>
      </w:r>
      <w:r w:rsidR="00146989">
        <w:t xml:space="preserve"> described. Consequently </w:t>
      </w:r>
      <w:r w:rsidR="00866044" w:rsidRPr="00CE417A">
        <w:t>t</w:t>
      </w:r>
      <w:r w:rsidRPr="00CE417A">
        <w:t>he Registrant concluded that Dechlorane Plus is non-biodegradable.</w:t>
      </w:r>
    </w:p>
    <w:p w14:paraId="062B2B07" w14:textId="77777777" w:rsidR="0098119F" w:rsidRPr="00146989" w:rsidRDefault="0098119F" w:rsidP="00146989">
      <w:pPr>
        <w:jc w:val="both"/>
      </w:pPr>
    </w:p>
    <w:p w14:paraId="411E701A" w14:textId="77777777" w:rsidR="0098119F" w:rsidRDefault="0098119F" w:rsidP="0098119F">
      <w:pPr>
        <w:jc w:val="both"/>
      </w:pPr>
      <w:r w:rsidRPr="00CE417A">
        <w:t>In view of the inappropriate test methods used, these screening studies provide no reliable information on the biodegrada</w:t>
      </w:r>
      <w:r w:rsidR="00146989">
        <w:t>tion potential of the substance</w:t>
      </w:r>
      <w:r w:rsidRPr="00CE417A">
        <w:t xml:space="preserve">. </w:t>
      </w:r>
    </w:p>
    <w:p w14:paraId="47BF7700" w14:textId="77777777" w:rsidR="000A3AE3" w:rsidRDefault="000A3AE3" w:rsidP="0098119F">
      <w:pPr>
        <w:jc w:val="both"/>
      </w:pPr>
    </w:p>
    <w:p w14:paraId="174527E0" w14:textId="77777777" w:rsidR="000A3AE3" w:rsidRPr="000A6FDD" w:rsidRDefault="0035182B" w:rsidP="0098119F">
      <w:pPr>
        <w:jc w:val="both"/>
      </w:pPr>
      <w:r>
        <w:t xml:space="preserve">A </w:t>
      </w:r>
      <w:r w:rsidRPr="000A6FDD">
        <w:t xml:space="preserve">modified MITI (OECD TG 301C) </w:t>
      </w:r>
      <w:r>
        <w:t xml:space="preserve">study </w:t>
      </w:r>
      <w:r w:rsidRPr="000A6FDD">
        <w:t>using an activated sludge inoculum</w:t>
      </w:r>
      <w:r>
        <w:t xml:space="preserve"> </w:t>
      </w:r>
      <w:r w:rsidRPr="00B63E7E">
        <w:t>was conducted in</w:t>
      </w:r>
      <w:r>
        <w:t xml:space="preserve"> 1974, and the limited details are summarised in Appendix 1.</w:t>
      </w:r>
      <w:r w:rsidRPr="000A6FDD">
        <w:t xml:space="preserve"> Dechlorane Plus achieved 0.6</w:t>
      </w:r>
      <w:r>
        <w:t xml:space="preserve"> </w:t>
      </w:r>
      <w:r w:rsidRPr="000A6FDD">
        <w:t>% of its theoretical biochemical</w:t>
      </w:r>
      <w:r>
        <w:t xml:space="preserve"> oxygen demand (BOD) over</w:t>
      </w:r>
      <w:r w:rsidRPr="000A6FDD">
        <w:t xml:space="preserve"> </w:t>
      </w:r>
      <w:r>
        <w:t xml:space="preserve">two weeks and </w:t>
      </w:r>
      <w:r w:rsidRPr="000A6FDD">
        <w:t>0.3</w:t>
      </w:r>
      <w:r>
        <w:t xml:space="preserve"> </w:t>
      </w:r>
      <w:r w:rsidRPr="000A6FDD">
        <w:t xml:space="preserve">% degradation was determined by </w:t>
      </w:r>
      <w:r>
        <w:t>gas chromatography</w:t>
      </w:r>
      <w:r w:rsidRPr="000A6FDD">
        <w:t>.</w:t>
      </w:r>
      <w:r>
        <w:t xml:space="preserve"> The reliability of this study cannot be assessed.</w:t>
      </w:r>
    </w:p>
    <w:p w14:paraId="53176CED" w14:textId="77777777" w:rsidR="00866044" w:rsidRDefault="00866044" w:rsidP="0098119F">
      <w:pPr>
        <w:jc w:val="both"/>
      </w:pPr>
    </w:p>
    <w:p w14:paraId="44BAB4E9" w14:textId="77777777" w:rsidR="00B12C39" w:rsidRDefault="00852117" w:rsidP="00264345">
      <w:pPr>
        <w:pStyle w:val="Heading5"/>
        <w:keepNext w:val="0"/>
        <w:tabs>
          <w:tab w:val="num" w:pos="284"/>
        </w:tabs>
      </w:pPr>
      <w:bookmarkStart w:id="411" w:name="_Toc341888520"/>
      <w:bookmarkStart w:id="412" w:name="_Toc342400373"/>
      <w:r w:rsidRPr="00096A9A">
        <w:t xml:space="preserve">3.1.2.1.3 </w:t>
      </w:r>
      <w:r w:rsidR="00B12C39" w:rsidRPr="00096A9A">
        <w:t>Simulation tests</w:t>
      </w:r>
      <w:bookmarkEnd w:id="411"/>
      <w:r w:rsidR="00B12C39" w:rsidRPr="00096A9A">
        <w:t xml:space="preserve"> (water)</w:t>
      </w:r>
      <w:bookmarkEnd w:id="412"/>
    </w:p>
    <w:p w14:paraId="49BB2F4D" w14:textId="77777777" w:rsidR="00496CA2" w:rsidRDefault="00496CA2" w:rsidP="00727777">
      <w:pPr>
        <w:jc w:val="both"/>
      </w:pPr>
      <w:r w:rsidRPr="000A6FDD">
        <w:t xml:space="preserve">No simulation </w:t>
      </w:r>
      <w:r w:rsidR="00727777">
        <w:t>data</w:t>
      </w:r>
      <w:r w:rsidRPr="000A6FDD">
        <w:t xml:space="preserve"> were presented by the </w:t>
      </w:r>
      <w:r>
        <w:t>Registrant</w:t>
      </w:r>
      <w:r w:rsidRPr="000A6FDD">
        <w:t>.</w:t>
      </w:r>
      <w:r w:rsidR="00727777">
        <w:t xml:space="preserve"> A test would be technically very challenging given the reported solubility in pure water.</w:t>
      </w:r>
    </w:p>
    <w:p w14:paraId="2D1282F4" w14:textId="77777777" w:rsidR="004B6974" w:rsidRPr="00366F87" w:rsidRDefault="004B6974" w:rsidP="00821902">
      <w:pPr>
        <w:pStyle w:val="BodyText"/>
      </w:pPr>
    </w:p>
    <w:p w14:paraId="3A368649" w14:textId="77777777" w:rsidR="00CE417A" w:rsidRDefault="00852117" w:rsidP="00821902">
      <w:pPr>
        <w:pStyle w:val="Heading4"/>
      </w:pPr>
      <w:bookmarkStart w:id="413" w:name="_Toc341888522"/>
      <w:bookmarkStart w:id="414" w:name="_Toc342400374"/>
      <w:r w:rsidRPr="00096A9A">
        <w:t xml:space="preserve">3.1.2.2 </w:t>
      </w:r>
      <w:r w:rsidR="00B12C39" w:rsidRPr="00096A9A">
        <w:t xml:space="preserve">Biodegradation in </w:t>
      </w:r>
      <w:r w:rsidR="00CE417A">
        <w:t>sediment</w:t>
      </w:r>
      <w:bookmarkStart w:id="415" w:name="_Toc202255467"/>
      <w:bookmarkStart w:id="416" w:name="_Toc265765479"/>
      <w:bookmarkEnd w:id="413"/>
      <w:bookmarkEnd w:id="414"/>
    </w:p>
    <w:p w14:paraId="58CA6879" w14:textId="77777777" w:rsidR="00812E8C" w:rsidRDefault="00812E8C" w:rsidP="00CE417A">
      <w:pPr>
        <w:pStyle w:val="BodyText"/>
        <w:jc w:val="both"/>
      </w:pPr>
      <w:r>
        <w:t>No data</w:t>
      </w:r>
      <w:r w:rsidR="00735F74">
        <w:t xml:space="preserve"> are available in the registration dossier</w:t>
      </w:r>
      <w:r>
        <w:t>.</w:t>
      </w:r>
    </w:p>
    <w:p w14:paraId="6816CE82" w14:textId="77777777" w:rsidR="000A3AE3" w:rsidRDefault="000A3AE3" w:rsidP="000A3AE3">
      <w:pPr>
        <w:pStyle w:val="BodyText"/>
      </w:pPr>
      <w:r w:rsidRPr="004E6B0D">
        <w:rPr>
          <w:u w:val="single"/>
        </w:rPr>
        <w:lastRenderedPageBreak/>
        <w:t xml:space="preserve">Qiu </w:t>
      </w:r>
      <w:r w:rsidRPr="004E6B0D">
        <w:rPr>
          <w:i/>
          <w:u w:val="single"/>
        </w:rPr>
        <w:t>et al</w:t>
      </w:r>
      <w:r w:rsidRPr="004E6B0D">
        <w:rPr>
          <w:u w:val="single"/>
        </w:rPr>
        <w:t>. (2007)</w:t>
      </w:r>
      <w:r>
        <w:t xml:space="preserve"> measured Dechlorane Plus in a sediment core from central Lake Ontario, Canada. There was a linear trend (r</w:t>
      </w:r>
      <w:r w:rsidRPr="003F56A4">
        <w:rPr>
          <w:vertAlign w:val="superscript"/>
        </w:rPr>
        <w:t>2</w:t>
      </w:r>
      <w:r>
        <w:t xml:space="preserve"> = 0.739) of increasing </w:t>
      </w:r>
      <w:r w:rsidRPr="00E43725">
        <w:rPr>
          <w:szCs w:val="24"/>
          <w:lang w:val="en-US"/>
        </w:rPr>
        <w:t>f</w:t>
      </w:r>
      <w:r w:rsidRPr="00E43725">
        <w:rPr>
          <w:szCs w:val="24"/>
          <w:vertAlign w:val="subscript"/>
          <w:lang w:val="en-US"/>
        </w:rPr>
        <w:t>anti</w:t>
      </w:r>
      <w:r w:rsidRPr="00E43725">
        <w:rPr>
          <w:szCs w:val="24"/>
          <w:lang w:val="en-US"/>
        </w:rPr>
        <w:t xml:space="preserve"> value</w:t>
      </w:r>
      <w:r>
        <w:t xml:space="preserve">s with time, from an </w:t>
      </w:r>
      <w:r w:rsidRPr="00E43725">
        <w:rPr>
          <w:szCs w:val="24"/>
          <w:lang w:val="en-US"/>
        </w:rPr>
        <w:t>average</w:t>
      </w:r>
      <w:r>
        <w:t xml:space="preserve"> of</w:t>
      </w:r>
      <w:r w:rsidRPr="00E43725">
        <w:rPr>
          <w:szCs w:val="24"/>
          <w:lang w:val="en-US"/>
        </w:rPr>
        <w:t xml:space="preserve"> 0.76</w:t>
      </w:r>
      <w:r>
        <w:t xml:space="preserve"> in </w:t>
      </w:r>
      <w:r w:rsidRPr="00E43725">
        <w:rPr>
          <w:szCs w:val="24"/>
          <w:lang w:val="en-US"/>
        </w:rPr>
        <w:t>surficial</w:t>
      </w:r>
      <w:r>
        <w:t xml:space="preserve"> (recent) sediments to </w:t>
      </w:r>
      <w:r w:rsidRPr="00E43725">
        <w:rPr>
          <w:szCs w:val="24"/>
          <w:lang w:val="en-US"/>
        </w:rPr>
        <w:t>&gt;0.90</w:t>
      </w:r>
      <w:r>
        <w:t xml:space="preserve"> </w:t>
      </w:r>
      <w:r w:rsidRPr="00E43725">
        <w:rPr>
          <w:szCs w:val="24"/>
          <w:lang w:val="en-US"/>
        </w:rPr>
        <w:t>in the deeper</w:t>
      </w:r>
      <w:r>
        <w:t xml:space="preserve"> </w:t>
      </w:r>
      <w:r w:rsidRPr="00E43725">
        <w:rPr>
          <w:szCs w:val="24"/>
          <w:lang w:val="en-US"/>
        </w:rPr>
        <w:t>layers</w:t>
      </w:r>
      <w:r>
        <w:t xml:space="preserve"> corresponding to </w:t>
      </w:r>
      <w:r w:rsidRPr="00E43725">
        <w:rPr>
          <w:szCs w:val="24"/>
          <w:lang w:val="en-US"/>
        </w:rPr>
        <w:t>around 1980. This suggest</w:t>
      </w:r>
      <w:r>
        <w:t>s</w:t>
      </w:r>
      <w:r w:rsidRPr="00E43725">
        <w:rPr>
          <w:szCs w:val="24"/>
          <w:lang w:val="en-US"/>
        </w:rPr>
        <w:t xml:space="preserve"> that the anti</w:t>
      </w:r>
      <w:r>
        <w:t xml:space="preserve">- </w:t>
      </w:r>
      <w:r w:rsidRPr="00E43725">
        <w:rPr>
          <w:szCs w:val="24"/>
          <w:lang w:val="en-US"/>
        </w:rPr>
        <w:t xml:space="preserve">isomer </w:t>
      </w:r>
      <w:r>
        <w:rPr>
          <w:szCs w:val="24"/>
          <w:lang w:val="en-US"/>
        </w:rPr>
        <w:t>could be</w:t>
      </w:r>
      <w:r w:rsidRPr="00E43725">
        <w:rPr>
          <w:szCs w:val="24"/>
          <w:lang w:val="en-US"/>
        </w:rPr>
        <w:t xml:space="preserve"> more persistent than the syn</w:t>
      </w:r>
      <w:r>
        <w:t xml:space="preserve">- </w:t>
      </w:r>
      <w:r w:rsidRPr="00E43725">
        <w:rPr>
          <w:szCs w:val="24"/>
          <w:lang w:val="en-US"/>
        </w:rPr>
        <w:t>isomer in sediment</w:t>
      </w:r>
      <w:r>
        <w:rPr>
          <w:szCs w:val="24"/>
          <w:lang w:val="en-US"/>
        </w:rPr>
        <w:t xml:space="preserve"> (although the variation of </w:t>
      </w:r>
      <w:r w:rsidRPr="00E43725">
        <w:rPr>
          <w:szCs w:val="24"/>
          <w:lang w:val="en-US"/>
        </w:rPr>
        <w:t>f</w:t>
      </w:r>
      <w:r w:rsidRPr="00E43725">
        <w:rPr>
          <w:szCs w:val="24"/>
          <w:vertAlign w:val="subscript"/>
          <w:lang w:val="en-US"/>
        </w:rPr>
        <w:t>anti</w:t>
      </w:r>
      <w:r w:rsidRPr="00E43725">
        <w:rPr>
          <w:szCs w:val="24"/>
          <w:lang w:val="en-US"/>
        </w:rPr>
        <w:t xml:space="preserve"> </w:t>
      </w:r>
      <w:r>
        <w:rPr>
          <w:szCs w:val="24"/>
          <w:lang w:val="en-US"/>
        </w:rPr>
        <w:t>in commercial batches over this time period is not known, and it could also reflect the isomerisation of the syn- isomer to the anti-)</w:t>
      </w:r>
      <w:r>
        <w:t>.</w:t>
      </w:r>
    </w:p>
    <w:p w14:paraId="4DFD4849" w14:textId="77777777" w:rsidR="000A3AE3" w:rsidRPr="00DA058C" w:rsidRDefault="000A3AE3" w:rsidP="000A3AE3">
      <w:pPr>
        <w:pStyle w:val="BodyText"/>
      </w:pPr>
      <w:r w:rsidRPr="004E6B0D">
        <w:rPr>
          <w:u w:val="single"/>
        </w:rPr>
        <w:t xml:space="preserve">Wang </w:t>
      </w:r>
      <w:r w:rsidRPr="004E6B0D">
        <w:rPr>
          <w:i/>
          <w:u w:val="single"/>
        </w:rPr>
        <w:t>et al</w:t>
      </w:r>
      <w:r w:rsidRPr="004E6B0D">
        <w:rPr>
          <w:u w:val="single"/>
        </w:rPr>
        <w:t>. (2010)</w:t>
      </w:r>
      <w:r w:rsidRPr="00E37FA1">
        <w:t xml:space="preserve"> </w:t>
      </w:r>
      <w:r>
        <w:t xml:space="preserve">measured </w:t>
      </w:r>
      <w:r w:rsidRPr="00E37FA1">
        <w:t>f</w:t>
      </w:r>
      <w:r w:rsidRPr="00C451DB">
        <w:rPr>
          <w:vertAlign w:val="subscript"/>
        </w:rPr>
        <w:t>anti</w:t>
      </w:r>
      <w:r>
        <w:t xml:space="preserve"> </w:t>
      </w:r>
      <w:r w:rsidRPr="00E37FA1">
        <w:t>value</w:t>
      </w:r>
      <w:r>
        <w:t>s in two freshwater sediment samples collected from a canal close to</w:t>
      </w:r>
      <w:r w:rsidRPr="00E37FA1">
        <w:t xml:space="preserve"> </w:t>
      </w:r>
      <w:r>
        <w:t>the Chinese</w:t>
      </w:r>
      <w:r w:rsidRPr="00E37FA1">
        <w:t xml:space="preserve"> manufacturing </w:t>
      </w:r>
      <w:r>
        <w:t>facility</w:t>
      </w:r>
      <w:r w:rsidRPr="00E37FA1">
        <w:t>.</w:t>
      </w:r>
      <w:r>
        <w:t xml:space="preserve"> An </w:t>
      </w:r>
      <w:r w:rsidRPr="00E37FA1">
        <w:t>f</w:t>
      </w:r>
      <w:r w:rsidRPr="00C451DB">
        <w:rPr>
          <w:vertAlign w:val="subscript"/>
        </w:rPr>
        <w:t>anti</w:t>
      </w:r>
      <w:r>
        <w:t xml:space="preserve"> </w:t>
      </w:r>
      <w:r w:rsidRPr="00E37FA1">
        <w:t>value</w:t>
      </w:r>
      <w:r>
        <w:t xml:space="preserve"> of </w:t>
      </w:r>
      <w:r w:rsidRPr="00DA058C">
        <w:t>0.</w:t>
      </w:r>
      <w:r>
        <w:t>76</w:t>
      </w:r>
      <w:r w:rsidRPr="00DA058C">
        <w:t xml:space="preserve"> in the surficial layer</w:t>
      </w:r>
      <w:r>
        <w:t xml:space="preserve"> (0-5 cm) contrasted with a value of</w:t>
      </w:r>
      <w:r w:rsidRPr="00DA058C">
        <w:t xml:space="preserve"> 0.</w:t>
      </w:r>
      <w:r>
        <w:t>70</w:t>
      </w:r>
      <w:r w:rsidRPr="00DA058C">
        <w:t xml:space="preserve"> in </w:t>
      </w:r>
      <w:r>
        <w:t>a</w:t>
      </w:r>
      <w:r w:rsidRPr="00DA058C">
        <w:t xml:space="preserve"> deepe</w:t>
      </w:r>
      <w:r>
        <w:t>r</w:t>
      </w:r>
      <w:r w:rsidRPr="00DA058C">
        <w:t xml:space="preserve"> layer (</w:t>
      </w:r>
      <w:r>
        <w:t>15</w:t>
      </w:r>
      <w:r w:rsidRPr="00DA058C">
        <w:t>-</w:t>
      </w:r>
      <w:r>
        <w:t>2</w:t>
      </w:r>
      <w:r w:rsidRPr="00DA058C">
        <w:t>0</w:t>
      </w:r>
      <w:r>
        <w:t xml:space="preserve"> </w:t>
      </w:r>
      <w:r w:rsidRPr="00DA058C">
        <w:t>cm). Th</w:t>
      </w:r>
      <w:r>
        <w:t xml:space="preserve">e study authors contrast these with the measured </w:t>
      </w:r>
      <w:r w:rsidRPr="00E37FA1">
        <w:t>f</w:t>
      </w:r>
      <w:r w:rsidRPr="00C451DB">
        <w:rPr>
          <w:vertAlign w:val="subscript"/>
        </w:rPr>
        <w:t>anti</w:t>
      </w:r>
      <w:r>
        <w:t xml:space="preserve"> </w:t>
      </w:r>
      <w:r w:rsidRPr="00E37FA1">
        <w:t>value</w:t>
      </w:r>
      <w:r>
        <w:t xml:space="preserve"> of the Chinese commercial product (0.60) and </w:t>
      </w:r>
      <w:r w:rsidR="0035182B">
        <w:t>speculate</w:t>
      </w:r>
      <w:r>
        <w:t xml:space="preserve"> that this </w:t>
      </w:r>
      <w:r w:rsidRPr="00DA058C">
        <w:t>impl</w:t>
      </w:r>
      <w:r>
        <w:t>ies</w:t>
      </w:r>
      <w:r w:rsidRPr="00DA058C">
        <w:t xml:space="preserve"> a stereoselective depletion</w:t>
      </w:r>
      <w:r>
        <w:t xml:space="preserve"> </w:t>
      </w:r>
      <w:r w:rsidRPr="00DA058C">
        <w:t>of</w:t>
      </w:r>
      <w:r>
        <w:t xml:space="preserve"> the</w:t>
      </w:r>
      <w:r w:rsidRPr="00DA058C">
        <w:t xml:space="preserve"> syn-</w:t>
      </w:r>
      <w:r>
        <w:t xml:space="preserve"> isomer</w:t>
      </w:r>
      <w:r w:rsidRPr="00DA058C">
        <w:t xml:space="preserve"> in </w:t>
      </w:r>
      <w:r>
        <w:t>sediment</w:t>
      </w:r>
      <w:r w:rsidRPr="00DA058C">
        <w:t>.</w:t>
      </w:r>
      <w:r>
        <w:t xml:space="preserve"> </w:t>
      </w:r>
    </w:p>
    <w:p w14:paraId="08CB0A6A" w14:textId="77777777" w:rsidR="000A3AE3" w:rsidRPr="000A3AE3" w:rsidRDefault="000A3AE3" w:rsidP="000A3AE3">
      <w:pPr>
        <w:pStyle w:val="NormalWeb"/>
        <w:shd w:val="clear" w:color="auto" w:fill="FFFFFF"/>
        <w:jc w:val="both"/>
        <w:rPr>
          <w:rFonts w:ascii="Verdana" w:hAnsi="Verdana"/>
          <w:sz w:val="20"/>
          <w:szCs w:val="20"/>
        </w:rPr>
      </w:pPr>
      <w:r w:rsidRPr="000A3AE3">
        <w:rPr>
          <w:rFonts w:ascii="Verdana" w:hAnsi="Verdana"/>
          <w:sz w:val="20"/>
          <w:szCs w:val="20"/>
          <w:u w:val="single"/>
        </w:rPr>
        <w:t xml:space="preserve">Fang </w:t>
      </w:r>
      <w:r w:rsidRPr="000A3AE3">
        <w:rPr>
          <w:rFonts w:ascii="Verdana" w:hAnsi="Verdana"/>
          <w:i/>
          <w:sz w:val="20"/>
          <w:szCs w:val="20"/>
          <w:u w:val="single"/>
        </w:rPr>
        <w:t>et al</w:t>
      </w:r>
      <w:r w:rsidRPr="000A3AE3">
        <w:rPr>
          <w:rFonts w:ascii="Verdana" w:hAnsi="Verdana"/>
          <w:sz w:val="20"/>
          <w:szCs w:val="20"/>
          <w:u w:val="single"/>
        </w:rPr>
        <w:t>. (2014)</w:t>
      </w:r>
      <w:r w:rsidRPr="000A3AE3">
        <w:rPr>
          <w:rFonts w:ascii="Verdana" w:hAnsi="Verdana"/>
          <w:sz w:val="20"/>
          <w:szCs w:val="20"/>
        </w:rPr>
        <w:t xml:space="preserve"> investigated the distribution of Dechlorane Plus in marine sediments from South Korea. The </w:t>
      </w:r>
      <w:r w:rsidRPr="000A3AE3">
        <w:rPr>
          <w:rFonts w:ascii="Verdana" w:hAnsi="Verdana"/>
          <w:sz w:val="20"/>
          <w:szCs w:val="20"/>
          <w:lang w:eastAsia="en-US"/>
        </w:rPr>
        <w:t>highest concentrations (451.2 and 149.9 µg/kg dw for the two bays studied) were detected in the finest grain size (&lt; 10 μm). The f</w:t>
      </w:r>
      <w:r w:rsidRPr="000A3AE3">
        <w:rPr>
          <w:rFonts w:ascii="Verdana" w:hAnsi="Verdana"/>
          <w:sz w:val="20"/>
          <w:szCs w:val="20"/>
          <w:vertAlign w:val="subscript"/>
          <w:lang w:eastAsia="en-US"/>
        </w:rPr>
        <w:t>anti</w:t>
      </w:r>
      <w:r w:rsidRPr="000A3AE3">
        <w:rPr>
          <w:rFonts w:ascii="Verdana" w:hAnsi="Verdana"/>
          <w:sz w:val="20"/>
          <w:szCs w:val="20"/>
          <w:lang w:eastAsia="en-US"/>
        </w:rPr>
        <w:t xml:space="preserve"> in the two fractionated samples increased with reduced grain size and significantly correlated with organic carbon content. </w:t>
      </w:r>
      <w:r w:rsidRPr="000A3AE3">
        <w:rPr>
          <w:rFonts w:ascii="Verdana" w:hAnsi="Verdana"/>
          <w:color w:val="000000"/>
          <w:sz w:val="20"/>
          <w:szCs w:val="20"/>
          <w:lang w:val="en-US"/>
        </w:rPr>
        <w:t xml:space="preserve">The study authors hypothesised that the enrichment of the anti- isomer was likely to be due to preferential biodegradation of the syn- isomer in the sediment. </w:t>
      </w:r>
    </w:p>
    <w:p w14:paraId="705B3B94" w14:textId="77777777" w:rsidR="000A3AE3" w:rsidRPr="000A3AE3" w:rsidRDefault="000A3AE3" w:rsidP="00CE417A">
      <w:pPr>
        <w:pStyle w:val="BodyText"/>
        <w:jc w:val="both"/>
        <w:rPr>
          <w:b/>
          <w:i/>
        </w:rPr>
      </w:pPr>
      <w:r w:rsidRPr="000A3AE3">
        <w:rPr>
          <w:b/>
          <w:i/>
        </w:rPr>
        <w:t>Discussion</w:t>
      </w:r>
    </w:p>
    <w:p w14:paraId="77098A02" w14:textId="77777777" w:rsidR="00CE417A" w:rsidRPr="000A6FDD" w:rsidRDefault="000A3AE3" w:rsidP="00CE417A">
      <w:pPr>
        <w:pStyle w:val="BodyText"/>
        <w:jc w:val="both"/>
      </w:pPr>
      <w:r>
        <w:t>Dechlorane Plus is very hydrophobic, so it is not surprising that these three a</w:t>
      </w:r>
      <w:r w:rsidR="00735F74">
        <w:t xml:space="preserve">cademic studies </w:t>
      </w:r>
      <w:r w:rsidR="00CE417A">
        <w:t xml:space="preserve">indicate that </w:t>
      </w:r>
      <w:r>
        <w:t>it</w:t>
      </w:r>
      <w:r w:rsidR="00CE417A">
        <w:t xml:space="preserve"> accumulates in sediments</w:t>
      </w:r>
      <w:r>
        <w:t xml:space="preserve">. The study of </w:t>
      </w:r>
      <w:r w:rsidRPr="000A3AE3">
        <w:t xml:space="preserve">Qiu </w:t>
      </w:r>
      <w:r w:rsidRPr="000A3AE3">
        <w:rPr>
          <w:i/>
        </w:rPr>
        <w:t>et al</w:t>
      </w:r>
      <w:r w:rsidRPr="000A3AE3">
        <w:t>. (2007)</w:t>
      </w:r>
      <w:r>
        <w:t xml:space="preserve"> suggests that it can still be present over thirty years after initial deposition. However, it is not possible</w:t>
      </w:r>
      <w:r w:rsidR="00735F74">
        <w:t xml:space="preserve"> to estimate sediment degradation half-lives</w:t>
      </w:r>
      <w:r w:rsidR="00CE417A">
        <w:t xml:space="preserve">. </w:t>
      </w:r>
      <w:r>
        <w:t xml:space="preserve">This is because the initial amount of substance deposited in the sediment is unknown, and the nature of the sediment (e.g. in terms of heavy metal content and presence of other substances, which may inhibit micro-organisms) is not described. </w:t>
      </w:r>
    </w:p>
    <w:p w14:paraId="440068A3" w14:textId="77777777" w:rsidR="00CE417A" w:rsidRDefault="003B13E5" w:rsidP="00CE417A">
      <w:pPr>
        <w:pStyle w:val="Heading4"/>
      </w:pPr>
      <w:r w:rsidRPr="003B13E5">
        <w:t xml:space="preserve"> </w:t>
      </w:r>
      <w:bookmarkEnd w:id="415"/>
      <w:bookmarkEnd w:id="416"/>
      <w:r w:rsidR="00CE417A" w:rsidRPr="00096A9A">
        <w:t>3.1.2.</w:t>
      </w:r>
      <w:r w:rsidR="00CE417A">
        <w:t>3</w:t>
      </w:r>
      <w:r w:rsidR="00CE417A" w:rsidRPr="00096A9A">
        <w:t xml:space="preserve"> Biodegradation in soil</w:t>
      </w:r>
    </w:p>
    <w:p w14:paraId="5EBAFD12" w14:textId="77777777" w:rsidR="00735F74" w:rsidRPr="000A6FDD" w:rsidRDefault="00735F74" w:rsidP="00735F74">
      <w:pPr>
        <w:pStyle w:val="BodyText"/>
        <w:jc w:val="both"/>
      </w:pPr>
      <w:r>
        <w:t xml:space="preserve">No standard simulation data are available. The registration dossier summarises a </w:t>
      </w:r>
      <w:r w:rsidR="0035182B">
        <w:t xml:space="preserve">monitoring </w:t>
      </w:r>
      <w:r>
        <w:t xml:space="preserve">study by </w:t>
      </w:r>
      <w:r w:rsidRPr="00735F74">
        <w:t xml:space="preserve">Wang </w:t>
      </w:r>
      <w:r w:rsidRPr="00735F74">
        <w:rPr>
          <w:i/>
        </w:rPr>
        <w:t>et al</w:t>
      </w:r>
      <w:r w:rsidRPr="00735F74">
        <w:t>. (2010)</w:t>
      </w:r>
      <w:r>
        <w:t xml:space="preserve"> </w:t>
      </w:r>
      <w:r w:rsidR="0035182B">
        <w:t xml:space="preserve">which indicates that the substance can be detected in layers up to one metre deep </w:t>
      </w:r>
      <w:r>
        <w:t>(see Appendix 1)</w:t>
      </w:r>
      <w:r w:rsidRPr="00735F74">
        <w:t>,</w:t>
      </w:r>
      <w:r>
        <w:t xml:space="preserve"> but it cannot be used to estimate soil degradation half-lives</w:t>
      </w:r>
      <w:r w:rsidR="0035182B">
        <w:t xml:space="preserve"> for similar reasons to the sediment studies</w:t>
      </w:r>
      <w:r>
        <w:t xml:space="preserve">. </w:t>
      </w:r>
    </w:p>
    <w:p w14:paraId="468B7CCC" w14:textId="77777777" w:rsidR="003B13E5" w:rsidRPr="00B658C7" w:rsidRDefault="00367703" w:rsidP="00B658C7">
      <w:pPr>
        <w:pStyle w:val="Heading4"/>
      </w:pPr>
      <w:bookmarkStart w:id="417" w:name="SubSectionNumber:3.2.1"/>
      <w:bookmarkStart w:id="418" w:name="EndSubSectionNumber:3.2.1"/>
      <w:bookmarkStart w:id="419" w:name="SubSectionNumber:3.2.2"/>
      <w:bookmarkStart w:id="420" w:name="EndSubSectionNumber:3.2.2"/>
      <w:bookmarkStart w:id="421" w:name="SubSectionNumber:3.2.3"/>
      <w:bookmarkStart w:id="422" w:name="EndSectionNumber:3.3"/>
      <w:bookmarkStart w:id="423" w:name="SectionNumber:3.4"/>
      <w:bookmarkEnd w:id="417"/>
      <w:bookmarkEnd w:id="418"/>
      <w:bookmarkEnd w:id="419"/>
      <w:bookmarkEnd w:id="420"/>
      <w:bookmarkEnd w:id="421"/>
      <w:bookmarkEnd w:id="422"/>
      <w:bookmarkEnd w:id="423"/>
      <w:r w:rsidRPr="00096A9A">
        <w:t>3.1.2.</w:t>
      </w:r>
      <w:r w:rsidR="00B658C7">
        <w:t>4</w:t>
      </w:r>
      <w:r w:rsidRPr="00096A9A">
        <w:t xml:space="preserve"> </w:t>
      </w:r>
      <w:r w:rsidR="003B13E5">
        <w:t>A</w:t>
      </w:r>
      <w:r w:rsidR="003B13E5" w:rsidRPr="00DF4E18">
        <w:t>nalogue</w:t>
      </w:r>
      <w:r w:rsidR="003B13E5" w:rsidRPr="00B658C7">
        <w:t xml:space="preserve"> data</w:t>
      </w:r>
    </w:p>
    <w:p w14:paraId="703F6F1B" w14:textId="77777777" w:rsidR="00842B6B" w:rsidRDefault="003B13E5" w:rsidP="000F274B">
      <w:pPr>
        <w:autoSpaceDE w:val="0"/>
        <w:autoSpaceDN w:val="0"/>
        <w:adjustRightInd w:val="0"/>
        <w:spacing w:after="120"/>
        <w:jc w:val="both"/>
      </w:pPr>
      <w:r w:rsidRPr="00DF4E18">
        <w:t xml:space="preserve">In view of the lack of </w:t>
      </w:r>
      <w:r w:rsidR="00B658C7">
        <w:t xml:space="preserve">definitive </w:t>
      </w:r>
      <w:r w:rsidR="00B658C7" w:rsidRPr="00DF4E18">
        <w:t xml:space="preserve">degradation </w:t>
      </w:r>
      <w:r w:rsidR="00B658C7">
        <w:t xml:space="preserve">half-life data in water, </w:t>
      </w:r>
      <w:r w:rsidRPr="00DF4E18">
        <w:t xml:space="preserve">sediment and soil </w:t>
      </w:r>
      <w:r w:rsidR="00B658C7">
        <w:t xml:space="preserve">it is appropriate to </w:t>
      </w:r>
      <w:r w:rsidRPr="00DF4E18">
        <w:t>consider</w:t>
      </w:r>
      <w:r w:rsidR="00B658C7">
        <w:t xml:space="preserve"> information from </w:t>
      </w:r>
      <w:r w:rsidRPr="00DF4E18">
        <w:t>analogue</w:t>
      </w:r>
      <w:r w:rsidR="00B658C7">
        <w:t>s</w:t>
      </w:r>
      <w:r w:rsidRPr="00DF4E18">
        <w:t xml:space="preserve">. </w:t>
      </w:r>
      <w:r w:rsidR="0035182B">
        <w:t>As discussed in Sec</w:t>
      </w:r>
      <w:r w:rsidR="00812E8C">
        <w:t>tion 1</w:t>
      </w:r>
      <w:r w:rsidR="000F274B">
        <w:t>.4</w:t>
      </w:r>
      <w:r w:rsidR="00812E8C">
        <w:t xml:space="preserve"> </w:t>
      </w:r>
      <w:r w:rsidR="00042A57">
        <w:t>there are ten</w:t>
      </w:r>
      <w:r w:rsidRPr="00DF4E18">
        <w:t xml:space="preserve"> potential analogues to Dechlorane Plus based on a common hexachlorinated norbornene moiety: chlordane, heptachlor, dieldrin</w:t>
      </w:r>
      <w:r>
        <w:t>/</w:t>
      </w:r>
      <w:r w:rsidRPr="00DF4E18">
        <w:t>endrin</w:t>
      </w:r>
      <w:r>
        <w:t>,</w:t>
      </w:r>
      <w:r w:rsidRPr="00DF4E18">
        <w:t xml:space="preserve"> aldrin, endosulfan</w:t>
      </w:r>
      <w:r w:rsidR="00042A57">
        <w:t>,</w:t>
      </w:r>
      <w:r w:rsidRPr="00DF4E18">
        <w:t xml:space="preserve"> chlor</w:t>
      </w:r>
      <w:r w:rsidR="00042A57">
        <w:t>en</w:t>
      </w:r>
      <w:r w:rsidRPr="00DF4E18">
        <w:t>dic acid</w:t>
      </w:r>
      <w:r w:rsidR="00042A57">
        <w:t xml:space="preserve">, </w:t>
      </w:r>
      <w:r w:rsidR="00042A57" w:rsidRPr="00042A57">
        <w:t>Dechlorane 602</w:t>
      </w:r>
      <w:r w:rsidR="00842B6B">
        <w:t>,</w:t>
      </w:r>
      <w:r w:rsidR="00042A57" w:rsidRPr="00042A57">
        <w:t xml:space="preserve"> Dechlorane 603</w:t>
      </w:r>
      <w:r w:rsidR="00842B6B">
        <w:t>,</w:t>
      </w:r>
      <w:r w:rsidR="00042A57" w:rsidRPr="00042A57">
        <w:t xml:space="preserve"> Dechlorane 604 </w:t>
      </w:r>
      <w:r w:rsidR="00842B6B">
        <w:t xml:space="preserve">and </w:t>
      </w:r>
      <w:r w:rsidR="00042A57" w:rsidRPr="00042A57">
        <w:t>Chlordene Plus</w:t>
      </w:r>
      <w:r w:rsidR="00042A57">
        <w:t>.</w:t>
      </w:r>
      <w:r w:rsidR="00842B6B">
        <w:t xml:space="preserve"> </w:t>
      </w:r>
    </w:p>
    <w:p w14:paraId="4C964636" w14:textId="77777777" w:rsidR="00544FD6" w:rsidRDefault="00544FD6" w:rsidP="00727777">
      <w:pPr>
        <w:spacing w:after="120"/>
        <w:jc w:val="both"/>
      </w:pPr>
      <w:r>
        <w:t xml:space="preserve">The closest </w:t>
      </w:r>
      <w:r w:rsidR="003F4D36">
        <w:t xml:space="preserve">structural </w:t>
      </w:r>
      <w:r>
        <w:t xml:space="preserve">analogues are </w:t>
      </w:r>
      <w:r w:rsidRPr="00042A57">
        <w:t xml:space="preserve">Dechlorane 603 </w:t>
      </w:r>
      <w:r>
        <w:t xml:space="preserve">and </w:t>
      </w:r>
      <w:r w:rsidRPr="00042A57">
        <w:t>Chlordene Plus</w:t>
      </w:r>
      <w:r>
        <w:t xml:space="preserve">. No </w:t>
      </w:r>
      <w:r w:rsidR="00157789">
        <w:t xml:space="preserve">standardised </w:t>
      </w:r>
      <w:r>
        <w:t>degradation data appear to be available for these (they are not registered under REACH</w:t>
      </w:r>
      <w:r w:rsidR="003F4D36">
        <w:t xml:space="preserve"> and there are no data available from a search of the OECD eChemPortal</w:t>
      </w:r>
      <w:r w:rsidR="003F4D36" w:rsidRPr="003F4D36">
        <w:rPr>
          <w:rStyle w:val="FootnoteReference"/>
          <w:rFonts w:ascii="Verdana" w:hAnsi="Verdana"/>
          <w:sz w:val="20"/>
        </w:rPr>
        <w:footnoteReference w:id="6"/>
      </w:r>
      <w:r w:rsidR="003F4D36">
        <w:t xml:space="preserve"> (accessed 13 July 2017)</w:t>
      </w:r>
      <w:r>
        <w:t>).</w:t>
      </w:r>
    </w:p>
    <w:p w14:paraId="3C105292" w14:textId="77777777" w:rsidR="00A40651" w:rsidRDefault="00842B6B" w:rsidP="00727777">
      <w:pPr>
        <w:spacing w:after="120"/>
        <w:jc w:val="both"/>
      </w:pPr>
      <w:r>
        <w:t>Five of</w:t>
      </w:r>
      <w:r w:rsidR="003B13E5" w:rsidRPr="00DF4E18">
        <w:t xml:space="preserve"> the substances</w:t>
      </w:r>
      <w:r>
        <w:t xml:space="preserve"> (</w:t>
      </w:r>
      <w:r w:rsidRPr="00DF4E18">
        <w:t>chlordane, heptachlor, dieldrin</w:t>
      </w:r>
      <w:r>
        <w:t>/</w:t>
      </w:r>
      <w:r w:rsidRPr="00DF4E18">
        <w:t>endrin</w:t>
      </w:r>
      <w:r>
        <w:t>,</w:t>
      </w:r>
      <w:r w:rsidRPr="00DF4E18">
        <w:t xml:space="preserve"> aldrin</w:t>
      </w:r>
      <w:r>
        <w:t xml:space="preserve"> and </w:t>
      </w:r>
      <w:r w:rsidRPr="00DF4E18">
        <w:lastRenderedPageBreak/>
        <w:t>endosulfan</w:t>
      </w:r>
      <w:r>
        <w:t>)</w:t>
      </w:r>
      <w:r w:rsidR="003B13E5" w:rsidRPr="00DF4E18">
        <w:t xml:space="preserve"> are identified as Persistent Organic Pollutants (POPs) under the Stockholm Convention. </w:t>
      </w:r>
      <w:r w:rsidR="00367703" w:rsidRPr="00DF4E18">
        <w:t xml:space="preserve">The persistence of many of the early POPs was determined based on their favourable chemical properties for long-range transport and their detection in compartments and biota in the Arctic. </w:t>
      </w:r>
      <w:r w:rsidR="003814C7">
        <w:t xml:space="preserve">Measured property data are presented in Appendix 1. </w:t>
      </w:r>
      <w:r w:rsidR="00367703" w:rsidRPr="00DF4E18">
        <w:t>There are few measured</w:t>
      </w:r>
      <w:r w:rsidR="0063729A" w:rsidRPr="0063729A">
        <w:t xml:space="preserve"> </w:t>
      </w:r>
      <w:r w:rsidR="0063729A">
        <w:t>environmental</w:t>
      </w:r>
      <w:r w:rsidR="00367703" w:rsidRPr="00DF4E18">
        <w:t xml:space="preserve"> half-lives, which is not surprising as many were banned before formal test guidelines or requirements for these existed. </w:t>
      </w:r>
    </w:p>
    <w:p w14:paraId="593C736B" w14:textId="77777777" w:rsidR="00A40651" w:rsidRDefault="00DC7A60" w:rsidP="00A40651">
      <w:pPr>
        <w:spacing w:after="120"/>
        <w:jc w:val="both"/>
      </w:pPr>
      <w:r>
        <w:t>S</w:t>
      </w:r>
      <w:r w:rsidR="00A40651" w:rsidRPr="00DF4E18">
        <w:t>imulation data for endosulfan</w:t>
      </w:r>
      <w:r>
        <w:t xml:space="preserve"> indicate that t</w:t>
      </w:r>
      <w:r w:rsidR="00A40651" w:rsidRPr="00DF4E18">
        <w:t xml:space="preserve">he α isomer is not persistent (P) within the meaning of the Annex XIII criteria, but the β isomer would be considered very persistent (vP) in some soils. </w:t>
      </w:r>
      <w:r w:rsidR="00A40651">
        <w:t>In addition</w:t>
      </w:r>
      <w:r w:rsidR="00A40651" w:rsidRPr="00DF4E18">
        <w:t>, the primary degradant (</w:t>
      </w:r>
      <w:r w:rsidR="00A40651">
        <w:t>a</w:t>
      </w:r>
      <w:r w:rsidR="00A40651" w:rsidRPr="00DF4E18">
        <w:t xml:space="preserve"> sul</w:t>
      </w:r>
      <w:r w:rsidR="00A40651">
        <w:t>f</w:t>
      </w:r>
      <w:r w:rsidR="00A40651" w:rsidRPr="00DF4E18">
        <w:t>ate) would meet the vP criterion in a number of soils. In sediment, the metabolites would be at least P (</w:t>
      </w:r>
      <w:r w:rsidR="00A40651">
        <w:t>with an</w:t>
      </w:r>
      <w:r w:rsidR="00A40651" w:rsidRPr="00DF4E18">
        <w:t xml:space="preserve"> unbounded DT</w:t>
      </w:r>
      <w:r w:rsidR="00A40651" w:rsidRPr="00BD60E8">
        <w:rPr>
          <w:vertAlign w:val="subscript"/>
        </w:rPr>
        <w:t>50</w:t>
      </w:r>
      <w:r w:rsidR="00A40651" w:rsidRPr="00DF4E18">
        <w:t xml:space="preserve"> value of 120 days). None of the data for endosulfan indicate rapid breakdown of the chlorinated norbornene moiety, and very little mineralisation were observed in the studies (&lt;5</w:t>
      </w:r>
      <w:r w:rsidR="00A40651">
        <w:t xml:space="preserve"> </w:t>
      </w:r>
      <w:r w:rsidR="00A40651" w:rsidRPr="00DF4E18">
        <w:t>%).</w:t>
      </w:r>
    </w:p>
    <w:p w14:paraId="7F24BB8A" w14:textId="77777777" w:rsidR="00367703" w:rsidRDefault="00367703" w:rsidP="00A40651">
      <w:pPr>
        <w:spacing w:after="120"/>
        <w:jc w:val="both"/>
      </w:pPr>
      <w:r w:rsidRPr="00DF4E18">
        <w:t xml:space="preserve">The use </w:t>
      </w:r>
      <w:r w:rsidR="00A40651">
        <w:t xml:space="preserve">of the five POPs </w:t>
      </w:r>
      <w:r w:rsidRPr="00DF4E18">
        <w:t>as pesticide</w:t>
      </w:r>
      <w:r w:rsidR="0063729A">
        <w:t xml:space="preserve"> active substance</w:t>
      </w:r>
      <w:r w:rsidRPr="00DF4E18">
        <w:t>s</w:t>
      </w:r>
      <w:r w:rsidR="0063729A">
        <w:t xml:space="preserve"> implies that they are reasonably</w:t>
      </w:r>
      <w:r w:rsidRPr="00DF4E18">
        <w:t xml:space="preserve"> bioavailabl</w:t>
      </w:r>
      <w:r w:rsidR="0063729A">
        <w:t>e</w:t>
      </w:r>
      <w:r w:rsidRPr="00DF4E18">
        <w:t xml:space="preserve">, which is </w:t>
      </w:r>
      <w:r w:rsidR="0063729A">
        <w:t>confirmed</w:t>
      </w:r>
      <w:r w:rsidRPr="00DF4E18">
        <w:t xml:space="preserve"> by their high aquatic toxicity (not reported here). </w:t>
      </w:r>
      <w:r w:rsidR="0063729A">
        <w:t>A c</w:t>
      </w:r>
      <w:r w:rsidRPr="00DF4E18">
        <w:t>ompari</w:t>
      </w:r>
      <w:r w:rsidR="0063729A">
        <w:t>so</w:t>
      </w:r>
      <w:r w:rsidRPr="00DF4E18">
        <w:t>n</w:t>
      </w:r>
      <w:r w:rsidR="0063729A">
        <w:t xml:space="preserve"> of</w:t>
      </w:r>
      <w:r w:rsidRPr="00DF4E18">
        <w:t xml:space="preserve"> the physico-chemical data of Dechlorane Plus with the POPs </w:t>
      </w:r>
      <w:r w:rsidR="000F274B">
        <w:t xml:space="preserve">(summarised in Section 1.4) </w:t>
      </w:r>
      <w:r w:rsidRPr="00DF4E18">
        <w:t>suggests that it is likely to be much less bioavailable as it is considerably less water soluble, and has a much higher log K</w:t>
      </w:r>
      <w:r w:rsidRPr="00DF4E18">
        <w:rPr>
          <w:vertAlign w:val="subscript"/>
        </w:rPr>
        <w:t>OW</w:t>
      </w:r>
      <w:r w:rsidRPr="00DF4E18">
        <w:t xml:space="preserve"> value. </w:t>
      </w:r>
      <w:r w:rsidR="0010322C" w:rsidRPr="00DF4E18">
        <w:t xml:space="preserve">In addition, those </w:t>
      </w:r>
      <w:r w:rsidR="0010322C">
        <w:t>POPs</w:t>
      </w:r>
      <w:r w:rsidR="0010322C" w:rsidRPr="00DF4E18">
        <w:t xml:space="preserve"> that do show signs of degrading have functional groups (e.g. dichlorocyclopentyl for chlordane, monochlorocyclopentenyl for heptachlor and sul</w:t>
      </w:r>
      <w:r w:rsidR="0010322C">
        <w:t>fi</w:t>
      </w:r>
      <w:r w:rsidR="0010322C" w:rsidRPr="00DF4E18">
        <w:t>te for endosulfan) that are not present in Dechlorane Plus (which is a less polar molecule as a result).</w:t>
      </w:r>
      <w:r w:rsidR="0010322C">
        <w:t xml:space="preserve"> </w:t>
      </w:r>
      <w:r w:rsidRPr="00DF4E18">
        <w:t>The POPs are all agreed to be environmentally persistent</w:t>
      </w:r>
      <w:r w:rsidR="00A40651">
        <w:t xml:space="preserve"> (within the meaning of the Stockholm Convention</w:t>
      </w:r>
      <w:r w:rsidR="003F4DD6" w:rsidRPr="003F4DD6">
        <w:rPr>
          <w:rStyle w:val="FootnoteReference"/>
          <w:rFonts w:ascii="Verdana" w:hAnsi="Verdana"/>
          <w:sz w:val="20"/>
        </w:rPr>
        <w:footnoteReference w:id="7"/>
      </w:r>
      <w:r w:rsidR="00A40651">
        <w:t>)</w:t>
      </w:r>
      <w:r w:rsidRPr="00DF4E18">
        <w:t xml:space="preserve">. </w:t>
      </w:r>
      <w:r w:rsidR="00A40651">
        <w:t>These provide a “best case” indication of persistence</w:t>
      </w:r>
      <w:r w:rsidR="0010322C">
        <w:t xml:space="preserve"> for Dechlorane Plus, i.e. it is expected to be at least as persistent as POPs with higher bioavailability and polarity.</w:t>
      </w:r>
      <w:r w:rsidRPr="00DF4E18">
        <w:t xml:space="preserve"> </w:t>
      </w:r>
    </w:p>
    <w:p w14:paraId="3F3B9E03" w14:textId="77777777" w:rsidR="00367703" w:rsidRPr="00DF4E18" w:rsidRDefault="00367703" w:rsidP="0063729A">
      <w:pPr>
        <w:spacing w:after="120"/>
        <w:jc w:val="both"/>
      </w:pPr>
      <w:r w:rsidRPr="00DF4E18">
        <w:t>There are no simulation data for chloren</w:t>
      </w:r>
      <w:r w:rsidR="0010322C" w:rsidRPr="00DF4E18">
        <w:t>d</w:t>
      </w:r>
      <w:r w:rsidRPr="00DF4E18">
        <w:t>ic acid</w:t>
      </w:r>
      <w:r w:rsidR="00B93E27" w:rsidRPr="00B93E27">
        <w:t xml:space="preserve"> </w:t>
      </w:r>
      <w:r w:rsidR="00B93E27" w:rsidRPr="00DF4E18">
        <w:t xml:space="preserve">despite </w:t>
      </w:r>
      <w:r w:rsidR="00B93E27">
        <w:t>its</w:t>
      </w:r>
      <w:r w:rsidR="00B93E27" w:rsidRPr="00DF4E18">
        <w:t xml:space="preserve"> relatively high water solubility (168 mg/L)</w:t>
      </w:r>
      <w:r w:rsidRPr="00DF4E18">
        <w:t xml:space="preserve">. </w:t>
      </w:r>
      <w:bookmarkStart w:id="424" w:name="d0e6469"/>
      <w:r w:rsidR="00B93E27">
        <w:t xml:space="preserve">Although </w:t>
      </w:r>
      <w:bookmarkStart w:id="425" w:name="d0e6318"/>
      <w:r w:rsidR="00B93E27">
        <w:t xml:space="preserve">it appears to </w:t>
      </w:r>
      <w:r w:rsidR="00B93E27" w:rsidRPr="003B12AA">
        <w:rPr>
          <w:color w:val="000000"/>
          <w:szCs w:val="24"/>
          <w:lang w:val="en-US" w:eastAsia="fr-FR"/>
        </w:rPr>
        <w:t xml:space="preserve">rapidly degrade </w:t>
      </w:r>
      <w:r w:rsidR="00B93E27">
        <w:rPr>
          <w:color w:val="000000"/>
          <w:szCs w:val="24"/>
          <w:lang w:val="en-US" w:eastAsia="fr-FR"/>
        </w:rPr>
        <w:t>under</w:t>
      </w:r>
      <w:r w:rsidR="00B93E27" w:rsidRPr="003B12AA">
        <w:rPr>
          <w:color w:val="000000"/>
          <w:szCs w:val="24"/>
          <w:lang w:val="en-US" w:eastAsia="fr-FR"/>
        </w:rPr>
        <w:t xml:space="preserve"> UV light in water (half-life </w:t>
      </w:r>
      <w:r w:rsidR="00B93E27">
        <w:rPr>
          <w:color w:val="000000"/>
          <w:szCs w:val="24"/>
          <w:lang w:val="en-US" w:eastAsia="fr-FR"/>
        </w:rPr>
        <w:t>5</w:t>
      </w:r>
      <w:r w:rsidR="00B93E27" w:rsidRPr="003B12AA">
        <w:rPr>
          <w:color w:val="000000"/>
          <w:szCs w:val="24"/>
          <w:lang w:val="en-US" w:eastAsia="fr-FR"/>
        </w:rPr>
        <w:t xml:space="preserve"> days) and on solid </w:t>
      </w:r>
      <w:r w:rsidR="00B93E27" w:rsidRPr="00B93E27">
        <w:t>surfaces</w:t>
      </w:r>
      <w:r w:rsidR="00B93E27" w:rsidRPr="003B12AA">
        <w:rPr>
          <w:color w:val="000000"/>
          <w:szCs w:val="24"/>
          <w:lang w:val="en-US" w:eastAsia="fr-FR"/>
        </w:rPr>
        <w:t xml:space="preserve"> (half-life </w:t>
      </w:r>
      <w:r w:rsidR="00B93E27">
        <w:rPr>
          <w:color w:val="000000"/>
          <w:szCs w:val="24"/>
          <w:lang w:val="en-US" w:eastAsia="fr-FR"/>
        </w:rPr>
        <w:t>16</w:t>
      </w:r>
      <w:r w:rsidR="00B93E27" w:rsidRPr="003B12AA">
        <w:rPr>
          <w:color w:val="000000"/>
          <w:szCs w:val="24"/>
          <w:lang w:val="en-US" w:eastAsia="fr-FR"/>
        </w:rPr>
        <w:t xml:space="preserve"> days)</w:t>
      </w:r>
      <w:r w:rsidR="00B93E27">
        <w:rPr>
          <w:color w:val="000000"/>
          <w:szCs w:val="24"/>
          <w:lang w:val="en-US" w:eastAsia="fr-FR"/>
        </w:rPr>
        <w:t>, the half-life is much longer in soil (</w:t>
      </w:r>
      <w:bookmarkEnd w:id="425"/>
      <w:r w:rsidR="00B93E27" w:rsidRPr="00FF3303">
        <w:rPr>
          <w:color w:val="000000"/>
          <w:szCs w:val="24"/>
          <w:lang w:val="en-US" w:eastAsia="fr-FR"/>
        </w:rPr>
        <w:t>140 d at 1 mg/kg</w:t>
      </w:r>
      <w:r w:rsidR="00B93E27">
        <w:rPr>
          <w:color w:val="000000"/>
          <w:szCs w:val="24"/>
          <w:lang w:val="en-US" w:eastAsia="fr-FR"/>
        </w:rPr>
        <w:t xml:space="preserve">; </w:t>
      </w:r>
      <w:r w:rsidR="00B93E27" w:rsidRPr="00FF3303">
        <w:rPr>
          <w:color w:val="000000"/>
          <w:szCs w:val="24"/>
          <w:lang w:val="en-US" w:eastAsia="fr-FR"/>
        </w:rPr>
        <w:t>280 d at 10 mg/kg)</w:t>
      </w:r>
      <w:r w:rsidR="00B93E27">
        <w:rPr>
          <w:color w:val="000000"/>
          <w:szCs w:val="24"/>
          <w:lang w:val="en-US" w:eastAsia="fr-FR"/>
        </w:rPr>
        <w:t xml:space="preserve">. </w:t>
      </w:r>
      <w:r w:rsidR="00B93E27">
        <w:t>No degradation was observed in a test for ready biodegradation after 31 days (based on removal of dissolved organic carbon)</w:t>
      </w:r>
      <w:bookmarkEnd w:id="424"/>
      <w:r w:rsidR="00B93E27">
        <w:rPr>
          <w:color w:val="000000"/>
          <w:szCs w:val="24"/>
          <w:lang w:val="en-US" w:eastAsia="fr-FR"/>
        </w:rPr>
        <w:t>.</w:t>
      </w:r>
      <w:r w:rsidR="0063729A">
        <w:rPr>
          <w:color w:val="000000"/>
          <w:szCs w:val="24"/>
          <w:lang w:val="en-US" w:eastAsia="fr-FR"/>
        </w:rPr>
        <w:t xml:space="preserve"> It therefore </w:t>
      </w:r>
      <w:r w:rsidR="0010322C">
        <w:t xml:space="preserve">screens as being potentially </w:t>
      </w:r>
      <w:r w:rsidR="00DC7A60">
        <w:t>P</w:t>
      </w:r>
      <w:r w:rsidR="0010322C">
        <w:t>/v</w:t>
      </w:r>
      <w:r w:rsidR="00DC7A60">
        <w:t>P</w:t>
      </w:r>
      <w:r w:rsidRPr="00DF4E18">
        <w:t xml:space="preserve">. </w:t>
      </w:r>
      <w:r w:rsidR="0010322C">
        <w:t>This is a much more polar and hydrophilic molecule than Dechlorane Plus</w:t>
      </w:r>
      <w:r w:rsidR="00B93E27">
        <w:t>, i.e. Dechlorane Plus is likely to degrade much more slowly than this substance</w:t>
      </w:r>
      <w:r w:rsidR="0010322C">
        <w:t>.</w:t>
      </w:r>
    </w:p>
    <w:p w14:paraId="6D299CBF" w14:textId="77777777" w:rsidR="00802D26" w:rsidRDefault="00C40AD6" w:rsidP="00727777">
      <w:pPr>
        <w:autoSpaceDE w:val="0"/>
        <w:autoSpaceDN w:val="0"/>
        <w:adjustRightInd w:val="0"/>
        <w:spacing w:after="240"/>
        <w:jc w:val="both"/>
      </w:pPr>
      <w:r>
        <w:t xml:space="preserve">In view of the lack of reliable environmental half-life data for most of the POPs, </w:t>
      </w:r>
      <w:r w:rsidR="00802D26">
        <w:t>BIOWIN (v4.10) predictions for each</w:t>
      </w:r>
      <w:r w:rsidR="00DC7A60">
        <w:t xml:space="preserve"> of the</w:t>
      </w:r>
      <w:r>
        <w:t>m</w:t>
      </w:r>
      <w:r w:rsidR="00DC7A60">
        <w:t xml:space="preserve"> and chlorendic acid</w:t>
      </w:r>
      <w:r w:rsidR="00802D26">
        <w:t xml:space="preserve"> are included in Table </w:t>
      </w:r>
      <w:r w:rsidR="00A86884">
        <w:t>7</w:t>
      </w:r>
      <w:r w:rsidR="00802D26">
        <w:t xml:space="preserve">. </w:t>
      </w:r>
      <w:r w:rsidR="00727777" w:rsidRPr="00727777">
        <w:t xml:space="preserve"> </w:t>
      </w:r>
      <w:r w:rsidR="00727777">
        <w:t xml:space="preserve">As described in Section </w:t>
      </w:r>
      <w:r w:rsidR="00727777" w:rsidRPr="00096A9A">
        <w:t>3.1.2.1.1</w:t>
      </w:r>
      <w:r w:rsidR="00727777">
        <w:t xml:space="preserve">, conclusions about aerobic biodegradation potential can be drawn based on predictions from three of the models (BIOWIN 2, 3 and 6). </w:t>
      </w:r>
      <w:r w:rsidR="00802D26">
        <w:t xml:space="preserve">The applicability of BIOWIN </w:t>
      </w:r>
      <w:r w:rsidR="00727777">
        <w:t>to these substances will be the same as for Dechlorane Plus (i.e. they are within the prediction domain)</w:t>
      </w:r>
      <w:r w:rsidR="00802D26">
        <w:t>.</w:t>
      </w:r>
      <w:r>
        <w:t xml:space="preserve"> </w:t>
      </w:r>
    </w:p>
    <w:p w14:paraId="706F4C69" w14:textId="77777777" w:rsidR="00727777" w:rsidRPr="00F558AF" w:rsidRDefault="009029EF" w:rsidP="00F558AF">
      <w:pPr>
        <w:pStyle w:val="Caption"/>
      </w:pPr>
      <w:bookmarkStart w:id="426" w:name="_Toc439772070"/>
      <w:bookmarkStart w:id="427" w:name="_Toc491778957"/>
      <w:r w:rsidRPr="00F558AF">
        <w:t xml:space="preserve">Table </w:t>
      </w:r>
      <w:fldSimple w:instr=" SEQ Table \* ARABIC ">
        <w:r w:rsidR="00F0628F">
          <w:rPr>
            <w:noProof/>
          </w:rPr>
          <w:t>7</w:t>
        </w:r>
      </w:fldSimple>
      <w:r w:rsidRPr="00F558AF">
        <w:t xml:space="preserve">: </w:t>
      </w:r>
      <w:r w:rsidR="00727777" w:rsidRPr="00F558AF">
        <w:t>Summary of predicted and measured degradation data for Dechlorane Plus analogues</w:t>
      </w:r>
      <w:bookmarkEnd w:id="426"/>
      <w:r w:rsidR="007A3294" w:rsidRPr="00822BE8">
        <w:rPr>
          <w:rStyle w:val="FootnoteReference"/>
          <w:rFonts w:ascii="Verdana" w:hAnsi="Verdana"/>
        </w:rPr>
        <w:footnoteReference w:id="8"/>
      </w:r>
      <w:bookmarkEnd w:id="427"/>
    </w:p>
    <w:tbl>
      <w:tblPr>
        <w:tblStyle w:val="TableGrid"/>
        <w:tblW w:w="0" w:type="auto"/>
        <w:tblLook w:val="04A0" w:firstRow="1" w:lastRow="0" w:firstColumn="1" w:lastColumn="0" w:noHBand="0" w:noVBand="1"/>
      </w:tblPr>
      <w:tblGrid>
        <w:gridCol w:w="1319"/>
        <w:gridCol w:w="1228"/>
        <w:gridCol w:w="2268"/>
        <w:gridCol w:w="3402"/>
      </w:tblGrid>
      <w:tr w:rsidR="00727777" w:rsidRPr="003814C7" w14:paraId="02C31C9B" w14:textId="77777777" w:rsidTr="0014178D">
        <w:trPr>
          <w:tblHeader/>
        </w:trPr>
        <w:tc>
          <w:tcPr>
            <w:tcW w:w="1319" w:type="dxa"/>
            <w:tcBorders>
              <w:top w:val="single" w:sz="4" w:space="0" w:color="auto"/>
              <w:left w:val="single" w:sz="4" w:space="0" w:color="auto"/>
              <w:bottom w:val="single" w:sz="4" w:space="0" w:color="auto"/>
              <w:right w:val="single" w:sz="4" w:space="0" w:color="auto"/>
            </w:tcBorders>
            <w:hideMark/>
          </w:tcPr>
          <w:p w14:paraId="78D35040" w14:textId="5DF9CAF4" w:rsidR="00727777" w:rsidRPr="003814C7" w:rsidRDefault="00727777">
            <w:pPr>
              <w:pStyle w:val="BodyText"/>
              <w:spacing w:after="0"/>
              <w:rPr>
                <w:b/>
                <w:bCs/>
                <w:sz w:val="19"/>
                <w:szCs w:val="19"/>
              </w:rPr>
            </w:pPr>
            <w:r w:rsidRPr="003814C7">
              <w:rPr>
                <w:b/>
                <w:bCs/>
                <w:sz w:val="19"/>
                <w:szCs w:val="19"/>
              </w:rPr>
              <w:t xml:space="preserve">Substance </w:t>
            </w:r>
          </w:p>
        </w:tc>
        <w:tc>
          <w:tcPr>
            <w:tcW w:w="1228" w:type="dxa"/>
            <w:tcBorders>
              <w:top w:val="single" w:sz="4" w:space="0" w:color="auto"/>
              <w:left w:val="single" w:sz="4" w:space="0" w:color="auto"/>
              <w:bottom w:val="single" w:sz="4" w:space="0" w:color="auto"/>
              <w:right w:val="single" w:sz="4" w:space="0" w:color="auto"/>
            </w:tcBorders>
            <w:hideMark/>
          </w:tcPr>
          <w:p w14:paraId="5DBAAE0B" w14:textId="77777777" w:rsidR="00727777" w:rsidRPr="003814C7" w:rsidRDefault="00727777" w:rsidP="006F2F0E">
            <w:pPr>
              <w:pStyle w:val="BodyText"/>
              <w:spacing w:after="0"/>
              <w:jc w:val="center"/>
              <w:rPr>
                <w:bCs/>
                <w:sz w:val="19"/>
                <w:szCs w:val="19"/>
              </w:rPr>
            </w:pPr>
            <w:r w:rsidRPr="003814C7">
              <w:rPr>
                <w:b/>
                <w:bCs/>
                <w:sz w:val="19"/>
                <w:szCs w:val="19"/>
              </w:rPr>
              <w:t>CAS no.</w:t>
            </w:r>
          </w:p>
        </w:tc>
        <w:tc>
          <w:tcPr>
            <w:tcW w:w="2268" w:type="dxa"/>
            <w:tcBorders>
              <w:top w:val="single" w:sz="4" w:space="0" w:color="auto"/>
              <w:left w:val="single" w:sz="4" w:space="0" w:color="auto"/>
              <w:bottom w:val="single" w:sz="4" w:space="0" w:color="auto"/>
              <w:right w:val="single" w:sz="4" w:space="0" w:color="auto"/>
            </w:tcBorders>
            <w:hideMark/>
          </w:tcPr>
          <w:p w14:paraId="5DB3D381" w14:textId="77777777" w:rsidR="00727777" w:rsidRPr="003814C7" w:rsidRDefault="00727777" w:rsidP="006F2F0E">
            <w:pPr>
              <w:rPr>
                <w:lang w:eastAsia="da-DK"/>
              </w:rPr>
            </w:pPr>
            <w:r w:rsidRPr="003814C7">
              <w:rPr>
                <w:b/>
                <w:bCs/>
                <w:sz w:val="19"/>
                <w:szCs w:val="19"/>
              </w:rPr>
              <w:t>BIOWIN prediction</w:t>
            </w:r>
          </w:p>
        </w:tc>
        <w:tc>
          <w:tcPr>
            <w:tcW w:w="3402" w:type="dxa"/>
            <w:tcBorders>
              <w:top w:val="single" w:sz="4" w:space="0" w:color="auto"/>
              <w:left w:val="single" w:sz="4" w:space="0" w:color="auto"/>
              <w:bottom w:val="single" w:sz="4" w:space="0" w:color="auto"/>
              <w:right w:val="single" w:sz="4" w:space="0" w:color="auto"/>
            </w:tcBorders>
            <w:hideMark/>
          </w:tcPr>
          <w:p w14:paraId="56C5F133" w14:textId="77777777" w:rsidR="00727777" w:rsidRPr="003814C7" w:rsidRDefault="00727777" w:rsidP="006F2F0E">
            <w:pPr>
              <w:rPr>
                <w:lang w:eastAsia="da-DK"/>
              </w:rPr>
            </w:pPr>
            <w:r w:rsidRPr="003814C7">
              <w:rPr>
                <w:b/>
                <w:bCs/>
                <w:sz w:val="19"/>
                <w:szCs w:val="19"/>
              </w:rPr>
              <w:t>Measured half-life data</w:t>
            </w:r>
          </w:p>
        </w:tc>
      </w:tr>
      <w:tr w:rsidR="00727777" w:rsidRPr="003814C7" w14:paraId="67DC3902" w14:textId="77777777" w:rsidTr="0014178D">
        <w:tc>
          <w:tcPr>
            <w:tcW w:w="1319" w:type="dxa"/>
            <w:tcBorders>
              <w:top w:val="single" w:sz="4" w:space="0" w:color="auto"/>
              <w:left w:val="single" w:sz="4" w:space="0" w:color="auto"/>
              <w:bottom w:val="single" w:sz="4" w:space="0" w:color="auto"/>
              <w:right w:val="single" w:sz="4" w:space="0" w:color="auto"/>
            </w:tcBorders>
            <w:hideMark/>
          </w:tcPr>
          <w:p w14:paraId="122D0914" w14:textId="77777777" w:rsidR="00727777" w:rsidRPr="003814C7" w:rsidRDefault="00727777" w:rsidP="006F2F0E">
            <w:pPr>
              <w:rPr>
                <w:sz w:val="24"/>
                <w:szCs w:val="24"/>
                <w:lang w:val="en-US" w:eastAsia="da-DK"/>
              </w:rPr>
            </w:pPr>
            <w:r w:rsidRPr="003814C7">
              <w:rPr>
                <w:bCs/>
                <w:sz w:val="19"/>
                <w:szCs w:val="19"/>
              </w:rPr>
              <w:t>Chlordane</w:t>
            </w:r>
          </w:p>
        </w:tc>
        <w:tc>
          <w:tcPr>
            <w:tcW w:w="1228" w:type="dxa"/>
            <w:tcBorders>
              <w:top w:val="single" w:sz="4" w:space="0" w:color="auto"/>
              <w:left w:val="single" w:sz="4" w:space="0" w:color="auto"/>
              <w:bottom w:val="single" w:sz="4" w:space="0" w:color="auto"/>
              <w:right w:val="single" w:sz="4" w:space="0" w:color="auto"/>
            </w:tcBorders>
            <w:hideMark/>
          </w:tcPr>
          <w:p w14:paraId="64C20288" w14:textId="77777777" w:rsidR="00727777" w:rsidRPr="003814C7" w:rsidRDefault="00727777" w:rsidP="006F2F0E">
            <w:pPr>
              <w:jc w:val="center"/>
              <w:rPr>
                <w:lang w:eastAsia="da-DK"/>
              </w:rPr>
            </w:pPr>
            <w:r w:rsidRPr="003814C7">
              <w:rPr>
                <w:sz w:val="19"/>
                <w:szCs w:val="19"/>
              </w:rPr>
              <w:t>57-74-9</w:t>
            </w:r>
          </w:p>
        </w:tc>
        <w:tc>
          <w:tcPr>
            <w:tcW w:w="2268" w:type="dxa"/>
            <w:tcBorders>
              <w:top w:val="single" w:sz="4" w:space="0" w:color="auto"/>
              <w:left w:val="single" w:sz="4" w:space="0" w:color="auto"/>
              <w:bottom w:val="single" w:sz="4" w:space="0" w:color="auto"/>
              <w:right w:val="single" w:sz="4" w:space="0" w:color="auto"/>
            </w:tcBorders>
            <w:hideMark/>
          </w:tcPr>
          <w:p w14:paraId="01E80A14" w14:textId="77777777" w:rsidR="00727777" w:rsidRPr="003814C7" w:rsidRDefault="00142D00" w:rsidP="006F2F0E">
            <w:pPr>
              <w:pStyle w:val="BodyText"/>
              <w:spacing w:after="0"/>
              <w:rPr>
                <w:sz w:val="19"/>
                <w:szCs w:val="19"/>
                <w:lang w:eastAsia="en-US"/>
              </w:rPr>
            </w:pPr>
            <w:r>
              <w:rPr>
                <w:sz w:val="19"/>
                <w:szCs w:val="19"/>
              </w:rPr>
              <w:t>BIOWIN</w:t>
            </w:r>
            <w:r w:rsidR="00727777" w:rsidRPr="003814C7">
              <w:rPr>
                <w:sz w:val="19"/>
                <w:szCs w:val="19"/>
              </w:rPr>
              <w:t xml:space="preserve"> 2 = 0</w:t>
            </w:r>
          </w:p>
          <w:p w14:paraId="3DD75F9B" w14:textId="77777777" w:rsidR="00727777" w:rsidRPr="003814C7" w:rsidRDefault="00142D00" w:rsidP="006F2F0E">
            <w:pPr>
              <w:pStyle w:val="BodyText"/>
              <w:spacing w:after="0"/>
              <w:rPr>
                <w:sz w:val="19"/>
                <w:szCs w:val="19"/>
              </w:rPr>
            </w:pPr>
            <w:r>
              <w:rPr>
                <w:sz w:val="19"/>
                <w:szCs w:val="19"/>
              </w:rPr>
              <w:t>BIOWIN</w:t>
            </w:r>
            <w:r w:rsidR="00727777" w:rsidRPr="003814C7">
              <w:rPr>
                <w:sz w:val="19"/>
                <w:szCs w:val="19"/>
              </w:rPr>
              <w:t xml:space="preserve"> 3 = 0.27</w:t>
            </w:r>
          </w:p>
          <w:p w14:paraId="0A7B9BF3" w14:textId="77777777" w:rsidR="00727777" w:rsidRPr="003814C7" w:rsidRDefault="00142D00" w:rsidP="006F2F0E">
            <w:pPr>
              <w:rPr>
                <w:sz w:val="24"/>
                <w:szCs w:val="24"/>
                <w:lang w:eastAsia="da-DK"/>
              </w:rPr>
            </w:pPr>
            <w:r>
              <w:rPr>
                <w:sz w:val="19"/>
                <w:szCs w:val="19"/>
              </w:rPr>
              <w:t>BIOWIN</w:t>
            </w:r>
            <w:r w:rsidR="00727777" w:rsidRPr="003814C7">
              <w:rPr>
                <w:sz w:val="19"/>
                <w:szCs w:val="19"/>
              </w:rPr>
              <w:t xml:space="preserve"> 6 = 0</w:t>
            </w:r>
          </w:p>
        </w:tc>
        <w:tc>
          <w:tcPr>
            <w:tcW w:w="3402" w:type="dxa"/>
            <w:tcBorders>
              <w:top w:val="single" w:sz="4" w:space="0" w:color="auto"/>
              <w:left w:val="single" w:sz="4" w:space="0" w:color="auto"/>
              <w:bottom w:val="single" w:sz="4" w:space="0" w:color="auto"/>
              <w:right w:val="single" w:sz="4" w:space="0" w:color="auto"/>
            </w:tcBorders>
            <w:hideMark/>
          </w:tcPr>
          <w:p w14:paraId="431A6D34" w14:textId="77777777" w:rsidR="00727777" w:rsidRPr="003814C7" w:rsidRDefault="00727777" w:rsidP="006F2F0E">
            <w:pPr>
              <w:rPr>
                <w:lang w:eastAsia="da-DK"/>
              </w:rPr>
            </w:pPr>
            <w:r w:rsidRPr="003814C7">
              <w:rPr>
                <w:sz w:val="19"/>
                <w:szCs w:val="19"/>
              </w:rPr>
              <w:t>Sediment study suggests reduction in concentration by 70</w:t>
            </w:r>
            <w:r w:rsidR="00906888">
              <w:rPr>
                <w:sz w:val="19"/>
                <w:szCs w:val="19"/>
              </w:rPr>
              <w:t xml:space="preserve"> </w:t>
            </w:r>
            <w:r w:rsidRPr="003814C7">
              <w:rPr>
                <w:sz w:val="19"/>
                <w:szCs w:val="19"/>
              </w:rPr>
              <w:t>% in 414 days</w:t>
            </w:r>
          </w:p>
        </w:tc>
      </w:tr>
      <w:tr w:rsidR="00727777" w:rsidRPr="003814C7" w14:paraId="277A6466" w14:textId="77777777" w:rsidTr="0014178D">
        <w:tc>
          <w:tcPr>
            <w:tcW w:w="1319" w:type="dxa"/>
            <w:tcBorders>
              <w:top w:val="single" w:sz="4" w:space="0" w:color="auto"/>
              <w:left w:val="single" w:sz="4" w:space="0" w:color="auto"/>
              <w:bottom w:val="single" w:sz="4" w:space="0" w:color="auto"/>
              <w:right w:val="single" w:sz="4" w:space="0" w:color="auto"/>
            </w:tcBorders>
            <w:hideMark/>
          </w:tcPr>
          <w:p w14:paraId="0683E8C2" w14:textId="77777777" w:rsidR="00727777" w:rsidRPr="003814C7" w:rsidRDefault="00727777" w:rsidP="006F2F0E">
            <w:pPr>
              <w:rPr>
                <w:lang w:eastAsia="da-DK"/>
              </w:rPr>
            </w:pPr>
            <w:r w:rsidRPr="003814C7">
              <w:rPr>
                <w:bCs/>
                <w:sz w:val="19"/>
                <w:szCs w:val="19"/>
              </w:rPr>
              <w:t>Heptachlor</w:t>
            </w:r>
          </w:p>
        </w:tc>
        <w:tc>
          <w:tcPr>
            <w:tcW w:w="1228" w:type="dxa"/>
            <w:tcBorders>
              <w:top w:val="single" w:sz="4" w:space="0" w:color="auto"/>
              <w:left w:val="single" w:sz="4" w:space="0" w:color="auto"/>
              <w:bottom w:val="single" w:sz="4" w:space="0" w:color="auto"/>
              <w:right w:val="single" w:sz="4" w:space="0" w:color="auto"/>
            </w:tcBorders>
            <w:hideMark/>
          </w:tcPr>
          <w:p w14:paraId="0D850497" w14:textId="77777777" w:rsidR="00727777" w:rsidRPr="003814C7" w:rsidRDefault="00727777" w:rsidP="006F2F0E">
            <w:pPr>
              <w:jc w:val="center"/>
              <w:rPr>
                <w:lang w:eastAsia="da-DK"/>
              </w:rPr>
            </w:pPr>
            <w:r w:rsidRPr="003814C7">
              <w:rPr>
                <w:sz w:val="19"/>
                <w:szCs w:val="19"/>
              </w:rPr>
              <w:t>76-44-8</w:t>
            </w:r>
          </w:p>
        </w:tc>
        <w:tc>
          <w:tcPr>
            <w:tcW w:w="2268" w:type="dxa"/>
            <w:tcBorders>
              <w:top w:val="single" w:sz="4" w:space="0" w:color="auto"/>
              <w:left w:val="single" w:sz="4" w:space="0" w:color="auto"/>
              <w:bottom w:val="single" w:sz="4" w:space="0" w:color="auto"/>
              <w:right w:val="single" w:sz="4" w:space="0" w:color="auto"/>
            </w:tcBorders>
            <w:hideMark/>
          </w:tcPr>
          <w:p w14:paraId="430DCB7A" w14:textId="77777777" w:rsidR="00727777" w:rsidRPr="003814C7" w:rsidRDefault="00142D00" w:rsidP="006F2F0E">
            <w:pPr>
              <w:pStyle w:val="BodyText"/>
              <w:spacing w:after="0"/>
              <w:rPr>
                <w:sz w:val="19"/>
                <w:szCs w:val="19"/>
                <w:lang w:eastAsia="en-US"/>
              </w:rPr>
            </w:pPr>
            <w:r>
              <w:rPr>
                <w:sz w:val="19"/>
                <w:szCs w:val="19"/>
              </w:rPr>
              <w:t>BIOWIN</w:t>
            </w:r>
            <w:r w:rsidR="00727777" w:rsidRPr="003814C7">
              <w:rPr>
                <w:sz w:val="19"/>
                <w:szCs w:val="19"/>
              </w:rPr>
              <w:t xml:space="preserve"> 2 = 0</w:t>
            </w:r>
          </w:p>
          <w:p w14:paraId="0343F120" w14:textId="77777777" w:rsidR="00727777" w:rsidRPr="003814C7" w:rsidRDefault="00142D00" w:rsidP="006F2F0E">
            <w:pPr>
              <w:pStyle w:val="BodyText"/>
              <w:spacing w:after="0"/>
              <w:rPr>
                <w:sz w:val="19"/>
                <w:szCs w:val="19"/>
              </w:rPr>
            </w:pPr>
            <w:r>
              <w:rPr>
                <w:sz w:val="19"/>
                <w:szCs w:val="19"/>
              </w:rPr>
              <w:t>BIOWIN</w:t>
            </w:r>
            <w:r w:rsidR="00727777" w:rsidRPr="003814C7">
              <w:rPr>
                <w:sz w:val="19"/>
                <w:szCs w:val="19"/>
              </w:rPr>
              <w:t xml:space="preserve"> 3 = 0.53</w:t>
            </w:r>
          </w:p>
          <w:p w14:paraId="6085F805" w14:textId="77777777" w:rsidR="00727777" w:rsidRPr="003814C7" w:rsidRDefault="00142D00" w:rsidP="006F2F0E">
            <w:pPr>
              <w:rPr>
                <w:sz w:val="24"/>
                <w:szCs w:val="24"/>
                <w:lang w:eastAsia="da-DK"/>
              </w:rPr>
            </w:pPr>
            <w:r>
              <w:rPr>
                <w:sz w:val="19"/>
                <w:szCs w:val="19"/>
              </w:rPr>
              <w:lastRenderedPageBreak/>
              <w:t>BIOWIN</w:t>
            </w:r>
            <w:r w:rsidR="00727777" w:rsidRPr="003814C7">
              <w:rPr>
                <w:sz w:val="19"/>
                <w:szCs w:val="19"/>
              </w:rPr>
              <w:t xml:space="preserve"> 6 = 0</w:t>
            </w:r>
          </w:p>
        </w:tc>
        <w:tc>
          <w:tcPr>
            <w:tcW w:w="3402" w:type="dxa"/>
            <w:tcBorders>
              <w:top w:val="single" w:sz="4" w:space="0" w:color="auto"/>
              <w:left w:val="single" w:sz="4" w:space="0" w:color="auto"/>
              <w:bottom w:val="single" w:sz="4" w:space="0" w:color="auto"/>
              <w:right w:val="single" w:sz="4" w:space="0" w:color="auto"/>
            </w:tcBorders>
          </w:tcPr>
          <w:p w14:paraId="0E88B5C8" w14:textId="77777777" w:rsidR="00727777" w:rsidRPr="003814C7" w:rsidRDefault="00727777" w:rsidP="006F2F0E">
            <w:pPr>
              <w:pStyle w:val="BodyText"/>
              <w:spacing w:after="0"/>
              <w:rPr>
                <w:sz w:val="19"/>
                <w:szCs w:val="19"/>
                <w:lang w:eastAsia="en-US"/>
              </w:rPr>
            </w:pPr>
            <w:r w:rsidRPr="003814C7">
              <w:rPr>
                <w:sz w:val="19"/>
                <w:szCs w:val="19"/>
              </w:rPr>
              <w:lastRenderedPageBreak/>
              <w:t>Rapid hydrolysis</w:t>
            </w:r>
          </w:p>
          <w:p w14:paraId="2DB27B98" w14:textId="77777777" w:rsidR="00727777" w:rsidRPr="003814C7" w:rsidRDefault="00727777" w:rsidP="006F2F0E">
            <w:pPr>
              <w:pStyle w:val="BodyText"/>
              <w:spacing w:after="0"/>
              <w:rPr>
                <w:sz w:val="19"/>
                <w:szCs w:val="19"/>
              </w:rPr>
            </w:pPr>
          </w:p>
          <w:p w14:paraId="333C4A11" w14:textId="77777777" w:rsidR="00727777" w:rsidRPr="003814C7" w:rsidRDefault="00727777" w:rsidP="006F2F0E">
            <w:pPr>
              <w:pStyle w:val="BodyText"/>
              <w:spacing w:after="0"/>
              <w:rPr>
                <w:sz w:val="19"/>
                <w:szCs w:val="19"/>
              </w:rPr>
            </w:pPr>
            <w:r w:rsidRPr="003814C7">
              <w:rPr>
                <w:sz w:val="19"/>
                <w:szCs w:val="19"/>
              </w:rPr>
              <w:lastRenderedPageBreak/>
              <w:t>Soil DT</w:t>
            </w:r>
            <w:r w:rsidRPr="003814C7">
              <w:rPr>
                <w:sz w:val="19"/>
                <w:szCs w:val="19"/>
                <w:vertAlign w:val="subscript"/>
              </w:rPr>
              <w:t>50</w:t>
            </w:r>
            <w:r w:rsidRPr="003814C7">
              <w:rPr>
                <w:sz w:val="19"/>
                <w:szCs w:val="19"/>
              </w:rPr>
              <w:t xml:space="preserve"> = 9-10 months or 2 years </w:t>
            </w:r>
          </w:p>
          <w:p w14:paraId="2AF22B78" w14:textId="77777777" w:rsidR="00727777" w:rsidRPr="003814C7" w:rsidRDefault="00727777" w:rsidP="006F2F0E">
            <w:pPr>
              <w:pStyle w:val="BodyText"/>
              <w:spacing w:after="0"/>
              <w:rPr>
                <w:sz w:val="19"/>
                <w:szCs w:val="19"/>
              </w:rPr>
            </w:pPr>
            <w:r w:rsidRPr="003814C7">
              <w:rPr>
                <w:sz w:val="19"/>
                <w:szCs w:val="19"/>
              </w:rPr>
              <w:t>(shorter half-lives lack supporting information)</w:t>
            </w:r>
          </w:p>
        </w:tc>
      </w:tr>
      <w:tr w:rsidR="00727777" w:rsidRPr="003814C7" w14:paraId="204F6DF8" w14:textId="77777777" w:rsidTr="0014178D">
        <w:tc>
          <w:tcPr>
            <w:tcW w:w="1319" w:type="dxa"/>
            <w:tcBorders>
              <w:top w:val="single" w:sz="4" w:space="0" w:color="auto"/>
              <w:left w:val="single" w:sz="4" w:space="0" w:color="auto"/>
              <w:bottom w:val="single" w:sz="4" w:space="0" w:color="auto"/>
              <w:right w:val="single" w:sz="4" w:space="0" w:color="auto"/>
            </w:tcBorders>
            <w:hideMark/>
          </w:tcPr>
          <w:p w14:paraId="1D6A73AD" w14:textId="77777777" w:rsidR="00727777" w:rsidRPr="003814C7" w:rsidRDefault="00727777" w:rsidP="006F2F0E">
            <w:pPr>
              <w:rPr>
                <w:sz w:val="24"/>
                <w:szCs w:val="24"/>
                <w:lang w:eastAsia="da-DK"/>
              </w:rPr>
            </w:pPr>
            <w:r w:rsidRPr="003814C7">
              <w:rPr>
                <w:bCs/>
                <w:sz w:val="19"/>
                <w:szCs w:val="19"/>
              </w:rPr>
              <w:lastRenderedPageBreak/>
              <w:t>Dieldrin</w:t>
            </w:r>
          </w:p>
        </w:tc>
        <w:tc>
          <w:tcPr>
            <w:tcW w:w="1228" w:type="dxa"/>
            <w:tcBorders>
              <w:top w:val="single" w:sz="4" w:space="0" w:color="auto"/>
              <w:left w:val="single" w:sz="4" w:space="0" w:color="auto"/>
              <w:bottom w:val="single" w:sz="4" w:space="0" w:color="auto"/>
              <w:right w:val="single" w:sz="4" w:space="0" w:color="auto"/>
            </w:tcBorders>
            <w:hideMark/>
          </w:tcPr>
          <w:p w14:paraId="17E4666D" w14:textId="77777777" w:rsidR="00727777" w:rsidRPr="003814C7" w:rsidRDefault="00727777" w:rsidP="006F2F0E">
            <w:pPr>
              <w:jc w:val="center"/>
              <w:rPr>
                <w:lang w:eastAsia="da-DK"/>
              </w:rPr>
            </w:pPr>
            <w:r w:rsidRPr="003814C7">
              <w:rPr>
                <w:bCs/>
                <w:sz w:val="19"/>
                <w:szCs w:val="19"/>
              </w:rPr>
              <w:t>60-57-1</w:t>
            </w:r>
          </w:p>
        </w:tc>
        <w:tc>
          <w:tcPr>
            <w:tcW w:w="2268" w:type="dxa"/>
            <w:tcBorders>
              <w:top w:val="single" w:sz="4" w:space="0" w:color="auto"/>
              <w:left w:val="single" w:sz="4" w:space="0" w:color="auto"/>
              <w:bottom w:val="single" w:sz="4" w:space="0" w:color="auto"/>
              <w:right w:val="single" w:sz="4" w:space="0" w:color="auto"/>
            </w:tcBorders>
            <w:hideMark/>
          </w:tcPr>
          <w:p w14:paraId="303A2E61" w14:textId="77777777" w:rsidR="00727777" w:rsidRPr="003814C7" w:rsidRDefault="00142D00" w:rsidP="006F2F0E">
            <w:pPr>
              <w:pStyle w:val="BodyText"/>
              <w:spacing w:after="0"/>
              <w:rPr>
                <w:sz w:val="19"/>
                <w:szCs w:val="19"/>
                <w:lang w:eastAsia="en-US"/>
              </w:rPr>
            </w:pPr>
            <w:r>
              <w:rPr>
                <w:sz w:val="19"/>
                <w:szCs w:val="19"/>
              </w:rPr>
              <w:t>BIOWIN</w:t>
            </w:r>
            <w:r w:rsidR="00727777" w:rsidRPr="003814C7">
              <w:rPr>
                <w:sz w:val="19"/>
                <w:szCs w:val="19"/>
              </w:rPr>
              <w:t xml:space="preserve"> 2 = 0</w:t>
            </w:r>
          </w:p>
          <w:p w14:paraId="4311FD5B" w14:textId="77777777" w:rsidR="00727777" w:rsidRPr="003814C7" w:rsidRDefault="00142D00" w:rsidP="006F2F0E">
            <w:pPr>
              <w:pStyle w:val="BodyText"/>
              <w:spacing w:after="0"/>
              <w:rPr>
                <w:sz w:val="19"/>
                <w:szCs w:val="19"/>
              </w:rPr>
            </w:pPr>
            <w:r>
              <w:rPr>
                <w:sz w:val="19"/>
                <w:szCs w:val="19"/>
              </w:rPr>
              <w:t>BIOWIN</w:t>
            </w:r>
            <w:r w:rsidR="00727777" w:rsidRPr="003814C7">
              <w:rPr>
                <w:sz w:val="19"/>
                <w:szCs w:val="19"/>
              </w:rPr>
              <w:t xml:space="preserve"> 3 = 0.67</w:t>
            </w:r>
          </w:p>
          <w:p w14:paraId="243155CA" w14:textId="77777777" w:rsidR="00727777" w:rsidRPr="003814C7" w:rsidRDefault="00142D00" w:rsidP="006F2F0E">
            <w:pPr>
              <w:pStyle w:val="BodyText"/>
              <w:spacing w:after="0"/>
              <w:rPr>
                <w:sz w:val="19"/>
                <w:szCs w:val="19"/>
              </w:rPr>
            </w:pPr>
            <w:r>
              <w:rPr>
                <w:sz w:val="19"/>
                <w:szCs w:val="19"/>
              </w:rPr>
              <w:t>BIOWIN</w:t>
            </w:r>
            <w:r w:rsidR="00727777" w:rsidRPr="003814C7">
              <w:rPr>
                <w:sz w:val="19"/>
                <w:szCs w:val="19"/>
              </w:rPr>
              <w:t xml:space="preserve"> 6 = 0</w:t>
            </w:r>
          </w:p>
        </w:tc>
        <w:tc>
          <w:tcPr>
            <w:tcW w:w="3402" w:type="dxa"/>
            <w:tcBorders>
              <w:top w:val="single" w:sz="4" w:space="0" w:color="auto"/>
              <w:left w:val="single" w:sz="4" w:space="0" w:color="auto"/>
              <w:bottom w:val="single" w:sz="4" w:space="0" w:color="auto"/>
              <w:right w:val="single" w:sz="4" w:space="0" w:color="auto"/>
            </w:tcBorders>
            <w:hideMark/>
          </w:tcPr>
          <w:p w14:paraId="13B4F609" w14:textId="77777777" w:rsidR="00727777" w:rsidRPr="003814C7" w:rsidRDefault="00727777" w:rsidP="006F2F0E">
            <w:pPr>
              <w:pStyle w:val="BodyText"/>
              <w:spacing w:after="0"/>
              <w:rPr>
                <w:sz w:val="19"/>
                <w:szCs w:val="19"/>
              </w:rPr>
            </w:pPr>
            <w:r w:rsidRPr="003814C7">
              <w:rPr>
                <w:sz w:val="19"/>
                <w:szCs w:val="19"/>
              </w:rPr>
              <w:t>Very little degradation detected in soil</w:t>
            </w:r>
          </w:p>
        </w:tc>
      </w:tr>
      <w:tr w:rsidR="00727777" w:rsidRPr="003814C7" w14:paraId="16AED2F1" w14:textId="77777777" w:rsidTr="0014178D">
        <w:tc>
          <w:tcPr>
            <w:tcW w:w="1319" w:type="dxa"/>
            <w:tcBorders>
              <w:top w:val="single" w:sz="4" w:space="0" w:color="auto"/>
              <w:left w:val="single" w:sz="4" w:space="0" w:color="auto"/>
              <w:bottom w:val="single" w:sz="4" w:space="0" w:color="auto"/>
              <w:right w:val="single" w:sz="4" w:space="0" w:color="auto"/>
            </w:tcBorders>
            <w:hideMark/>
          </w:tcPr>
          <w:p w14:paraId="223A8D80" w14:textId="77777777" w:rsidR="00727777" w:rsidRPr="003814C7" w:rsidRDefault="00727777" w:rsidP="006F2F0E">
            <w:pPr>
              <w:rPr>
                <w:sz w:val="24"/>
                <w:szCs w:val="24"/>
                <w:lang w:eastAsia="da-DK"/>
              </w:rPr>
            </w:pPr>
            <w:r w:rsidRPr="003814C7">
              <w:rPr>
                <w:bCs/>
                <w:sz w:val="19"/>
                <w:szCs w:val="19"/>
              </w:rPr>
              <w:t>Aldrin</w:t>
            </w:r>
          </w:p>
        </w:tc>
        <w:tc>
          <w:tcPr>
            <w:tcW w:w="1228" w:type="dxa"/>
            <w:tcBorders>
              <w:top w:val="single" w:sz="4" w:space="0" w:color="auto"/>
              <w:left w:val="single" w:sz="4" w:space="0" w:color="auto"/>
              <w:bottom w:val="single" w:sz="4" w:space="0" w:color="auto"/>
              <w:right w:val="single" w:sz="4" w:space="0" w:color="auto"/>
            </w:tcBorders>
            <w:hideMark/>
          </w:tcPr>
          <w:p w14:paraId="3B532923" w14:textId="77777777" w:rsidR="00727777" w:rsidRPr="003814C7" w:rsidRDefault="00727777" w:rsidP="006F2F0E">
            <w:pPr>
              <w:jc w:val="center"/>
              <w:rPr>
                <w:lang w:eastAsia="da-DK"/>
              </w:rPr>
            </w:pPr>
            <w:r w:rsidRPr="003814C7">
              <w:rPr>
                <w:bCs/>
                <w:sz w:val="19"/>
                <w:szCs w:val="19"/>
              </w:rPr>
              <w:t>309-00-2</w:t>
            </w:r>
          </w:p>
        </w:tc>
        <w:tc>
          <w:tcPr>
            <w:tcW w:w="2268" w:type="dxa"/>
            <w:tcBorders>
              <w:top w:val="single" w:sz="4" w:space="0" w:color="auto"/>
              <w:left w:val="single" w:sz="4" w:space="0" w:color="auto"/>
              <w:bottom w:val="single" w:sz="4" w:space="0" w:color="auto"/>
              <w:right w:val="single" w:sz="4" w:space="0" w:color="auto"/>
            </w:tcBorders>
            <w:hideMark/>
          </w:tcPr>
          <w:p w14:paraId="005E020E" w14:textId="77777777" w:rsidR="00727777" w:rsidRPr="003814C7" w:rsidRDefault="00142D00" w:rsidP="006F2F0E">
            <w:pPr>
              <w:pStyle w:val="BodyText"/>
              <w:spacing w:after="0"/>
              <w:rPr>
                <w:sz w:val="19"/>
                <w:szCs w:val="19"/>
                <w:lang w:eastAsia="en-US"/>
              </w:rPr>
            </w:pPr>
            <w:r>
              <w:rPr>
                <w:sz w:val="19"/>
                <w:szCs w:val="19"/>
              </w:rPr>
              <w:t>BIOWIN</w:t>
            </w:r>
            <w:r w:rsidR="00727777" w:rsidRPr="003814C7">
              <w:rPr>
                <w:sz w:val="19"/>
                <w:szCs w:val="19"/>
              </w:rPr>
              <w:t xml:space="preserve"> 2 = 0</w:t>
            </w:r>
          </w:p>
          <w:p w14:paraId="31817A80" w14:textId="77777777" w:rsidR="00727777" w:rsidRPr="003814C7" w:rsidRDefault="00142D00" w:rsidP="006F2F0E">
            <w:pPr>
              <w:pStyle w:val="BodyText"/>
              <w:spacing w:after="0"/>
              <w:rPr>
                <w:sz w:val="19"/>
                <w:szCs w:val="19"/>
              </w:rPr>
            </w:pPr>
            <w:r>
              <w:rPr>
                <w:sz w:val="19"/>
                <w:szCs w:val="19"/>
              </w:rPr>
              <w:t>BIOWIN</w:t>
            </w:r>
            <w:r w:rsidR="00727777" w:rsidRPr="003814C7">
              <w:rPr>
                <w:sz w:val="19"/>
                <w:szCs w:val="19"/>
              </w:rPr>
              <w:t xml:space="preserve"> 3 = 0.72</w:t>
            </w:r>
          </w:p>
          <w:p w14:paraId="4F4548CF" w14:textId="77777777" w:rsidR="00727777" w:rsidRPr="003814C7" w:rsidRDefault="00142D00" w:rsidP="006F2F0E">
            <w:pPr>
              <w:pStyle w:val="BodyText"/>
              <w:spacing w:after="0"/>
              <w:rPr>
                <w:sz w:val="19"/>
                <w:szCs w:val="19"/>
              </w:rPr>
            </w:pPr>
            <w:r>
              <w:rPr>
                <w:sz w:val="19"/>
                <w:szCs w:val="19"/>
              </w:rPr>
              <w:t>BIOWIN</w:t>
            </w:r>
            <w:r w:rsidR="00727777" w:rsidRPr="003814C7">
              <w:rPr>
                <w:sz w:val="19"/>
                <w:szCs w:val="19"/>
              </w:rPr>
              <w:t xml:space="preserve"> 6 = 0</w:t>
            </w:r>
          </w:p>
        </w:tc>
        <w:tc>
          <w:tcPr>
            <w:tcW w:w="3402" w:type="dxa"/>
            <w:tcBorders>
              <w:top w:val="single" w:sz="4" w:space="0" w:color="auto"/>
              <w:left w:val="single" w:sz="4" w:space="0" w:color="auto"/>
              <w:bottom w:val="single" w:sz="4" w:space="0" w:color="auto"/>
              <w:right w:val="single" w:sz="4" w:space="0" w:color="auto"/>
            </w:tcBorders>
            <w:hideMark/>
          </w:tcPr>
          <w:p w14:paraId="3006F9ED" w14:textId="77777777" w:rsidR="00727777" w:rsidRPr="003814C7" w:rsidRDefault="00727777" w:rsidP="006F2F0E">
            <w:pPr>
              <w:pStyle w:val="BodyText"/>
              <w:spacing w:after="0"/>
              <w:rPr>
                <w:sz w:val="19"/>
                <w:szCs w:val="19"/>
              </w:rPr>
            </w:pPr>
            <w:r w:rsidRPr="003814C7">
              <w:rPr>
                <w:sz w:val="19"/>
                <w:szCs w:val="19"/>
              </w:rPr>
              <w:t>No quantitative information</w:t>
            </w:r>
          </w:p>
        </w:tc>
      </w:tr>
      <w:tr w:rsidR="00727777" w:rsidRPr="003814C7" w14:paraId="49AAAB3B" w14:textId="77777777" w:rsidTr="0014178D">
        <w:tc>
          <w:tcPr>
            <w:tcW w:w="1319" w:type="dxa"/>
            <w:tcBorders>
              <w:top w:val="single" w:sz="4" w:space="0" w:color="auto"/>
              <w:left w:val="single" w:sz="4" w:space="0" w:color="auto"/>
              <w:bottom w:val="single" w:sz="4" w:space="0" w:color="auto"/>
              <w:right w:val="single" w:sz="4" w:space="0" w:color="auto"/>
            </w:tcBorders>
            <w:hideMark/>
          </w:tcPr>
          <w:p w14:paraId="4BDF12DC" w14:textId="77777777" w:rsidR="00727777" w:rsidRPr="003814C7" w:rsidRDefault="00727777" w:rsidP="006F2F0E">
            <w:pPr>
              <w:rPr>
                <w:sz w:val="24"/>
                <w:szCs w:val="24"/>
                <w:lang w:eastAsia="da-DK"/>
              </w:rPr>
            </w:pPr>
            <w:r w:rsidRPr="003814C7">
              <w:rPr>
                <w:sz w:val="19"/>
                <w:szCs w:val="19"/>
              </w:rPr>
              <w:t>Endosulfan</w:t>
            </w:r>
            <w:r w:rsidR="00896A52">
              <w:rPr>
                <w:sz w:val="19"/>
                <w:szCs w:val="19"/>
              </w:rPr>
              <w:t xml:space="preserve"> (α and β isomer)</w:t>
            </w:r>
          </w:p>
        </w:tc>
        <w:tc>
          <w:tcPr>
            <w:tcW w:w="1228" w:type="dxa"/>
            <w:tcBorders>
              <w:top w:val="single" w:sz="4" w:space="0" w:color="auto"/>
              <w:left w:val="single" w:sz="4" w:space="0" w:color="auto"/>
              <w:bottom w:val="single" w:sz="4" w:space="0" w:color="auto"/>
              <w:right w:val="single" w:sz="4" w:space="0" w:color="auto"/>
            </w:tcBorders>
            <w:hideMark/>
          </w:tcPr>
          <w:p w14:paraId="47E35B50" w14:textId="77777777" w:rsidR="00727777" w:rsidRPr="003814C7" w:rsidRDefault="00727777" w:rsidP="006F2F0E">
            <w:pPr>
              <w:jc w:val="center"/>
              <w:rPr>
                <w:lang w:eastAsia="da-DK"/>
              </w:rPr>
            </w:pPr>
            <w:r w:rsidRPr="003814C7">
              <w:rPr>
                <w:sz w:val="19"/>
                <w:szCs w:val="19"/>
              </w:rPr>
              <w:t>115-29-7</w:t>
            </w:r>
          </w:p>
        </w:tc>
        <w:tc>
          <w:tcPr>
            <w:tcW w:w="2268" w:type="dxa"/>
            <w:tcBorders>
              <w:top w:val="single" w:sz="4" w:space="0" w:color="auto"/>
              <w:left w:val="single" w:sz="4" w:space="0" w:color="auto"/>
              <w:bottom w:val="single" w:sz="4" w:space="0" w:color="auto"/>
              <w:right w:val="single" w:sz="4" w:space="0" w:color="auto"/>
            </w:tcBorders>
            <w:hideMark/>
          </w:tcPr>
          <w:p w14:paraId="7832DA49" w14:textId="77777777" w:rsidR="00727777" w:rsidRPr="003814C7" w:rsidRDefault="00142D00" w:rsidP="006F2F0E">
            <w:pPr>
              <w:pStyle w:val="BodyText"/>
              <w:spacing w:after="0"/>
              <w:rPr>
                <w:sz w:val="19"/>
                <w:szCs w:val="19"/>
                <w:lang w:eastAsia="en-US"/>
              </w:rPr>
            </w:pPr>
            <w:r>
              <w:rPr>
                <w:sz w:val="19"/>
                <w:szCs w:val="19"/>
              </w:rPr>
              <w:t>BIOWIN</w:t>
            </w:r>
            <w:r w:rsidR="00727777" w:rsidRPr="003814C7">
              <w:rPr>
                <w:sz w:val="19"/>
                <w:szCs w:val="19"/>
              </w:rPr>
              <w:t xml:space="preserve"> 2 = 0</w:t>
            </w:r>
          </w:p>
          <w:p w14:paraId="51ED14A2" w14:textId="77777777" w:rsidR="00727777" w:rsidRPr="003814C7" w:rsidRDefault="00142D00" w:rsidP="006F2F0E">
            <w:pPr>
              <w:pStyle w:val="BodyText"/>
              <w:spacing w:after="0"/>
              <w:rPr>
                <w:sz w:val="19"/>
                <w:szCs w:val="19"/>
              </w:rPr>
            </w:pPr>
            <w:r>
              <w:rPr>
                <w:sz w:val="19"/>
                <w:szCs w:val="19"/>
              </w:rPr>
              <w:t>BIOWIN</w:t>
            </w:r>
            <w:r w:rsidR="00727777" w:rsidRPr="003814C7">
              <w:rPr>
                <w:sz w:val="19"/>
                <w:szCs w:val="19"/>
              </w:rPr>
              <w:t xml:space="preserve"> 3 = 0.62</w:t>
            </w:r>
          </w:p>
          <w:p w14:paraId="0F3D7D45" w14:textId="77777777" w:rsidR="00727777" w:rsidRPr="003814C7" w:rsidRDefault="00142D00" w:rsidP="006F2F0E">
            <w:pPr>
              <w:pStyle w:val="BodyText"/>
              <w:spacing w:after="0"/>
              <w:rPr>
                <w:sz w:val="19"/>
                <w:szCs w:val="19"/>
              </w:rPr>
            </w:pPr>
            <w:r>
              <w:rPr>
                <w:sz w:val="19"/>
                <w:szCs w:val="19"/>
              </w:rPr>
              <w:t>BIOWIN</w:t>
            </w:r>
            <w:r w:rsidR="00727777" w:rsidRPr="003814C7">
              <w:rPr>
                <w:sz w:val="19"/>
                <w:szCs w:val="19"/>
              </w:rPr>
              <w:t xml:space="preserve"> 6 = 0</w:t>
            </w:r>
          </w:p>
        </w:tc>
        <w:tc>
          <w:tcPr>
            <w:tcW w:w="3402" w:type="dxa"/>
            <w:tcBorders>
              <w:top w:val="single" w:sz="4" w:space="0" w:color="auto"/>
              <w:left w:val="single" w:sz="4" w:space="0" w:color="auto"/>
              <w:bottom w:val="single" w:sz="4" w:space="0" w:color="auto"/>
              <w:right w:val="single" w:sz="4" w:space="0" w:color="auto"/>
            </w:tcBorders>
            <w:hideMark/>
          </w:tcPr>
          <w:p w14:paraId="44FB818E" w14:textId="77777777" w:rsidR="00727777" w:rsidRPr="003814C7" w:rsidRDefault="00727777" w:rsidP="006F2F0E">
            <w:pPr>
              <w:pStyle w:val="BodyText"/>
              <w:spacing w:after="0"/>
              <w:rPr>
                <w:sz w:val="19"/>
                <w:szCs w:val="19"/>
              </w:rPr>
            </w:pPr>
            <w:r w:rsidRPr="003814C7">
              <w:rPr>
                <w:sz w:val="19"/>
                <w:szCs w:val="19"/>
              </w:rPr>
              <w:t>Soil DT</w:t>
            </w:r>
            <w:r w:rsidRPr="003814C7">
              <w:rPr>
                <w:sz w:val="19"/>
                <w:szCs w:val="19"/>
                <w:vertAlign w:val="subscript"/>
              </w:rPr>
              <w:t>50</w:t>
            </w:r>
            <w:r w:rsidRPr="003814C7">
              <w:rPr>
                <w:sz w:val="19"/>
                <w:szCs w:val="19"/>
              </w:rPr>
              <w:t xml:space="preserve"> = 25-128 days</w:t>
            </w:r>
          </w:p>
          <w:p w14:paraId="7FA5F4FB" w14:textId="77777777" w:rsidR="00727777" w:rsidRPr="003814C7" w:rsidRDefault="00727777" w:rsidP="006F2F0E">
            <w:pPr>
              <w:pStyle w:val="BodyText"/>
              <w:spacing w:after="0"/>
              <w:rPr>
                <w:sz w:val="19"/>
                <w:szCs w:val="19"/>
              </w:rPr>
            </w:pPr>
            <w:r w:rsidRPr="003814C7">
              <w:rPr>
                <w:sz w:val="19"/>
                <w:szCs w:val="19"/>
              </w:rPr>
              <w:t>Metabolite: soil DT</w:t>
            </w:r>
            <w:r w:rsidRPr="003814C7">
              <w:rPr>
                <w:sz w:val="19"/>
                <w:szCs w:val="19"/>
                <w:vertAlign w:val="subscript"/>
              </w:rPr>
              <w:t>50</w:t>
            </w:r>
            <w:r w:rsidRPr="003814C7">
              <w:rPr>
                <w:sz w:val="19"/>
                <w:szCs w:val="19"/>
              </w:rPr>
              <w:t xml:space="preserve"> = 123 - 391 days</w:t>
            </w:r>
          </w:p>
          <w:p w14:paraId="1CB43D91" w14:textId="77777777" w:rsidR="00727777" w:rsidRPr="003814C7" w:rsidRDefault="00727777" w:rsidP="006F2F0E">
            <w:pPr>
              <w:pStyle w:val="BodyText"/>
              <w:spacing w:after="0"/>
              <w:rPr>
                <w:sz w:val="19"/>
                <w:szCs w:val="19"/>
              </w:rPr>
            </w:pPr>
            <w:r w:rsidRPr="003814C7">
              <w:rPr>
                <w:sz w:val="19"/>
                <w:szCs w:val="19"/>
              </w:rPr>
              <w:t>Water/sediment DT</w:t>
            </w:r>
            <w:r w:rsidRPr="003814C7">
              <w:rPr>
                <w:sz w:val="19"/>
                <w:szCs w:val="19"/>
                <w:vertAlign w:val="subscript"/>
              </w:rPr>
              <w:t>50</w:t>
            </w:r>
            <w:r w:rsidRPr="003814C7">
              <w:rPr>
                <w:sz w:val="19"/>
                <w:szCs w:val="19"/>
              </w:rPr>
              <w:t xml:space="preserve"> &gt;120 days</w:t>
            </w:r>
          </w:p>
        </w:tc>
      </w:tr>
      <w:tr w:rsidR="00727777" w:rsidRPr="003814C7" w14:paraId="708263BC" w14:textId="77777777" w:rsidTr="0014178D">
        <w:trPr>
          <w:cantSplit/>
        </w:trPr>
        <w:tc>
          <w:tcPr>
            <w:tcW w:w="1319" w:type="dxa"/>
            <w:tcBorders>
              <w:top w:val="single" w:sz="4" w:space="0" w:color="auto"/>
              <w:left w:val="single" w:sz="4" w:space="0" w:color="auto"/>
              <w:bottom w:val="single" w:sz="4" w:space="0" w:color="auto"/>
              <w:right w:val="single" w:sz="4" w:space="0" w:color="auto"/>
            </w:tcBorders>
            <w:hideMark/>
          </w:tcPr>
          <w:p w14:paraId="3377E22E" w14:textId="77777777" w:rsidR="00727777" w:rsidRPr="003814C7" w:rsidRDefault="00727777" w:rsidP="006F2F0E">
            <w:pPr>
              <w:rPr>
                <w:sz w:val="24"/>
                <w:szCs w:val="24"/>
                <w:lang w:eastAsia="da-DK"/>
              </w:rPr>
            </w:pPr>
            <w:r w:rsidRPr="003814C7">
              <w:rPr>
                <w:bCs/>
                <w:sz w:val="19"/>
                <w:szCs w:val="19"/>
              </w:rPr>
              <w:t>Chlorendic acid</w:t>
            </w:r>
          </w:p>
        </w:tc>
        <w:tc>
          <w:tcPr>
            <w:tcW w:w="1228" w:type="dxa"/>
            <w:tcBorders>
              <w:top w:val="single" w:sz="4" w:space="0" w:color="auto"/>
              <w:left w:val="single" w:sz="4" w:space="0" w:color="auto"/>
              <w:bottom w:val="single" w:sz="4" w:space="0" w:color="auto"/>
              <w:right w:val="single" w:sz="4" w:space="0" w:color="auto"/>
            </w:tcBorders>
            <w:hideMark/>
          </w:tcPr>
          <w:p w14:paraId="192CE032" w14:textId="77777777" w:rsidR="00727777" w:rsidRPr="003814C7" w:rsidRDefault="00727777" w:rsidP="006F2F0E">
            <w:pPr>
              <w:jc w:val="center"/>
              <w:rPr>
                <w:lang w:eastAsia="da-DK"/>
              </w:rPr>
            </w:pPr>
            <w:r w:rsidRPr="003814C7">
              <w:rPr>
                <w:bCs/>
                <w:sz w:val="19"/>
                <w:szCs w:val="19"/>
              </w:rPr>
              <w:t>115-28-6</w:t>
            </w:r>
          </w:p>
        </w:tc>
        <w:tc>
          <w:tcPr>
            <w:tcW w:w="2268" w:type="dxa"/>
            <w:tcBorders>
              <w:top w:val="single" w:sz="4" w:space="0" w:color="auto"/>
              <w:left w:val="single" w:sz="4" w:space="0" w:color="auto"/>
              <w:bottom w:val="single" w:sz="4" w:space="0" w:color="auto"/>
              <w:right w:val="single" w:sz="4" w:space="0" w:color="auto"/>
            </w:tcBorders>
            <w:hideMark/>
          </w:tcPr>
          <w:p w14:paraId="69A19DB3" w14:textId="77777777" w:rsidR="00727777" w:rsidRPr="003814C7" w:rsidRDefault="00142D00" w:rsidP="006F2F0E">
            <w:pPr>
              <w:pStyle w:val="BodyText"/>
              <w:spacing w:after="0"/>
              <w:rPr>
                <w:sz w:val="19"/>
                <w:szCs w:val="19"/>
                <w:lang w:eastAsia="en-US"/>
              </w:rPr>
            </w:pPr>
            <w:r>
              <w:rPr>
                <w:sz w:val="19"/>
                <w:szCs w:val="19"/>
              </w:rPr>
              <w:t>BIOWIN</w:t>
            </w:r>
            <w:r w:rsidR="00727777" w:rsidRPr="003814C7">
              <w:rPr>
                <w:sz w:val="19"/>
                <w:szCs w:val="19"/>
              </w:rPr>
              <w:t xml:space="preserve"> 2 = 0</w:t>
            </w:r>
          </w:p>
          <w:p w14:paraId="782BDD6D" w14:textId="77777777" w:rsidR="00727777" w:rsidRPr="003814C7" w:rsidRDefault="00142D00" w:rsidP="006F2F0E">
            <w:pPr>
              <w:pStyle w:val="BodyText"/>
              <w:spacing w:after="0"/>
              <w:rPr>
                <w:sz w:val="19"/>
                <w:szCs w:val="19"/>
              </w:rPr>
            </w:pPr>
            <w:r>
              <w:rPr>
                <w:sz w:val="19"/>
                <w:szCs w:val="19"/>
              </w:rPr>
              <w:t>BIOWIN</w:t>
            </w:r>
            <w:r w:rsidR="00727777" w:rsidRPr="003814C7">
              <w:rPr>
                <w:sz w:val="19"/>
                <w:szCs w:val="19"/>
              </w:rPr>
              <w:t xml:space="preserve"> 3 = 1.39</w:t>
            </w:r>
          </w:p>
          <w:p w14:paraId="45DA9309" w14:textId="77777777" w:rsidR="00727777" w:rsidRPr="003814C7" w:rsidRDefault="00142D00" w:rsidP="006F2F0E">
            <w:pPr>
              <w:pStyle w:val="BodyText"/>
              <w:spacing w:after="0"/>
              <w:rPr>
                <w:sz w:val="19"/>
                <w:szCs w:val="19"/>
              </w:rPr>
            </w:pPr>
            <w:r>
              <w:rPr>
                <w:sz w:val="19"/>
                <w:szCs w:val="19"/>
              </w:rPr>
              <w:t>BIOWIN</w:t>
            </w:r>
            <w:r w:rsidR="00727777" w:rsidRPr="003814C7">
              <w:rPr>
                <w:sz w:val="19"/>
                <w:szCs w:val="19"/>
              </w:rPr>
              <w:t xml:space="preserve"> 6 = 0</w:t>
            </w:r>
          </w:p>
        </w:tc>
        <w:tc>
          <w:tcPr>
            <w:tcW w:w="3402" w:type="dxa"/>
            <w:tcBorders>
              <w:top w:val="single" w:sz="4" w:space="0" w:color="auto"/>
              <w:left w:val="single" w:sz="4" w:space="0" w:color="auto"/>
              <w:bottom w:val="single" w:sz="4" w:space="0" w:color="auto"/>
              <w:right w:val="single" w:sz="4" w:space="0" w:color="auto"/>
            </w:tcBorders>
            <w:hideMark/>
          </w:tcPr>
          <w:p w14:paraId="6D47A499" w14:textId="77777777" w:rsidR="00727777" w:rsidRPr="003814C7" w:rsidRDefault="00727777" w:rsidP="006F2F0E">
            <w:pPr>
              <w:pStyle w:val="BodyText"/>
              <w:spacing w:after="0"/>
              <w:rPr>
                <w:sz w:val="19"/>
                <w:szCs w:val="19"/>
              </w:rPr>
            </w:pPr>
            <w:r w:rsidRPr="003814C7">
              <w:rPr>
                <w:sz w:val="19"/>
                <w:szCs w:val="19"/>
              </w:rPr>
              <w:t>0</w:t>
            </w:r>
            <w:r w:rsidR="00906888">
              <w:rPr>
                <w:sz w:val="19"/>
                <w:szCs w:val="19"/>
              </w:rPr>
              <w:t xml:space="preserve"> % mineralisation in 31 </w:t>
            </w:r>
            <w:r w:rsidRPr="003814C7">
              <w:rPr>
                <w:sz w:val="19"/>
                <w:szCs w:val="19"/>
              </w:rPr>
              <w:t>days</w:t>
            </w:r>
          </w:p>
        </w:tc>
      </w:tr>
    </w:tbl>
    <w:p w14:paraId="0BCEBA5B" w14:textId="77777777" w:rsidR="00802D26" w:rsidRDefault="003814C7" w:rsidP="00D738FB">
      <w:pPr>
        <w:autoSpaceDE w:val="0"/>
        <w:autoSpaceDN w:val="0"/>
        <w:adjustRightInd w:val="0"/>
        <w:spacing w:after="120"/>
        <w:jc w:val="both"/>
        <w:rPr>
          <w:u w:val="single"/>
        </w:rPr>
      </w:pPr>
      <w:r>
        <w:t>The results for BIOWIN 2 and 6 are zero for all substances, indicating a similarly low potential for biodegradation as Dechlorane Plus. The results for BIOWIN 3 indicate that Dechlorane Plus</w:t>
      </w:r>
      <w:r w:rsidR="00F34C8A">
        <w:t xml:space="preserve"> (-1.60, see Section </w:t>
      </w:r>
      <w:r w:rsidR="00F34C8A" w:rsidRPr="00096A9A">
        <w:t>3.1.2.1.1</w:t>
      </w:r>
      <w:r w:rsidR="00F34C8A">
        <w:t>)</w:t>
      </w:r>
      <w:r>
        <w:t xml:space="preserve"> may resist biodegradation more than all of the POPs. This appears to be due to the factor added for each chlorine atom in the model. While the same atom addition applies to the BIOWIN 2 and 6 models, these structure-activity relationships appear to only return zero or positive values. As a minimum</w:t>
      </w:r>
      <w:r w:rsidR="00727777">
        <w:t>,</w:t>
      </w:r>
      <w:r>
        <w:t xml:space="preserve"> Dechlorane Plus is not predicted to be more rapidly biodegraded than the analogues.</w:t>
      </w:r>
      <w:r w:rsidR="00D738FB" w:rsidRPr="00D738FB">
        <w:t xml:space="preserve"> </w:t>
      </w:r>
      <w:r w:rsidR="00D738FB">
        <w:t xml:space="preserve">Chlorendic acid appears to provide a “best-case”, as it is the most water soluble of the group, yet it fails to undergo ready biodegradation. </w:t>
      </w:r>
    </w:p>
    <w:p w14:paraId="14CFDEDF" w14:textId="77777777" w:rsidR="00802D26" w:rsidRPr="00A86884" w:rsidRDefault="00802D26" w:rsidP="00802D26">
      <w:pPr>
        <w:spacing w:after="120"/>
        <w:rPr>
          <w:b/>
          <w:i/>
        </w:rPr>
      </w:pPr>
      <w:r w:rsidRPr="00A86884">
        <w:rPr>
          <w:b/>
          <w:i/>
        </w:rPr>
        <w:t>Fragment considerations</w:t>
      </w:r>
    </w:p>
    <w:p w14:paraId="05A5D221" w14:textId="77777777" w:rsidR="00802D26" w:rsidRDefault="00802D26" w:rsidP="00D738FB">
      <w:pPr>
        <w:autoSpaceDE w:val="0"/>
        <w:autoSpaceDN w:val="0"/>
        <w:adjustRightInd w:val="0"/>
        <w:spacing w:after="120"/>
        <w:jc w:val="both"/>
      </w:pPr>
      <w:r>
        <w:t>Dechlorane Plus differs from all of the analogues by virtue of its cyclooctane ring which links the two chlorinated norbornene fragments. If this ring could be opened by biotic or abiotic degradation, chloren</w:t>
      </w:r>
      <w:r w:rsidR="00D738FB">
        <w:t>d</w:t>
      </w:r>
      <w:r>
        <w:t>ic acid (see above) could be formed as a stable metabolite. Whilst likely to be persistent, the negative log K</w:t>
      </w:r>
      <w:r>
        <w:rPr>
          <w:vertAlign w:val="subscript"/>
        </w:rPr>
        <w:t>OW</w:t>
      </w:r>
      <w:r>
        <w:t xml:space="preserve"> of this substance suggests that it is not bioaccumulative. Cyclooctane (CAS no. </w:t>
      </w:r>
      <w:r w:rsidRPr="00D738FB">
        <w:t>292-64-8</w:t>
      </w:r>
      <w:r>
        <w:t>) is not c</w:t>
      </w:r>
      <w:r w:rsidR="00D738FB">
        <w:t>urrently registered under REACH, and a literature</w:t>
      </w:r>
      <w:r>
        <w:t xml:space="preserve"> search</w:t>
      </w:r>
      <w:r w:rsidRPr="00D738FB">
        <w:rPr>
          <w:rStyle w:val="FootnoteReference"/>
          <w:rFonts w:ascii="Verdana" w:hAnsi="Verdana"/>
          <w:sz w:val="20"/>
        </w:rPr>
        <w:footnoteReference w:id="9"/>
      </w:r>
      <w:r w:rsidRPr="00D738FB">
        <w:t xml:space="preserve"> </w:t>
      </w:r>
      <w:r>
        <w:t xml:space="preserve">has not located any degradation data for the substance. </w:t>
      </w:r>
    </w:p>
    <w:p w14:paraId="457AE98B" w14:textId="77777777" w:rsidR="00802D26" w:rsidRDefault="00802D26" w:rsidP="00802D26">
      <w:pPr>
        <w:autoSpaceDE w:val="0"/>
        <w:autoSpaceDN w:val="0"/>
        <w:adjustRightInd w:val="0"/>
        <w:spacing w:after="120"/>
        <w:jc w:val="both"/>
      </w:pPr>
      <w:r>
        <w:t>Cyclooctane is a relatively simple alkane. Although predicted to be of moderate water solubility and log K</w:t>
      </w:r>
      <w:r>
        <w:rPr>
          <w:vertAlign w:val="subscript"/>
        </w:rPr>
        <w:t>OW</w:t>
      </w:r>
      <w:r>
        <w:t>, EPIWEB v4.1</w:t>
      </w:r>
      <w:r w:rsidRPr="00D738FB">
        <w:rPr>
          <w:rStyle w:val="FootnoteReference"/>
          <w:rFonts w:ascii="Verdana" w:hAnsi="Verdana"/>
          <w:sz w:val="20"/>
        </w:rPr>
        <w:footnoteReference w:id="10"/>
      </w:r>
      <w:r w:rsidRPr="00D738FB">
        <w:t xml:space="preserve"> </w:t>
      </w:r>
      <w:r>
        <w:t xml:space="preserve">predicts that it can be rapidly degraded. However, in Dechlorane Plus, the two chlorinated norbornene rings constrain the flexibility of the cycloalkane structure (there are two structural isomers).  </w:t>
      </w:r>
      <w:r w:rsidRPr="00D738FB">
        <w:rPr>
          <w:u w:val="single"/>
        </w:rPr>
        <w:t xml:space="preserve">Hoh </w:t>
      </w:r>
      <w:r w:rsidRPr="00D738FB">
        <w:rPr>
          <w:i/>
          <w:u w:val="single"/>
        </w:rPr>
        <w:t>et al</w:t>
      </w:r>
      <w:r w:rsidRPr="00D738FB">
        <w:rPr>
          <w:u w:val="single"/>
        </w:rPr>
        <w:t>. (2006)</w:t>
      </w:r>
      <w:r>
        <w:t xml:space="preserve"> suggested that because of the configuration of the pendant chlorocyclopentene moieties, the anti- isomer would be more susceptible to biological attack than the syn- isomer. </w:t>
      </w:r>
    </w:p>
    <w:p w14:paraId="175E641F" w14:textId="77777777" w:rsidR="00802D26" w:rsidRDefault="00802D26" w:rsidP="00D738FB">
      <w:pPr>
        <w:pStyle w:val="BodyText"/>
        <w:spacing w:after="120"/>
        <w:rPr>
          <w:i/>
        </w:rPr>
      </w:pPr>
      <w:r>
        <w:rPr>
          <w:i/>
        </w:rPr>
        <w:t>Biodegradation pathway considerations</w:t>
      </w:r>
    </w:p>
    <w:p w14:paraId="1B33BEF3" w14:textId="77777777" w:rsidR="00802D26" w:rsidRDefault="00802D26" w:rsidP="00D738FB">
      <w:pPr>
        <w:pStyle w:val="BodyText"/>
        <w:jc w:val="both"/>
        <w:rPr>
          <w:szCs w:val="24"/>
        </w:rPr>
      </w:pPr>
      <w:r>
        <w:t>The EAWAG-BBD Pathway Prediction tool</w:t>
      </w:r>
      <w:r w:rsidRPr="00D738FB">
        <w:rPr>
          <w:rStyle w:val="FootnoteReference"/>
          <w:rFonts w:ascii="Verdana" w:hAnsi="Verdana"/>
          <w:sz w:val="20"/>
        </w:rPr>
        <w:footnoteReference w:id="11"/>
      </w:r>
      <w:r w:rsidRPr="00D738FB">
        <w:t xml:space="preserve"> </w:t>
      </w:r>
      <w:r>
        <w:t xml:space="preserve">for biodegradation </w:t>
      </w:r>
      <w:r w:rsidR="00D738FB">
        <w:t xml:space="preserve">can be used </w:t>
      </w:r>
      <w:r>
        <w:t>to explore the possible aerobic degradation pathways for Dechlorane Plus. The model suggests two possible pathways: hydroxylation of a secondary carbon (on the cyclooctane ring) and hydroxylation of a tertiary carbon (</w:t>
      </w:r>
      <w:r w:rsidR="00733454">
        <w:t xml:space="preserve">the </w:t>
      </w:r>
      <w:r>
        <w:t xml:space="preserve">carbon </w:t>
      </w:r>
      <w:r w:rsidR="00733454">
        <w:t xml:space="preserve">atom </w:t>
      </w:r>
      <w:r>
        <w:t xml:space="preserve">common </w:t>
      </w:r>
      <w:r>
        <w:lastRenderedPageBreak/>
        <w:t>to the cyclooctane and norbornene rings)</w:t>
      </w:r>
      <w:r w:rsidRPr="00733454">
        <w:rPr>
          <w:rStyle w:val="FootnoteReference"/>
          <w:rFonts w:ascii="Verdana" w:hAnsi="Verdana"/>
          <w:sz w:val="20"/>
        </w:rPr>
        <w:footnoteReference w:id="12"/>
      </w:r>
      <w:r w:rsidRPr="00733454">
        <w:t>.</w:t>
      </w:r>
      <w:r>
        <w:t xml:space="preserve"> Both pathways are predicted to be of neutral likelihood, which is an assessment of the general pathway rather than specific to the substance. </w:t>
      </w:r>
      <w:r>
        <w:rPr>
          <w:szCs w:val="24"/>
        </w:rPr>
        <w:t>As noted in Section 1.3,</w:t>
      </w:r>
      <w:r>
        <w:t xml:space="preserve"> dechlorinated substances have been </w:t>
      </w:r>
      <w:r>
        <w:rPr>
          <w:szCs w:val="24"/>
        </w:rPr>
        <w:t>detected in the environment</w:t>
      </w:r>
      <w:r>
        <w:t xml:space="preserve">. These may be </w:t>
      </w:r>
      <w:r>
        <w:rPr>
          <w:szCs w:val="24"/>
        </w:rPr>
        <w:t>reductive transformation products</w:t>
      </w:r>
      <w:r>
        <w:t>, but</w:t>
      </w:r>
      <w:r>
        <w:rPr>
          <w:szCs w:val="24"/>
        </w:rPr>
        <w:t xml:space="preserve"> might also be impurities in the commercial substance. </w:t>
      </w:r>
      <w:r>
        <w:t>None of the substances are predicted to be formed using this tool.</w:t>
      </w:r>
    </w:p>
    <w:p w14:paraId="2B3120E8" w14:textId="77777777" w:rsidR="00802D26" w:rsidRDefault="00802D26" w:rsidP="00D738FB">
      <w:pPr>
        <w:pStyle w:val="BodyText"/>
        <w:jc w:val="both"/>
      </w:pPr>
      <w:r>
        <w:t>Similar to Dechlorane Plus, prediction for cyclooctane also suggests degradation via hydroxylation of a secondary carbon on the ring. Both cyclooctane attached to a single norbornene ring, and chlordane (the only analogue that contains a secondary carbon</w:t>
      </w:r>
      <w:r w:rsidR="00733454">
        <w:t>,</w:t>
      </w:r>
      <w:r>
        <w:t xml:space="preserve"> in </w:t>
      </w:r>
      <w:r w:rsidR="00733454">
        <w:t>a</w:t>
      </w:r>
      <w:r>
        <w:t xml:space="preserve"> pentyl ring) are predicted to degrade via both the tertiary or secondary carbon. Heptachlor and chloren</w:t>
      </w:r>
      <w:r w:rsidR="00D738FB">
        <w:t>d</w:t>
      </w:r>
      <w:r>
        <w:t xml:space="preserve">ic acid </w:t>
      </w:r>
      <w:r w:rsidR="00733454">
        <w:t>are indicated to have</w:t>
      </w:r>
      <w:r>
        <w:t xml:space="preserve"> the same tertiary carbon biodegradation pathways as Dechlorane Plus. </w:t>
      </w:r>
    </w:p>
    <w:p w14:paraId="16C839B4" w14:textId="77777777" w:rsidR="00802D26" w:rsidRDefault="00802D26" w:rsidP="00D738FB">
      <w:pPr>
        <w:pStyle w:val="BodyText"/>
        <w:jc w:val="both"/>
      </w:pPr>
      <w:r>
        <w:t xml:space="preserve">The prediction for endosulfan suggests that conversion to the </w:t>
      </w:r>
      <w:r w:rsidR="00733454">
        <w:t>sulf</w:t>
      </w:r>
      <w:r>
        <w:t>ate is favoured over the hydroxylation of the tertiary carbon which agrees with the experimental observation described in the POPs dossier. The epoxid</w:t>
      </w:r>
      <w:r w:rsidR="00733454">
        <w:t>ation</w:t>
      </w:r>
      <w:r>
        <w:t xml:space="preserve"> of dieldrin is favoured over the hydroxylation of the tertiary carbon.</w:t>
      </w:r>
    </w:p>
    <w:p w14:paraId="1A5A6491" w14:textId="77777777" w:rsidR="00733454" w:rsidRDefault="00802D26" w:rsidP="00D738FB">
      <w:pPr>
        <w:pStyle w:val="BodyText"/>
        <w:jc w:val="both"/>
      </w:pPr>
      <w:r>
        <w:t>The predictions suggest that the pathways available for Dechlorane Plus are no different to those for the analogues. However, the tool does not provide a prediction of rates for any part of the pathway, and it is not possible to determine how degradation rates will vary between the chemicals. The two degradation pathways predicted to exist for Dechlorane Plus do not appear to be rapid where these occur for the other analogues</w:t>
      </w:r>
      <w:r w:rsidR="00733454">
        <w:t xml:space="preserve"> (e.g.</w:t>
      </w:r>
      <w:r>
        <w:t xml:space="preserve"> </w:t>
      </w:r>
      <w:r w:rsidR="00733454">
        <w:t>d</w:t>
      </w:r>
      <w:r>
        <w:t>ieldrin</w:t>
      </w:r>
      <w:r w:rsidR="00733454">
        <w:t>)</w:t>
      </w:r>
      <w:r>
        <w:t xml:space="preserve">. For dieldrin one pathway is suggested to be more likely than the other. However, the persistence of the substance suggests that both are slow. </w:t>
      </w:r>
    </w:p>
    <w:p w14:paraId="18D0CEAB" w14:textId="77777777" w:rsidR="00802D26" w:rsidRDefault="00733454" w:rsidP="00D738FB">
      <w:pPr>
        <w:pStyle w:val="BodyText"/>
        <w:jc w:val="both"/>
      </w:pPr>
      <w:r>
        <w:t xml:space="preserve">As a further indication of the limited </w:t>
      </w:r>
      <w:r w:rsidR="00157789">
        <w:t>biotransformation</w:t>
      </w:r>
      <w:r>
        <w:t xml:space="preserve"> potential of Dechlorane Plus, </w:t>
      </w:r>
      <w:r w:rsidR="00802D26">
        <w:t>Tomy</w:t>
      </w:r>
      <w:r w:rsidR="00802D26">
        <w:rPr>
          <w:szCs w:val="24"/>
        </w:rPr>
        <w:t xml:space="preserve"> </w:t>
      </w:r>
      <w:r w:rsidR="00802D26">
        <w:rPr>
          <w:i/>
          <w:szCs w:val="24"/>
        </w:rPr>
        <w:t>et al</w:t>
      </w:r>
      <w:r w:rsidR="00802D26">
        <w:rPr>
          <w:szCs w:val="24"/>
        </w:rPr>
        <w:t>. (2008) were unable to identify any Dechlorane Plus metabolites in a 161</w:t>
      </w:r>
      <w:r w:rsidR="00802D26">
        <w:rPr>
          <w:szCs w:val="24"/>
        </w:rPr>
        <w:noBreakHyphen/>
        <w:t>day dietary exposure study with juvenile Rainbow Trout (</w:t>
      </w:r>
      <w:r w:rsidR="00802D26">
        <w:rPr>
          <w:i/>
          <w:szCs w:val="24"/>
        </w:rPr>
        <w:t>Oncorhynchus mykiss</w:t>
      </w:r>
      <w:r w:rsidR="00802D26">
        <w:rPr>
          <w:szCs w:val="24"/>
        </w:rPr>
        <w:t>)</w:t>
      </w:r>
      <w:r w:rsidR="00802D26">
        <w:t xml:space="preserve"> (see Section </w:t>
      </w:r>
      <w:r w:rsidR="00641064">
        <w:t>3.4.1.2.2</w:t>
      </w:r>
      <w:r w:rsidR="00802D26">
        <w:t>)</w:t>
      </w:r>
      <w:r w:rsidR="00802D26">
        <w:rPr>
          <w:szCs w:val="24"/>
        </w:rPr>
        <w:t>.</w:t>
      </w:r>
    </w:p>
    <w:p w14:paraId="1D952E3F" w14:textId="77777777" w:rsidR="003B13E5" w:rsidRPr="00DF4E18" w:rsidRDefault="003B13E5" w:rsidP="003B13E5">
      <w:pPr>
        <w:jc w:val="both"/>
      </w:pPr>
    </w:p>
    <w:p w14:paraId="7F1BDC3B" w14:textId="77777777" w:rsidR="00160086" w:rsidRPr="00096A9A" w:rsidRDefault="00B25391" w:rsidP="00B76533">
      <w:pPr>
        <w:pStyle w:val="Heading3"/>
        <w:tabs>
          <w:tab w:val="clear" w:pos="360"/>
          <w:tab w:val="num" w:pos="0"/>
        </w:tabs>
      </w:pPr>
      <w:bookmarkStart w:id="428" w:name="_Toc365649654"/>
      <w:bookmarkStart w:id="429" w:name="_Toc365649803"/>
      <w:bookmarkStart w:id="430" w:name="_Toc366489855"/>
      <w:bookmarkStart w:id="431" w:name="_Toc418498560"/>
      <w:bookmarkStart w:id="432" w:name="_Toc418506003"/>
      <w:bookmarkStart w:id="433" w:name="_Toc491862227"/>
      <w:bookmarkStart w:id="434" w:name="_Toc341888523"/>
      <w:bookmarkStart w:id="435" w:name="_Toc342400375"/>
      <w:bookmarkStart w:id="436" w:name="_Toc354499577"/>
      <w:bookmarkStart w:id="437" w:name="_Toc357083652"/>
      <w:bookmarkStart w:id="438" w:name="_Toc357184201"/>
      <w:bookmarkStart w:id="439" w:name="_Toc357184437"/>
      <w:bookmarkStart w:id="440" w:name="_Toc357185239"/>
      <w:bookmarkStart w:id="441" w:name="_Toc357186087"/>
      <w:bookmarkStart w:id="442" w:name="_Toc357186236"/>
      <w:bookmarkStart w:id="443" w:name="_Toc357437522"/>
      <w:bookmarkStart w:id="444" w:name="_Toc357590795"/>
      <w:bookmarkStart w:id="445" w:name="_Toc357692827"/>
      <w:r w:rsidRPr="00096A9A">
        <w:t xml:space="preserve">3.1.3 </w:t>
      </w:r>
      <w:r w:rsidR="00D44AD8">
        <w:t>Other</w:t>
      </w:r>
      <w:r w:rsidR="00160086" w:rsidRPr="00096A9A">
        <w:t xml:space="preserve"> data</w:t>
      </w:r>
      <w:bookmarkEnd w:id="428"/>
      <w:bookmarkEnd w:id="429"/>
      <w:bookmarkEnd w:id="430"/>
      <w:bookmarkEnd w:id="431"/>
      <w:bookmarkEnd w:id="432"/>
      <w:bookmarkEnd w:id="433"/>
    </w:p>
    <w:p w14:paraId="6ADCD039" w14:textId="77777777" w:rsidR="00B76614" w:rsidRDefault="00D738FB" w:rsidP="00D738FB">
      <w:pPr>
        <w:pStyle w:val="BodyText"/>
        <w:jc w:val="both"/>
        <w:rPr>
          <w:rFonts w:eastAsiaTheme="minorHAnsi"/>
        </w:rPr>
      </w:pPr>
      <w:r w:rsidRPr="00D738FB">
        <w:rPr>
          <w:rFonts w:eastAsiaTheme="minorHAnsi"/>
        </w:rPr>
        <w:t>A study investigating</w:t>
      </w:r>
      <w:r w:rsidR="00D44AD8">
        <w:rPr>
          <w:rFonts w:eastAsiaTheme="minorHAnsi"/>
        </w:rPr>
        <w:t xml:space="preserve"> changes</w:t>
      </w:r>
      <w:r w:rsidRPr="00D738FB">
        <w:rPr>
          <w:rFonts w:eastAsiaTheme="minorHAnsi"/>
        </w:rPr>
        <w:t xml:space="preserve"> </w:t>
      </w:r>
      <w:r w:rsidR="00D44AD8">
        <w:rPr>
          <w:rFonts w:eastAsiaTheme="minorHAnsi"/>
        </w:rPr>
        <w:t xml:space="preserve">in </w:t>
      </w:r>
      <w:r w:rsidRPr="00D738FB">
        <w:rPr>
          <w:rFonts w:eastAsiaTheme="minorHAnsi"/>
        </w:rPr>
        <w:t xml:space="preserve">sewage sludge </w:t>
      </w:r>
      <w:r w:rsidR="00D44AD8">
        <w:rPr>
          <w:rFonts w:eastAsiaTheme="minorHAnsi"/>
        </w:rPr>
        <w:t xml:space="preserve">concentrations </w:t>
      </w:r>
      <w:r w:rsidRPr="00D738FB">
        <w:rPr>
          <w:rFonts w:eastAsiaTheme="minorHAnsi"/>
        </w:rPr>
        <w:t>is briefly summarised in Appe</w:t>
      </w:r>
      <w:r>
        <w:rPr>
          <w:rFonts w:eastAsiaTheme="minorHAnsi"/>
        </w:rPr>
        <w:t>ndix 1 (</w:t>
      </w:r>
      <w:r w:rsidR="00496CA2" w:rsidRPr="00D738FB">
        <w:rPr>
          <w:rFonts w:eastAsiaTheme="minorHAnsi"/>
        </w:rPr>
        <w:t xml:space="preserve">de la Torre </w:t>
      </w:r>
      <w:r w:rsidR="00496CA2" w:rsidRPr="00D738FB">
        <w:rPr>
          <w:rFonts w:eastAsiaTheme="minorHAnsi"/>
          <w:i/>
        </w:rPr>
        <w:t>et al</w:t>
      </w:r>
      <w:r>
        <w:rPr>
          <w:rFonts w:eastAsiaTheme="minorHAnsi"/>
        </w:rPr>
        <w:t xml:space="preserve">., </w:t>
      </w:r>
      <w:r w:rsidR="00496CA2" w:rsidRPr="00D738FB">
        <w:rPr>
          <w:rFonts w:eastAsiaTheme="minorHAnsi"/>
        </w:rPr>
        <w:t>2011)</w:t>
      </w:r>
      <w:r w:rsidR="00D44AD8">
        <w:rPr>
          <w:rFonts w:eastAsiaTheme="minorHAnsi"/>
        </w:rPr>
        <w:t>, but does not provide any information to enable an environmental half-life to be estimated</w:t>
      </w:r>
      <w:r w:rsidRPr="00D738FB">
        <w:rPr>
          <w:rFonts w:eastAsiaTheme="minorHAnsi"/>
        </w:rPr>
        <w:t>.</w:t>
      </w:r>
      <w:r w:rsidR="00496CA2">
        <w:rPr>
          <w:rFonts w:eastAsiaTheme="minorHAnsi"/>
        </w:rPr>
        <w:t xml:space="preserve"> </w:t>
      </w:r>
    </w:p>
    <w:p w14:paraId="342D003C" w14:textId="77777777" w:rsidR="00D738FB" w:rsidRPr="00096A9A" w:rsidRDefault="00D738FB" w:rsidP="00B76614">
      <w:pPr>
        <w:pStyle w:val="BodyText"/>
      </w:pPr>
    </w:p>
    <w:p w14:paraId="3D6EDC6F" w14:textId="77777777" w:rsidR="00B12C39" w:rsidRDefault="00B25391" w:rsidP="00B76533">
      <w:pPr>
        <w:pStyle w:val="Heading3"/>
        <w:tabs>
          <w:tab w:val="clear" w:pos="360"/>
          <w:tab w:val="num" w:pos="0"/>
        </w:tabs>
      </w:pPr>
      <w:bookmarkStart w:id="446" w:name="_Toc365649655"/>
      <w:bookmarkStart w:id="447" w:name="_Toc365649804"/>
      <w:bookmarkStart w:id="448" w:name="_Toc366489856"/>
      <w:bookmarkStart w:id="449" w:name="_Toc418498561"/>
      <w:bookmarkStart w:id="450" w:name="_Toc418506004"/>
      <w:bookmarkStart w:id="451" w:name="_Toc491862228"/>
      <w:r w:rsidRPr="00096A9A">
        <w:t xml:space="preserve">3.1.4 </w:t>
      </w:r>
      <w:r w:rsidR="00B12C39" w:rsidRPr="00096A9A">
        <w:t>Summary and discussion of degradation</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610B519C" w14:textId="77777777" w:rsidR="00D44AD8" w:rsidRDefault="00733454" w:rsidP="00D44AD8">
      <w:pPr>
        <w:jc w:val="both"/>
      </w:pPr>
      <w:r>
        <w:t xml:space="preserve">No degradation </w:t>
      </w:r>
      <w:r w:rsidR="00D44AD8">
        <w:t>studies are available that meet</w:t>
      </w:r>
      <w:r>
        <w:t xml:space="preserve"> modern regulatory standards. Key studies cited in the registration dossier cannot be considered reliable. </w:t>
      </w:r>
      <w:r w:rsidR="00D44AD8">
        <w:t xml:space="preserve">However, it is possible to conclude that </w:t>
      </w:r>
      <w:r w:rsidR="003B13E5" w:rsidRPr="00DF4E18">
        <w:t xml:space="preserve">Dechlorane Plus </w:t>
      </w:r>
      <w:r w:rsidR="003B13E5">
        <w:t xml:space="preserve">is unlikely to undergo significant </w:t>
      </w:r>
      <w:r w:rsidR="00975A5C">
        <w:t xml:space="preserve">abiotic </w:t>
      </w:r>
      <w:r w:rsidR="003B13E5">
        <w:t>degradation. There are no environmental simulation studies, but evidence from quantitative structure-activity relationships</w:t>
      </w:r>
      <w:r w:rsidR="008F239E">
        <w:t xml:space="preserve"> (QSARs)</w:t>
      </w:r>
      <w:r w:rsidR="003B13E5">
        <w:t xml:space="preserve">, analogue </w:t>
      </w:r>
      <w:r w:rsidR="00304028">
        <w:t>read-</w:t>
      </w:r>
      <w:r w:rsidR="003B13E5">
        <w:t>across and b</w:t>
      </w:r>
      <w:r w:rsidR="003B13E5" w:rsidRPr="00436403">
        <w:t>iodegradation pathway considerations</w:t>
      </w:r>
      <w:r w:rsidR="003B13E5">
        <w:t xml:space="preserve"> all indicate that the rate of </w:t>
      </w:r>
      <w:r w:rsidR="003B13E5" w:rsidRPr="000A6FDD">
        <w:t>biodegrad</w:t>
      </w:r>
      <w:r w:rsidR="003B13E5">
        <w:t xml:space="preserve">ation </w:t>
      </w:r>
      <w:r w:rsidR="003B13E5" w:rsidRPr="000A6FDD">
        <w:t xml:space="preserve">is </w:t>
      </w:r>
      <w:r w:rsidR="003B13E5">
        <w:t>likely to be</w:t>
      </w:r>
      <w:r w:rsidR="00975A5C">
        <w:t xml:space="preserve"> </w:t>
      </w:r>
      <w:r w:rsidR="00304028">
        <w:t>very</w:t>
      </w:r>
      <w:r w:rsidR="003B13E5">
        <w:t xml:space="preserve"> slow in the environment</w:t>
      </w:r>
      <w:r w:rsidR="003B13E5" w:rsidRPr="000A6FDD">
        <w:t>.</w:t>
      </w:r>
      <w:r w:rsidR="00D44AD8">
        <w:t xml:space="preserve"> In particular, </w:t>
      </w:r>
      <w:r w:rsidR="00D44AD8" w:rsidRPr="00DF4E18">
        <w:t xml:space="preserve">BIOWIN predictions suggest </w:t>
      </w:r>
      <w:r w:rsidR="00D44AD8">
        <w:t xml:space="preserve">that </w:t>
      </w:r>
      <w:r w:rsidR="00D44AD8" w:rsidRPr="00DF4E18">
        <w:t xml:space="preserve">Dechlorane Plus has </w:t>
      </w:r>
      <w:r w:rsidR="00142D00">
        <w:t xml:space="preserve">a </w:t>
      </w:r>
      <w:r w:rsidR="00142D00" w:rsidRPr="00DF4E18">
        <w:t xml:space="preserve">biodegradation </w:t>
      </w:r>
      <w:r w:rsidR="00142D00">
        <w:t>potential</w:t>
      </w:r>
      <w:r w:rsidR="00142D00" w:rsidRPr="00DF4E18">
        <w:t xml:space="preserve"> </w:t>
      </w:r>
      <w:r w:rsidR="00D44AD8" w:rsidRPr="00DF4E18">
        <w:t>similar</w:t>
      </w:r>
      <w:r w:rsidR="00D44AD8">
        <w:t xml:space="preserve"> </w:t>
      </w:r>
      <w:r w:rsidR="00142D00">
        <w:t>to</w:t>
      </w:r>
      <w:r w:rsidR="00142D00" w:rsidRPr="00DF4E18">
        <w:t xml:space="preserve"> </w:t>
      </w:r>
      <w:r w:rsidR="00D44AD8">
        <w:t>–</w:t>
      </w:r>
      <w:r w:rsidR="00D44AD8" w:rsidRPr="00DF4E18">
        <w:t xml:space="preserve"> or possibly lower</w:t>
      </w:r>
      <w:r w:rsidR="00D44AD8">
        <w:t xml:space="preserve"> </w:t>
      </w:r>
      <w:r w:rsidR="00142D00">
        <w:t xml:space="preserve">than </w:t>
      </w:r>
      <w:r w:rsidR="00D44AD8">
        <w:t>–</w:t>
      </w:r>
      <w:r w:rsidR="00142D00">
        <w:t xml:space="preserve"> </w:t>
      </w:r>
      <w:r w:rsidR="00D44AD8">
        <w:t>analogues that are</w:t>
      </w:r>
      <w:r w:rsidR="00D44AD8" w:rsidRPr="00DF4E18">
        <w:t xml:space="preserve"> POPs.</w:t>
      </w:r>
      <w:r w:rsidR="00304028">
        <w:t xml:space="preserve"> The much more water soluble chlorendic acid provides the “best case” analogue in terms of persistence, and even this is not readily biodegradable.</w:t>
      </w:r>
      <w:r w:rsidR="00D44AD8" w:rsidRPr="00DF4E18">
        <w:t xml:space="preserve"> Two potential biodegradation pathways are predicted for </w:t>
      </w:r>
      <w:r w:rsidR="00D44AD8" w:rsidRPr="00DF4E18">
        <w:lastRenderedPageBreak/>
        <w:t>Dechlorane Plus. One of these is common to all of the POP analogues, and both are common to chlordane. Neither of the pathways is predicted to be “likely” or “very likely”, suggesting they are not favourable ways for the molecule to degrade. This agrees with sediment degradation</w:t>
      </w:r>
      <w:r w:rsidR="00D44AD8">
        <w:t xml:space="preserve"> data</w:t>
      </w:r>
      <w:r w:rsidR="00D44AD8" w:rsidRPr="00DF4E18">
        <w:t xml:space="preserve"> </w:t>
      </w:r>
      <w:r w:rsidR="00D44AD8">
        <w:t>for chlordane</w:t>
      </w:r>
      <w:r w:rsidR="00304028">
        <w:t>,</w:t>
      </w:r>
      <w:r w:rsidR="00D44AD8">
        <w:t xml:space="preserve"> which suggest</w:t>
      </w:r>
      <w:r w:rsidR="00D44AD8" w:rsidRPr="00DF4E18">
        <w:t xml:space="preserve"> slow degradation.</w:t>
      </w:r>
      <w:r w:rsidR="00D44AD8">
        <w:t xml:space="preserve"> </w:t>
      </w:r>
      <w:r w:rsidR="00D44AD8" w:rsidRPr="00DF4E18">
        <w:t xml:space="preserve">Overall, the </w:t>
      </w:r>
      <w:r w:rsidR="00D44AD8">
        <w:t>non-test</w:t>
      </w:r>
      <w:r w:rsidR="00D44AD8" w:rsidRPr="00DF4E18">
        <w:t xml:space="preserve"> </w:t>
      </w:r>
      <w:r w:rsidR="00D44AD8">
        <w:t>information</w:t>
      </w:r>
      <w:r w:rsidR="00D44AD8" w:rsidRPr="00DF4E18">
        <w:t xml:space="preserve"> </w:t>
      </w:r>
      <w:r w:rsidR="00D44AD8">
        <w:t>provides a strong signal</w:t>
      </w:r>
      <w:r w:rsidR="00D44AD8" w:rsidRPr="00DF4E18">
        <w:t xml:space="preserve"> that Dechlorane Plus will degrade slowly and so have a long half-life in sediments and/or soils.</w:t>
      </w:r>
    </w:p>
    <w:p w14:paraId="0A46ABDC" w14:textId="77777777" w:rsidR="00D44AD8" w:rsidRDefault="00D44AD8" w:rsidP="00D44AD8">
      <w:pPr>
        <w:jc w:val="both"/>
      </w:pPr>
    </w:p>
    <w:p w14:paraId="543BD6C3" w14:textId="77777777" w:rsidR="00D44AD8" w:rsidRPr="00DF4E18" w:rsidRDefault="00D44AD8" w:rsidP="00D44AD8">
      <w:pPr>
        <w:jc w:val="both"/>
      </w:pPr>
      <w:r>
        <w:t xml:space="preserve">Field studies (e.g. Qiu </w:t>
      </w:r>
      <w:r w:rsidRPr="00E43725">
        <w:rPr>
          <w:i/>
        </w:rPr>
        <w:t>et al</w:t>
      </w:r>
      <w:r>
        <w:t xml:space="preserve">., 2007) provide some limited evidence of high persistence (in that Dechlorane Plus was found in a sediment core layer corresponding to around 1980). A fish bioaccumulation study </w:t>
      </w:r>
      <w:r w:rsidR="00142D00">
        <w:t>(Tomy</w:t>
      </w:r>
      <w:r w:rsidR="00142D00">
        <w:rPr>
          <w:szCs w:val="24"/>
        </w:rPr>
        <w:t xml:space="preserve"> </w:t>
      </w:r>
      <w:r w:rsidR="00142D00">
        <w:rPr>
          <w:i/>
          <w:szCs w:val="24"/>
        </w:rPr>
        <w:t>et al</w:t>
      </w:r>
      <w:r w:rsidR="00142D00">
        <w:rPr>
          <w:szCs w:val="24"/>
        </w:rPr>
        <w:t xml:space="preserve">., 2008) </w:t>
      </w:r>
      <w:r>
        <w:t xml:space="preserve">also suggests </w:t>
      </w:r>
      <w:r w:rsidR="00304028">
        <w:t>a limited potential for rapid</w:t>
      </w:r>
      <w:r>
        <w:t xml:space="preserve"> </w:t>
      </w:r>
      <w:r w:rsidR="00184135">
        <w:t>biotransformation</w:t>
      </w:r>
      <w:r>
        <w:t>.</w:t>
      </w:r>
    </w:p>
    <w:p w14:paraId="16AAC764" w14:textId="77777777" w:rsidR="00F10B1F" w:rsidRDefault="00F10B1F" w:rsidP="00304028">
      <w:pPr>
        <w:pStyle w:val="BodyText"/>
      </w:pPr>
    </w:p>
    <w:p w14:paraId="30B004EC" w14:textId="52EBC80F" w:rsidR="00BE2A0A" w:rsidRDefault="00BE2A0A" w:rsidP="00304028">
      <w:pPr>
        <w:pStyle w:val="BodyText"/>
      </w:pPr>
      <w:r>
        <w:t xml:space="preserve">The same limited field data provides </w:t>
      </w:r>
      <w:r w:rsidR="00F10B1F">
        <w:t xml:space="preserve">the only </w:t>
      </w:r>
      <w:r>
        <w:t>information f</w:t>
      </w:r>
      <w:r w:rsidR="00562EB7">
        <w:t>or the fate of the two isomers</w:t>
      </w:r>
      <w:r w:rsidR="00F10B1F">
        <w:t xml:space="preserve"> of Dechlorane Plus</w:t>
      </w:r>
      <w:r w:rsidR="00562EB7">
        <w:t xml:space="preserve">. At present there is no strong evidence to contradict the assumption that both isomers </w:t>
      </w:r>
      <w:r w:rsidR="00C12050">
        <w:t>have a similar level of persistence</w:t>
      </w:r>
      <w:r w:rsidR="00562EB7">
        <w:t xml:space="preserve"> based on the conclusion drawn for the registered substance. </w:t>
      </w:r>
    </w:p>
    <w:p w14:paraId="62965CFF" w14:textId="77777777" w:rsidR="00B76533" w:rsidRPr="00096A9A" w:rsidRDefault="00B25391" w:rsidP="00B76533">
      <w:pPr>
        <w:pStyle w:val="Heading2"/>
      </w:pPr>
      <w:bookmarkStart w:id="452" w:name="_Toc341888525"/>
      <w:bookmarkStart w:id="453" w:name="_Toc342400377"/>
      <w:bookmarkStart w:id="454" w:name="_Toc354499578"/>
      <w:bookmarkStart w:id="455" w:name="_Toc357083653"/>
      <w:bookmarkStart w:id="456" w:name="_Toc357184202"/>
      <w:bookmarkStart w:id="457" w:name="_Toc357184438"/>
      <w:bookmarkStart w:id="458" w:name="_Toc357185240"/>
      <w:bookmarkStart w:id="459" w:name="_Toc357186088"/>
      <w:bookmarkStart w:id="460" w:name="_Toc357186237"/>
      <w:bookmarkStart w:id="461" w:name="_Toc357437523"/>
      <w:bookmarkStart w:id="462" w:name="_Toc357590796"/>
      <w:bookmarkStart w:id="463" w:name="_Toc357692828"/>
      <w:bookmarkStart w:id="464" w:name="_Toc365649656"/>
      <w:bookmarkStart w:id="465" w:name="_Toc365649805"/>
      <w:bookmarkStart w:id="466" w:name="_Toc366489857"/>
      <w:bookmarkStart w:id="467" w:name="_Toc418498562"/>
      <w:bookmarkStart w:id="468" w:name="_Toc418506005"/>
      <w:bookmarkStart w:id="469" w:name="_Toc491862229"/>
      <w:r w:rsidRPr="00096A9A">
        <w:t xml:space="preserve">3.2 </w:t>
      </w:r>
      <w:r w:rsidR="00B12C39" w:rsidRPr="00096A9A">
        <w:t>Environmental distribution</w:t>
      </w:r>
      <w:bookmarkStart w:id="470" w:name="_Toc341888526"/>
      <w:bookmarkStart w:id="471" w:name="_Toc342400378"/>
      <w:bookmarkStart w:id="472" w:name="_Toc354499579"/>
      <w:bookmarkStart w:id="473" w:name="_Toc357083654"/>
      <w:bookmarkStart w:id="474" w:name="_Toc357184203"/>
      <w:bookmarkStart w:id="475" w:name="_Toc357184439"/>
      <w:bookmarkStart w:id="476" w:name="_Toc357185241"/>
      <w:bookmarkStart w:id="477" w:name="_Toc357186089"/>
      <w:bookmarkStart w:id="478" w:name="_Toc357186238"/>
      <w:bookmarkStart w:id="479" w:name="_Toc357437524"/>
      <w:bookmarkStart w:id="480" w:name="_Toc357590797"/>
      <w:bookmarkStart w:id="481" w:name="_Toc357692829"/>
      <w:bookmarkStart w:id="482" w:name="_Toc365649657"/>
      <w:bookmarkStart w:id="483" w:name="_Toc365649806"/>
      <w:bookmarkStart w:id="484" w:name="_Toc366489858"/>
      <w:bookmarkStart w:id="485" w:name="_Toc418498563"/>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14:paraId="3D7A85B1" w14:textId="77777777" w:rsidR="00B76533" w:rsidRDefault="00264345" w:rsidP="00B76533">
      <w:pPr>
        <w:pStyle w:val="Heading3"/>
        <w:tabs>
          <w:tab w:val="clear" w:pos="360"/>
          <w:tab w:val="num" w:pos="284"/>
        </w:tabs>
      </w:pPr>
      <w:bookmarkStart w:id="486" w:name="_3.2.1_Adsorption/desorption"/>
      <w:bookmarkStart w:id="487" w:name="_Toc418506006"/>
      <w:bookmarkStart w:id="488" w:name="_Toc491862230"/>
      <w:bookmarkEnd w:id="486"/>
      <w:r w:rsidRPr="00096A9A">
        <w:t xml:space="preserve">3.2.1 </w:t>
      </w:r>
      <w:r w:rsidR="00B12C39" w:rsidRPr="00096A9A">
        <w:t>Adsorption/desorption</w:t>
      </w:r>
      <w:bookmarkStart w:id="489" w:name="_Toc341888527"/>
      <w:bookmarkStart w:id="490" w:name="_Toc342400379"/>
      <w:bookmarkStart w:id="491" w:name="_Toc354499580"/>
      <w:bookmarkStart w:id="492" w:name="_Toc357083655"/>
      <w:bookmarkStart w:id="493" w:name="_Toc357184204"/>
      <w:bookmarkStart w:id="494" w:name="_Toc357184440"/>
      <w:bookmarkStart w:id="495" w:name="_Toc357185242"/>
      <w:bookmarkStart w:id="496" w:name="_Toc357186090"/>
      <w:bookmarkStart w:id="497" w:name="_Toc357186239"/>
      <w:bookmarkStart w:id="498" w:name="_Toc357437525"/>
      <w:bookmarkStart w:id="499" w:name="_Toc357590798"/>
      <w:bookmarkStart w:id="500" w:name="_Toc357692830"/>
      <w:bookmarkStart w:id="501" w:name="_Toc365649658"/>
      <w:bookmarkStart w:id="502" w:name="_Toc365649807"/>
      <w:bookmarkStart w:id="503" w:name="_Toc366489859"/>
      <w:bookmarkStart w:id="504" w:name="_Toc418498564"/>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7"/>
      <w:bookmarkEnd w:id="488"/>
    </w:p>
    <w:p w14:paraId="2067B616" w14:textId="77777777" w:rsidR="00F14D99" w:rsidRPr="00585ACD" w:rsidRDefault="00F14D99" w:rsidP="00F14D99">
      <w:pPr>
        <w:pStyle w:val="BodyText"/>
        <w:jc w:val="both"/>
      </w:pPr>
      <w:r w:rsidRPr="00585ACD">
        <w:t>No</w:t>
      </w:r>
      <w:r w:rsidR="000321AC">
        <w:t xml:space="preserve"> reliable</w:t>
      </w:r>
      <w:r>
        <w:t xml:space="preserve"> </w:t>
      </w:r>
      <w:r w:rsidRPr="00585ACD">
        <w:t>information</w:t>
      </w:r>
      <w:r w:rsidR="003B0BC7">
        <w:t xml:space="preserve"> on the organic carbon-water partition coefficient</w:t>
      </w:r>
      <w:r w:rsidRPr="00585ACD">
        <w:t xml:space="preserve"> </w:t>
      </w:r>
      <w:r w:rsidR="003B0BC7">
        <w:t>(</w:t>
      </w:r>
      <w:r w:rsidR="003B0BC7" w:rsidRPr="00585ACD">
        <w:t>K</w:t>
      </w:r>
      <w:r w:rsidR="003B0BC7" w:rsidRPr="00585ACD">
        <w:rPr>
          <w:vertAlign w:val="subscript"/>
        </w:rPr>
        <w:t>OC</w:t>
      </w:r>
      <w:r w:rsidR="003B0BC7">
        <w:t xml:space="preserve">) </w:t>
      </w:r>
      <w:r w:rsidR="00142D00">
        <w:t>is included in the r</w:t>
      </w:r>
      <w:r>
        <w:t>egistrat</w:t>
      </w:r>
      <w:r w:rsidR="00142D00">
        <w:t>ion dossier</w:t>
      </w:r>
      <w:r w:rsidR="003B0BC7">
        <w:t>, but</w:t>
      </w:r>
      <w:r w:rsidR="000321AC">
        <w:t xml:space="preserve"> a non-standard study </w:t>
      </w:r>
      <w:r w:rsidR="000321AC" w:rsidRPr="00504190">
        <w:t xml:space="preserve">investigating adsorption to sediment </w:t>
      </w:r>
      <w:r w:rsidR="000321AC">
        <w:t>is summarised in Appendix 1</w:t>
      </w:r>
      <w:r w:rsidR="000321AC" w:rsidRPr="000321AC">
        <w:t xml:space="preserve"> </w:t>
      </w:r>
      <w:r w:rsidR="000321AC" w:rsidRPr="00504190">
        <w:t xml:space="preserve">(Chou </w:t>
      </w:r>
      <w:r w:rsidR="000321AC" w:rsidRPr="00504190">
        <w:rPr>
          <w:i/>
        </w:rPr>
        <w:t>et al.</w:t>
      </w:r>
      <w:r w:rsidR="000321AC" w:rsidRPr="00504190">
        <w:t>, 1979)</w:t>
      </w:r>
      <w:r w:rsidR="000321AC">
        <w:t>.</w:t>
      </w:r>
    </w:p>
    <w:p w14:paraId="45C13B37" w14:textId="77777777" w:rsidR="003B0BC7" w:rsidRDefault="000321AC" w:rsidP="000321AC">
      <w:pPr>
        <w:pStyle w:val="BodyText"/>
        <w:jc w:val="both"/>
      </w:pPr>
      <w:r w:rsidRPr="00504190">
        <w:t>In view of the fact that Dechlorane Plus is a highly insoluble substance with a high log K</w:t>
      </w:r>
      <w:r w:rsidRPr="00504190">
        <w:rPr>
          <w:vertAlign w:val="subscript"/>
        </w:rPr>
        <w:t>OW</w:t>
      </w:r>
      <w:r w:rsidRPr="00504190">
        <w:t xml:space="preserve"> and (relatively) high solubility in </w:t>
      </w:r>
      <w:r>
        <w:t>n-</w:t>
      </w:r>
      <w:r w:rsidRPr="00504190">
        <w:t xml:space="preserve">octanol, </w:t>
      </w:r>
      <w:r>
        <w:t>it</w:t>
      </w:r>
      <w:r w:rsidRPr="00504190">
        <w:t xml:space="preserve"> is expected to have a high potential for adsorption.</w:t>
      </w:r>
      <w:r>
        <w:t xml:space="preserve"> </w:t>
      </w:r>
      <w:r w:rsidR="003B13E5" w:rsidRPr="00585ACD">
        <w:t xml:space="preserve">KOCWIN v2.00 (U.S. EPA, 2012) </w:t>
      </w:r>
      <w:r w:rsidR="003B0BC7">
        <w:t xml:space="preserve">can be </w:t>
      </w:r>
      <w:r w:rsidR="003B0BC7" w:rsidRPr="00585ACD">
        <w:t xml:space="preserve">used </w:t>
      </w:r>
      <w:r w:rsidR="003B13E5" w:rsidRPr="00585ACD">
        <w:t>to predict log K</w:t>
      </w:r>
      <w:r w:rsidR="003B13E5" w:rsidRPr="00585ACD">
        <w:rPr>
          <w:vertAlign w:val="subscript"/>
        </w:rPr>
        <w:t>OC</w:t>
      </w:r>
      <w:r w:rsidR="003B13E5" w:rsidRPr="00585ACD">
        <w:t xml:space="preserve"> values of 7.7 (Molecular Connectivity Index estimation method) and ≥7.8 (log K</w:t>
      </w:r>
      <w:r w:rsidR="003B13E5" w:rsidRPr="00585ACD">
        <w:rPr>
          <w:vertAlign w:val="subscript"/>
        </w:rPr>
        <w:t>OW</w:t>
      </w:r>
      <w:r w:rsidR="003B13E5" w:rsidRPr="00585ACD">
        <w:t>-based estimation method; using the log K</w:t>
      </w:r>
      <w:r w:rsidR="003B13E5" w:rsidRPr="00585ACD">
        <w:rPr>
          <w:vertAlign w:val="subscript"/>
        </w:rPr>
        <w:t>OW</w:t>
      </w:r>
      <w:r w:rsidR="003B13E5" w:rsidRPr="00585ACD">
        <w:t xml:space="preserve"> value ≥9). The substance is within the domain of the method because the molecular weight is within the molecular weight range of the training set, and no fragment corrections are applied. </w:t>
      </w:r>
      <w:r>
        <w:t>T</w:t>
      </w:r>
      <w:r w:rsidRPr="00585ACD">
        <w:t>he Registrant assume</w:t>
      </w:r>
      <w:r>
        <w:t>s</w:t>
      </w:r>
      <w:r w:rsidRPr="00585ACD">
        <w:t xml:space="preserve"> a log K</w:t>
      </w:r>
      <w:r w:rsidRPr="00585ACD">
        <w:rPr>
          <w:vertAlign w:val="subscript"/>
        </w:rPr>
        <w:t xml:space="preserve">OC </w:t>
      </w:r>
      <w:r w:rsidRPr="00585ACD">
        <w:t xml:space="preserve">of 8 in their </w:t>
      </w:r>
      <w:r>
        <w:t>Chemical Safety Report (</w:t>
      </w:r>
      <w:r w:rsidRPr="00585ACD">
        <w:t>CSR</w:t>
      </w:r>
      <w:r>
        <w:t>)</w:t>
      </w:r>
      <w:r w:rsidRPr="00585ACD">
        <w:t>.</w:t>
      </w:r>
    </w:p>
    <w:p w14:paraId="210982ED" w14:textId="77777777" w:rsidR="003B13E5" w:rsidRPr="00585ACD" w:rsidRDefault="003B0BC7" w:rsidP="000321AC">
      <w:pPr>
        <w:pStyle w:val="BodyText"/>
        <w:jc w:val="both"/>
      </w:pPr>
      <w:r>
        <w:t>T</w:t>
      </w:r>
      <w:r w:rsidR="003B13E5" w:rsidRPr="00585ACD">
        <w:t>hese predicted values indicate a high adsorption potential for Dechlorane Plus</w:t>
      </w:r>
      <w:r>
        <w:t>, suggesting that sediment and soil are more relevant environmental compartments than water</w:t>
      </w:r>
      <w:r w:rsidR="00376709">
        <w:t xml:space="preserve"> (i.e. they are likely to be major sinks)</w:t>
      </w:r>
      <w:r w:rsidR="003B13E5" w:rsidRPr="00585ACD">
        <w:t xml:space="preserve">.  </w:t>
      </w:r>
    </w:p>
    <w:p w14:paraId="04F07EB1" w14:textId="77777777" w:rsidR="00B76533" w:rsidRDefault="00264345" w:rsidP="00B76533">
      <w:pPr>
        <w:pStyle w:val="Heading3"/>
        <w:tabs>
          <w:tab w:val="clear" w:pos="360"/>
          <w:tab w:val="num" w:pos="284"/>
        </w:tabs>
      </w:pPr>
      <w:bookmarkStart w:id="505" w:name="_Toc418506007"/>
      <w:bookmarkStart w:id="506" w:name="_Toc491862231"/>
      <w:r w:rsidRPr="00096A9A">
        <w:t xml:space="preserve">3.2.2 </w:t>
      </w:r>
      <w:r w:rsidR="00B12C39" w:rsidRPr="00096A9A">
        <w:t>Volatilisation</w:t>
      </w:r>
      <w:bookmarkStart w:id="507" w:name="_Toc341888528"/>
      <w:bookmarkStart w:id="508" w:name="_Toc342400380"/>
      <w:bookmarkStart w:id="509" w:name="_Toc354499581"/>
      <w:bookmarkStart w:id="510" w:name="_Toc357083656"/>
      <w:bookmarkStart w:id="511" w:name="_Toc357184205"/>
      <w:bookmarkStart w:id="512" w:name="_Toc357184441"/>
      <w:bookmarkStart w:id="513" w:name="_Toc357185243"/>
      <w:bookmarkStart w:id="514" w:name="_Toc357186091"/>
      <w:bookmarkStart w:id="515" w:name="_Toc357186240"/>
      <w:bookmarkStart w:id="516" w:name="_Toc357437526"/>
      <w:bookmarkStart w:id="517" w:name="_Toc357590799"/>
      <w:bookmarkStart w:id="518" w:name="_Toc357692831"/>
      <w:bookmarkStart w:id="519" w:name="_Toc365649659"/>
      <w:bookmarkStart w:id="520" w:name="_Toc365649808"/>
      <w:bookmarkStart w:id="521" w:name="_Toc366489860"/>
      <w:bookmarkStart w:id="522" w:name="_Toc418498565"/>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14:paraId="1938EF72" w14:textId="77777777" w:rsidR="003B13E5" w:rsidRPr="00585ACD" w:rsidRDefault="003B13E5" w:rsidP="008F239E">
      <w:pPr>
        <w:pStyle w:val="BodyText"/>
        <w:jc w:val="both"/>
      </w:pPr>
      <w:r w:rsidRPr="00585ACD">
        <w:t xml:space="preserve">No information on volatilisation was reported </w:t>
      </w:r>
      <w:r w:rsidR="008F239E">
        <w:t>in</w:t>
      </w:r>
      <w:r w:rsidRPr="00585ACD">
        <w:t xml:space="preserve"> the </w:t>
      </w:r>
      <w:r w:rsidR="008F239E">
        <w:t>r</w:t>
      </w:r>
      <w:r w:rsidRPr="00585ACD">
        <w:t>egistrat</w:t>
      </w:r>
      <w:r w:rsidR="008F239E">
        <w:t>ion dossier</w:t>
      </w:r>
      <w:r w:rsidRPr="00585ACD">
        <w:t>.</w:t>
      </w:r>
    </w:p>
    <w:p w14:paraId="3846A329" w14:textId="77777777" w:rsidR="008F239E" w:rsidRPr="00504190" w:rsidRDefault="003B13E5" w:rsidP="008F239E">
      <w:pPr>
        <w:pStyle w:val="BodyText"/>
        <w:jc w:val="both"/>
      </w:pPr>
      <w:r w:rsidRPr="00585ACD">
        <w:t xml:space="preserve">The volatilisation potential of the substance from water </w:t>
      </w:r>
      <w:r w:rsidR="008F239E">
        <w:t>can be estimated</w:t>
      </w:r>
      <w:r w:rsidR="00C22988">
        <w:t xml:space="preserve"> </w:t>
      </w:r>
      <w:r w:rsidRPr="00585ACD">
        <w:t>based on the available vapour pressure and water solubility data for the substance, and also by reference to QSAR-estimated values</w:t>
      </w:r>
      <w:r w:rsidR="00585ACD" w:rsidRPr="00585ACD">
        <w:t xml:space="preserve"> (</w:t>
      </w:r>
      <w:r w:rsidR="008F239E">
        <w:rPr>
          <w:rFonts w:cs="Arial"/>
          <w:color w:val="000000" w:themeColor="text1"/>
        </w:rPr>
        <w:t>see Appendix 1</w:t>
      </w:r>
      <w:r w:rsidR="00585ACD" w:rsidRPr="008F239E">
        <w:rPr>
          <w:rFonts w:cs="Arial"/>
          <w:color w:val="000000" w:themeColor="text1"/>
        </w:rPr>
        <w:t>)</w:t>
      </w:r>
      <w:r w:rsidRPr="008F239E">
        <w:rPr>
          <w:color w:val="000000" w:themeColor="text1"/>
        </w:rPr>
        <w:t>.</w:t>
      </w:r>
      <w:r w:rsidR="008F239E">
        <w:rPr>
          <w:color w:val="000000" w:themeColor="text1"/>
        </w:rPr>
        <w:t xml:space="preserve"> </w:t>
      </w:r>
      <w:r w:rsidR="008F239E" w:rsidRPr="00504190">
        <w:t>Whilst there is some uncertainty in the values of water solubility and vapour pressure (see Section 1.5), the calculated HLC based on measured input data is ≥1.39×10</w:t>
      </w:r>
      <w:r w:rsidR="008F239E" w:rsidRPr="00504190">
        <w:rPr>
          <w:vertAlign w:val="superscript"/>
        </w:rPr>
        <w:t>5</w:t>
      </w:r>
      <w:r w:rsidR="008F239E" w:rsidRPr="00504190">
        <w:t xml:space="preserve"> Pa.m</w:t>
      </w:r>
      <w:r w:rsidR="008F239E" w:rsidRPr="00504190">
        <w:rPr>
          <w:vertAlign w:val="superscript"/>
        </w:rPr>
        <w:t>3</w:t>
      </w:r>
      <w:r w:rsidR="008F239E" w:rsidRPr="00504190">
        <w:t>/mol at 25</w:t>
      </w:r>
      <w:r w:rsidR="008F239E">
        <w:t> °C,</w:t>
      </w:r>
      <w:r w:rsidR="008F239E" w:rsidRPr="00504190">
        <w:t xml:space="preserve"> suggest</w:t>
      </w:r>
      <w:r w:rsidR="008F239E">
        <w:t>ing</w:t>
      </w:r>
      <w:r w:rsidR="008F239E" w:rsidRPr="00504190">
        <w:t xml:space="preserve"> that Dechlorane Plus c</w:t>
      </w:r>
      <w:r w:rsidR="008F239E">
        <w:t>ould be volatilised from water</w:t>
      </w:r>
      <w:r w:rsidR="008F239E" w:rsidRPr="00504190">
        <w:t>. However, strong adsorption to organic matter is likely to make this fate pathway less important in natural waters.</w:t>
      </w:r>
    </w:p>
    <w:p w14:paraId="08EE1EF6" w14:textId="77777777" w:rsidR="008F239E" w:rsidRPr="00504190" w:rsidRDefault="008F239E" w:rsidP="008F239E">
      <w:pPr>
        <w:jc w:val="both"/>
      </w:pPr>
      <w:r w:rsidRPr="00504190">
        <w:t>Given the very low vapour pressure and high K</w:t>
      </w:r>
      <w:r w:rsidRPr="00504190">
        <w:rPr>
          <w:vertAlign w:val="subscript"/>
        </w:rPr>
        <w:t>OW</w:t>
      </w:r>
      <w:r w:rsidRPr="00504190">
        <w:t xml:space="preserve"> of the substance (i.e. a high K</w:t>
      </w:r>
      <w:r w:rsidRPr="00504190">
        <w:rPr>
          <w:vertAlign w:val="subscript"/>
        </w:rPr>
        <w:t>OA</w:t>
      </w:r>
      <w:r w:rsidRPr="00504190">
        <w:t>), Dechlorane Plus will be mainly adsorbed on particulates in air. This has been demonstrated by monitoring studies, with mean fractions on particulates of 97</w:t>
      </w:r>
      <w:r w:rsidR="00BA580B">
        <w:t xml:space="preserve"> </w:t>
      </w:r>
      <w:r w:rsidRPr="00504190">
        <w:t xml:space="preserve">% or more (e.g. Hoh </w:t>
      </w:r>
      <w:r w:rsidRPr="00504190">
        <w:rPr>
          <w:i/>
        </w:rPr>
        <w:t>et al</w:t>
      </w:r>
      <w:r w:rsidRPr="00504190">
        <w:t xml:space="preserve">., 2006; Ren </w:t>
      </w:r>
      <w:r w:rsidRPr="00504190">
        <w:rPr>
          <w:i/>
        </w:rPr>
        <w:t>et al</w:t>
      </w:r>
      <w:r w:rsidRPr="00504190">
        <w:t xml:space="preserve">., 2008; Wang </w:t>
      </w:r>
      <w:r w:rsidRPr="00504190">
        <w:rPr>
          <w:i/>
        </w:rPr>
        <w:t>et al</w:t>
      </w:r>
      <w:r w:rsidRPr="00504190">
        <w:t xml:space="preserve">., 2010), although </w:t>
      </w:r>
      <w:r w:rsidRPr="00504190">
        <w:lastRenderedPageBreak/>
        <w:t xml:space="preserve">Möller </w:t>
      </w:r>
      <w:r w:rsidRPr="00504190">
        <w:rPr>
          <w:i/>
        </w:rPr>
        <w:t>et al.</w:t>
      </w:r>
      <w:r w:rsidRPr="00504190">
        <w:t xml:space="preserve"> (2010) measured it as around 80 ± 30</w:t>
      </w:r>
      <w:r w:rsidR="00906888">
        <w:t xml:space="preserve"> </w:t>
      </w:r>
      <w:r w:rsidRPr="00504190">
        <w:t xml:space="preserve">% and Yang </w:t>
      </w:r>
      <w:r w:rsidRPr="00504190">
        <w:rPr>
          <w:i/>
        </w:rPr>
        <w:t>et al</w:t>
      </w:r>
      <w:r w:rsidRPr="00504190">
        <w:t xml:space="preserve">. (2012) only detected Dechlorane Plus in the particulate phase. </w:t>
      </w:r>
    </w:p>
    <w:p w14:paraId="32266649" w14:textId="77777777" w:rsidR="003B13E5" w:rsidRPr="00585ACD" w:rsidRDefault="003B13E5" w:rsidP="008F239E">
      <w:pPr>
        <w:pStyle w:val="BodyText"/>
        <w:jc w:val="both"/>
      </w:pPr>
      <w:r w:rsidRPr="008F239E">
        <w:rPr>
          <w:color w:val="000000" w:themeColor="text1"/>
        </w:rPr>
        <w:t xml:space="preserve"> </w:t>
      </w:r>
    </w:p>
    <w:p w14:paraId="062ECABA" w14:textId="77777777" w:rsidR="00B12C39" w:rsidRDefault="00264345" w:rsidP="00B76533">
      <w:pPr>
        <w:pStyle w:val="Heading3"/>
        <w:tabs>
          <w:tab w:val="clear" w:pos="360"/>
          <w:tab w:val="num" w:pos="284"/>
        </w:tabs>
      </w:pPr>
      <w:bookmarkStart w:id="523" w:name="_Toc418506008"/>
      <w:bookmarkStart w:id="524" w:name="_Toc491862232"/>
      <w:r w:rsidRPr="00096A9A">
        <w:t xml:space="preserve">3.2.3 </w:t>
      </w:r>
      <w:r w:rsidR="00B12C39" w:rsidRPr="00096A9A">
        <w:t>Distribution modellin</w:t>
      </w:r>
      <w:bookmarkEnd w:id="507"/>
      <w:r w:rsidR="00B12C39" w:rsidRPr="00096A9A">
        <w:t>g</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sidR="00B12C39" w:rsidRPr="00096A9A">
        <w:t xml:space="preserve"> </w:t>
      </w:r>
    </w:p>
    <w:p w14:paraId="4C23EAA1" w14:textId="77777777" w:rsidR="003B13E5" w:rsidRPr="000A6FDD" w:rsidRDefault="003B13E5" w:rsidP="003B13E5">
      <w:pPr>
        <w:pStyle w:val="BodyText"/>
      </w:pPr>
      <w:r w:rsidRPr="00DF1FA5">
        <w:t xml:space="preserve">No information on distribution modelling was reported </w:t>
      </w:r>
      <w:r w:rsidR="008F239E">
        <w:t>in</w:t>
      </w:r>
      <w:r w:rsidRPr="00DF1FA5">
        <w:t xml:space="preserve"> the </w:t>
      </w:r>
      <w:r w:rsidR="008F239E">
        <w:t>r</w:t>
      </w:r>
      <w:r>
        <w:t>egistrat</w:t>
      </w:r>
      <w:r w:rsidR="008F239E">
        <w:t>ion dossier</w:t>
      </w:r>
      <w:r w:rsidRPr="00DF1FA5">
        <w:t>.</w:t>
      </w:r>
    </w:p>
    <w:p w14:paraId="18ED1103" w14:textId="77777777" w:rsidR="003B13E5" w:rsidRPr="00585ACD" w:rsidRDefault="003B13E5" w:rsidP="00585ACD">
      <w:pPr>
        <w:jc w:val="both"/>
        <w:rPr>
          <w:bCs/>
          <w:color w:val="000000"/>
          <w:lang w:eastAsia="en-GB"/>
        </w:rPr>
      </w:pPr>
      <w:r w:rsidRPr="00585ACD">
        <w:rPr>
          <w:bCs/>
          <w:color w:val="000000"/>
          <w:lang w:eastAsia="en-GB"/>
        </w:rPr>
        <w:t xml:space="preserve">The CEMC Level III Fugacity Model v 2.80 (CEMC, 2004) </w:t>
      </w:r>
      <w:r w:rsidR="008F239E">
        <w:rPr>
          <w:bCs/>
          <w:color w:val="000000"/>
          <w:lang w:eastAsia="en-GB"/>
        </w:rPr>
        <w:t xml:space="preserve">can be </w:t>
      </w:r>
      <w:r w:rsidR="008F239E" w:rsidRPr="00585ACD">
        <w:rPr>
          <w:bCs/>
          <w:color w:val="000000"/>
          <w:lang w:eastAsia="en-GB"/>
        </w:rPr>
        <w:t xml:space="preserve">used </w:t>
      </w:r>
      <w:r w:rsidRPr="00585ACD">
        <w:rPr>
          <w:bCs/>
          <w:color w:val="000000"/>
          <w:lang w:eastAsia="en-GB"/>
        </w:rPr>
        <w:t xml:space="preserve">to model the distribution of Dechlorane Plus. The physico-chemical property values used in the model are those selected in Table </w:t>
      </w:r>
      <w:r w:rsidR="00A86884">
        <w:rPr>
          <w:bCs/>
          <w:color w:val="000000"/>
          <w:lang w:eastAsia="en-GB"/>
        </w:rPr>
        <w:t>7</w:t>
      </w:r>
      <w:r w:rsidRPr="00585ACD">
        <w:rPr>
          <w:bCs/>
          <w:color w:val="000000"/>
          <w:lang w:eastAsia="en-GB"/>
        </w:rPr>
        <w:t>: water solubility 2.0×10</w:t>
      </w:r>
      <w:r w:rsidRPr="00585ACD">
        <w:rPr>
          <w:bCs/>
          <w:color w:val="000000"/>
          <w:vertAlign w:val="superscript"/>
          <w:lang w:eastAsia="en-GB"/>
        </w:rPr>
        <w:t>-6</w:t>
      </w:r>
      <w:r w:rsidRPr="00585ACD">
        <w:rPr>
          <w:bCs/>
          <w:color w:val="000000"/>
          <w:lang w:eastAsia="en-GB"/>
        </w:rPr>
        <w:t xml:space="preserve"> mg/L; vapour pressure 4.6×10</w:t>
      </w:r>
      <w:r w:rsidRPr="00585ACD">
        <w:rPr>
          <w:bCs/>
          <w:color w:val="000000"/>
          <w:vertAlign w:val="superscript"/>
          <w:lang w:eastAsia="en-GB"/>
        </w:rPr>
        <w:t>-4</w:t>
      </w:r>
      <w:r w:rsidRPr="00585ACD">
        <w:rPr>
          <w:bCs/>
          <w:color w:val="000000"/>
          <w:lang w:eastAsia="en-GB"/>
        </w:rPr>
        <w:t xml:space="preserve"> Pa; log K</w:t>
      </w:r>
      <w:r w:rsidRPr="00585ACD">
        <w:rPr>
          <w:bCs/>
          <w:color w:val="000000"/>
          <w:vertAlign w:val="subscript"/>
          <w:lang w:eastAsia="en-GB"/>
        </w:rPr>
        <w:t>OW</w:t>
      </w:r>
      <w:r w:rsidRPr="00585ACD">
        <w:rPr>
          <w:bCs/>
          <w:color w:val="000000"/>
          <w:lang w:eastAsia="en-GB"/>
        </w:rPr>
        <w:t xml:space="preserve"> 9. The </w:t>
      </w:r>
      <w:r w:rsidR="00EC25E2" w:rsidRPr="00585ACD">
        <w:rPr>
          <w:bCs/>
          <w:color w:val="000000"/>
          <w:lang w:eastAsia="en-GB"/>
        </w:rPr>
        <w:t xml:space="preserve">degradation </w:t>
      </w:r>
      <w:r w:rsidRPr="00585ACD">
        <w:rPr>
          <w:bCs/>
          <w:color w:val="000000"/>
          <w:lang w:eastAsia="en-GB"/>
        </w:rPr>
        <w:t>half-lives used in the model environment are: air 16.8 hours; water 1.8×10</w:t>
      </w:r>
      <w:r w:rsidRPr="00585ACD">
        <w:rPr>
          <w:bCs/>
          <w:color w:val="000000"/>
          <w:vertAlign w:val="superscript"/>
          <w:lang w:eastAsia="en-GB"/>
        </w:rPr>
        <w:t>4 </w:t>
      </w:r>
      <w:r w:rsidRPr="00585ACD">
        <w:rPr>
          <w:bCs/>
          <w:color w:val="000000"/>
          <w:lang w:eastAsia="en-GB"/>
        </w:rPr>
        <w:t>hours (assuming photodegradation) or 8.4×10</w:t>
      </w:r>
      <w:r w:rsidRPr="00585ACD">
        <w:rPr>
          <w:bCs/>
          <w:color w:val="000000"/>
          <w:vertAlign w:val="superscript"/>
          <w:lang w:eastAsia="en-GB"/>
        </w:rPr>
        <w:t>6</w:t>
      </w:r>
      <w:r w:rsidRPr="00585ACD">
        <w:rPr>
          <w:bCs/>
          <w:color w:val="000000"/>
          <w:lang w:eastAsia="en-GB"/>
        </w:rPr>
        <w:t xml:space="preserve"> hours (assuming no photodegradation); soil 8.4×10</w:t>
      </w:r>
      <w:r w:rsidRPr="00585ACD">
        <w:rPr>
          <w:bCs/>
          <w:color w:val="000000"/>
          <w:vertAlign w:val="superscript"/>
          <w:lang w:eastAsia="en-GB"/>
        </w:rPr>
        <w:t>6</w:t>
      </w:r>
      <w:r w:rsidR="00EC25E2">
        <w:rPr>
          <w:bCs/>
          <w:color w:val="000000"/>
          <w:lang w:eastAsia="en-GB"/>
        </w:rPr>
        <w:t> </w:t>
      </w:r>
      <w:r w:rsidRPr="00585ACD">
        <w:rPr>
          <w:bCs/>
          <w:color w:val="000000"/>
          <w:lang w:eastAsia="en-GB"/>
        </w:rPr>
        <w:t>hours.</w:t>
      </w:r>
    </w:p>
    <w:p w14:paraId="59B2507E" w14:textId="77777777" w:rsidR="00585ACD" w:rsidRDefault="00585ACD" w:rsidP="00585ACD">
      <w:pPr>
        <w:jc w:val="both"/>
        <w:rPr>
          <w:bCs/>
          <w:color w:val="000000"/>
          <w:lang w:eastAsia="en-GB"/>
        </w:rPr>
      </w:pPr>
    </w:p>
    <w:p w14:paraId="28C6D8A7" w14:textId="77777777" w:rsidR="00EC25E2" w:rsidRPr="00585ACD" w:rsidRDefault="003B13E5" w:rsidP="00EC25E2">
      <w:pPr>
        <w:jc w:val="both"/>
      </w:pPr>
      <w:r w:rsidRPr="00585ACD">
        <w:rPr>
          <w:bCs/>
          <w:color w:val="000000"/>
          <w:lang w:eastAsia="en-GB"/>
        </w:rPr>
        <w:t>If Dechlorane Plus is assumed to be released at equal rates to air, water and soil, the model predicts the following distribution: air 3.7×10</w:t>
      </w:r>
      <w:r w:rsidRPr="00585ACD">
        <w:rPr>
          <w:bCs/>
          <w:color w:val="000000"/>
          <w:vertAlign w:val="superscript"/>
          <w:lang w:eastAsia="en-GB"/>
        </w:rPr>
        <w:t>-3</w:t>
      </w:r>
      <w:r w:rsidR="00906888">
        <w:rPr>
          <w:bCs/>
          <w:color w:val="000000"/>
          <w:vertAlign w:val="superscript"/>
          <w:lang w:eastAsia="en-GB"/>
        </w:rPr>
        <w:t xml:space="preserve"> </w:t>
      </w:r>
      <w:r w:rsidRPr="00585ACD">
        <w:rPr>
          <w:bCs/>
          <w:color w:val="000000"/>
          <w:lang w:eastAsia="en-GB"/>
        </w:rPr>
        <w:t>%, water 0.087</w:t>
      </w:r>
      <w:r w:rsidR="00906888">
        <w:rPr>
          <w:bCs/>
          <w:color w:val="000000"/>
          <w:lang w:eastAsia="en-GB"/>
        </w:rPr>
        <w:t xml:space="preserve"> </w:t>
      </w:r>
      <w:r w:rsidRPr="00585ACD">
        <w:rPr>
          <w:bCs/>
          <w:color w:val="000000"/>
          <w:lang w:eastAsia="en-GB"/>
        </w:rPr>
        <w:t>%, soil 96.5</w:t>
      </w:r>
      <w:r w:rsidR="00906888">
        <w:rPr>
          <w:bCs/>
          <w:color w:val="000000"/>
          <w:lang w:eastAsia="en-GB"/>
        </w:rPr>
        <w:t xml:space="preserve"> </w:t>
      </w:r>
      <w:r w:rsidRPr="00585ACD">
        <w:rPr>
          <w:bCs/>
          <w:color w:val="000000"/>
          <w:lang w:eastAsia="en-GB"/>
        </w:rPr>
        <w:t>% and sediment 3.45</w:t>
      </w:r>
      <w:r w:rsidR="00906888">
        <w:rPr>
          <w:bCs/>
          <w:color w:val="000000"/>
          <w:lang w:eastAsia="en-GB"/>
        </w:rPr>
        <w:t xml:space="preserve"> </w:t>
      </w:r>
      <w:r w:rsidRPr="00585ACD">
        <w:rPr>
          <w:bCs/>
          <w:color w:val="000000"/>
          <w:lang w:eastAsia="en-GB"/>
        </w:rPr>
        <w:t>% (the two half-lives in water give the same result).</w:t>
      </w:r>
      <w:r w:rsidR="00EC25E2">
        <w:rPr>
          <w:bCs/>
          <w:color w:val="000000"/>
          <w:lang w:eastAsia="en-GB"/>
        </w:rPr>
        <w:t xml:space="preserve"> </w:t>
      </w:r>
      <w:r w:rsidRPr="00585ACD">
        <w:rPr>
          <w:bCs/>
          <w:color w:val="000000"/>
          <w:lang w:eastAsia="en-GB"/>
        </w:rPr>
        <w:t>The substance has a very low vapour pressure. If it is released only to water (with no application to soil, including WWTP sludge), the calculated distribution is very different: air 9.0×10</w:t>
      </w:r>
      <w:r w:rsidRPr="00585ACD">
        <w:rPr>
          <w:bCs/>
          <w:color w:val="000000"/>
          <w:vertAlign w:val="superscript"/>
          <w:lang w:eastAsia="en-GB"/>
        </w:rPr>
        <w:t>-5</w:t>
      </w:r>
      <w:r w:rsidR="00BA580B">
        <w:rPr>
          <w:bCs/>
          <w:color w:val="000000"/>
          <w:vertAlign w:val="superscript"/>
          <w:lang w:eastAsia="en-GB"/>
        </w:rPr>
        <w:t xml:space="preserve"> </w:t>
      </w:r>
      <w:r w:rsidRPr="00585ACD">
        <w:rPr>
          <w:bCs/>
          <w:color w:val="000000"/>
          <w:lang w:eastAsia="en-GB"/>
        </w:rPr>
        <w:t>%, water 2.46</w:t>
      </w:r>
      <w:r w:rsidR="00906888">
        <w:rPr>
          <w:bCs/>
          <w:color w:val="000000"/>
          <w:lang w:eastAsia="en-GB"/>
        </w:rPr>
        <w:t xml:space="preserve"> </w:t>
      </w:r>
      <w:r w:rsidRPr="00585ACD">
        <w:rPr>
          <w:bCs/>
          <w:color w:val="000000"/>
          <w:lang w:eastAsia="en-GB"/>
        </w:rPr>
        <w:t>%, soil 1.9×10</w:t>
      </w:r>
      <w:r w:rsidRPr="00585ACD">
        <w:rPr>
          <w:bCs/>
          <w:color w:val="000000"/>
          <w:vertAlign w:val="superscript"/>
          <w:lang w:eastAsia="en-GB"/>
        </w:rPr>
        <w:t>-3</w:t>
      </w:r>
      <w:r w:rsidR="00906888">
        <w:rPr>
          <w:bCs/>
          <w:color w:val="000000"/>
          <w:vertAlign w:val="superscript"/>
          <w:lang w:eastAsia="en-GB"/>
        </w:rPr>
        <w:t xml:space="preserve"> </w:t>
      </w:r>
      <w:r w:rsidRPr="00585ACD">
        <w:rPr>
          <w:bCs/>
          <w:color w:val="000000"/>
          <w:lang w:eastAsia="en-GB"/>
        </w:rPr>
        <w:t>% and sediment 97.5</w:t>
      </w:r>
      <w:r w:rsidR="00906888">
        <w:rPr>
          <w:bCs/>
          <w:color w:val="000000"/>
          <w:lang w:eastAsia="en-GB"/>
        </w:rPr>
        <w:t xml:space="preserve"> </w:t>
      </w:r>
      <w:r w:rsidRPr="00585ACD">
        <w:rPr>
          <w:bCs/>
          <w:color w:val="000000"/>
          <w:lang w:eastAsia="en-GB"/>
        </w:rPr>
        <w:t>%.</w:t>
      </w:r>
      <w:r w:rsidR="00EC25E2">
        <w:rPr>
          <w:bCs/>
          <w:color w:val="000000"/>
          <w:lang w:eastAsia="en-GB"/>
        </w:rPr>
        <w:t xml:space="preserve"> </w:t>
      </w:r>
      <w:r w:rsidRPr="00585ACD">
        <w:rPr>
          <w:bCs/>
          <w:color w:val="000000"/>
          <w:lang w:eastAsia="en-GB"/>
        </w:rPr>
        <w:t>It should be noted that there is uncertainty in the property values used in the modelling and hence uncertainty in the results.</w:t>
      </w:r>
      <w:r w:rsidR="00EC25E2" w:rsidRPr="00EC25E2">
        <w:t xml:space="preserve"> </w:t>
      </w:r>
      <w:r w:rsidR="00EC25E2" w:rsidRPr="00585ACD">
        <w:t>More than 97</w:t>
      </w:r>
      <w:r w:rsidR="00BA580B">
        <w:t xml:space="preserve"> </w:t>
      </w:r>
      <w:r w:rsidR="00EC25E2" w:rsidRPr="00585ACD">
        <w:t>% of the Dechlorane Plus in the atmosphere is likely to reside in the particulate phase (see Section</w:t>
      </w:r>
      <w:r w:rsidR="00EC25E2">
        <w:t xml:space="preserve"> 3.2.1</w:t>
      </w:r>
      <w:r w:rsidR="00EC25E2" w:rsidRPr="00585ACD">
        <w:t xml:space="preserve">). </w:t>
      </w:r>
    </w:p>
    <w:p w14:paraId="6F724134" w14:textId="77777777" w:rsidR="003B13E5" w:rsidRDefault="003B13E5" w:rsidP="00EC25E2">
      <w:pPr>
        <w:jc w:val="both"/>
        <w:rPr>
          <w:bCs/>
          <w:color w:val="000000"/>
          <w:lang w:eastAsia="en-GB"/>
        </w:rPr>
      </w:pPr>
    </w:p>
    <w:p w14:paraId="0D3C4D1F" w14:textId="77777777" w:rsidR="003B13E5" w:rsidRPr="00585ACD" w:rsidRDefault="003B13E5" w:rsidP="008F239E">
      <w:pPr>
        <w:pStyle w:val="BodyText"/>
        <w:jc w:val="both"/>
      </w:pPr>
      <w:r w:rsidRPr="00585ACD">
        <w:rPr>
          <w:bCs/>
          <w:color w:val="000000"/>
          <w:lang w:eastAsia="en-GB"/>
        </w:rPr>
        <w:t xml:space="preserve">Using </w:t>
      </w:r>
      <w:r w:rsidRPr="00585ACD">
        <w:t>the OECD P</w:t>
      </w:r>
      <w:r w:rsidRPr="00585ACD">
        <w:rPr>
          <w:vertAlign w:val="subscript"/>
        </w:rPr>
        <w:t>ov</w:t>
      </w:r>
      <w:r w:rsidRPr="00585ACD">
        <w:t xml:space="preserve"> and LRTP Screening Tool</w:t>
      </w:r>
      <w:r w:rsidRPr="00585ACD">
        <w:rPr>
          <w:vertAlign w:val="superscript"/>
        </w:rPr>
        <w:t xml:space="preserve"> </w:t>
      </w:r>
      <w:r w:rsidRPr="00585ACD">
        <w:t>v2.2</w:t>
      </w:r>
      <w:r w:rsidRPr="00585ACD">
        <w:rPr>
          <w:vertAlign w:val="superscript"/>
        </w:rPr>
        <w:t xml:space="preserve"> </w:t>
      </w:r>
      <w:r w:rsidRPr="00585ACD">
        <w:t xml:space="preserve">(Wegmann </w:t>
      </w:r>
      <w:r w:rsidRPr="00585ACD">
        <w:rPr>
          <w:i/>
        </w:rPr>
        <w:t>et al</w:t>
      </w:r>
      <w:r w:rsidRPr="00585ACD">
        <w:t xml:space="preserve">., 2009), the results obtained </w:t>
      </w:r>
      <w:r w:rsidR="00EC25E2">
        <w:t>for</w:t>
      </w:r>
      <w:r w:rsidR="00C22988">
        <w:t xml:space="preserve"> </w:t>
      </w:r>
      <w:r w:rsidR="00EC25E2" w:rsidRPr="00585ACD">
        <w:t xml:space="preserve">Dechlorane Plus </w:t>
      </w:r>
      <w:r w:rsidRPr="00585ACD">
        <w:t xml:space="preserve">(see Section 3.3) </w:t>
      </w:r>
      <w:r w:rsidR="00EC25E2">
        <w:t>suggest</w:t>
      </w:r>
      <w:r w:rsidRPr="00585ACD">
        <w:t xml:space="preserve"> that</w:t>
      </w:r>
      <w:r w:rsidR="00EC25E2">
        <w:t xml:space="preserve"> it</w:t>
      </w:r>
      <w:r w:rsidRPr="00585ACD">
        <w:t xml:space="preserve"> has a relatively low transfer efficiency from air to surface media</w:t>
      </w:r>
      <w:r w:rsidRPr="008F239E">
        <w:rPr>
          <w:rStyle w:val="FootnoteReference"/>
          <w:rFonts w:ascii="Verdana" w:hAnsi="Verdana"/>
          <w:sz w:val="20"/>
        </w:rPr>
        <w:footnoteReference w:id="13"/>
      </w:r>
      <w:r w:rsidRPr="00585ACD">
        <w:t xml:space="preserve"> of 3×10</w:t>
      </w:r>
      <w:r w:rsidRPr="00585ACD">
        <w:rPr>
          <w:vertAlign w:val="superscript"/>
        </w:rPr>
        <w:t>-4</w:t>
      </w:r>
      <w:r w:rsidR="00906888">
        <w:rPr>
          <w:vertAlign w:val="superscript"/>
        </w:rPr>
        <w:t xml:space="preserve"> </w:t>
      </w:r>
      <w:r w:rsidRPr="00585ACD">
        <w:t xml:space="preserve">%. </w:t>
      </w:r>
    </w:p>
    <w:p w14:paraId="5D676105" w14:textId="77777777" w:rsidR="003B13E5" w:rsidRPr="00585ACD" w:rsidRDefault="003B13E5" w:rsidP="00585ACD">
      <w:pPr>
        <w:jc w:val="both"/>
      </w:pPr>
      <w:r w:rsidRPr="00F6559D">
        <w:t xml:space="preserve">Sverko </w:t>
      </w:r>
      <w:r w:rsidRPr="00F6559D">
        <w:rPr>
          <w:i/>
        </w:rPr>
        <w:t>et al</w:t>
      </w:r>
      <w:r w:rsidRPr="00F6559D">
        <w:t>. (2011)</w:t>
      </w:r>
      <w:r w:rsidRPr="00585ACD">
        <w:t xml:space="preserve"> studied air-water exchange using the data measured by Möller </w:t>
      </w:r>
      <w:r w:rsidRPr="00585ACD">
        <w:rPr>
          <w:i/>
        </w:rPr>
        <w:t>et al</w:t>
      </w:r>
      <w:r w:rsidRPr="00585ACD">
        <w:t>. (2010) in the marine environment. The mean concentrations in air (gas phase) and seawater (dissolved phase) were 0.12 pg/m</w:t>
      </w:r>
      <w:r w:rsidRPr="00585ACD">
        <w:rPr>
          <w:vertAlign w:val="superscript"/>
        </w:rPr>
        <w:t>3</w:t>
      </w:r>
      <w:r w:rsidRPr="00585ACD">
        <w:t xml:space="preserve"> and 0.009 pg/L, respectively, in the East Greenland Sea and 0.028 pg/m</w:t>
      </w:r>
      <w:r w:rsidRPr="00585ACD">
        <w:rPr>
          <w:vertAlign w:val="superscript"/>
        </w:rPr>
        <w:t>3</w:t>
      </w:r>
      <w:r w:rsidRPr="00585ACD">
        <w:t xml:space="preserve"> and 0.044 pg/L, respectively, along the Atlantic transect. The resulting fugacity fraction</w:t>
      </w:r>
      <w:r w:rsidRPr="008F239E">
        <w:rPr>
          <w:position w:val="6"/>
        </w:rPr>
        <w:footnoteReference w:id="14"/>
      </w:r>
      <w:r w:rsidRPr="00585ACD">
        <w:t xml:space="preserve"> is near unity, suggesting net gaseous deposition of Dechlorane Plus to seawater.</w:t>
      </w:r>
    </w:p>
    <w:p w14:paraId="6201F6F3" w14:textId="77777777" w:rsidR="00585ACD" w:rsidRDefault="00585ACD" w:rsidP="00585ACD">
      <w:pPr>
        <w:jc w:val="both"/>
      </w:pPr>
    </w:p>
    <w:p w14:paraId="006BA4F8" w14:textId="77777777" w:rsidR="003B13E5" w:rsidRPr="00585ACD" w:rsidRDefault="003B13E5" w:rsidP="00585ACD">
      <w:pPr>
        <w:jc w:val="both"/>
      </w:pPr>
      <w:r w:rsidRPr="00585ACD">
        <w:t xml:space="preserve">Sverko </w:t>
      </w:r>
      <w:r w:rsidRPr="00585ACD">
        <w:rPr>
          <w:i/>
        </w:rPr>
        <w:t>et al</w:t>
      </w:r>
      <w:r w:rsidRPr="00585ACD">
        <w:t xml:space="preserve">. (2011) also compared the ratio of concentrations in air and soil reported by Wang </w:t>
      </w:r>
      <w:r w:rsidRPr="00585ACD">
        <w:rPr>
          <w:i/>
        </w:rPr>
        <w:t>et al</w:t>
      </w:r>
      <w:r w:rsidRPr="00585ACD">
        <w:t>. (2010) with an estimate based on the log K</w:t>
      </w:r>
      <w:r w:rsidRPr="00585ACD">
        <w:rPr>
          <w:vertAlign w:val="subscript"/>
        </w:rPr>
        <w:t>OA</w:t>
      </w:r>
      <w:r w:rsidRPr="00585ACD">
        <w:t xml:space="preserve"> value. The good agreement suggested that Dechlorane Plus in the gas phase originated from soil volatilization. However, they did not perform a similar analysis to compare gas phase with particulate concentrations.</w:t>
      </w:r>
    </w:p>
    <w:p w14:paraId="3CA465A8" w14:textId="77777777" w:rsidR="00B12C39" w:rsidRPr="00157ADA" w:rsidRDefault="00B12C39" w:rsidP="00B12C39">
      <w:pPr>
        <w:pStyle w:val="BodyText"/>
      </w:pPr>
    </w:p>
    <w:p w14:paraId="09DCB447" w14:textId="77777777" w:rsidR="007F219F" w:rsidRDefault="003B1B52" w:rsidP="00C748EF">
      <w:pPr>
        <w:pStyle w:val="Heading2"/>
        <w:keepNext w:val="0"/>
      </w:pPr>
      <w:bookmarkStart w:id="525" w:name="_Toc365649662"/>
      <w:bookmarkStart w:id="526" w:name="_Toc365649811"/>
      <w:bookmarkStart w:id="527" w:name="_Toc366489863"/>
      <w:bookmarkStart w:id="528" w:name="_Toc418498568"/>
      <w:bookmarkStart w:id="529" w:name="_Toc418506011"/>
      <w:bookmarkStart w:id="530" w:name="_Toc491862233"/>
      <w:bookmarkStart w:id="531" w:name="_Toc354499583"/>
      <w:bookmarkStart w:id="532" w:name="_Toc357083658"/>
      <w:bookmarkStart w:id="533" w:name="_Toc357184207"/>
      <w:bookmarkStart w:id="534" w:name="_Toc357184443"/>
      <w:bookmarkStart w:id="535" w:name="_Toc357185245"/>
      <w:bookmarkStart w:id="536" w:name="_Toc357186093"/>
      <w:bookmarkStart w:id="537" w:name="_Toc357186242"/>
      <w:bookmarkStart w:id="538" w:name="_Toc357437528"/>
      <w:bookmarkStart w:id="539" w:name="_Toc357590801"/>
      <w:bookmarkStart w:id="540" w:name="_Toc357692833"/>
      <w:bookmarkStart w:id="541" w:name="_Toc341888529"/>
      <w:bookmarkStart w:id="542" w:name="_Toc342400382"/>
      <w:r>
        <w:lastRenderedPageBreak/>
        <w:t xml:space="preserve">3.3 </w:t>
      </w:r>
      <w:r w:rsidR="007F219F" w:rsidRPr="007F219F">
        <w:t>Data indicating potential for long-range transport</w:t>
      </w:r>
      <w:bookmarkEnd w:id="525"/>
      <w:bookmarkEnd w:id="526"/>
      <w:bookmarkEnd w:id="527"/>
      <w:bookmarkEnd w:id="528"/>
      <w:bookmarkEnd w:id="529"/>
      <w:bookmarkEnd w:id="530"/>
      <w:r w:rsidR="007F219F" w:rsidRPr="007F219F" w:rsidDel="007F219F">
        <w:t xml:space="preserve"> </w:t>
      </w:r>
    </w:p>
    <w:bookmarkEnd w:id="531"/>
    <w:bookmarkEnd w:id="532"/>
    <w:bookmarkEnd w:id="533"/>
    <w:bookmarkEnd w:id="534"/>
    <w:bookmarkEnd w:id="535"/>
    <w:bookmarkEnd w:id="536"/>
    <w:bookmarkEnd w:id="537"/>
    <w:bookmarkEnd w:id="538"/>
    <w:bookmarkEnd w:id="539"/>
    <w:bookmarkEnd w:id="540"/>
    <w:p w14:paraId="72FCC95A" w14:textId="77777777" w:rsidR="003B13E5" w:rsidRPr="00585ACD" w:rsidRDefault="003B13E5" w:rsidP="00087BDD">
      <w:pPr>
        <w:pStyle w:val="BodyText"/>
        <w:jc w:val="both"/>
      </w:pPr>
      <w:r w:rsidRPr="00585ACD">
        <w:t xml:space="preserve">No information on long range transport potential was reported by the Registrant. However, a summary of </w:t>
      </w:r>
      <w:r w:rsidRPr="00087BDD">
        <w:t xml:space="preserve">Xian </w:t>
      </w:r>
      <w:r w:rsidRPr="00087BDD">
        <w:rPr>
          <w:i/>
        </w:rPr>
        <w:t>et al</w:t>
      </w:r>
      <w:r w:rsidRPr="00087BDD">
        <w:t>. (2011)</w:t>
      </w:r>
      <w:r w:rsidRPr="00585ACD">
        <w:t xml:space="preserve"> given as supporting monitoring information in the IUCLID file states that “long-range atmospheric transportation of Dechlorane Plus has been observed in remote regions, indicating a global presence of Dechlorane Plus.”</w:t>
      </w:r>
    </w:p>
    <w:p w14:paraId="66C57F6C" w14:textId="77777777" w:rsidR="00087BDD" w:rsidRPr="00585ACD" w:rsidRDefault="003B13E5" w:rsidP="00087BDD">
      <w:pPr>
        <w:pStyle w:val="BodyText"/>
        <w:jc w:val="both"/>
      </w:pPr>
      <w:r w:rsidRPr="00585ACD">
        <w:t xml:space="preserve">The potential for long range transport (LRTP) </w:t>
      </w:r>
      <w:r w:rsidR="00F6559D">
        <w:t>can be</w:t>
      </w:r>
      <w:r w:rsidRPr="00585ACD">
        <w:t xml:space="preserve"> modelled using the OECD P</w:t>
      </w:r>
      <w:r w:rsidRPr="00585ACD">
        <w:rPr>
          <w:vertAlign w:val="subscript"/>
        </w:rPr>
        <w:t>ov</w:t>
      </w:r>
      <w:r w:rsidRPr="00585ACD">
        <w:t xml:space="preserve"> and LRTP Screening Tool (Wegmann </w:t>
      </w:r>
      <w:r w:rsidRPr="00585ACD">
        <w:rPr>
          <w:i/>
        </w:rPr>
        <w:t>et al</w:t>
      </w:r>
      <w:r w:rsidRPr="00585ACD">
        <w:t xml:space="preserve">., 2009). </w:t>
      </w:r>
      <w:r w:rsidR="00087BDD" w:rsidRPr="00747A03">
        <w:fldChar w:fldCharType="begin"/>
      </w:r>
      <w:r w:rsidR="00087BDD" w:rsidRPr="00747A03">
        <w:instrText xml:space="preserve"> REF _Ref427766562 \h  \* MERGEFORMAT </w:instrText>
      </w:r>
      <w:r w:rsidR="00087BDD" w:rsidRPr="00747A03">
        <w:fldChar w:fldCharType="separate"/>
      </w:r>
      <w:r w:rsidR="00F0628F" w:rsidRPr="00E030CD">
        <w:t xml:space="preserve">Table </w:t>
      </w:r>
      <w:r w:rsidR="00087BDD" w:rsidRPr="00747A03">
        <w:fldChar w:fldCharType="end"/>
      </w:r>
      <w:r w:rsidR="00A86884">
        <w:t>8</w:t>
      </w:r>
      <w:r w:rsidR="00087BDD" w:rsidRPr="00747A03">
        <w:t xml:space="preserve"> shows a summary of input data </w:t>
      </w:r>
      <w:r w:rsidR="00087BDD">
        <w:t xml:space="preserve">for Dechlorane Plus </w:t>
      </w:r>
      <w:r w:rsidR="00087BDD" w:rsidRPr="00747A03">
        <w:t>and context for the</w:t>
      </w:r>
      <w:r w:rsidR="00087BDD">
        <w:t xml:space="preserve"> model</w:t>
      </w:r>
      <w:r w:rsidR="00087BDD" w:rsidRPr="00747A03">
        <w:t>.</w:t>
      </w:r>
      <w:r w:rsidR="00087BDD" w:rsidRPr="00087BDD">
        <w:t xml:space="preserve"> </w:t>
      </w:r>
      <w:r w:rsidR="00087BDD" w:rsidRPr="00585ACD">
        <w:t>Uncertainties in the values of vapour pressure, water solubility and log K</w:t>
      </w:r>
      <w:r w:rsidR="00087BDD" w:rsidRPr="00585ACD">
        <w:rPr>
          <w:vertAlign w:val="subscript"/>
        </w:rPr>
        <w:t>OW</w:t>
      </w:r>
      <w:r w:rsidR="00087BDD" w:rsidRPr="00585ACD">
        <w:t xml:space="preserve"> for Dechlorane Plus (see Section 1.</w:t>
      </w:r>
      <w:r w:rsidR="00A37285">
        <w:t>5</w:t>
      </w:r>
      <w:r w:rsidR="00087BDD" w:rsidRPr="00585ACD">
        <w:t xml:space="preserve">) all affect the input parameters for the calculation. </w:t>
      </w:r>
    </w:p>
    <w:p w14:paraId="41B64AA5" w14:textId="77777777" w:rsidR="00C12050" w:rsidRDefault="00C12050">
      <w:pPr>
        <w:widowControl/>
        <w:rPr>
          <w:bCs/>
          <w:sz w:val="22"/>
          <w:szCs w:val="24"/>
          <w:lang w:eastAsia="en-US"/>
        </w:rPr>
      </w:pPr>
      <w:bookmarkStart w:id="543" w:name="_Ref427766562"/>
      <w:bookmarkStart w:id="544" w:name="_Ref427766552"/>
      <w:bookmarkStart w:id="545" w:name="_Toc439772071"/>
      <w:r>
        <w:br w:type="page"/>
      </w:r>
    </w:p>
    <w:p w14:paraId="095A71D0" w14:textId="77777777" w:rsidR="00087BDD" w:rsidRPr="00E030CD" w:rsidRDefault="00087BDD" w:rsidP="00E030CD">
      <w:pPr>
        <w:pStyle w:val="Caption"/>
      </w:pPr>
      <w:bookmarkStart w:id="546" w:name="_Toc491778958"/>
      <w:r w:rsidRPr="00E030CD">
        <w:lastRenderedPageBreak/>
        <w:t xml:space="preserve">Table </w:t>
      </w:r>
      <w:bookmarkEnd w:id="543"/>
      <w:r w:rsidR="009029EF" w:rsidRPr="00F558AF">
        <w:fldChar w:fldCharType="begin"/>
      </w:r>
      <w:r w:rsidR="009029EF" w:rsidRPr="00F558AF">
        <w:instrText xml:space="preserve"> SEQ Table \* ARABIC </w:instrText>
      </w:r>
      <w:r w:rsidR="009029EF" w:rsidRPr="00F558AF">
        <w:fldChar w:fldCharType="separate"/>
      </w:r>
      <w:r w:rsidR="00F0628F">
        <w:rPr>
          <w:noProof/>
        </w:rPr>
        <w:t>8</w:t>
      </w:r>
      <w:r w:rsidR="009029EF" w:rsidRPr="00F558AF">
        <w:fldChar w:fldCharType="end"/>
      </w:r>
      <w:r w:rsidRPr="00E030CD">
        <w:t>:</w:t>
      </w:r>
      <w:r w:rsidRPr="00E030CD">
        <w:tab/>
        <w:t>Input properties used in assessing long range transport potential</w:t>
      </w:r>
      <w:bookmarkEnd w:id="544"/>
      <w:bookmarkEnd w:id="545"/>
      <w:bookmarkEnd w:id="546"/>
    </w:p>
    <w:tbl>
      <w:tblPr>
        <w:tblW w:w="0" w:type="auto"/>
        <w:tblInd w:w="10" w:type="dxa"/>
        <w:tblCellMar>
          <w:left w:w="0" w:type="dxa"/>
          <w:right w:w="0" w:type="dxa"/>
        </w:tblCellMar>
        <w:tblLook w:val="04A0" w:firstRow="1" w:lastRow="0" w:firstColumn="1" w:lastColumn="0" w:noHBand="0" w:noVBand="1"/>
      </w:tblPr>
      <w:tblGrid>
        <w:gridCol w:w="1596"/>
        <w:gridCol w:w="2785"/>
        <w:gridCol w:w="3891"/>
      </w:tblGrid>
      <w:tr w:rsidR="00087BDD" w:rsidRPr="00747A03" w14:paraId="2645586D" w14:textId="77777777" w:rsidTr="00376709">
        <w:trPr>
          <w:cantSplit/>
          <w:tblHeader/>
        </w:trPr>
        <w:tc>
          <w:tcPr>
            <w:tcW w:w="1603"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tcPr>
          <w:p w14:paraId="6DCCF22E" w14:textId="77777777" w:rsidR="00087BDD" w:rsidRPr="00747A03" w:rsidRDefault="00087BDD" w:rsidP="00376709">
            <w:pPr>
              <w:rPr>
                <w:b/>
                <w:sz w:val="18"/>
                <w:szCs w:val="18"/>
              </w:rPr>
            </w:pPr>
            <w:r w:rsidRPr="00747A03">
              <w:rPr>
                <w:b/>
                <w:sz w:val="18"/>
                <w:szCs w:val="18"/>
              </w:rPr>
              <w:t>Input property</w:t>
            </w:r>
          </w:p>
        </w:tc>
        <w:tc>
          <w:tcPr>
            <w:tcW w:w="2797"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6A73C2B3" w14:textId="77777777" w:rsidR="00087BDD" w:rsidRPr="00747A03" w:rsidRDefault="00087BDD" w:rsidP="00376709">
            <w:pPr>
              <w:rPr>
                <w:b/>
                <w:sz w:val="18"/>
                <w:szCs w:val="18"/>
              </w:rPr>
            </w:pPr>
            <w:r w:rsidRPr="00747A03">
              <w:rPr>
                <w:b/>
                <w:sz w:val="18"/>
                <w:szCs w:val="18"/>
              </w:rPr>
              <w:t>Value</w:t>
            </w:r>
          </w:p>
        </w:tc>
        <w:tc>
          <w:tcPr>
            <w:tcW w:w="3922" w:type="dxa"/>
            <w:tcBorders>
              <w:top w:val="single" w:sz="12" w:space="0" w:color="auto"/>
              <w:left w:val="nil"/>
              <w:bottom w:val="single" w:sz="12" w:space="0" w:color="auto"/>
              <w:right w:val="single" w:sz="12" w:space="0" w:color="auto"/>
            </w:tcBorders>
          </w:tcPr>
          <w:p w14:paraId="76012DC2" w14:textId="77777777" w:rsidR="00087BDD" w:rsidRPr="00747A03" w:rsidRDefault="00087BDD" w:rsidP="00376709">
            <w:pPr>
              <w:ind w:left="90"/>
              <w:rPr>
                <w:b/>
                <w:sz w:val="18"/>
                <w:szCs w:val="18"/>
              </w:rPr>
            </w:pPr>
            <w:r w:rsidRPr="00747A03">
              <w:rPr>
                <w:b/>
                <w:sz w:val="18"/>
                <w:szCs w:val="18"/>
              </w:rPr>
              <w:t>Context in terms of property input data for reference POPs in the model</w:t>
            </w:r>
          </w:p>
        </w:tc>
      </w:tr>
      <w:tr w:rsidR="00087BDD" w:rsidRPr="00747A03" w14:paraId="4934A453" w14:textId="77777777" w:rsidTr="00376709">
        <w:trPr>
          <w:cantSplit/>
        </w:trPr>
        <w:tc>
          <w:tcPr>
            <w:tcW w:w="1603"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hideMark/>
          </w:tcPr>
          <w:p w14:paraId="4D5E0545" w14:textId="77777777" w:rsidR="00087BDD" w:rsidRPr="00747A03" w:rsidRDefault="00087BDD" w:rsidP="00376709">
            <w:pPr>
              <w:rPr>
                <w:rFonts w:eastAsia="Calibri"/>
                <w:sz w:val="18"/>
                <w:szCs w:val="18"/>
              </w:rPr>
            </w:pPr>
            <w:r w:rsidRPr="00747A03">
              <w:rPr>
                <w:sz w:val="18"/>
                <w:szCs w:val="18"/>
              </w:rPr>
              <w:t>Log K</w:t>
            </w:r>
            <w:r w:rsidRPr="00747A03">
              <w:rPr>
                <w:sz w:val="18"/>
                <w:szCs w:val="18"/>
                <w:vertAlign w:val="subscript"/>
              </w:rPr>
              <w:t>AW</w:t>
            </w:r>
          </w:p>
        </w:tc>
        <w:tc>
          <w:tcPr>
            <w:tcW w:w="2797"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2AFD0055" w14:textId="77777777" w:rsidR="00087BDD" w:rsidRPr="00747A03" w:rsidRDefault="00087BDD" w:rsidP="00376709">
            <w:pPr>
              <w:rPr>
                <w:rFonts w:eastAsia="Calibri"/>
                <w:sz w:val="18"/>
                <w:szCs w:val="18"/>
              </w:rPr>
            </w:pPr>
            <w:r w:rsidRPr="00747A03">
              <w:rPr>
                <w:sz w:val="18"/>
                <w:szCs w:val="18"/>
              </w:rPr>
              <w:t>1.75</w:t>
            </w:r>
          </w:p>
        </w:tc>
        <w:tc>
          <w:tcPr>
            <w:tcW w:w="3922" w:type="dxa"/>
            <w:tcBorders>
              <w:top w:val="single" w:sz="12" w:space="0" w:color="auto"/>
              <w:left w:val="nil"/>
              <w:bottom w:val="single" w:sz="8" w:space="0" w:color="auto"/>
              <w:right w:val="single" w:sz="12" w:space="0" w:color="auto"/>
            </w:tcBorders>
          </w:tcPr>
          <w:p w14:paraId="470295AB" w14:textId="77777777" w:rsidR="00087BDD" w:rsidRPr="00747A03" w:rsidRDefault="00087BDD" w:rsidP="00376709">
            <w:pPr>
              <w:ind w:left="90"/>
              <w:rPr>
                <w:sz w:val="18"/>
                <w:szCs w:val="18"/>
              </w:rPr>
            </w:pPr>
            <w:r w:rsidRPr="00747A03">
              <w:rPr>
                <w:sz w:val="18"/>
                <w:szCs w:val="18"/>
              </w:rPr>
              <w:t>Above the range (i.e. relatively volatile)</w:t>
            </w:r>
          </w:p>
        </w:tc>
      </w:tr>
      <w:tr w:rsidR="00087BDD" w:rsidRPr="00747A03" w14:paraId="34E8F4A9" w14:textId="77777777" w:rsidTr="00376709">
        <w:trPr>
          <w:cantSplit/>
        </w:trPr>
        <w:tc>
          <w:tcPr>
            <w:tcW w:w="1603"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0390F0E1" w14:textId="77777777" w:rsidR="00087BDD" w:rsidRPr="00747A03" w:rsidRDefault="00087BDD" w:rsidP="00376709">
            <w:pPr>
              <w:rPr>
                <w:rFonts w:eastAsia="Calibri"/>
                <w:sz w:val="18"/>
                <w:szCs w:val="18"/>
              </w:rPr>
            </w:pPr>
            <w:r w:rsidRPr="00747A03">
              <w:rPr>
                <w:sz w:val="18"/>
                <w:szCs w:val="18"/>
              </w:rPr>
              <w:t>Log K</w:t>
            </w:r>
            <w:r w:rsidRPr="00747A03">
              <w:rPr>
                <w:sz w:val="18"/>
                <w:szCs w:val="18"/>
                <w:vertAlign w:val="subscript"/>
              </w:rPr>
              <w:t>OW</w:t>
            </w:r>
          </w:p>
        </w:tc>
        <w:tc>
          <w:tcPr>
            <w:tcW w:w="2797" w:type="dxa"/>
            <w:tcBorders>
              <w:top w:val="nil"/>
              <w:left w:val="nil"/>
              <w:bottom w:val="single" w:sz="8" w:space="0" w:color="auto"/>
              <w:right w:val="single" w:sz="8" w:space="0" w:color="auto"/>
            </w:tcBorders>
            <w:tcMar>
              <w:top w:w="0" w:type="dxa"/>
              <w:left w:w="108" w:type="dxa"/>
              <w:bottom w:w="0" w:type="dxa"/>
              <w:right w:w="108" w:type="dxa"/>
            </w:tcMar>
            <w:hideMark/>
          </w:tcPr>
          <w:p w14:paraId="6A758A5A" w14:textId="77777777" w:rsidR="00087BDD" w:rsidRPr="00747A03" w:rsidRDefault="00087BDD" w:rsidP="00376709">
            <w:pPr>
              <w:rPr>
                <w:rFonts w:eastAsia="Calibri"/>
                <w:sz w:val="18"/>
                <w:szCs w:val="18"/>
              </w:rPr>
            </w:pPr>
            <w:r w:rsidRPr="00747A03">
              <w:rPr>
                <w:sz w:val="18"/>
                <w:szCs w:val="18"/>
              </w:rPr>
              <w:t>9</w:t>
            </w:r>
          </w:p>
        </w:tc>
        <w:tc>
          <w:tcPr>
            <w:tcW w:w="3922" w:type="dxa"/>
            <w:tcBorders>
              <w:top w:val="nil"/>
              <w:left w:val="nil"/>
              <w:bottom w:val="single" w:sz="8" w:space="0" w:color="auto"/>
              <w:right w:val="single" w:sz="12" w:space="0" w:color="auto"/>
            </w:tcBorders>
          </w:tcPr>
          <w:p w14:paraId="3A499BC0" w14:textId="77777777" w:rsidR="00087BDD" w:rsidRPr="00747A03" w:rsidRDefault="00087BDD" w:rsidP="00376709">
            <w:pPr>
              <w:ind w:left="90"/>
              <w:rPr>
                <w:sz w:val="18"/>
                <w:szCs w:val="18"/>
              </w:rPr>
            </w:pPr>
            <w:r w:rsidRPr="00747A03">
              <w:rPr>
                <w:sz w:val="18"/>
                <w:szCs w:val="18"/>
              </w:rPr>
              <w:t xml:space="preserve">Above the upper limit (i.e. relatively lipophilic) </w:t>
            </w:r>
          </w:p>
        </w:tc>
      </w:tr>
      <w:tr w:rsidR="00087BDD" w:rsidRPr="00747A03" w14:paraId="69C1FDDD" w14:textId="77777777" w:rsidTr="00376709">
        <w:trPr>
          <w:cantSplit/>
        </w:trPr>
        <w:tc>
          <w:tcPr>
            <w:tcW w:w="1603"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67FEBE0D" w14:textId="77777777" w:rsidR="00087BDD" w:rsidRPr="00747A03" w:rsidRDefault="00087BDD" w:rsidP="00376709">
            <w:pPr>
              <w:rPr>
                <w:rFonts w:eastAsia="Calibri"/>
                <w:sz w:val="18"/>
                <w:szCs w:val="18"/>
              </w:rPr>
            </w:pPr>
            <w:r w:rsidRPr="00747A03">
              <w:rPr>
                <w:sz w:val="18"/>
                <w:szCs w:val="18"/>
              </w:rPr>
              <w:t>Half-life in air</w:t>
            </w:r>
          </w:p>
        </w:tc>
        <w:tc>
          <w:tcPr>
            <w:tcW w:w="2797" w:type="dxa"/>
            <w:tcBorders>
              <w:top w:val="nil"/>
              <w:left w:val="nil"/>
              <w:bottom w:val="single" w:sz="8" w:space="0" w:color="auto"/>
              <w:right w:val="single" w:sz="8" w:space="0" w:color="auto"/>
            </w:tcBorders>
            <w:tcMar>
              <w:top w:w="0" w:type="dxa"/>
              <w:left w:w="108" w:type="dxa"/>
              <w:bottom w:w="0" w:type="dxa"/>
              <w:right w:w="108" w:type="dxa"/>
            </w:tcMar>
            <w:hideMark/>
          </w:tcPr>
          <w:p w14:paraId="32CDDD94" w14:textId="77777777" w:rsidR="00087BDD" w:rsidRPr="00747A03" w:rsidRDefault="00087BDD" w:rsidP="00376709">
            <w:pPr>
              <w:rPr>
                <w:rFonts w:eastAsia="Calibri"/>
                <w:sz w:val="18"/>
                <w:szCs w:val="18"/>
              </w:rPr>
            </w:pPr>
            <w:r w:rsidRPr="00747A03">
              <w:rPr>
                <w:sz w:val="18"/>
                <w:szCs w:val="18"/>
              </w:rPr>
              <w:t>16.8 h</w:t>
            </w:r>
          </w:p>
        </w:tc>
        <w:tc>
          <w:tcPr>
            <w:tcW w:w="3922" w:type="dxa"/>
            <w:tcBorders>
              <w:top w:val="nil"/>
              <w:left w:val="nil"/>
              <w:bottom w:val="single" w:sz="8" w:space="0" w:color="auto"/>
              <w:right w:val="single" w:sz="12" w:space="0" w:color="auto"/>
            </w:tcBorders>
          </w:tcPr>
          <w:p w14:paraId="1EBA3CFA" w14:textId="77777777" w:rsidR="00087BDD" w:rsidRPr="00747A03" w:rsidRDefault="00087BDD" w:rsidP="00376709">
            <w:pPr>
              <w:ind w:left="90"/>
              <w:rPr>
                <w:sz w:val="18"/>
                <w:szCs w:val="18"/>
              </w:rPr>
            </w:pPr>
            <w:r w:rsidRPr="00747A03">
              <w:rPr>
                <w:sz w:val="18"/>
                <w:szCs w:val="18"/>
              </w:rPr>
              <w:t>Within range, relatively short half-life</w:t>
            </w:r>
          </w:p>
        </w:tc>
      </w:tr>
      <w:tr w:rsidR="00087BDD" w:rsidRPr="00747A03" w14:paraId="510A0F06" w14:textId="77777777" w:rsidTr="00376709">
        <w:trPr>
          <w:cantSplit/>
        </w:trPr>
        <w:tc>
          <w:tcPr>
            <w:tcW w:w="1603"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5234E638" w14:textId="77777777" w:rsidR="00087BDD" w:rsidRPr="00747A03" w:rsidRDefault="00087BDD" w:rsidP="00376709">
            <w:pPr>
              <w:rPr>
                <w:rFonts w:eastAsia="Calibri"/>
                <w:sz w:val="18"/>
                <w:szCs w:val="18"/>
              </w:rPr>
            </w:pPr>
            <w:r w:rsidRPr="00747A03">
              <w:rPr>
                <w:sz w:val="18"/>
                <w:szCs w:val="18"/>
              </w:rPr>
              <w:t>Half-life in water</w:t>
            </w:r>
          </w:p>
        </w:tc>
        <w:tc>
          <w:tcPr>
            <w:tcW w:w="2797" w:type="dxa"/>
            <w:tcBorders>
              <w:top w:val="nil"/>
              <w:left w:val="nil"/>
              <w:bottom w:val="single" w:sz="8" w:space="0" w:color="auto"/>
              <w:right w:val="single" w:sz="8" w:space="0" w:color="auto"/>
            </w:tcBorders>
            <w:tcMar>
              <w:top w:w="0" w:type="dxa"/>
              <w:left w:w="108" w:type="dxa"/>
              <w:bottom w:w="0" w:type="dxa"/>
              <w:right w:w="108" w:type="dxa"/>
            </w:tcMar>
            <w:hideMark/>
          </w:tcPr>
          <w:p w14:paraId="5270D180" w14:textId="77777777" w:rsidR="00087BDD" w:rsidRPr="00747A03" w:rsidRDefault="00087BDD" w:rsidP="00376709">
            <w:pPr>
              <w:rPr>
                <w:sz w:val="18"/>
                <w:szCs w:val="18"/>
              </w:rPr>
            </w:pPr>
            <w:r w:rsidRPr="00747A03">
              <w:rPr>
                <w:sz w:val="18"/>
                <w:szCs w:val="18"/>
              </w:rPr>
              <w:t>Variable inputs used to explore range:</w:t>
            </w:r>
          </w:p>
          <w:p w14:paraId="4D220F90" w14:textId="77777777" w:rsidR="00087BDD" w:rsidRPr="00747A03" w:rsidRDefault="00087BDD" w:rsidP="00376709">
            <w:pPr>
              <w:rPr>
                <w:sz w:val="18"/>
                <w:szCs w:val="18"/>
              </w:rPr>
            </w:pPr>
            <w:r w:rsidRPr="00747A03">
              <w:rPr>
                <w:sz w:val="18"/>
                <w:szCs w:val="18"/>
              </w:rPr>
              <w:t>8.4×10</w:t>
            </w:r>
            <w:r w:rsidRPr="00747A03">
              <w:rPr>
                <w:sz w:val="18"/>
                <w:szCs w:val="18"/>
                <w:vertAlign w:val="superscript"/>
              </w:rPr>
              <w:t>6</w:t>
            </w:r>
            <w:r w:rsidRPr="00747A03">
              <w:rPr>
                <w:sz w:val="18"/>
                <w:szCs w:val="18"/>
              </w:rPr>
              <w:t xml:space="preserve"> h (assuming no photodegradation); </w:t>
            </w:r>
          </w:p>
          <w:p w14:paraId="2EBBEF04" w14:textId="77777777" w:rsidR="00087BDD" w:rsidRPr="00747A03" w:rsidRDefault="00087BDD" w:rsidP="00376709">
            <w:pPr>
              <w:rPr>
                <w:rFonts w:eastAsia="Calibri"/>
                <w:sz w:val="18"/>
                <w:szCs w:val="18"/>
              </w:rPr>
            </w:pPr>
            <w:r w:rsidRPr="00747A03">
              <w:rPr>
                <w:sz w:val="18"/>
                <w:szCs w:val="18"/>
              </w:rPr>
              <w:t>1.8×10</w:t>
            </w:r>
            <w:r w:rsidRPr="00747A03">
              <w:rPr>
                <w:sz w:val="18"/>
                <w:szCs w:val="18"/>
                <w:vertAlign w:val="superscript"/>
              </w:rPr>
              <w:t>4</w:t>
            </w:r>
            <w:r w:rsidRPr="00747A03">
              <w:rPr>
                <w:sz w:val="18"/>
                <w:szCs w:val="18"/>
              </w:rPr>
              <w:t xml:space="preserve"> h (assuming photodegradation)</w:t>
            </w:r>
          </w:p>
        </w:tc>
        <w:tc>
          <w:tcPr>
            <w:tcW w:w="3922" w:type="dxa"/>
            <w:tcBorders>
              <w:top w:val="nil"/>
              <w:left w:val="nil"/>
              <w:bottom w:val="single" w:sz="8" w:space="0" w:color="auto"/>
              <w:right w:val="single" w:sz="12" w:space="0" w:color="auto"/>
            </w:tcBorders>
          </w:tcPr>
          <w:p w14:paraId="7ACD2EE9" w14:textId="77777777" w:rsidR="00087BDD" w:rsidRPr="00747A03" w:rsidRDefault="00087BDD" w:rsidP="00376709">
            <w:pPr>
              <w:ind w:left="90"/>
              <w:rPr>
                <w:sz w:val="18"/>
                <w:szCs w:val="18"/>
              </w:rPr>
            </w:pPr>
            <w:r w:rsidRPr="00747A03">
              <w:rPr>
                <w:sz w:val="18"/>
                <w:szCs w:val="18"/>
              </w:rPr>
              <w:br/>
            </w:r>
          </w:p>
          <w:p w14:paraId="2C8DA545" w14:textId="77777777" w:rsidR="00087BDD" w:rsidRPr="00747A03" w:rsidRDefault="00087BDD" w:rsidP="00376709">
            <w:pPr>
              <w:ind w:left="90"/>
              <w:rPr>
                <w:sz w:val="18"/>
                <w:szCs w:val="18"/>
              </w:rPr>
            </w:pPr>
            <w:r w:rsidRPr="00747A03">
              <w:rPr>
                <w:sz w:val="18"/>
                <w:szCs w:val="18"/>
              </w:rPr>
              <w:t>Relatively persistent (unless photodegradation assumed)</w:t>
            </w:r>
          </w:p>
        </w:tc>
      </w:tr>
      <w:tr w:rsidR="00087BDD" w:rsidRPr="00747A03" w14:paraId="47EA541E" w14:textId="77777777" w:rsidTr="00376709">
        <w:trPr>
          <w:cantSplit/>
          <w:trHeight w:val="251"/>
        </w:trPr>
        <w:tc>
          <w:tcPr>
            <w:tcW w:w="1603"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14:paraId="09EF338C" w14:textId="77777777" w:rsidR="00087BDD" w:rsidRPr="00747A03" w:rsidRDefault="00087BDD" w:rsidP="00376709">
            <w:pPr>
              <w:rPr>
                <w:rFonts w:eastAsia="Calibri"/>
                <w:sz w:val="18"/>
                <w:szCs w:val="18"/>
              </w:rPr>
            </w:pPr>
            <w:r w:rsidRPr="00747A03">
              <w:rPr>
                <w:sz w:val="18"/>
                <w:szCs w:val="18"/>
              </w:rPr>
              <w:t>Half-life in soil</w:t>
            </w:r>
          </w:p>
        </w:tc>
        <w:tc>
          <w:tcPr>
            <w:tcW w:w="2797" w:type="dxa"/>
            <w:tcBorders>
              <w:top w:val="nil"/>
              <w:left w:val="nil"/>
              <w:bottom w:val="single" w:sz="12" w:space="0" w:color="auto"/>
              <w:right w:val="single" w:sz="8" w:space="0" w:color="auto"/>
            </w:tcBorders>
            <w:tcMar>
              <w:top w:w="0" w:type="dxa"/>
              <w:left w:w="108" w:type="dxa"/>
              <w:bottom w:w="0" w:type="dxa"/>
              <w:right w:w="108" w:type="dxa"/>
            </w:tcMar>
            <w:hideMark/>
          </w:tcPr>
          <w:p w14:paraId="38993795" w14:textId="77777777" w:rsidR="00087BDD" w:rsidRPr="00747A03" w:rsidRDefault="00087BDD" w:rsidP="00376709">
            <w:pPr>
              <w:rPr>
                <w:rFonts w:eastAsia="Calibri"/>
                <w:sz w:val="18"/>
                <w:szCs w:val="18"/>
              </w:rPr>
            </w:pPr>
            <w:r w:rsidRPr="00747A03">
              <w:rPr>
                <w:sz w:val="18"/>
                <w:szCs w:val="18"/>
              </w:rPr>
              <w:t>8.4×10</w:t>
            </w:r>
            <w:r w:rsidRPr="00747A03">
              <w:rPr>
                <w:sz w:val="18"/>
                <w:szCs w:val="18"/>
                <w:vertAlign w:val="superscript"/>
              </w:rPr>
              <w:t>6</w:t>
            </w:r>
            <w:r w:rsidRPr="00747A03">
              <w:rPr>
                <w:sz w:val="18"/>
                <w:szCs w:val="18"/>
              </w:rPr>
              <w:t xml:space="preserve"> h</w:t>
            </w:r>
          </w:p>
        </w:tc>
        <w:tc>
          <w:tcPr>
            <w:tcW w:w="3922" w:type="dxa"/>
            <w:tcBorders>
              <w:top w:val="nil"/>
              <w:left w:val="nil"/>
              <w:bottom w:val="single" w:sz="12" w:space="0" w:color="auto"/>
              <w:right w:val="single" w:sz="12" w:space="0" w:color="auto"/>
            </w:tcBorders>
          </w:tcPr>
          <w:p w14:paraId="68F63208" w14:textId="77777777" w:rsidR="00087BDD" w:rsidRPr="00747A03" w:rsidRDefault="00087BDD" w:rsidP="00376709">
            <w:pPr>
              <w:ind w:left="90"/>
              <w:rPr>
                <w:sz w:val="18"/>
                <w:szCs w:val="18"/>
              </w:rPr>
            </w:pPr>
            <w:r w:rsidRPr="00747A03">
              <w:rPr>
                <w:sz w:val="18"/>
                <w:szCs w:val="18"/>
              </w:rPr>
              <w:t>Relatively persistent</w:t>
            </w:r>
          </w:p>
        </w:tc>
      </w:tr>
    </w:tbl>
    <w:p w14:paraId="03A9DC5E" w14:textId="77777777" w:rsidR="00087BDD" w:rsidRDefault="00087BDD" w:rsidP="00087BDD">
      <w:pPr>
        <w:pStyle w:val="BodyText"/>
        <w:spacing w:after="0"/>
        <w:jc w:val="both"/>
      </w:pPr>
    </w:p>
    <w:p w14:paraId="2677B0FB" w14:textId="77777777" w:rsidR="00376709" w:rsidRDefault="00087BDD" w:rsidP="00585ACD">
      <w:pPr>
        <w:jc w:val="both"/>
        <w:rPr>
          <w:lang w:eastAsia="en-GB"/>
        </w:rPr>
      </w:pPr>
      <w:r w:rsidRPr="00585ACD">
        <w:t>Whilst no absolute criteria for classifying chemicals as compounds with high or low overall persistence (P</w:t>
      </w:r>
      <w:r w:rsidRPr="00585ACD">
        <w:rPr>
          <w:vertAlign w:val="subscript"/>
        </w:rPr>
        <w:t>ov</w:t>
      </w:r>
      <w:r w:rsidRPr="00585ACD">
        <w:t xml:space="preserve">) and LRTP have been established, the threshold values established by Klasmeier </w:t>
      </w:r>
      <w:r w:rsidRPr="00585ACD">
        <w:rPr>
          <w:i/>
        </w:rPr>
        <w:t>et al</w:t>
      </w:r>
      <w:r w:rsidRPr="00585ACD">
        <w:t>. (2006), based on limit values for reference POPs, can be applied (P</w:t>
      </w:r>
      <w:r w:rsidRPr="00585ACD">
        <w:rPr>
          <w:vertAlign w:val="subscript"/>
        </w:rPr>
        <w:t>ov</w:t>
      </w:r>
      <w:r w:rsidRPr="00087BDD">
        <w:rPr>
          <w:lang w:eastAsia="en-GB"/>
        </w:rPr>
        <w:t xml:space="preserve"> </w:t>
      </w:r>
      <w:r w:rsidRPr="00585ACD">
        <w:rPr>
          <w:lang w:eastAsia="en-GB"/>
        </w:rPr>
        <w:t>= 195 days, Cha</w:t>
      </w:r>
      <w:r w:rsidR="00F8208A">
        <w:rPr>
          <w:lang w:eastAsia="en-GB"/>
        </w:rPr>
        <w:t xml:space="preserve">racteristic Travel Distance = 5 </w:t>
      </w:r>
      <w:r w:rsidRPr="00585ACD">
        <w:rPr>
          <w:lang w:eastAsia="en-GB"/>
        </w:rPr>
        <w:t>097 km, and Transfer Efficiency = 2.248</w:t>
      </w:r>
      <w:r w:rsidR="00F8208A">
        <w:rPr>
          <w:lang w:eastAsia="en-GB"/>
        </w:rPr>
        <w:t xml:space="preserve"> </w:t>
      </w:r>
      <w:r w:rsidRPr="00585ACD">
        <w:rPr>
          <w:lang w:eastAsia="en-GB"/>
        </w:rPr>
        <w:t>%)</w:t>
      </w:r>
      <w:r w:rsidR="00376709">
        <w:rPr>
          <w:lang w:eastAsia="en-GB"/>
        </w:rPr>
        <w:t>:</w:t>
      </w:r>
    </w:p>
    <w:p w14:paraId="58CD54D0" w14:textId="77777777" w:rsidR="00376709" w:rsidRDefault="00376709" w:rsidP="00585ACD">
      <w:pPr>
        <w:jc w:val="both"/>
      </w:pPr>
    </w:p>
    <w:p w14:paraId="583BA247" w14:textId="77777777" w:rsidR="003B13E5" w:rsidRPr="00585ACD" w:rsidRDefault="003B13E5" w:rsidP="00686834">
      <w:pPr>
        <w:pStyle w:val="ListParagraph"/>
        <w:numPr>
          <w:ilvl w:val="0"/>
          <w:numId w:val="18"/>
        </w:numPr>
        <w:ind w:left="426" w:right="515"/>
        <w:jc w:val="both"/>
      </w:pPr>
      <w:r w:rsidRPr="00585ACD">
        <w:t>If no degradation in water or soil is assumed for Dechlorane Plus, the conclusion is that the potential for long range transport is low, with a characteristic travel distance of 350 km. The overall half-life (P</w:t>
      </w:r>
      <w:r w:rsidRPr="00376709">
        <w:rPr>
          <w:vertAlign w:val="subscript"/>
        </w:rPr>
        <w:t>ov</w:t>
      </w:r>
      <w:r w:rsidRPr="00585ACD">
        <w:t>) for Dechlorane Plus is predicted to be long, at 5</w:t>
      </w:r>
      <w:r w:rsidR="000C797A">
        <w:t xml:space="preserve"> </w:t>
      </w:r>
      <w:r w:rsidRPr="00585ACD">
        <w:t>900 days, and it is predicted to have relatively low transfer efficiency from air to surface media of 3×10</w:t>
      </w:r>
      <w:r w:rsidRPr="00376709">
        <w:rPr>
          <w:vertAlign w:val="superscript"/>
        </w:rPr>
        <w:t>-4</w:t>
      </w:r>
      <w:r w:rsidR="00F8208A">
        <w:rPr>
          <w:vertAlign w:val="superscript"/>
        </w:rPr>
        <w:t xml:space="preserve"> </w:t>
      </w:r>
      <w:r w:rsidRPr="00585ACD">
        <w:t>%. In this model, the fraction of Dechlorane Plus in air present in aerosols is 0.01</w:t>
      </w:r>
      <w:r w:rsidR="00F8208A">
        <w:t xml:space="preserve"> </w:t>
      </w:r>
      <w:r w:rsidRPr="00585ACD">
        <w:t>%.</w:t>
      </w:r>
    </w:p>
    <w:p w14:paraId="02CD5B28" w14:textId="77777777" w:rsidR="006A66FD" w:rsidRDefault="006A66FD" w:rsidP="00376709">
      <w:pPr>
        <w:pStyle w:val="BodyText"/>
        <w:spacing w:after="0"/>
        <w:ind w:left="426" w:right="515"/>
      </w:pPr>
    </w:p>
    <w:p w14:paraId="1B2ECD73" w14:textId="77777777" w:rsidR="003B13E5" w:rsidRPr="00817879" w:rsidRDefault="003B13E5" w:rsidP="00686834">
      <w:pPr>
        <w:pStyle w:val="BodyText"/>
        <w:numPr>
          <w:ilvl w:val="0"/>
          <w:numId w:val="18"/>
        </w:numPr>
        <w:ind w:left="426" w:right="515"/>
        <w:jc w:val="both"/>
      </w:pPr>
      <w:r w:rsidRPr="00817879">
        <w:t xml:space="preserve">Taking </w:t>
      </w:r>
      <w:r>
        <w:t>p</w:t>
      </w:r>
      <w:r w:rsidRPr="00817879">
        <w:t xml:space="preserve">hotodegradation </w:t>
      </w:r>
      <w:r>
        <w:t>as</w:t>
      </w:r>
      <w:r w:rsidRPr="00817879">
        <w:t xml:space="preserve"> a potential</w:t>
      </w:r>
      <w:r w:rsidR="00376709">
        <w:t>ly relevant</w:t>
      </w:r>
      <w:r w:rsidRPr="00817879">
        <w:t xml:space="preserve"> degradation pathway into account, the overall half-life </w:t>
      </w:r>
      <w:r>
        <w:t>(</w:t>
      </w:r>
      <w:r w:rsidRPr="00817879">
        <w:t>P</w:t>
      </w:r>
      <w:r w:rsidRPr="00817879">
        <w:rPr>
          <w:vertAlign w:val="subscript"/>
        </w:rPr>
        <w:t>ov</w:t>
      </w:r>
      <w:r>
        <w:t xml:space="preserve">) </w:t>
      </w:r>
      <w:r w:rsidRPr="00817879">
        <w:t xml:space="preserve">for Dechlorane Plus remains high, at </w:t>
      </w:r>
      <w:r w:rsidR="00F8208A">
        <w:t xml:space="preserve">4 </w:t>
      </w:r>
      <w:r>
        <w:t>100</w:t>
      </w:r>
      <w:r w:rsidRPr="00817879">
        <w:t xml:space="preserve"> days. The characteristic travel distance and transfer efficiency are </w:t>
      </w:r>
      <w:r>
        <w:t>unchanged</w:t>
      </w:r>
      <w:r w:rsidRPr="00817879">
        <w:t>.</w:t>
      </w:r>
    </w:p>
    <w:p w14:paraId="6D8C65EE" w14:textId="77777777" w:rsidR="00087BDD" w:rsidRPr="00585ACD" w:rsidRDefault="00087BDD" w:rsidP="00087BDD">
      <w:pPr>
        <w:pStyle w:val="BodyText"/>
        <w:jc w:val="both"/>
      </w:pPr>
      <w:r w:rsidRPr="00585ACD">
        <w:t>Although there are significant uncertainties in the physico-chemical data set, the predicted log K</w:t>
      </w:r>
      <w:r w:rsidRPr="00585ACD">
        <w:rPr>
          <w:vertAlign w:val="subscript"/>
        </w:rPr>
        <w:t>OA</w:t>
      </w:r>
      <w:r w:rsidRPr="00585ACD">
        <w:t xml:space="preserve"> (&gt;7.25 to &gt;12) and log K</w:t>
      </w:r>
      <w:r w:rsidRPr="00585ACD">
        <w:rPr>
          <w:vertAlign w:val="subscript"/>
        </w:rPr>
        <w:t>AW</w:t>
      </w:r>
      <w:r w:rsidRPr="00585ACD">
        <w:t xml:space="preserve"> (1.75) values for Dechlorane Plus </w:t>
      </w:r>
      <w:r w:rsidR="00376709">
        <w:t xml:space="preserve">also </w:t>
      </w:r>
      <w:r w:rsidRPr="00585ACD">
        <w:t xml:space="preserve">suggest a low potential to reach the Arctic according to the criteria cited by Wania (2006) and Brown and Wania (2008). </w:t>
      </w:r>
    </w:p>
    <w:p w14:paraId="3E2F524C" w14:textId="77777777" w:rsidR="00087BDD" w:rsidRDefault="003B13E5" w:rsidP="00FD04C7">
      <w:pPr>
        <w:pStyle w:val="BodyText"/>
        <w:jc w:val="both"/>
      </w:pPr>
      <w:r w:rsidRPr="00BA0ECA">
        <w:t>The results from th</w:t>
      </w:r>
      <w:r w:rsidR="00D36E3B">
        <w:t>is modelling</w:t>
      </w:r>
      <w:r w:rsidRPr="00BA0ECA">
        <w:t xml:space="preserve"> are uncertain, largely because most of the input parameters are estimated. In the context of the input properties for reference chemicals in the</w:t>
      </w:r>
      <w:r w:rsidR="00D36E3B">
        <w:t xml:space="preserve"> OECD</w:t>
      </w:r>
      <w:r w:rsidRPr="00BA0ECA">
        <w:t xml:space="preserve"> model, the properties of Dechlorane Plus show that it has comparable or higher </w:t>
      </w:r>
      <w:r>
        <w:t>hydrophobici</w:t>
      </w:r>
      <w:r w:rsidRPr="00BA0ECA">
        <w:t xml:space="preserve">ty than reference POPs, </w:t>
      </w:r>
      <w:r w:rsidR="00376709">
        <w:t>is comparatively more volatile</w:t>
      </w:r>
      <w:r w:rsidR="00376709" w:rsidRPr="00BA0ECA">
        <w:t xml:space="preserve"> </w:t>
      </w:r>
      <w:r w:rsidR="00376709">
        <w:t xml:space="preserve">(based on </w:t>
      </w:r>
      <w:r w:rsidR="00376709" w:rsidRPr="00585ACD">
        <w:t>log K</w:t>
      </w:r>
      <w:r w:rsidR="00376709" w:rsidRPr="00585ACD">
        <w:rPr>
          <w:vertAlign w:val="subscript"/>
        </w:rPr>
        <w:t>OA</w:t>
      </w:r>
      <w:r w:rsidR="00376709" w:rsidRPr="00585ACD">
        <w:t xml:space="preserve"> and log K</w:t>
      </w:r>
      <w:r w:rsidR="00376709" w:rsidRPr="00585ACD">
        <w:rPr>
          <w:vertAlign w:val="subscript"/>
        </w:rPr>
        <w:t>AW</w:t>
      </w:r>
      <w:r w:rsidR="00376709">
        <w:t xml:space="preserve"> values) and</w:t>
      </w:r>
      <w:r w:rsidR="00376709" w:rsidRPr="00BA0ECA">
        <w:t xml:space="preserve"> </w:t>
      </w:r>
      <w:r w:rsidRPr="00BA0ECA">
        <w:t xml:space="preserve">has relatively rapid degradation in the atmosphere </w:t>
      </w:r>
      <w:r w:rsidR="00376709">
        <w:t xml:space="preserve">(due to photodegradation, although this is </w:t>
      </w:r>
      <w:r w:rsidR="00D36E3B">
        <w:t>still a slow process</w:t>
      </w:r>
      <w:r w:rsidR="00376709">
        <w:t xml:space="preserve"> – see</w:t>
      </w:r>
      <w:r w:rsidR="00D36E3B">
        <w:t xml:space="preserve"> also</w:t>
      </w:r>
      <w:r w:rsidR="00376709">
        <w:t xml:space="preserve"> Section </w:t>
      </w:r>
      <w:r w:rsidR="00376709" w:rsidRPr="00096A9A">
        <w:t>3.1.1.3.1</w:t>
      </w:r>
      <w:r w:rsidR="00376709">
        <w:t>)</w:t>
      </w:r>
      <w:r w:rsidRPr="00BA0ECA">
        <w:t xml:space="preserve">. </w:t>
      </w:r>
    </w:p>
    <w:p w14:paraId="38750ABF" w14:textId="104CB07F" w:rsidR="003B13E5" w:rsidRDefault="00087BDD" w:rsidP="00FD04C7">
      <w:pPr>
        <w:autoSpaceDE w:val="0"/>
        <w:autoSpaceDN w:val="0"/>
        <w:adjustRightInd w:val="0"/>
        <w:jc w:val="both"/>
        <w:rPr>
          <w:szCs w:val="24"/>
        </w:rPr>
      </w:pPr>
      <w:r>
        <w:t xml:space="preserve">Nevertheless, </w:t>
      </w:r>
      <w:r w:rsidR="00376709">
        <w:t xml:space="preserve">modelling may be of limited value for substances that have low </w:t>
      </w:r>
      <w:r w:rsidR="00A95F9D">
        <w:t>vapour pressure</w:t>
      </w:r>
      <w:r w:rsidR="00376709">
        <w:t xml:space="preserve"> and adsorb strongly to particulates in the air. Atmospheric transport for such substances is likely to be governed by the fate of these particulates. This can result in long-range transport to remote regions when atmospheric conditions permit (e.g. during dry periods). This </w:t>
      </w:r>
      <w:r w:rsidR="00A95F9D">
        <w:t>is</w:t>
      </w:r>
      <w:r w:rsidR="00376709">
        <w:t xml:space="preserve"> confirmed for Dechlorane Plus by </w:t>
      </w:r>
      <w:r>
        <w:t>monitoring evidence</w:t>
      </w:r>
      <w:r w:rsidR="00A95F9D">
        <w:t xml:space="preserve">: </w:t>
      </w:r>
      <w:r w:rsidR="00A95F9D">
        <w:rPr>
          <w:szCs w:val="24"/>
        </w:rPr>
        <w:t xml:space="preserve">Appendix 1 summarises </w:t>
      </w:r>
      <w:r w:rsidR="00D36E3B">
        <w:rPr>
          <w:szCs w:val="24"/>
        </w:rPr>
        <w:t>several</w:t>
      </w:r>
      <w:r w:rsidR="00A95F9D">
        <w:rPr>
          <w:szCs w:val="24"/>
        </w:rPr>
        <w:t xml:space="preserve"> studies that demonstrate detection in the Polar regions as well as high mountains (</w:t>
      </w:r>
      <w:r w:rsidR="00D36E3B" w:rsidRPr="0001791D">
        <w:rPr>
          <w:rFonts w:eastAsia="Calibri"/>
        </w:rPr>
        <w:t xml:space="preserve">Kaj </w:t>
      </w:r>
      <w:r w:rsidR="00D36E3B" w:rsidRPr="0001791D">
        <w:rPr>
          <w:rFonts w:cs="AdvOT863180fb"/>
          <w:i/>
          <w:color w:val="000000"/>
          <w:lang w:eastAsia="en-GB"/>
        </w:rPr>
        <w:t>et al</w:t>
      </w:r>
      <w:r w:rsidR="00D36E3B">
        <w:rPr>
          <w:rFonts w:cs="AdvOT863180fb"/>
          <w:color w:val="000000"/>
          <w:lang w:eastAsia="en-GB"/>
        </w:rPr>
        <w:t xml:space="preserve">., </w:t>
      </w:r>
      <w:r w:rsidR="00D36E3B" w:rsidRPr="0001791D">
        <w:rPr>
          <w:rFonts w:eastAsia="Calibri"/>
        </w:rPr>
        <w:t>2010</w:t>
      </w:r>
      <w:r w:rsidR="00D36E3B">
        <w:rPr>
          <w:rFonts w:eastAsia="Calibri"/>
        </w:rPr>
        <w:t xml:space="preserve">; </w:t>
      </w:r>
      <w:r w:rsidR="00D36E3B" w:rsidRPr="0001791D">
        <w:rPr>
          <w:rFonts w:eastAsia="Calibri"/>
        </w:rPr>
        <w:t>M</w:t>
      </w:r>
      <w:r w:rsidR="00D36E3B" w:rsidRPr="0001791D">
        <w:rPr>
          <w:rFonts w:ascii="Calibri" w:eastAsia="Calibri" w:hAnsi="Calibri" w:cs="Calibri"/>
        </w:rPr>
        <w:t>ӧ</w:t>
      </w:r>
      <w:r w:rsidR="00D36E3B" w:rsidRPr="0001791D">
        <w:rPr>
          <w:rFonts w:eastAsia="Calibri"/>
        </w:rPr>
        <w:t>ller</w:t>
      </w:r>
      <w:r w:rsidR="00D36E3B" w:rsidRPr="0001791D">
        <w:rPr>
          <w:rFonts w:cs="AdvOT863180fb"/>
          <w:i/>
          <w:color w:val="000000"/>
          <w:lang w:eastAsia="en-GB"/>
        </w:rPr>
        <w:t xml:space="preserve"> et al</w:t>
      </w:r>
      <w:r w:rsidR="00D36E3B">
        <w:rPr>
          <w:rFonts w:cs="AdvOT863180fb"/>
          <w:color w:val="000000"/>
          <w:lang w:eastAsia="en-GB"/>
        </w:rPr>
        <w:t xml:space="preserve">., </w:t>
      </w:r>
      <w:r w:rsidR="00D36E3B" w:rsidRPr="0001791D">
        <w:rPr>
          <w:rFonts w:eastAsia="Calibri"/>
        </w:rPr>
        <w:t>2010</w:t>
      </w:r>
      <w:r w:rsidR="00D36E3B">
        <w:rPr>
          <w:rFonts w:eastAsia="Calibri"/>
        </w:rPr>
        <w:t>;</w:t>
      </w:r>
      <w:r w:rsidR="00D36E3B" w:rsidRPr="0001791D">
        <w:rPr>
          <w:rFonts w:eastAsia="Calibri"/>
        </w:rPr>
        <w:t xml:space="preserve"> Sverko </w:t>
      </w:r>
      <w:r w:rsidR="00D36E3B" w:rsidRPr="0001791D">
        <w:rPr>
          <w:rFonts w:eastAsia="Calibri"/>
          <w:i/>
        </w:rPr>
        <w:t>et al</w:t>
      </w:r>
      <w:r w:rsidR="00D36E3B">
        <w:rPr>
          <w:rFonts w:eastAsia="Calibri"/>
        </w:rPr>
        <w:t xml:space="preserve">., </w:t>
      </w:r>
      <w:r w:rsidR="00D36E3B" w:rsidRPr="0001791D">
        <w:rPr>
          <w:rFonts w:eastAsia="Calibri"/>
        </w:rPr>
        <w:t>2010a [ABST]</w:t>
      </w:r>
      <w:r w:rsidR="00D36E3B">
        <w:rPr>
          <w:rFonts w:eastAsia="Calibri"/>
        </w:rPr>
        <w:t xml:space="preserve">; </w:t>
      </w:r>
      <w:r w:rsidR="00D36E3B" w:rsidRPr="0001791D">
        <w:rPr>
          <w:rFonts w:eastAsia="Calibri"/>
        </w:rPr>
        <w:t>M</w:t>
      </w:r>
      <w:r w:rsidR="00D36E3B" w:rsidRPr="0001791D">
        <w:rPr>
          <w:rFonts w:ascii="Calibri" w:eastAsia="Calibri" w:hAnsi="Calibri" w:cs="Calibri"/>
        </w:rPr>
        <w:t>ӧ</w:t>
      </w:r>
      <w:r w:rsidR="00D36E3B" w:rsidRPr="0001791D">
        <w:rPr>
          <w:rFonts w:ascii="Arial" w:eastAsia="Calibri" w:hAnsi="Arial" w:cs="Arial"/>
        </w:rPr>
        <w:t>̈</w:t>
      </w:r>
      <w:r w:rsidR="00D36E3B" w:rsidRPr="0001791D">
        <w:rPr>
          <w:rFonts w:eastAsia="Calibri"/>
        </w:rPr>
        <w:t xml:space="preserve">ller </w:t>
      </w:r>
      <w:r w:rsidR="00D36E3B" w:rsidRPr="0001791D">
        <w:rPr>
          <w:rFonts w:cs="AdvOT863180fb"/>
          <w:i/>
          <w:color w:val="000000"/>
          <w:lang w:eastAsia="en-GB"/>
        </w:rPr>
        <w:t>et al</w:t>
      </w:r>
      <w:r w:rsidR="00D36E3B">
        <w:rPr>
          <w:rFonts w:cs="AdvOT863180fb"/>
          <w:color w:val="000000"/>
          <w:lang w:eastAsia="en-GB"/>
        </w:rPr>
        <w:t xml:space="preserve">., </w:t>
      </w:r>
      <w:r w:rsidR="00D36E3B" w:rsidRPr="0001791D">
        <w:rPr>
          <w:rFonts w:eastAsia="Calibri"/>
        </w:rPr>
        <w:t>2011</w:t>
      </w:r>
      <w:r w:rsidR="00D36E3B">
        <w:rPr>
          <w:rFonts w:eastAsia="Calibri"/>
        </w:rPr>
        <w:t xml:space="preserve">; </w:t>
      </w:r>
      <w:r w:rsidR="00D36E3B" w:rsidRPr="0001791D">
        <w:rPr>
          <w:rFonts w:eastAsia="Calibri"/>
        </w:rPr>
        <w:t>M</w:t>
      </w:r>
      <w:r w:rsidR="00D36E3B" w:rsidRPr="0001791D">
        <w:rPr>
          <w:rFonts w:ascii="Calibri" w:eastAsia="Calibri" w:hAnsi="Calibri" w:cs="Calibri"/>
        </w:rPr>
        <w:t>ӧ</w:t>
      </w:r>
      <w:r w:rsidR="00D36E3B" w:rsidRPr="0001791D">
        <w:rPr>
          <w:rFonts w:ascii="Arial" w:eastAsia="Calibri" w:hAnsi="Arial" w:cs="Arial"/>
        </w:rPr>
        <w:t>̈</w:t>
      </w:r>
      <w:r w:rsidR="00D36E3B" w:rsidRPr="0001791D">
        <w:rPr>
          <w:rFonts w:eastAsia="Calibri"/>
        </w:rPr>
        <w:t xml:space="preserve">ller </w:t>
      </w:r>
      <w:r w:rsidR="00D36E3B" w:rsidRPr="0001791D">
        <w:rPr>
          <w:rFonts w:cs="AdvOT863180fb"/>
          <w:i/>
          <w:color w:val="000000"/>
          <w:lang w:eastAsia="en-GB"/>
        </w:rPr>
        <w:t>et al</w:t>
      </w:r>
      <w:r w:rsidR="00D36E3B">
        <w:rPr>
          <w:rFonts w:cs="AdvOT863180fb"/>
          <w:color w:val="000000"/>
          <w:lang w:eastAsia="en-GB"/>
        </w:rPr>
        <w:t xml:space="preserve">., </w:t>
      </w:r>
      <w:r w:rsidR="00D36E3B">
        <w:rPr>
          <w:rFonts w:eastAsia="Calibri"/>
        </w:rPr>
        <w:t>2012;</w:t>
      </w:r>
      <w:r w:rsidR="00D36E3B" w:rsidRPr="0001791D">
        <w:rPr>
          <w:rFonts w:cs="AdvOT863180fb"/>
          <w:color w:val="000000"/>
          <w:lang w:eastAsia="en-GB"/>
        </w:rPr>
        <w:t xml:space="preserve"> Xiao </w:t>
      </w:r>
      <w:r w:rsidR="00D36E3B" w:rsidRPr="0001791D">
        <w:rPr>
          <w:rFonts w:cs="AdvOT863180fb"/>
          <w:i/>
          <w:color w:val="000000"/>
          <w:lang w:eastAsia="en-GB"/>
        </w:rPr>
        <w:t>et al</w:t>
      </w:r>
      <w:r w:rsidR="00D36E3B">
        <w:rPr>
          <w:rFonts w:cs="AdvOT863180fb"/>
          <w:color w:val="000000"/>
          <w:lang w:eastAsia="en-GB"/>
        </w:rPr>
        <w:t xml:space="preserve">., </w:t>
      </w:r>
      <w:r w:rsidR="00D36E3B" w:rsidRPr="0001791D">
        <w:rPr>
          <w:rFonts w:eastAsia="Calibri"/>
        </w:rPr>
        <w:t>2012</w:t>
      </w:r>
      <w:r w:rsidR="00D36E3B">
        <w:rPr>
          <w:rFonts w:eastAsia="Calibri"/>
        </w:rPr>
        <w:t>;</w:t>
      </w:r>
      <w:r w:rsidR="00D36E3B" w:rsidRPr="0001791D">
        <w:rPr>
          <w:rFonts w:eastAsia="Calibri"/>
        </w:rPr>
        <w:t xml:space="preserve"> Arinaitwe </w:t>
      </w:r>
      <w:r w:rsidR="00D36E3B" w:rsidRPr="0001791D">
        <w:rPr>
          <w:rFonts w:cs="AdvOT863180fb"/>
          <w:i/>
          <w:color w:val="000000"/>
          <w:lang w:eastAsia="en-GB"/>
        </w:rPr>
        <w:t>et al</w:t>
      </w:r>
      <w:r w:rsidR="00D36E3B">
        <w:rPr>
          <w:rFonts w:cs="AdvOT863180fb"/>
          <w:color w:val="000000"/>
          <w:lang w:eastAsia="en-GB"/>
        </w:rPr>
        <w:t xml:space="preserve">., </w:t>
      </w:r>
      <w:r w:rsidR="00D36E3B" w:rsidRPr="0001791D">
        <w:rPr>
          <w:rFonts w:eastAsia="Calibri"/>
        </w:rPr>
        <w:t>2014</w:t>
      </w:r>
      <w:r w:rsidR="00D36E3B">
        <w:rPr>
          <w:rFonts w:eastAsia="Calibri"/>
        </w:rPr>
        <w:t>;</w:t>
      </w:r>
      <w:r w:rsidR="00D36E3B" w:rsidRPr="0001791D">
        <w:rPr>
          <w:rFonts w:eastAsia="Calibri"/>
        </w:rPr>
        <w:t xml:space="preserve"> Newton </w:t>
      </w:r>
      <w:r w:rsidR="00D36E3B" w:rsidRPr="0001791D">
        <w:rPr>
          <w:rFonts w:cs="AdvOT863180fb"/>
          <w:i/>
          <w:color w:val="000000"/>
          <w:lang w:eastAsia="en-GB"/>
        </w:rPr>
        <w:t>et al</w:t>
      </w:r>
      <w:r w:rsidR="00D36E3B">
        <w:rPr>
          <w:rFonts w:cs="AdvOT863180fb"/>
          <w:color w:val="000000"/>
          <w:lang w:eastAsia="en-GB"/>
        </w:rPr>
        <w:t xml:space="preserve">., </w:t>
      </w:r>
      <w:r w:rsidR="00D36E3B" w:rsidRPr="0001791D">
        <w:rPr>
          <w:rFonts w:eastAsia="Calibri"/>
        </w:rPr>
        <w:t>2014</w:t>
      </w:r>
      <w:r w:rsidR="00D36E3B">
        <w:rPr>
          <w:rFonts w:eastAsia="Calibri"/>
        </w:rPr>
        <w:t>;</w:t>
      </w:r>
      <w:r w:rsidR="00D36E3B" w:rsidRPr="0001791D">
        <w:rPr>
          <w:rFonts w:eastAsia="Calibri"/>
        </w:rPr>
        <w:t xml:space="preserve"> </w:t>
      </w:r>
      <w:r w:rsidR="00D36E3B" w:rsidRPr="0001791D">
        <w:rPr>
          <w:rFonts w:eastAsia="Calibri"/>
        </w:rPr>
        <w:lastRenderedPageBreak/>
        <w:t xml:space="preserve">Salamova </w:t>
      </w:r>
      <w:r w:rsidR="00D36E3B" w:rsidRPr="0001791D">
        <w:rPr>
          <w:rFonts w:cs="AdvOT863180fb"/>
          <w:i/>
          <w:color w:val="000000"/>
          <w:lang w:eastAsia="en-GB"/>
        </w:rPr>
        <w:t>et al</w:t>
      </w:r>
      <w:r w:rsidR="00D36E3B">
        <w:rPr>
          <w:rFonts w:cs="AdvOT863180fb"/>
          <w:color w:val="000000"/>
          <w:lang w:eastAsia="en-GB"/>
        </w:rPr>
        <w:t xml:space="preserve">., </w:t>
      </w:r>
      <w:r w:rsidR="00D36E3B" w:rsidRPr="0001791D">
        <w:rPr>
          <w:rFonts w:eastAsia="Calibri"/>
        </w:rPr>
        <w:t>2014</w:t>
      </w:r>
      <w:r w:rsidR="00D36E3B">
        <w:rPr>
          <w:rFonts w:eastAsia="Calibri"/>
        </w:rPr>
        <w:t>;</w:t>
      </w:r>
      <w:r w:rsidR="00D36E3B" w:rsidRPr="0001791D">
        <w:rPr>
          <w:rFonts w:eastAsia="Calibri"/>
        </w:rPr>
        <w:t xml:space="preserve"> Vorkamp </w:t>
      </w:r>
      <w:r w:rsidR="00D36E3B" w:rsidRPr="0001791D">
        <w:rPr>
          <w:rFonts w:cs="AdvOT863180fb"/>
          <w:i/>
          <w:color w:val="000000"/>
          <w:lang w:eastAsia="en-GB"/>
        </w:rPr>
        <w:t>et al</w:t>
      </w:r>
      <w:r w:rsidR="00D36E3B">
        <w:rPr>
          <w:rFonts w:cs="AdvOT863180fb"/>
          <w:color w:val="000000"/>
          <w:lang w:eastAsia="en-GB"/>
        </w:rPr>
        <w:t xml:space="preserve">., </w:t>
      </w:r>
      <w:r w:rsidR="00D36E3B" w:rsidRPr="0001791D">
        <w:rPr>
          <w:rFonts w:eastAsia="Calibri"/>
        </w:rPr>
        <w:t>2014</w:t>
      </w:r>
      <w:r w:rsidR="00D36E3B">
        <w:rPr>
          <w:rFonts w:eastAsia="Calibri"/>
        </w:rPr>
        <w:t xml:space="preserve">; </w:t>
      </w:r>
      <w:r w:rsidR="00D36E3B" w:rsidRPr="0001791D">
        <w:rPr>
          <w:rFonts w:eastAsia="Calibri"/>
        </w:rPr>
        <w:t xml:space="preserve">Ma </w:t>
      </w:r>
      <w:r w:rsidR="00D36E3B" w:rsidRPr="0001791D">
        <w:rPr>
          <w:rFonts w:cs="AdvOT863180fb"/>
          <w:i/>
          <w:color w:val="000000"/>
          <w:lang w:eastAsia="en-GB"/>
        </w:rPr>
        <w:t>et al</w:t>
      </w:r>
      <w:r w:rsidR="00D36E3B">
        <w:rPr>
          <w:rFonts w:cs="AdvOT863180fb"/>
          <w:color w:val="000000"/>
          <w:lang w:eastAsia="en-GB"/>
        </w:rPr>
        <w:t xml:space="preserve">., </w:t>
      </w:r>
      <w:r w:rsidR="00D36E3B" w:rsidRPr="0001791D">
        <w:rPr>
          <w:rFonts w:eastAsia="Calibri"/>
        </w:rPr>
        <w:t xml:space="preserve">2015; Na </w:t>
      </w:r>
      <w:r w:rsidR="00D36E3B" w:rsidRPr="0001791D">
        <w:rPr>
          <w:rFonts w:eastAsia="Calibri"/>
          <w:i/>
        </w:rPr>
        <w:t>et al</w:t>
      </w:r>
      <w:r w:rsidR="00D36E3B">
        <w:rPr>
          <w:rFonts w:eastAsia="Calibri"/>
          <w:i/>
        </w:rPr>
        <w:t xml:space="preserve">., </w:t>
      </w:r>
      <w:r w:rsidR="00D36E3B" w:rsidRPr="0001791D">
        <w:rPr>
          <w:rFonts w:eastAsia="Calibri"/>
        </w:rPr>
        <w:t xml:space="preserve">2015; Vorkamp </w:t>
      </w:r>
      <w:r w:rsidR="00D36E3B" w:rsidRPr="0001791D">
        <w:rPr>
          <w:rFonts w:cs="AdvOT863180fb"/>
          <w:i/>
          <w:color w:val="000000"/>
          <w:lang w:eastAsia="en-GB"/>
        </w:rPr>
        <w:t>et al</w:t>
      </w:r>
      <w:r w:rsidR="00D36E3B">
        <w:rPr>
          <w:rFonts w:cs="AdvOT863180fb"/>
          <w:color w:val="000000"/>
          <w:lang w:eastAsia="en-GB"/>
        </w:rPr>
        <w:t xml:space="preserve">., </w:t>
      </w:r>
      <w:r w:rsidR="00D36E3B" w:rsidRPr="0001791D">
        <w:rPr>
          <w:rFonts w:eastAsia="Calibri"/>
        </w:rPr>
        <w:t>2015</w:t>
      </w:r>
      <w:r w:rsidR="00A95F9D">
        <w:rPr>
          <w:szCs w:val="24"/>
        </w:rPr>
        <w:t xml:space="preserve">), and also a study by </w:t>
      </w:r>
      <w:r w:rsidR="00A95F9D" w:rsidRPr="00A95F9D">
        <w:rPr>
          <w:szCs w:val="24"/>
        </w:rPr>
        <w:t xml:space="preserve">Okonski </w:t>
      </w:r>
      <w:r w:rsidR="00A95F9D" w:rsidRPr="00A95F9D">
        <w:rPr>
          <w:i/>
          <w:szCs w:val="24"/>
        </w:rPr>
        <w:t>et al</w:t>
      </w:r>
      <w:r w:rsidR="00A95F9D" w:rsidRPr="00A95F9D">
        <w:rPr>
          <w:szCs w:val="24"/>
        </w:rPr>
        <w:t>. (2014)</w:t>
      </w:r>
      <w:r w:rsidR="00A95F9D" w:rsidRPr="008640CB">
        <w:rPr>
          <w:szCs w:val="24"/>
        </w:rPr>
        <w:t xml:space="preserve"> </w:t>
      </w:r>
      <w:r w:rsidR="00A95F9D">
        <w:rPr>
          <w:szCs w:val="24"/>
        </w:rPr>
        <w:t xml:space="preserve">that investigated the presence of Dechlorane Plus on different sizes of particulate. </w:t>
      </w:r>
      <w:r w:rsidR="00C03BCD">
        <w:rPr>
          <w:szCs w:val="24"/>
        </w:rPr>
        <w:t>Several of the studies measure</w:t>
      </w:r>
      <w:r w:rsidR="00C12050">
        <w:rPr>
          <w:szCs w:val="24"/>
        </w:rPr>
        <w:t>d</w:t>
      </w:r>
      <w:r w:rsidR="00C03BCD">
        <w:rPr>
          <w:szCs w:val="24"/>
        </w:rPr>
        <w:t xml:space="preserve"> Dechlorane Plus in seawater (</w:t>
      </w:r>
      <w:r w:rsidR="00C03BCD" w:rsidRPr="0001791D">
        <w:rPr>
          <w:rFonts w:eastAsia="Calibri"/>
        </w:rPr>
        <w:t>M</w:t>
      </w:r>
      <w:r w:rsidR="00C03BCD" w:rsidRPr="0001791D">
        <w:rPr>
          <w:rFonts w:ascii="Calibri" w:eastAsia="Calibri" w:hAnsi="Calibri" w:cs="Calibri"/>
        </w:rPr>
        <w:t>ӧ</w:t>
      </w:r>
      <w:r w:rsidR="00C03BCD" w:rsidRPr="0001791D">
        <w:rPr>
          <w:rFonts w:eastAsia="Calibri"/>
        </w:rPr>
        <w:t>ller</w:t>
      </w:r>
      <w:r w:rsidR="00C03BCD" w:rsidRPr="0001791D">
        <w:rPr>
          <w:rFonts w:cs="AdvOT863180fb"/>
          <w:i/>
          <w:color w:val="000000"/>
          <w:lang w:eastAsia="en-GB"/>
        </w:rPr>
        <w:t xml:space="preserve"> et al</w:t>
      </w:r>
      <w:r w:rsidR="00C03BCD">
        <w:rPr>
          <w:rFonts w:cs="AdvOT863180fb"/>
          <w:color w:val="000000"/>
          <w:lang w:eastAsia="en-GB"/>
        </w:rPr>
        <w:t xml:space="preserve">., </w:t>
      </w:r>
      <w:r w:rsidR="00C03BCD" w:rsidRPr="0001791D">
        <w:rPr>
          <w:rFonts w:eastAsia="Calibri"/>
        </w:rPr>
        <w:t>2010</w:t>
      </w:r>
      <w:r w:rsidR="00C03BCD">
        <w:rPr>
          <w:rFonts w:eastAsia="Calibri"/>
        </w:rPr>
        <w:t xml:space="preserve">; </w:t>
      </w:r>
      <w:r w:rsidR="00C03BCD" w:rsidRPr="0001791D">
        <w:rPr>
          <w:rFonts w:eastAsia="Calibri"/>
        </w:rPr>
        <w:t>M</w:t>
      </w:r>
      <w:r w:rsidR="00C03BCD" w:rsidRPr="0001791D">
        <w:rPr>
          <w:rFonts w:ascii="Calibri" w:eastAsia="Calibri" w:hAnsi="Calibri" w:cs="Calibri"/>
        </w:rPr>
        <w:t>ӧ</w:t>
      </w:r>
      <w:r w:rsidR="00C03BCD" w:rsidRPr="0001791D">
        <w:rPr>
          <w:rFonts w:ascii="Arial" w:eastAsia="Calibri" w:hAnsi="Arial" w:cs="Arial"/>
        </w:rPr>
        <w:t>̈</w:t>
      </w:r>
      <w:r w:rsidR="00C03BCD" w:rsidRPr="0001791D">
        <w:rPr>
          <w:rFonts w:eastAsia="Calibri"/>
        </w:rPr>
        <w:t xml:space="preserve">ller </w:t>
      </w:r>
      <w:r w:rsidR="00C03BCD" w:rsidRPr="0001791D">
        <w:rPr>
          <w:rFonts w:cs="AdvOT863180fb"/>
          <w:i/>
          <w:color w:val="000000"/>
          <w:lang w:eastAsia="en-GB"/>
        </w:rPr>
        <w:t>et al</w:t>
      </w:r>
      <w:r w:rsidR="00C03BCD">
        <w:rPr>
          <w:rFonts w:cs="AdvOT863180fb"/>
          <w:color w:val="000000"/>
          <w:lang w:eastAsia="en-GB"/>
        </w:rPr>
        <w:t xml:space="preserve">., </w:t>
      </w:r>
      <w:r w:rsidR="00C03BCD" w:rsidRPr="0001791D">
        <w:rPr>
          <w:rFonts w:eastAsia="Calibri"/>
        </w:rPr>
        <w:t>2011</w:t>
      </w:r>
      <w:r w:rsidR="00C03BCD">
        <w:rPr>
          <w:rFonts w:eastAsia="Calibri"/>
        </w:rPr>
        <w:t xml:space="preserve">; </w:t>
      </w:r>
      <w:r w:rsidR="00C03BCD" w:rsidRPr="0001791D">
        <w:rPr>
          <w:rFonts w:eastAsia="Calibri"/>
        </w:rPr>
        <w:t>M</w:t>
      </w:r>
      <w:r w:rsidR="00C03BCD" w:rsidRPr="0001791D">
        <w:rPr>
          <w:rFonts w:ascii="Calibri" w:eastAsia="Calibri" w:hAnsi="Calibri" w:cs="Calibri"/>
        </w:rPr>
        <w:t>ӧ</w:t>
      </w:r>
      <w:r w:rsidR="00C03BCD" w:rsidRPr="0001791D">
        <w:rPr>
          <w:rFonts w:ascii="Arial" w:eastAsia="Calibri" w:hAnsi="Arial" w:cs="Arial"/>
        </w:rPr>
        <w:t>̈</w:t>
      </w:r>
      <w:r w:rsidR="00C03BCD" w:rsidRPr="0001791D">
        <w:rPr>
          <w:rFonts w:eastAsia="Calibri"/>
        </w:rPr>
        <w:t xml:space="preserve">ller </w:t>
      </w:r>
      <w:r w:rsidR="00C03BCD" w:rsidRPr="0001791D">
        <w:rPr>
          <w:rFonts w:cs="AdvOT863180fb"/>
          <w:i/>
          <w:color w:val="000000"/>
          <w:lang w:eastAsia="en-GB"/>
        </w:rPr>
        <w:t>et al</w:t>
      </w:r>
      <w:r w:rsidR="00C03BCD">
        <w:rPr>
          <w:rFonts w:cs="AdvOT863180fb"/>
          <w:color w:val="000000"/>
          <w:lang w:eastAsia="en-GB"/>
        </w:rPr>
        <w:t xml:space="preserve">., </w:t>
      </w:r>
      <w:r w:rsidR="00C03BCD">
        <w:rPr>
          <w:rFonts w:eastAsia="Calibri"/>
        </w:rPr>
        <w:t>2012</w:t>
      </w:r>
      <w:r w:rsidR="001B2D85">
        <w:rPr>
          <w:rFonts w:eastAsia="Calibri"/>
        </w:rPr>
        <w:t>)</w:t>
      </w:r>
      <w:r w:rsidR="00C03BCD">
        <w:rPr>
          <w:szCs w:val="24"/>
        </w:rPr>
        <w:t xml:space="preserve">. </w:t>
      </w:r>
      <w:r w:rsidR="00C12050">
        <w:rPr>
          <w:szCs w:val="24"/>
        </w:rPr>
        <w:t>The authors of</w:t>
      </w:r>
      <w:r w:rsidR="00C03BCD">
        <w:rPr>
          <w:szCs w:val="24"/>
        </w:rPr>
        <w:t xml:space="preserve"> these papers suggest</w:t>
      </w:r>
      <w:r w:rsidR="00C12050">
        <w:rPr>
          <w:szCs w:val="24"/>
        </w:rPr>
        <w:t xml:space="preserve"> that this</w:t>
      </w:r>
      <w:r w:rsidR="00C03BCD">
        <w:rPr>
          <w:szCs w:val="24"/>
        </w:rPr>
        <w:t xml:space="preserve"> reflect</w:t>
      </w:r>
      <w:r w:rsidR="00C12050">
        <w:rPr>
          <w:szCs w:val="24"/>
        </w:rPr>
        <w:t>s</w:t>
      </w:r>
      <w:r w:rsidR="00C03BCD">
        <w:rPr>
          <w:szCs w:val="24"/>
        </w:rPr>
        <w:t xml:space="preserve"> either </w:t>
      </w:r>
      <w:r w:rsidR="001B2D85">
        <w:rPr>
          <w:szCs w:val="24"/>
        </w:rPr>
        <w:t xml:space="preserve">riverine </w:t>
      </w:r>
      <w:r w:rsidR="00C03BCD">
        <w:rPr>
          <w:szCs w:val="24"/>
        </w:rPr>
        <w:t>emission or atmospheric deposition (</w:t>
      </w:r>
      <w:r w:rsidR="00C12050">
        <w:rPr>
          <w:szCs w:val="24"/>
        </w:rPr>
        <w:t>rather than</w:t>
      </w:r>
      <w:r w:rsidR="00C03BCD">
        <w:rPr>
          <w:szCs w:val="24"/>
        </w:rPr>
        <w:t xml:space="preserve"> long range transport via particles in water).</w:t>
      </w:r>
    </w:p>
    <w:p w14:paraId="7D2A12C1" w14:textId="77777777" w:rsidR="001B2D85" w:rsidRDefault="001B2D85" w:rsidP="00FD04C7">
      <w:pPr>
        <w:autoSpaceDE w:val="0"/>
        <w:autoSpaceDN w:val="0"/>
        <w:adjustRightInd w:val="0"/>
        <w:jc w:val="both"/>
        <w:rPr>
          <w:rFonts w:eastAsia="Calibri"/>
        </w:rPr>
      </w:pPr>
    </w:p>
    <w:p w14:paraId="521E805B" w14:textId="0EE543CD" w:rsidR="001B2D85" w:rsidRPr="00D36E3B" w:rsidRDefault="001B2D85" w:rsidP="00FD04C7">
      <w:pPr>
        <w:autoSpaceDE w:val="0"/>
        <w:autoSpaceDN w:val="0"/>
        <w:adjustRightInd w:val="0"/>
        <w:jc w:val="both"/>
        <w:rPr>
          <w:rFonts w:eastAsia="Calibri"/>
        </w:rPr>
        <w:sectPr w:rsidR="001B2D85" w:rsidRPr="00D36E3B" w:rsidSect="001221A8">
          <w:pgSz w:w="11906" w:h="16838" w:code="9"/>
          <w:pgMar w:top="1440" w:right="1797" w:bottom="1440" w:left="1797" w:header="709" w:footer="709" w:gutter="0"/>
          <w:cols w:space="708"/>
          <w:docGrid w:linePitch="360"/>
        </w:sectPr>
      </w:pPr>
      <w:r>
        <w:rPr>
          <w:rFonts w:eastAsia="Calibri"/>
        </w:rPr>
        <w:t xml:space="preserve">In summary, although the modelling data give mixed results, possibly as a consequence of the physicochemical </w:t>
      </w:r>
      <w:r w:rsidR="00C12050">
        <w:rPr>
          <w:rFonts w:eastAsia="Calibri"/>
        </w:rPr>
        <w:t>characteristics</w:t>
      </w:r>
      <w:r>
        <w:rPr>
          <w:rFonts w:eastAsia="Calibri"/>
        </w:rPr>
        <w:t xml:space="preserve"> of the substance, </w:t>
      </w:r>
      <w:r>
        <w:t xml:space="preserve">the monitoring data indicate </w:t>
      </w:r>
      <w:r w:rsidR="00C12050">
        <w:t xml:space="preserve">that Dechlorane Plus can undergo </w:t>
      </w:r>
      <w:r>
        <w:t>long range transport,</w:t>
      </w:r>
      <w:r w:rsidR="00C12050">
        <w:t xml:space="preserve"> most</w:t>
      </w:r>
      <w:r>
        <w:t xml:space="preserve"> probably as a result of adsorption to particulates</w:t>
      </w:r>
      <w:r w:rsidR="00C12050">
        <w:t xml:space="preserve"> in the atmosphere</w:t>
      </w:r>
      <w:r>
        <w:t>.</w:t>
      </w:r>
    </w:p>
    <w:p w14:paraId="772F01D7" w14:textId="77777777" w:rsidR="00B12C39" w:rsidRDefault="003B1B52" w:rsidP="00C748EF">
      <w:pPr>
        <w:pStyle w:val="Heading2"/>
        <w:keepNext w:val="0"/>
      </w:pPr>
      <w:bookmarkStart w:id="547" w:name="_Toc354499584"/>
      <w:bookmarkStart w:id="548" w:name="_Toc357083659"/>
      <w:bookmarkStart w:id="549" w:name="_Toc357184208"/>
      <w:bookmarkStart w:id="550" w:name="_Toc357184444"/>
      <w:bookmarkStart w:id="551" w:name="_Toc357185246"/>
      <w:bookmarkStart w:id="552" w:name="_Toc357186094"/>
      <w:bookmarkStart w:id="553" w:name="_Toc357186243"/>
      <w:bookmarkStart w:id="554" w:name="_Toc357437529"/>
      <w:bookmarkStart w:id="555" w:name="_Toc357590802"/>
      <w:bookmarkStart w:id="556" w:name="_Toc357692834"/>
      <w:bookmarkStart w:id="557" w:name="_Toc365649663"/>
      <w:bookmarkStart w:id="558" w:name="_Toc365649812"/>
      <w:bookmarkStart w:id="559" w:name="_Toc366489864"/>
      <w:bookmarkStart w:id="560" w:name="_Toc418498569"/>
      <w:bookmarkStart w:id="561" w:name="_Toc418506012"/>
      <w:bookmarkStart w:id="562" w:name="_Toc491862234"/>
      <w:r>
        <w:lastRenderedPageBreak/>
        <w:t xml:space="preserve">3.4 </w:t>
      </w:r>
      <w:r w:rsidR="00B12C39">
        <w:t>Bioaccumulation</w:t>
      </w:r>
      <w:bookmarkEnd w:id="541"/>
      <w:bookmarkEnd w:id="542"/>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14:paraId="61668CB0" w14:textId="77777777" w:rsidR="00B12C39" w:rsidRDefault="00264345" w:rsidP="00F8208A">
      <w:pPr>
        <w:pStyle w:val="Heading3"/>
        <w:tabs>
          <w:tab w:val="clear" w:pos="360"/>
          <w:tab w:val="left" w:pos="284"/>
        </w:tabs>
        <w:ind w:left="1134" w:hanging="850"/>
      </w:pPr>
      <w:bookmarkStart w:id="563" w:name="_Toc341888530"/>
      <w:bookmarkStart w:id="564" w:name="_Toc342400383"/>
      <w:bookmarkStart w:id="565" w:name="_Toc354499585"/>
      <w:bookmarkStart w:id="566" w:name="_Toc357083660"/>
      <w:bookmarkStart w:id="567" w:name="_Toc357184209"/>
      <w:bookmarkStart w:id="568" w:name="_Toc357184445"/>
      <w:bookmarkStart w:id="569" w:name="_Toc357185247"/>
      <w:bookmarkStart w:id="570" w:name="_Toc357186095"/>
      <w:bookmarkStart w:id="571" w:name="_Toc357186244"/>
      <w:bookmarkStart w:id="572" w:name="_Toc357437530"/>
      <w:bookmarkStart w:id="573" w:name="_Toc357590803"/>
      <w:bookmarkStart w:id="574" w:name="_Toc357692835"/>
      <w:bookmarkStart w:id="575" w:name="_Toc365649664"/>
      <w:bookmarkStart w:id="576" w:name="_Toc365649813"/>
      <w:bookmarkStart w:id="577" w:name="_Toc366489865"/>
      <w:bookmarkStart w:id="578" w:name="_Toc418498570"/>
      <w:bookmarkStart w:id="579" w:name="_Toc418506013"/>
      <w:bookmarkStart w:id="580" w:name="_Toc491862235"/>
      <w:r>
        <w:t xml:space="preserve">3.4.1 </w:t>
      </w:r>
      <w:r w:rsidR="00D3264A" w:rsidRPr="00D3264A">
        <w:t xml:space="preserve">Bioaccumulation in aquatic organisms (pelagic </w:t>
      </w:r>
      <w:r w:rsidR="00B76533">
        <w:t>&amp;</w:t>
      </w:r>
      <w:r w:rsidR="00B76533" w:rsidRPr="00D3264A">
        <w:t xml:space="preserve"> </w:t>
      </w:r>
      <w:r w:rsidR="00D3264A" w:rsidRPr="00D3264A">
        <w:t>sediment organisms)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14:paraId="3630383F" w14:textId="77777777" w:rsidR="0006181B" w:rsidRPr="0006181B" w:rsidRDefault="0006181B" w:rsidP="0006181B">
      <w:pPr>
        <w:pStyle w:val="Heading4"/>
      </w:pPr>
      <w:bookmarkStart w:id="581" w:name="_Toc162156288"/>
      <w:r>
        <w:t xml:space="preserve">3.4.1.1 </w:t>
      </w:r>
      <w:r w:rsidR="007C0014">
        <w:t>Screening</w:t>
      </w:r>
      <w:r w:rsidRPr="0006181B">
        <w:t xml:space="preserve"> </w:t>
      </w:r>
      <w:bookmarkEnd w:id="581"/>
      <w:r w:rsidR="009D5DD5">
        <w:t>information</w:t>
      </w:r>
      <w:r w:rsidRPr="0006181B">
        <w:t xml:space="preserve"> </w:t>
      </w:r>
    </w:p>
    <w:p w14:paraId="72EA8979" w14:textId="0C66BA69" w:rsidR="007C0014" w:rsidRDefault="007C0014" w:rsidP="0006181B">
      <w:pPr>
        <w:pStyle w:val="BodyText"/>
        <w:jc w:val="both"/>
      </w:pPr>
      <w:r>
        <w:t>The</w:t>
      </w:r>
      <w:r w:rsidRPr="008640CB">
        <w:t xml:space="preserve"> log K</w:t>
      </w:r>
      <w:r w:rsidRPr="008640CB">
        <w:rPr>
          <w:vertAlign w:val="subscript"/>
        </w:rPr>
        <w:t>OW</w:t>
      </w:r>
      <w:r w:rsidRPr="008640CB">
        <w:t xml:space="preserve"> </w:t>
      </w:r>
      <w:r>
        <w:t xml:space="preserve">of Dechlorane Plus is </w:t>
      </w:r>
      <w:r w:rsidRPr="008640CB">
        <w:t xml:space="preserve">estimated to be ≥9 </w:t>
      </w:r>
      <w:r>
        <w:t>(see</w:t>
      </w:r>
      <w:r w:rsidRPr="008640CB">
        <w:t xml:space="preserve"> Section 1.5</w:t>
      </w:r>
      <w:r>
        <w:t>)</w:t>
      </w:r>
      <w:r w:rsidRPr="008640CB">
        <w:t xml:space="preserve">. </w:t>
      </w:r>
      <w:r>
        <w:t xml:space="preserve">It therefore screens as potentially very bioaccumulative (vB). </w:t>
      </w:r>
      <w:r w:rsidRPr="006548B3">
        <w:t>The log K</w:t>
      </w:r>
      <w:r w:rsidRPr="006548B3">
        <w:rPr>
          <w:vertAlign w:val="subscript"/>
        </w:rPr>
        <w:t>OA</w:t>
      </w:r>
      <w:r w:rsidRPr="006548B3">
        <w:t xml:space="preserve"> above 5 </w:t>
      </w:r>
      <w:r>
        <w:t xml:space="preserve">together with high log </w:t>
      </w:r>
      <w:r w:rsidRPr="008640CB">
        <w:t>K</w:t>
      </w:r>
      <w:r w:rsidRPr="008640CB">
        <w:rPr>
          <w:vertAlign w:val="subscript"/>
        </w:rPr>
        <w:t>OW</w:t>
      </w:r>
      <w:r w:rsidRPr="008640CB">
        <w:t xml:space="preserve"> </w:t>
      </w:r>
      <w:r w:rsidRPr="006548B3">
        <w:t xml:space="preserve">also </w:t>
      </w:r>
      <w:r>
        <w:t>suggest</w:t>
      </w:r>
      <w:r w:rsidRPr="006548B3">
        <w:t xml:space="preserve"> it </w:t>
      </w:r>
      <w:r>
        <w:t>may have</w:t>
      </w:r>
      <w:r w:rsidRPr="006548B3">
        <w:t xml:space="preserve"> a high bio</w:t>
      </w:r>
      <w:r w:rsidR="00F10B3C">
        <w:t>accumulation</w:t>
      </w:r>
      <w:r w:rsidRPr="006548B3">
        <w:t xml:space="preserve"> potential in </w:t>
      </w:r>
      <w:r w:rsidR="000308A0">
        <w:t>air-breathing</w:t>
      </w:r>
      <w:r w:rsidRPr="006548B3">
        <w:t xml:space="preserve"> wildlife.</w:t>
      </w:r>
    </w:p>
    <w:p w14:paraId="2AA8D6D4" w14:textId="77777777" w:rsidR="0006181B" w:rsidRDefault="0006181B" w:rsidP="0006181B">
      <w:pPr>
        <w:pStyle w:val="BodyText"/>
        <w:jc w:val="both"/>
      </w:pPr>
      <w:r w:rsidRPr="008640CB">
        <w:t>The bioconcentration factor (BCF) of an organic chemical can often be predicted using QSAR correlations with log K</w:t>
      </w:r>
      <w:r w:rsidRPr="008640CB">
        <w:rPr>
          <w:vertAlign w:val="subscript"/>
        </w:rPr>
        <w:t>OW</w:t>
      </w:r>
      <w:r w:rsidRPr="008640CB">
        <w:t>, especially if the substance is not metabolised very readily. For the purposes of this assessment, some standard methods have been used to predict</w:t>
      </w:r>
      <w:r>
        <w:t xml:space="preserve"> the following</w:t>
      </w:r>
      <w:r w:rsidRPr="008640CB">
        <w:t xml:space="preserve"> fish BCF values</w:t>
      </w:r>
      <w:r>
        <w:t xml:space="preserve"> assuming a </w:t>
      </w:r>
      <w:r w:rsidRPr="008640CB">
        <w:t>log K</w:t>
      </w:r>
      <w:r w:rsidRPr="008640CB">
        <w:rPr>
          <w:vertAlign w:val="subscript"/>
        </w:rPr>
        <w:t>OW</w:t>
      </w:r>
      <w:r w:rsidRPr="008640CB">
        <w:t xml:space="preserve"> </w:t>
      </w:r>
      <w:r>
        <w:t xml:space="preserve">of </w:t>
      </w:r>
      <w:r w:rsidRPr="008640CB">
        <w:t>9</w:t>
      </w:r>
      <w:r w:rsidR="007C0014">
        <w:t xml:space="preserve"> as the lower limit</w:t>
      </w:r>
      <w:r>
        <w:t xml:space="preserve"> (further details are provided in Appendix 1</w:t>
      </w:r>
      <w:r w:rsidR="00654037">
        <w:t>; this also includes published p</w:t>
      </w:r>
      <w:r w:rsidR="00654037" w:rsidRPr="007C0014">
        <w:t>redictions by Chou</w:t>
      </w:r>
      <w:r w:rsidR="00654037" w:rsidRPr="007C0014">
        <w:rPr>
          <w:i/>
        </w:rPr>
        <w:t xml:space="preserve"> et al.</w:t>
      </w:r>
      <w:r w:rsidR="00654037" w:rsidRPr="007C0014">
        <w:t xml:space="preserve"> (1979) </w:t>
      </w:r>
      <w:r w:rsidR="00654037">
        <w:t>which</w:t>
      </w:r>
      <w:r w:rsidR="00654037" w:rsidRPr="007C0014">
        <w:t xml:space="preserve"> appear</w:t>
      </w:r>
      <w:r w:rsidR="00654037">
        <w:t xml:space="preserve"> unreliable</w:t>
      </w:r>
      <w:r>
        <w:t>):</w:t>
      </w:r>
    </w:p>
    <w:p w14:paraId="2A463DD6" w14:textId="0D8C13D9" w:rsidR="0006181B" w:rsidRPr="008640CB" w:rsidRDefault="0006181B" w:rsidP="00686834">
      <w:pPr>
        <w:pStyle w:val="BodyText"/>
        <w:widowControl/>
        <w:numPr>
          <w:ilvl w:val="0"/>
          <w:numId w:val="11"/>
        </w:numPr>
        <w:spacing w:after="180"/>
        <w:ind w:left="567" w:right="374" w:hanging="425"/>
        <w:jc w:val="both"/>
      </w:pPr>
      <w:r>
        <w:t xml:space="preserve">Non-linear equation from </w:t>
      </w:r>
      <w:r w:rsidRPr="008640CB">
        <w:t>REACH Guidance R.7c (ECHA, 201</w:t>
      </w:r>
      <w:r w:rsidR="00DD6E1D">
        <w:t>7</w:t>
      </w:r>
      <w:r w:rsidRPr="008640CB">
        <w:t>c):</w:t>
      </w:r>
      <w:r>
        <w:rPr>
          <w:i/>
        </w:rPr>
        <w:t xml:space="preserve"> </w:t>
      </w:r>
      <w:r w:rsidRPr="008640CB">
        <w:t>≤</w:t>
      </w:r>
      <w:r w:rsidR="007C0014">
        <w:t xml:space="preserve">5 </w:t>
      </w:r>
      <w:r>
        <w:t>500 L/kg</w:t>
      </w:r>
      <w:r w:rsidRPr="008640CB">
        <w:t xml:space="preserve"> </w:t>
      </w:r>
      <w:r w:rsidR="00240940">
        <w:t>(unreliable)</w:t>
      </w:r>
    </w:p>
    <w:p w14:paraId="63BF04C5" w14:textId="77777777" w:rsidR="0006181B" w:rsidRPr="008640CB" w:rsidRDefault="0006181B" w:rsidP="00686834">
      <w:pPr>
        <w:pStyle w:val="BodyText"/>
        <w:widowControl/>
        <w:numPr>
          <w:ilvl w:val="0"/>
          <w:numId w:val="11"/>
        </w:numPr>
        <w:spacing w:after="180"/>
        <w:ind w:left="567" w:right="374" w:hanging="425"/>
        <w:jc w:val="both"/>
      </w:pPr>
      <w:r w:rsidRPr="008640CB">
        <w:t>log K</w:t>
      </w:r>
      <w:r w:rsidRPr="008640CB">
        <w:rPr>
          <w:vertAlign w:val="subscript"/>
        </w:rPr>
        <w:t>OW</w:t>
      </w:r>
      <w:r w:rsidRPr="008640CB">
        <w:t xml:space="preserve"> &gt;7 regression equation</w:t>
      </w:r>
      <w:r>
        <w:t xml:space="preserve"> from</w:t>
      </w:r>
      <w:r w:rsidRPr="008640CB">
        <w:t xml:space="preserve"> BCFB</w:t>
      </w:r>
      <w:r>
        <w:t>AF v3.01 (U.S. EPA, 2012):</w:t>
      </w:r>
      <w:r w:rsidRPr="008640CB">
        <w:t xml:space="preserve"> ≤</w:t>
      </w:r>
      <w:r w:rsidR="007C0014">
        <w:t xml:space="preserve">1 </w:t>
      </w:r>
      <w:r w:rsidRPr="008640CB">
        <w:t>400 L/kg</w:t>
      </w:r>
    </w:p>
    <w:p w14:paraId="3226E517" w14:textId="77777777" w:rsidR="0006181B" w:rsidRDefault="0006181B" w:rsidP="00686834">
      <w:pPr>
        <w:pStyle w:val="BodyText"/>
        <w:widowControl/>
        <w:numPr>
          <w:ilvl w:val="0"/>
          <w:numId w:val="11"/>
        </w:numPr>
        <w:spacing w:after="180"/>
        <w:ind w:left="567" w:right="374" w:hanging="425"/>
        <w:jc w:val="both"/>
      </w:pPr>
      <w:r w:rsidRPr="008640CB">
        <w:t>Arnot and Gobas (2003) method in BCFBAF</w:t>
      </w:r>
      <w:r w:rsidRPr="0006181B">
        <w:t xml:space="preserve"> </w:t>
      </w:r>
      <w:r>
        <w:t>v3.01:</w:t>
      </w:r>
      <w:r w:rsidRPr="008640CB">
        <w:t xml:space="preserve"> </w:t>
      </w:r>
      <w:r w:rsidR="007C0014">
        <w:t xml:space="preserve">1 </w:t>
      </w:r>
      <w:r w:rsidRPr="008640CB">
        <w:t>200 L/kg (</w:t>
      </w:r>
      <w:r>
        <w:t>lower trophic level</w:t>
      </w:r>
      <w:r w:rsidRPr="008640CB">
        <w:t>); bioaccumulation factor (BAF) 7.5 </w:t>
      </w:r>
      <w:r w:rsidRPr="008640CB">
        <w:rPr>
          <w:i/>
        </w:rPr>
        <w:t>×</w:t>
      </w:r>
      <w:r w:rsidRPr="008640CB">
        <w:t> 10</w:t>
      </w:r>
      <w:r w:rsidRPr="008640CB">
        <w:rPr>
          <w:vertAlign w:val="superscript"/>
        </w:rPr>
        <w:t>5</w:t>
      </w:r>
      <w:r w:rsidRPr="008640CB">
        <w:t xml:space="preserve"> L/kg</w:t>
      </w:r>
      <w:r w:rsidR="002159AC">
        <w:t xml:space="preserve"> wet weight (</w:t>
      </w:r>
      <w:r w:rsidRPr="008640CB">
        <w:t>ww</w:t>
      </w:r>
      <w:r w:rsidR="002159AC">
        <w:t>)</w:t>
      </w:r>
      <w:r w:rsidRPr="0006181B">
        <w:rPr>
          <w:rStyle w:val="FootnoteReference"/>
          <w:rFonts w:ascii="Verdana" w:hAnsi="Verdana"/>
          <w:sz w:val="20"/>
        </w:rPr>
        <w:footnoteReference w:id="15"/>
      </w:r>
    </w:p>
    <w:p w14:paraId="192F6FEF" w14:textId="77777777" w:rsidR="0006181B" w:rsidRDefault="0006181B" w:rsidP="0006181B">
      <w:pPr>
        <w:pStyle w:val="BodyText"/>
        <w:jc w:val="both"/>
      </w:pPr>
      <w:r>
        <w:t>G</w:t>
      </w:r>
      <w:r w:rsidRPr="008640CB">
        <w:t>iven the uncertainty in the actual log K</w:t>
      </w:r>
      <w:r w:rsidRPr="008640CB">
        <w:rPr>
          <w:vertAlign w:val="subscript"/>
        </w:rPr>
        <w:t xml:space="preserve">OW </w:t>
      </w:r>
      <w:r w:rsidRPr="008640CB">
        <w:t>value</w:t>
      </w:r>
      <w:r w:rsidR="007C0014">
        <w:t>, all of these predictions</w:t>
      </w:r>
      <w:r w:rsidRPr="008640CB">
        <w:t xml:space="preserve"> should</w:t>
      </w:r>
      <w:r w:rsidR="007C0014">
        <w:t xml:space="preserve"> </w:t>
      </w:r>
      <w:r w:rsidRPr="008640CB">
        <w:t>be considered with</w:t>
      </w:r>
      <w:r w:rsidRPr="008640CB">
        <w:rPr>
          <w:vertAlign w:val="subscript"/>
        </w:rPr>
        <w:t xml:space="preserve"> </w:t>
      </w:r>
      <w:r w:rsidRPr="008640CB">
        <w:t>caution.</w:t>
      </w:r>
      <w:r>
        <w:t xml:space="preserve"> In addition, the QSARs themselves are based on </w:t>
      </w:r>
      <w:r w:rsidRPr="008640CB">
        <w:t xml:space="preserve">assumptions </w:t>
      </w:r>
      <w:r>
        <w:t>and in some cases very small data sets</w:t>
      </w:r>
      <w:r w:rsidR="007C0014">
        <w:t xml:space="preserve"> (see Appendix 1 for further comment)</w:t>
      </w:r>
      <w:r>
        <w:t xml:space="preserve">. </w:t>
      </w:r>
      <w:r w:rsidRPr="008640CB">
        <w:t>It is also relevant to note that the BCFBAF program estimates the BCF (and BAF) on the basis of the total concentration in water rather than the dissolved concentration in water (EA, 2013). The freely dissolved concentration of Dechlorane Plus would be significantly lower than the total concentration and hence the actual BCF based on dissolved concentrations may be higher than predicted above.</w:t>
      </w:r>
    </w:p>
    <w:p w14:paraId="4BE5EFBA" w14:textId="77777777" w:rsidR="009D5DD5" w:rsidRDefault="009D5DD5" w:rsidP="009D5DD5">
      <w:pPr>
        <w:pStyle w:val="EABodyText"/>
        <w:jc w:val="both"/>
        <w:rPr>
          <w:rFonts w:ascii="Verdana" w:hAnsi="Verdana"/>
          <w:sz w:val="20"/>
          <w:szCs w:val="20"/>
        </w:rPr>
      </w:pPr>
      <w:r>
        <w:rPr>
          <w:rFonts w:ascii="Verdana" w:hAnsi="Verdana"/>
          <w:sz w:val="20"/>
          <w:szCs w:val="20"/>
        </w:rPr>
        <w:t>The REACH guidance (ECHA, 201</w:t>
      </w:r>
      <w:r w:rsidR="00DD6E1D">
        <w:rPr>
          <w:rFonts w:ascii="Verdana" w:hAnsi="Verdana"/>
          <w:sz w:val="20"/>
          <w:szCs w:val="20"/>
        </w:rPr>
        <w:t>7</w:t>
      </w:r>
      <w:r>
        <w:rPr>
          <w:rFonts w:ascii="Verdana" w:hAnsi="Verdana"/>
          <w:sz w:val="20"/>
          <w:szCs w:val="20"/>
        </w:rPr>
        <w:t>a) suggests several chemical properties that may limit the absorption and distribution of a chemical via passive transport. In summary, the fis</w:t>
      </w:r>
      <w:r w:rsidR="00DB7126">
        <w:rPr>
          <w:rFonts w:ascii="Verdana" w:hAnsi="Verdana"/>
          <w:sz w:val="20"/>
          <w:szCs w:val="20"/>
        </w:rPr>
        <w:t xml:space="preserve">h BCF is unlikely to be above 2 </w:t>
      </w:r>
      <w:r>
        <w:rPr>
          <w:rFonts w:ascii="Verdana" w:hAnsi="Verdana"/>
          <w:sz w:val="20"/>
          <w:szCs w:val="20"/>
        </w:rPr>
        <w:t>000 L/kg if a substance has:</w:t>
      </w:r>
    </w:p>
    <w:p w14:paraId="4F2A8C7C" w14:textId="77777777" w:rsidR="009D5DD5" w:rsidRDefault="009D5DD5" w:rsidP="009D5DD5">
      <w:pPr>
        <w:pStyle w:val="EABodyText"/>
        <w:ind w:right="536"/>
        <w:jc w:val="both"/>
        <w:rPr>
          <w:rFonts w:ascii="Verdana" w:hAnsi="Verdana"/>
          <w:sz w:val="20"/>
          <w:szCs w:val="20"/>
        </w:rPr>
      </w:pPr>
    </w:p>
    <w:p w14:paraId="2E5C49B0" w14:textId="77777777" w:rsidR="009D5DD5" w:rsidRDefault="009D5DD5" w:rsidP="00686834">
      <w:pPr>
        <w:pStyle w:val="EABodyText"/>
        <w:numPr>
          <w:ilvl w:val="0"/>
          <w:numId w:val="19"/>
        </w:numPr>
        <w:tabs>
          <w:tab w:val="clear" w:pos="357"/>
          <w:tab w:val="num" w:pos="426"/>
        </w:tabs>
        <w:ind w:left="426" w:right="536" w:hanging="426"/>
        <w:jc w:val="both"/>
        <w:rPr>
          <w:rFonts w:ascii="Verdana" w:hAnsi="Verdana"/>
          <w:sz w:val="20"/>
          <w:szCs w:val="20"/>
        </w:rPr>
      </w:pPr>
      <w:r>
        <w:rPr>
          <w:rFonts w:ascii="Verdana" w:hAnsi="Verdana"/>
          <w:sz w:val="20"/>
          <w:szCs w:val="20"/>
        </w:rPr>
        <w:t>an average maximum diameter greater than 17 Å (1.7 nm)</w:t>
      </w:r>
      <w:r>
        <w:rPr>
          <w:rStyle w:val="FootnoteReference"/>
          <w:rFonts w:ascii="Verdana" w:hAnsi="Verdana"/>
          <w:sz w:val="20"/>
          <w:szCs w:val="20"/>
        </w:rPr>
        <w:footnoteReference w:id="16"/>
      </w:r>
      <w:r>
        <w:rPr>
          <w:rFonts w:ascii="Verdana" w:hAnsi="Verdana"/>
          <w:sz w:val="20"/>
          <w:szCs w:val="20"/>
        </w:rPr>
        <w:t xml:space="preserve">, plus a </w:t>
      </w:r>
      <w:r w:rsidR="00DB7126">
        <w:rPr>
          <w:rFonts w:ascii="Verdana" w:hAnsi="Verdana"/>
          <w:sz w:val="20"/>
          <w:szCs w:val="20"/>
        </w:rPr>
        <w:t xml:space="preserve">molecular weight greater than 1 </w:t>
      </w:r>
      <w:r>
        <w:rPr>
          <w:rFonts w:ascii="Verdana" w:hAnsi="Verdana"/>
          <w:sz w:val="20"/>
          <w:szCs w:val="20"/>
        </w:rPr>
        <w:t>100 g/mol; or</w:t>
      </w:r>
    </w:p>
    <w:p w14:paraId="2583BA35" w14:textId="77777777" w:rsidR="009D5DD5" w:rsidRDefault="009D5DD5" w:rsidP="00686834">
      <w:pPr>
        <w:pStyle w:val="EABodyText"/>
        <w:numPr>
          <w:ilvl w:val="0"/>
          <w:numId w:val="19"/>
        </w:numPr>
        <w:tabs>
          <w:tab w:val="clear" w:pos="357"/>
          <w:tab w:val="num" w:pos="426"/>
        </w:tabs>
        <w:ind w:left="426" w:right="536" w:hanging="426"/>
        <w:jc w:val="both"/>
        <w:rPr>
          <w:rFonts w:ascii="Verdana" w:hAnsi="Verdana"/>
          <w:sz w:val="20"/>
          <w:szCs w:val="20"/>
        </w:rPr>
      </w:pPr>
      <w:r>
        <w:rPr>
          <w:rFonts w:ascii="Verdana" w:hAnsi="Verdana"/>
          <w:sz w:val="20"/>
          <w:szCs w:val="20"/>
        </w:rPr>
        <w:t>a measured octanol solubility (in mg/L) below 0.002 times the molecular weight, as an indicator of lipid solubility (in the case of Dechlorane Plus, this would be 1.3 mg/L) (without observed toxicity or other indicators of bioaccumulation).</w:t>
      </w:r>
    </w:p>
    <w:p w14:paraId="498B51DA" w14:textId="77777777" w:rsidR="009D5DD5" w:rsidRDefault="009D5DD5" w:rsidP="009D5DD5">
      <w:pPr>
        <w:pStyle w:val="EABodyText"/>
        <w:jc w:val="both"/>
        <w:rPr>
          <w:rFonts w:ascii="Verdana" w:hAnsi="Verdana"/>
          <w:sz w:val="20"/>
          <w:szCs w:val="20"/>
        </w:rPr>
      </w:pPr>
    </w:p>
    <w:p w14:paraId="00D006CB" w14:textId="77777777" w:rsidR="00152D24" w:rsidRDefault="009D5DD5" w:rsidP="00152D24">
      <w:pPr>
        <w:tabs>
          <w:tab w:val="left" w:pos="1843"/>
        </w:tabs>
        <w:jc w:val="both"/>
      </w:pPr>
      <w:r>
        <w:t xml:space="preserve">The molecular weight of Dechlorane Plus is 654 g/mol. </w:t>
      </w:r>
      <w:r w:rsidR="00152D24" w:rsidRPr="006D4A59">
        <w:t>Using the OECD QSAR Toolbox v2.1, the maximum molecular diameter can be estimated as 1.43 nm (the minimum and effective diameter</w:t>
      </w:r>
      <w:r w:rsidR="00152D24">
        <w:t>s</w:t>
      </w:r>
      <w:r w:rsidR="00152D24" w:rsidRPr="006D4A59">
        <w:t xml:space="preserve"> </w:t>
      </w:r>
      <w:r w:rsidR="00152D24">
        <w:t xml:space="preserve">are 0.85 and 0.9 nm, respectively). </w:t>
      </w:r>
      <w:r w:rsidR="002159AC">
        <w:t>Using</w:t>
      </w:r>
      <w:r>
        <w:t xml:space="preserve"> the BCF</w:t>
      </w:r>
      <w:r>
        <w:rPr>
          <w:vertAlign w:val="subscript"/>
        </w:rPr>
        <w:t>max</w:t>
      </w:r>
      <w:r>
        <w:t xml:space="preserve"> model with mitigating factors (Dimitrov </w:t>
      </w:r>
      <w:r>
        <w:rPr>
          <w:i/>
        </w:rPr>
        <w:t>et al</w:t>
      </w:r>
      <w:r>
        <w:t xml:space="preserve">., 2005), Environment Canada estimated a maximum diameter of 1.35 – 1.48 nm (pers. comm.). Fang </w:t>
      </w:r>
      <w:r>
        <w:rPr>
          <w:i/>
        </w:rPr>
        <w:t>et al</w:t>
      </w:r>
      <w:r>
        <w:t xml:space="preserve">. (2014) performed molecular characterization of both isomers using Gaussian 03 (Revision C.02) software, showing that the syn- isomer has a higher dipole moment, slightly larger Van der Waals volume, but smaller maximal cross-sectional diameter than the </w:t>
      </w:r>
      <w:r>
        <w:lastRenderedPageBreak/>
        <w:t>anti- isomer (1.24 nm compared to 1.</w:t>
      </w:r>
      <w:r w:rsidR="001208E7">
        <w:t>42 nm).</w:t>
      </w:r>
      <w:r w:rsidRPr="001208E7">
        <w:rPr>
          <w:rStyle w:val="FootnoteReference"/>
          <w:rFonts w:ascii="Verdana" w:hAnsi="Verdana"/>
          <w:sz w:val="20"/>
        </w:rPr>
        <w:footnoteReference w:id="17"/>
      </w:r>
      <w:r>
        <w:t xml:space="preserve"> </w:t>
      </w:r>
      <w:r w:rsidR="00152D24">
        <w:t>On th</w:t>
      </w:r>
      <w:r w:rsidR="002159AC">
        <w:t>e</w:t>
      </w:r>
      <w:r w:rsidR="00152D24">
        <w:t xml:space="preserve"> basis</w:t>
      </w:r>
      <w:r w:rsidR="002159AC">
        <w:t xml:space="preserve"> of these estimates</w:t>
      </w:r>
      <w:r w:rsidR="00152D24">
        <w:t xml:space="preserve">, </w:t>
      </w:r>
      <w:r>
        <w:t>the first criterion is not fulfilled.</w:t>
      </w:r>
    </w:p>
    <w:p w14:paraId="47A1511E" w14:textId="77777777" w:rsidR="009D5DD5" w:rsidRDefault="009D5DD5" w:rsidP="00152D24">
      <w:pPr>
        <w:tabs>
          <w:tab w:val="left" w:pos="1843"/>
        </w:tabs>
        <w:jc w:val="both"/>
      </w:pPr>
      <w:r>
        <w:t xml:space="preserve"> </w:t>
      </w:r>
    </w:p>
    <w:p w14:paraId="12B1CEA8" w14:textId="77777777" w:rsidR="009D5DD5" w:rsidRDefault="009D5DD5" w:rsidP="009D5DD5">
      <w:pPr>
        <w:pStyle w:val="NoSpacing"/>
        <w:jc w:val="both"/>
      </w:pPr>
      <w:r>
        <w:t xml:space="preserve">The registration dossier reports the n-octanol solubility of Dechlorane Plus to be 470 mg/L at 25 °C. It therefore appears that neither of the two criteria are fulfilled (i.e. the molecular size and n-octanol solubilities do not suggest that the substance is incapable of accumulation). An n-octanol solubility of around 0.5 g/L suggests that lipid solubility might be relatively high. </w:t>
      </w:r>
    </w:p>
    <w:p w14:paraId="4A51D168" w14:textId="77777777" w:rsidR="009D5DD5" w:rsidRDefault="009D5DD5" w:rsidP="009D5DD5">
      <w:pPr>
        <w:pStyle w:val="NoSpacing"/>
        <w:jc w:val="both"/>
      </w:pPr>
    </w:p>
    <w:p w14:paraId="3FDB5C79" w14:textId="77777777" w:rsidR="009D5DD5" w:rsidRDefault="009D5DD5" w:rsidP="009D5DD5">
      <w:pPr>
        <w:pStyle w:val="NoSpacing"/>
        <w:jc w:val="both"/>
      </w:pPr>
      <w:r>
        <w:t xml:space="preserve">Fang </w:t>
      </w:r>
      <w:r>
        <w:rPr>
          <w:i/>
        </w:rPr>
        <w:t>et al</w:t>
      </w:r>
      <w:r>
        <w:t xml:space="preserve">. (2014) performed experiments using activated charcarbon to adsorb Dechlorane Plus dissolved in methanol. The adsorption results revealed that the syn- isomer was preferentially adsorbed, suggesting that it is more hydrophobic than the anti- isomer. Tomy </w:t>
      </w:r>
      <w:r>
        <w:rPr>
          <w:i/>
        </w:rPr>
        <w:t>et al</w:t>
      </w:r>
      <w:r>
        <w:t>. (2008) used a reverse-phase C18 liquid chromatography column as a surrogate for lipid, where the retentiveness of chemicals on the column is driven by the intrinsic polarity of the compound. Under isocratic conditions, the anti- isomer eluted before the syn- isomer (retention time 28.5 and 31.1 minutes, respectively) indicating that the syn- isomer is more lipophilic. These observations are consistent with measured bioaccumulation data and strongly suggests that polarity is an important factor for the differential bioaccumulation of the two isomers.</w:t>
      </w:r>
    </w:p>
    <w:p w14:paraId="5D7751B1" w14:textId="77777777" w:rsidR="00F14D99" w:rsidRDefault="00F14D99">
      <w:pPr>
        <w:pStyle w:val="EABodyText"/>
        <w:spacing w:after="120"/>
        <w:jc w:val="both"/>
        <w:rPr>
          <w:rFonts w:ascii="Verdana" w:hAnsi="Verdana"/>
          <w:sz w:val="20"/>
          <w:szCs w:val="20"/>
        </w:rPr>
      </w:pPr>
    </w:p>
    <w:p w14:paraId="4585D4EF" w14:textId="77777777" w:rsidR="00F70CAE" w:rsidRPr="00F70CAE" w:rsidRDefault="00F70CAE" w:rsidP="00F70CAE">
      <w:pPr>
        <w:pStyle w:val="Heading4"/>
      </w:pPr>
      <w:r>
        <w:t xml:space="preserve">3.4.1.2 </w:t>
      </w:r>
      <w:r w:rsidRPr="00F70CAE">
        <w:t xml:space="preserve">Laboratory studies </w:t>
      </w:r>
    </w:p>
    <w:p w14:paraId="3A46A24D" w14:textId="77777777" w:rsidR="00F70CAE" w:rsidRPr="008640CB" w:rsidRDefault="00F70CAE" w:rsidP="00F70CAE">
      <w:pPr>
        <w:pStyle w:val="Heading5"/>
        <w:keepNext w:val="0"/>
        <w:tabs>
          <w:tab w:val="num" w:pos="284"/>
        </w:tabs>
      </w:pPr>
      <w:r>
        <w:t>3.4.1.2.1</w:t>
      </w:r>
      <w:r>
        <w:tab/>
        <w:t xml:space="preserve"> </w:t>
      </w:r>
      <w:r w:rsidRPr="008640CB">
        <w:t>Aqueous exposure</w:t>
      </w:r>
    </w:p>
    <w:p w14:paraId="42CD36C5" w14:textId="77777777" w:rsidR="003905C6" w:rsidRPr="00F70CAE" w:rsidRDefault="003905C6">
      <w:pPr>
        <w:pStyle w:val="EABodyText"/>
        <w:spacing w:after="120"/>
        <w:jc w:val="both"/>
        <w:rPr>
          <w:rFonts w:ascii="Verdana" w:hAnsi="Verdana"/>
          <w:sz w:val="20"/>
          <w:szCs w:val="20"/>
        </w:rPr>
      </w:pPr>
      <w:r w:rsidRPr="00F70CAE">
        <w:rPr>
          <w:rFonts w:ascii="Verdana" w:hAnsi="Verdana"/>
          <w:sz w:val="20"/>
          <w:szCs w:val="20"/>
        </w:rPr>
        <w:t>The combined solubility of both Dechlorane Plus geometric isomers in pure water is below 2 </w:t>
      </w:r>
      <w:r w:rsidRPr="00F70CAE">
        <w:rPr>
          <w:rFonts w:ascii="Verdana" w:hAnsi="Verdana"/>
          <w:sz w:val="20"/>
          <w:szCs w:val="20"/>
          <w:lang w:eastAsia="en-GB"/>
        </w:rPr>
        <w:t>ng/L</w:t>
      </w:r>
      <w:r w:rsidRPr="00F70CAE">
        <w:rPr>
          <w:rFonts w:ascii="Verdana" w:hAnsi="Verdana"/>
          <w:sz w:val="20"/>
          <w:szCs w:val="20"/>
        </w:rPr>
        <w:t xml:space="preserve"> (0.002 µg/L) at 20 °C</w:t>
      </w:r>
      <w:r w:rsidR="00450AC4">
        <w:rPr>
          <w:rFonts w:ascii="Verdana" w:hAnsi="Verdana"/>
          <w:sz w:val="20"/>
          <w:szCs w:val="20"/>
        </w:rPr>
        <w:t xml:space="preserve"> (see Section 1.5)</w:t>
      </w:r>
      <w:r w:rsidRPr="00F70CAE">
        <w:rPr>
          <w:rFonts w:ascii="Verdana" w:hAnsi="Verdana"/>
          <w:sz w:val="20"/>
          <w:szCs w:val="20"/>
        </w:rPr>
        <w:t>. It is a very hydrophobic substance, with a presumed log K</w:t>
      </w:r>
      <w:r w:rsidRPr="00F70CAE">
        <w:rPr>
          <w:rFonts w:ascii="Verdana" w:hAnsi="Verdana"/>
          <w:sz w:val="20"/>
          <w:szCs w:val="20"/>
          <w:vertAlign w:val="subscript"/>
        </w:rPr>
        <w:t>OW</w:t>
      </w:r>
      <w:r w:rsidRPr="00F70CAE">
        <w:rPr>
          <w:rFonts w:ascii="Verdana" w:hAnsi="Verdana"/>
          <w:sz w:val="20"/>
          <w:szCs w:val="20"/>
        </w:rPr>
        <w:t xml:space="preserve"> value</w:t>
      </w:r>
      <w:r w:rsidR="00450AC4">
        <w:rPr>
          <w:rFonts w:ascii="Verdana" w:hAnsi="Verdana"/>
          <w:sz w:val="20"/>
          <w:szCs w:val="20"/>
        </w:rPr>
        <w:t xml:space="preserve"> of</w:t>
      </w:r>
      <w:r w:rsidRPr="00F70CAE">
        <w:rPr>
          <w:rFonts w:ascii="Verdana" w:hAnsi="Verdana"/>
          <w:sz w:val="20"/>
          <w:szCs w:val="20"/>
        </w:rPr>
        <w:t xml:space="preserve"> ≥9. These properties make aqueous </w:t>
      </w:r>
      <w:r w:rsidR="00B273CC">
        <w:rPr>
          <w:rFonts w:ascii="Verdana" w:hAnsi="Verdana"/>
          <w:sz w:val="20"/>
          <w:szCs w:val="20"/>
        </w:rPr>
        <w:t xml:space="preserve">laboratory </w:t>
      </w:r>
      <w:r w:rsidRPr="00F70CAE">
        <w:rPr>
          <w:rFonts w:ascii="Verdana" w:hAnsi="Verdana"/>
          <w:sz w:val="20"/>
          <w:szCs w:val="20"/>
        </w:rPr>
        <w:t xml:space="preserve">studies very difficult to </w:t>
      </w:r>
      <w:r w:rsidR="00F70CAE" w:rsidRPr="008F19E3">
        <w:rPr>
          <w:rFonts w:ascii="Verdana" w:hAnsi="Verdana"/>
          <w:sz w:val="20"/>
          <w:szCs w:val="20"/>
        </w:rPr>
        <w:t>carry out reliably owing to the potential difficulties in maintaining stable exposure levels at such low concentrations</w:t>
      </w:r>
      <w:r w:rsidR="00B273CC">
        <w:rPr>
          <w:rFonts w:ascii="Verdana" w:hAnsi="Verdana"/>
          <w:sz w:val="20"/>
          <w:szCs w:val="20"/>
        </w:rPr>
        <w:t>.</w:t>
      </w:r>
      <w:r w:rsidR="00886C8E">
        <w:rPr>
          <w:rFonts w:ascii="Verdana" w:hAnsi="Verdana"/>
          <w:sz w:val="20"/>
          <w:szCs w:val="20"/>
        </w:rPr>
        <w:t xml:space="preserve"> </w:t>
      </w:r>
    </w:p>
    <w:p w14:paraId="55BAF264" w14:textId="77777777" w:rsidR="00F70CAE" w:rsidRPr="00B50339" w:rsidRDefault="00F70CAE" w:rsidP="00B50339">
      <w:pPr>
        <w:pStyle w:val="EABodyText"/>
        <w:spacing w:after="120"/>
        <w:jc w:val="both"/>
        <w:rPr>
          <w:rFonts w:ascii="Verdana" w:hAnsi="Verdana"/>
          <w:sz w:val="20"/>
          <w:szCs w:val="20"/>
        </w:rPr>
      </w:pPr>
      <w:r w:rsidRPr="00B50339">
        <w:rPr>
          <w:rFonts w:ascii="Verdana" w:hAnsi="Verdana"/>
          <w:sz w:val="20"/>
          <w:szCs w:val="20"/>
        </w:rPr>
        <w:t>Five</w:t>
      </w:r>
      <w:r w:rsidR="0009282A" w:rsidRPr="00B50339">
        <w:rPr>
          <w:rFonts w:ascii="Verdana" w:hAnsi="Verdana"/>
          <w:sz w:val="20"/>
          <w:szCs w:val="20"/>
        </w:rPr>
        <w:t xml:space="preserve"> fish</w:t>
      </w:r>
      <w:r w:rsidRPr="00B50339">
        <w:rPr>
          <w:rFonts w:ascii="Verdana" w:hAnsi="Verdana"/>
          <w:sz w:val="20"/>
          <w:szCs w:val="20"/>
        </w:rPr>
        <w:t xml:space="preserve"> bioconcentration studies are available in the registration dossier and grey literature, which are summarised in detail in Appendix 1</w:t>
      </w:r>
      <w:r w:rsidR="0009282A" w:rsidRPr="00B50339">
        <w:rPr>
          <w:rFonts w:ascii="Verdana" w:hAnsi="Verdana"/>
          <w:sz w:val="20"/>
          <w:szCs w:val="20"/>
        </w:rPr>
        <w:t xml:space="preserve"> (Boudreau &amp; Rausina, 1973; Gara &amp; Rawisina, 1975; Chou </w:t>
      </w:r>
      <w:r w:rsidR="0009282A" w:rsidRPr="00B50339">
        <w:rPr>
          <w:rFonts w:ascii="Verdana" w:hAnsi="Verdana"/>
          <w:i/>
          <w:sz w:val="20"/>
          <w:szCs w:val="20"/>
        </w:rPr>
        <w:t>et al</w:t>
      </w:r>
      <w:r w:rsidR="0009282A" w:rsidRPr="00B50339">
        <w:rPr>
          <w:rFonts w:ascii="Verdana" w:hAnsi="Verdana"/>
          <w:sz w:val="20"/>
          <w:szCs w:val="20"/>
        </w:rPr>
        <w:t>., 1979; Zitko, 1980; U.S. EPA, 2011 (citing an unpublished Japanese study))</w:t>
      </w:r>
      <w:r w:rsidRPr="00B50339">
        <w:rPr>
          <w:rFonts w:ascii="Verdana" w:hAnsi="Verdana"/>
          <w:sz w:val="20"/>
          <w:szCs w:val="20"/>
        </w:rPr>
        <w:t>. All were carried out at concentrations significantly above the solubility limit in pure water, and only one followed a regulatory test guideline (this study is forty years old, key data are missing, and it did not achieve steady state). None of these studies is reliable.  However, the longer duration studies do indicate that the substance can be taken up into fish tissues. If it is assumed that the fish were exposed to the substance at its water solubility limit (&lt;2 ng/L), tentative BCFs ar</w:t>
      </w:r>
      <w:r w:rsidR="003F4DD6">
        <w:rPr>
          <w:rFonts w:ascii="Verdana" w:hAnsi="Verdana"/>
          <w:sz w:val="20"/>
          <w:szCs w:val="20"/>
        </w:rPr>
        <w:t xml:space="preserve">e estimated to be well above 10 </w:t>
      </w:r>
      <w:r w:rsidRPr="00B50339">
        <w:rPr>
          <w:rFonts w:ascii="Verdana" w:hAnsi="Verdana"/>
          <w:sz w:val="20"/>
          <w:szCs w:val="20"/>
        </w:rPr>
        <w:t xml:space="preserve">000 L/kg, although the likely oral exposure of the fish to particulates means that these values might be a misleading indication of bioaccumulation potential. The maximum fish concentrations measured in the aqueous BCF studies were 0.385 – 8.72 mg/kg after 30 days for </w:t>
      </w:r>
      <w:r w:rsidRPr="00B50339">
        <w:rPr>
          <w:rFonts w:ascii="Verdana" w:hAnsi="Verdana"/>
          <w:i/>
          <w:sz w:val="20"/>
          <w:szCs w:val="20"/>
        </w:rPr>
        <w:t>Lepomis macrochirus</w:t>
      </w:r>
      <w:r w:rsidRPr="00B50339">
        <w:rPr>
          <w:rFonts w:ascii="Verdana" w:hAnsi="Verdana"/>
          <w:sz w:val="20"/>
          <w:szCs w:val="20"/>
        </w:rPr>
        <w:t xml:space="preserve"> (Gara </w:t>
      </w:r>
      <w:r w:rsidR="00382C98" w:rsidRPr="00B50339">
        <w:rPr>
          <w:rFonts w:ascii="Verdana" w:hAnsi="Verdana"/>
          <w:sz w:val="20"/>
          <w:szCs w:val="20"/>
        </w:rPr>
        <w:t>&amp;</w:t>
      </w:r>
      <w:r w:rsidRPr="00B50339">
        <w:rPr>
          <w:rFonts w:ascii="Verdana" w:hAnsi="Verdana"/>
          <w:sz w:val="20"/>
          <w:szCs w:val="20"/>
        </w:rPr>
        <w:t xml:space="preserve"> Rawisina, 1975; Boudreau </w:t>
      </w:r>
      <w:r w:rsidR="00382C98" w:rsidRPr="00B50339">
        <w:rPr>
          <w:rFonts w:ascii="Verdana" w:hAnsi="Verdana"/>
          <w:sz w:val="20"/>
          <w:szCs w:val="20"/>
        </w:rPr>
        <w:t>&amp;</w:t>
      </w:r>
      <w:r w:rsidRPr="00B50339">
        <w:rPr>
          <w:rFonts w:ascii="Verdana" w:hAnsi="Verdana"/>
          <w:sz w:val="20"/>
          <w:szCs w:val="20"/>
        </w:rPr>
        <w:t xml:space="preserve"> Rausina, 1973) and 0.327 mg/kg after 56 days for </w:t>
      </w:r>
      <w:r w:rsidRPr="00B50339">
        <w:rPr>
          <w:rFonts w:ascii="Verdana" w:hAnsi="Verdana"/>
          <w:i/>
          <w:sz w:val="20"/>
          <w:szCs w:val="20"/>
        </w:rPr>
        <w:t>Cyprinus carpio</w:t>
      </w:r>
      <w:r w:rsidRPr="00B50339">
        <w:rPr>
          <w:rFonts w:ascii="Verdana" w:hAnsi="Verdana"/>
          <w:sz w:val="20"/>
          <w:szCs w:val="20"/>
        </w:rPr>
        <w:t xml:space="preserve"> (Japanese BCF study cited by U.S. EPA, 2011). The wide range for </w:t>
      </w:r>
      <w:r w:rsidRPr="00B50339">
        <w:rPr>
          <w:rFonts w:ascii="Verdana" w:hAnsi="Verdana"/>
          <w:i/>
          <w:sz w:val="20"/>
          <w:szCs w:val="20"/>
        </w:rPr>
        <w:t>L. macrochirus</w:t>
      </w:r>
      <w:r w:rsidRPr="00B50339">
        <w:rPr>
          <w:rFonts w:ascii="Verdana" w:hAnsi="Verdana"/>
          <w:sz w:val="20"/>
          <w:szCs w:val="20"/>
        </w:rPr>
        <w:t xml:space="preserve"> could be due to experimental variation (especially as the exposure conditions were variable) or could perhaps be linked to differences in lipid content and age of the test fish. It is not known if these measurements would have included any substance adsorbed to the skin or present in the gut. As steady state had not been reached it is possible that the concentrations could become higher with longer exposures.</w:t>
      </w:r>
      <w:r w:rsidRPr="00B50339">
        <w:rPr>
          <w:rFonts w:ascii="Verdana" w:hAnsi="Verdana"/>
          <w:b/>
          <w:sz w:val="20"/>
          <w:szCs w:val="20"/>
        </w:rPr>
        <w:t xml:space="preserve"> </w:t>
      </w:r>
    </w:p>
    <w:p w14:paraId="7FF1C376" w14:textId="77777777" w:rsidR="0009282A" w:rsidRPr="00B50339" w:rsidRDefault="0009282A" w:rsidP="0009282A">
      <w:pPr>
        <w:pStyle w:val="BodyText"/>
        <w:jc w:val="both"/>
      </w:pPr>
      <w:r w:rsidRPr="00B50339">
        <w:t xml:space="preserve">A sixth study is summarised in Appendix 1, suggesting a BCF for plants (Sea Lettuce </w:t>
      </w:r>
      <w:r w:rsidRPr="00B50339">
        <w:rPr>
          <w:i/>
        </w:rPr>
        <w:t>Ulva pertusa</w:t>
      </w:r>
      <w:r w:rsidRPr="00B50339">
        <w:t xml:space="preserve">) below 100 L/kg (Zhao </w:t>
      </w:r>
      <w:r w:rsidRPr="00B50339">
        <w:rPr>
          <w:i/>
        </w:rPr>
        <w:t>et al.</w:t>
      </w:r>
      <w:r w:rsidRPr="00B50339">
        <w:t>, 2014). There are a number of uncertainties with this study that mean the results should be treated with caution, including variable exposure concentrations (significantly exceeding the reported water solubility limit), presence of Dechlorane Plus in controls, potential growth inhibition</w:t>
      </w:r>
      <w:r w:rsidR="00375935" w:rsidRPr="00B50339">
        <w:t xml:space="preserve"> during the test (which may or may not be related to the test </w:t>
      </w:r>
      <w:r w:rsidR="00375935" w:rsidRPr="00B50339">
        <w:lastRenderedPageBreak/>
        <w:t>substance)</w:t>
      </w:r>
      <w:r w:rsidRPr="00B50339">
        <w:t>, and issues around the way that growth was calculated and kinetics fitted.</w:t>
      </w:r>
    </w:p>
    <w:p w14:paraId="78E47D99" w14:textId="77777777" w:rsidR="003905C6" w:rsidRDefault="00382C98" w:rsidP="00382C98">
      <w:pPr>
        <w:pStyle w:val="BodyText"/>
        <w:jc w:val="both"/>
      </w:pPr>
      <w:r>
        <w:t>In summary, aqueous</w:t>
      </w:r>
      <w:r w:rsidR="003905C6" w:rsidRPr="003905C6">
        <w:t xml:space="preserve"> exposure is expected to be of limited importance in terms of bioaccumulation potential</w:t>
      </w:r>
      <w:r>
        <w:t xml:space="preserve">, and </w:t>
      </w:r>
      <w:r w:rsidR="0009282A">
        <w:t xml:space="preserve">whilst significant uptake has been shown to occur in fish, </w:t>
      </w:r>
      <w:r>
        <w:t>th</w:t>
      </w:r>
      <w:r w:rsidR="003905C6" w:rsidRPr="003905C6">
        <w:t xml:space="preserve">ere are no reliable measured fish BCF data. </w:t>
      </w:r>
    </w:p>
    <w:p w14:paraId="70B360F9" w14:textId="77777777" w:rsidR="0009282A" w:rsidRPr="008640CB" w:rsidRDefault="0009282A" w:rsidP="0009282A">
      <w:pPr>
        <w:pStyle w:val="Heading5"/>
        <w:keepNext w:val="0"/>
        <w:tabs>
          <w:tab w:val="num" w:pos="284"/>
        </w:tabs>
      </w:pPr>
      <w:r>
        <w:t>3.4.1.2.2</w:t>
      </w:r>
      <w:r>
        <w:tab/>
        <w:t xml:space="preserve"> Dietary</w:t>
      </w:r>
      <w:r w:rsidRPr="008640CB">
        <w:t xml:space="preserve"> exposure</w:t>
      </w:r>
    </w:p>
    <w:p w14:paraId="2C9C1D2E" w14:textId="77777777" w:rsidR="00526CD0" w:rsidRDefault="00B50339" w:rsidP="00A9101B">
      <w:pPr>
        <w:pStyle w:val="BodyText"/>
        <w:widowControl/>
        <w:autoSpaceDE w:val="0"/>
        <w:autoSpaceDN w:val="0"/>
        <w:adjustRightInd w:val="0"/>
        <w:spacing w:after="180"/>
        <w:ind w:right="232"/>
        <w:jc w:val="both"/>
      </w:pPr>
      <w:r>
        <w:t>OECD TG 305 advises that dietary exposure is more suitable than aqueous exposure for substances with log K</w:t>
      </w:r>
      <w:r>
        <w:rPr>
          <w:vertAlign w:val="subscript"/>
        </w:rPr>
        <w:t>OW</w:t>
      </w:r>
      <w:r>
        <w:t xml:space="preserve"> &gt;6. Five </w:t>
      </w:r>
      <w:r w:rsidR="00A9101B">
        <w:t xml:space="preserve">dietary </w:t>
      </w:r>
      <w:r>
        <w:t>studies</w:t>
      </w:r>
      <w:r w:rsidR="00A9101B">
        <w:t xml:space="preserve"> for fish</w:t>
      </w:r>
      <w:r>
        <w:t xml:space="preserve"> are available and four </w:t>
      </w:r>
      <w:r w:rsidR="00A9101B">
        <w:t>are summarised in Appendix </w:t>
      </w:r>
      <w:r>
        <w:t>1 (</w:t>
      </w:r>
      <w:r w:rsidRPr="00B50339">
        <w:t>Zitko</w:t>
      </w:r>
      <w:r>
        <w:t>,</w:t>
      </w:r>
      <w:r w:rsidRPr="00B50339">
        <w:t xml:space="preserve"> 1980;</w:t>
      </w:r>
      <w:r>
        <w:t xml:space="preserve"> </w:t>
      </w:r>
      <w:r w:rsidR="00A9101B" w:rsidRPr="00A9101B">
        <w:t xml:space="preserve">Xiao </w:t>
      </w:r>
      <w:r w:rsidR="00A9101B" w:rsidRPr="00A9101B">
        <w:rPr>
          <w:i/>
        </w:rPr>
        <w:t>et al</w:t>
      </w:r>
      <w:r w:rsidR="00A9101B" w:rsidRPr="00A9101B">
        <w:t xml:space="preserve">., 2013; Zeng </w:t>
      </w:r>
      <w:r w:rsidR="00A9101B" w:rsidRPr="00A9101B">
        <w:rPr>
          <w:i/>
        </w:rPr>
        <w:t>et al</w:t>
      </w:r>
      <w:r w:rsidR="00A9101B" w:rsidRPr="00A9101B">
        <w:t>., 2014a; Hang et al., 2013 [ABST]</w:t>
      </w:r>
      <w:r>
        <w:t xml:space="preserve">). </w:t>
      </w:r>
      <w:r w:rsidR="00F47608" w:rsidRPr="0009282A">
        <w:t xml:space="preserve">The </w:t>
      </w:r>
      <w:r w:rsidRPr="0009282A">
        <w:rPr>
          <w:b/>
        </w:rPr>
        <w:t>key study</w:t>
      </w:r>
      <w:r w:rsidRPr="003905C6">
        <w:t xml:space="preserve"> </w:t>
      </w:r>
      <w:r>
        <w:t xml:space="preserve">is </w:t>
      </w:r>
      <w:r w:rsidR="00F47608" w:rsidRPr="003905C6">
        <w:t xml:space="preserve">Tomy </w:t>
      </w:r>
      <w:r w:rsidR="00F47608" w:rsidRPr="003905C6">
        <w:rPr>
          <w:i/>
        </w:rPr>
        <w:t>et al</w:t>
      </w:r>
      <w:r w:rsidR="00F47608" w:rsidRPr="003905C6">
        <w:t>. (2008)</w:t>
      </w:r>
      <w:r>
        <w:t>, which is summarised in full here</w:t>
      </w:r>
      <w:r w:rsidR="00F47608" w:rsidRPr="003905C6">
        <w:t xml:space="preserve">. </w:t>
      </w:r>
    </w:p>
    <w:p w14:paraId="7C1836C3" w14:textId="77777777" w:rsidR="00B50339" w:rsidRDefault="00526CD0" w:rsidP="00B50339">
      <w:pPr>
        <w:pStyle w:val="BodyText"/>
        <w:jc w:val="both"/>
        <w:rPr>
          <w:rFonts w:cs="Utopia-Regular"/>
        </w:rPr>
      </w:pPr>
      <w:r w:rsidRPr="00A9101B">
        <w:rPr>
          <w:rFonts w:cs="Utopia-Regular"/>
        </w:rPr>
        <w:t>Tomy</w:t>
      </w:r>
      <w:r w:rsidRPr="00A9101B">
        <w:t xml:space="preserve"> </w:t>
      </w:r>
      <w:r w:rsidRPr="00A9101B">
        <w:rPr>
          <w:i/>
        </w:rPr>
        <w:t>et al</w:t>
      </w:r>
      <w:r w:rsidRPr="00A9101B">
        <w:t>. (2008)</w:t>
      </w:r>
      <w:r>
        <w:t xml:space="preserve"> report a dietary bioaccumulation laboratory test using juvenile Rainbow Trout (</w:t>
      </w:r>
      <w:r>
        <w:rPr>
          <w:i/>
        </w:rPr>
        <w:t>Oncorhynchus mykiss</w:t>
      </w:r>
      <w:r>
        <w:t xml:space="preserve">). The fish were exposed to doses of syn- and anti- isomers of Dechlorane Plus via their diet for 49 days (uptake phase), followed by 112 days of untreated food (depuration phase) to examine bioaccumulation parameters and possible metabolic products. Each treatment group consisted of 60 fish held in 200 L aquaria. Two groups of fish </w:t>
      </w:r>
      <w:r>
        <w:rPr>
          <w:rFonts w:cs="Utopia-Regular"/>
        </w:rPr>
        <w:t xml:space="preserve">(initial mean weight 50 </w:t>
      </w:r>
      <w:r>
        <w:t>±</w:t>
      </w:r>
      <w:r>
        <w:rPr>
          <w:rFonts w:cs="ChemBats2"/>
        </w:rPr>
        <w:t xml:space="preserve"> </w:t>
      </w:r>
      <w:r>
        <w:rPr>
          <w:rFonts w:cs="Utopia-Regular"/>
        </w:rPr>
        <w:t>5 g)</w:t>
      </w:r>
      <w:r>
        <w:t xml:space="preserve"> were exposed separately to food dosed with 0.79 ± 0.03 µg/g (lipid weight) of syn- isomer and 1.17 ± 0.12 µg/g (lipid weight) of anti- isomer, while a third control group was fed unfortified food. Commercial fish food was blended for 20 minutes with corn oil spiked with known amounts of each isomer, followed by a further 20 minutes stirring with an aqueous gelatin binder. The food was air-dried for 40 minutes then extruded through a 4-mm-diameter noodler, dried at 10 °C for 48 hours, and crushed into pellets that were stored in the dark at </w:t>
      </w:r>
      <w:r>
        <w:noBreakHyphen/>
        <w:t xml:space="preserve">4 °C to limit the possibility of light-induced degradation. The concentrations of both Dechlorane Plus isomers did not decline in the food from the start of the exposure to the end of the depuration. Small amounts of the syn- isomer were detectable in the unfortified food (1.5 ng/g). The average lipid content of the food was 14.3 ± 0.3 per cent. </w:t>
      </w:r>
      <w:r>
        <w:rPr>
          <w:rFonts w:cs="Utopia-Regular"/>
        </w:rPr>
        <w:t xml:space="preserve">Feed was presented by sprinkling at the surface of the water and was generally consumed by each group of fish within one minute. </w:t>
      </w:r>
      <w:r>
        <w:t>The daily feeding rate was 1.0</w:t>
      </w:r>
      <w:r w:rsidR="00A9101B">
        <w:t xml:space="preserve"> %</w:t>
      </w:r>
      <w:r>
        <w:t xml:space="preserve"> of the mean weight of fish</w:t>
      </w:r>
      <w:r>
        <w:rPr>
          <w:rFonts w:cs="Utopia-Regular"/>
        </w:rPr>
        <w:t>, adjusted after each sampling period based on the mean weight of the subsample of fish that were sacrificed</w:t>
      </w:r>
      <w:r>
        <w:t>. Flow-through conditions were used</w:t>
      </w:r>
      <w:r>
        <w:rPr>
          <w:rFonts w:cs="Utopia-Regular"/>
        </w:rPr>
        <w:t xml:space="preserve">. The influent water was at 12 </w:t>
      </w:r>
      <w:r w:rsidR="00B50339">
        <w:rPr>
          <w:rFonts w:cs="Symbol"/>
        </w:rPr>
        <w:t>°</w:t>
      </w:r>
      <w:r>
        <w:rPr>
          <w:rFonts w:cs="Utopia-Regular"/>
        </w:rPr>
        <w:t>C, pH 7.9</w:t>
      </w:r>
      <w:r>
        <w:rPr>
          <w:rFonts w:cs="ChemBats2"/>
        </w:rPr>
        <w:t>-</w:t>
      </w:r>
      <w:r>
        <w:rPr>
          <w:rFonts w:cs="Utopia-Regular"/>
        </w:rPr>
        <w:t>9.1 and dissolved oxygen was always at the level of saturation. A 12 h light:12 h dark photoperiod was maintained throughout the experiment.</w:t>
      </w:r>
    </w:p>
    <w:p w14:paraId="47F9DADD" w14:textId="77777777" w:rsidR="00B50339" w:rsidRDefault="00526CD0" w:rsidP="00B50339">
      <w:pPr>
        <w:pStyle w:val="BodyText"/>
        <w:jc w:val="both"/>
      </w:pPr>
      <w:r>
        <w:rPr>
          <w:rFonts w:cs="Utopia-Regular"/>
        </w:rPr>
        <w:t xml:space="preserve">Four fish were sampled from each tank on days 0, 7, 14, 21, 35, and 49 of the uptake period and on days 7, 22, 35, 49, 70, and 112 days of the depuration period. Fish were always sampled 24 hours after the previous feeding. Samples were homogenized and weighed prior to accelerated solvent extraction and purification (carcass only) by Florisil chromatography. Analysis was by both high and low resolution gas chromatography-mass spectrometry analysis (GC-MS) and also liquid chromatography-UV analysis. </w:t>
      </w:r>
      <w:r>
        <w:t>Quality control procedures included injections of hexane after every five samples and method (procedural) blanks. Method detection limits were estimated to be 0.02 pg/g (0.6 fmoles) for both isomers. When detected, concentrations of the Dechlorane Plus isomers in tissue of control fish were subtracted from that in fish exposed to treated food. Concentrations in fish were also corrected for lipid percent and recovery corrected using BDE-77, -126, -197, and -207.</w:t>
      </w:r>
    </w:p>
    <w:p w14:paraId="574E2C39" w14:textId="77777777" w:rsidR="00B50339" w:rsidRDefault="00526CD0" w:rsidP="00B50339">
      <w:pPr>
        <w:pStyle w:val="BodyText"/>
        <w:jc w:val="both"/>
        <w:rPr>
          <w:rFonts w:cs="Utopia-Regular"/>
        </w:rPr>
      </w:pPr>
      <w:r>
        <w:t>Dechlorane</w:t>
      </w:r>
      <w:r>
        <w:rPr>
          <w:rFonts w:cs="Utopia-Regular"/>
        </w:rPr>
        <w:t xml:space="preserve"> Plus had no effect on growth rate, liver somatic index or mortality at the concentrations used.</w:t>
      </w:r>
    </w:p>
    <w:p w14:paraId="6D035BAC" w14:textId="77777777" w:rsidR="00B50339" w:rsidRDefault="00526CD0" w:rsidP="00B50339">
      <w:pPr>
        <w:pStyle w:val="BodyText"/>
        <w:jc w:val="both"/>
      </w:pPr>
      <w:r>
        <w:t>Fish</w:t>
      </w:r>
      <w:r>
        <w:rPr>
          <w:rFonts w:cs="Utopia-Regular"/>
        </w:rPr>
        <w:t xml:space="preserve"> lipid content on days 49 and 161 were 6.9 ± 0.5 % and 7.3 ± 0.6 % for the anti- isomer treatment, 7.5 ± 0.3 % and 7.3 ± 0.7 % for the syn- isomer treatment and 8.6 ± 0.4 % and 7.1 ± 0.7 % for the untreated control group (which could indicate some variation in feeding rate in the controls), respectively</w:t>
      </w:r>
      <w:r>
        <w:t xml:space="preserve"> (average of four fish per sample point). The growth rates of the fish were stated to be 0.0308±0.0020, 0.0316±0.0018 and 0.0353±0.0022 mass/d for the anti- isomer, syn- isomer and control fish treatments, respectively (based on a fitted linear growth model; see later discussion). </w:t>
      </w:r>
    </w:p>
    <w:p w14:paraId="34E0D4F0" w14:textId="77777777" w:rsidR="00B50339" w:rsidRDefault="00526CD0" w:rsidP="00B50339">
      <w:pPr>
        <w:pStyle w:val="BodyText"/>
        <w:jc w:val="both"/>
      </w:pPr>
      <w:r>
        <w:lastRenderedPageBreak/>
        <w:t>After the 49-day exposure period, neither isomer had reached a steady-state concentration in the fish. The data in the paper are shown graphically in terms of the amount of substance per fish rather than the more normal concentration units. The maximum arithmetic mean fish whole body (minus liver) mass of the syn- isomer (control- and lipid- corrected) present at the end of the uptake period was 2.2 nmole, or 1.44 µg (value read from a graph). The mass of the anti- isomer was 1.7 nmole, or 1.11 µg (value read from a graph). The presentation of data in this way is unusual; it would normally be expressed in terms of a wet weight concentration. As the lipid correction method is unclear, no</w:t>
      </w:r>
      <w:r w:rsidR="00A9101B">
        <w:t xml:space="preserve"> </w:t>
      </w:r>
      <w:r>
        <w:t>attempt</w:t>
      </w:r>
      <w:r w:rsidR="00A9101B">
        <w:t xml:space="preserve"> has been made</w:t>
      </w:r>
      <w:r>
        <w:t xml:space="preserve"> to estimate what the concentration in fish would be at the end of the uptake phase (see also below).</w:t>
      </w:r>
    </w:p>
    <w:p w14:paraId="3055D3FB" w14:textId="77777777" w:rsidR="00B50339" w:rsidRDefault="00526CD0" w:rsidP="00B50339">
      <w:pPr>
        <w:pStyle w:val="BodyText"/>
        <w:jc w:val="both"/>
      </w:pPr>
      <w:r>
        <w:t>The syn- isomer accumulated in the fish linearly with time (whole body minus liver) during the exposure phase with a calculated uptake rate of 0.045 ± 0.005 nmol/d. This rate corresponds to the initial slope of the plot of the amount of substance in fish against time. A similar uptake rate was also observed for this isomer in the liver. The uptake rate for the anti- isomer was calculated to be 0.018 ± 0.002 nmol/d over days 7 to 49, as there was a large increase in the amount of this isomer accumulated during the first seven days, after which time the uptake was linear. This was statistically different to the syn- isomer at the 95</w:t>
      </w:r>
      <w:r w:rsidR="00A9101B">
        <w:t xml:space="preserve"> %</w:t>
      </w:r>
      <w:r>
        <w:t xml:space="preserve"> confidence level. These rates of uptake are considered further later.</w:t>
      </w:r>
    </w:p>
    <w:p w14:paraId="67B20106" w14:textId="77777777" w:rsidR="00B50339" w:rsidRDefault="00526CD0" w:rsidP="00B50339">
      <w:pPr>
        <w:pStyle w:val="BodyText"/>
        <w:jc w:val="both"/>
      </w:pPr>
      <w:r>
        <w:t>The elimination of both isomers from the fish (whole minus liver) followed first order depuration kinetics according to the paper, with reported rate constants of 0.013 ± 0.003 d</w:t>
      </w:r>
      <w:r>
        <w:rPr>
          <w:vertAlign w:val="superscript"/>
        </w:rPr>
        <w:t>-1</w:t>
      </w:r>
      <w:r>
        <w:t xml:space="preserve"> (syn- isomer)</w:t>
      </w:r>
      <w:r w:rsidRPr="00B50339">
        <w:rPr>
          <w:rStyle w:val="FootnoteReference"/>
          <w:rFonts w:ascii="Verdana" w:hAnsi="Verdana"/>
          <w:sz w:val="20"/>
        </w:rPr>
        <w:footnoteReference w:id="18"/>
      </w:r>
      <w:r>
        <w:t xml:space="preserve"> and 0.023 ± 0.004 d</w:t>
      </w:r>
      <w:r>
        <w:rPr>
          <w:vertAlign w:val="superscript"/>
        </w:rPr>
        <w:t>-1</w:t>
      </w:r>
      <w:r>
        <w:t xml:space="preserve"> (anti- isomer), reported assimilation efficiencies of 6.0</w:t>
      </w:r>
      <w:r w:rsidR="00A9101B">
        <w:t xml:space="preserve"> %</w:t>
      </w:r>
      <w:r>
        <w:t xml:space="preserve"> (syn- isomer) and 3.9</w:t>
      </w:r>
      <w:r w:rsidR="00A9101B">
        <w:t xml:space="preserve"> %</w:t>
      </w:r>
      <w:r>
        <w:t xml:space="preserve"> (anti- isomer) and calculated half-lives of 53.3 ± 13.1 days (syn- isomer) and 30.4 ± 5.7 days (anti- isomer).</w:t>
      </w:r>
      <w:r w:rsidRPr="00B50339">
        <w:rPr>
          <w:rStyle w:val="FootnoteReference"/>
          <w:rFonts w:ascii="Verdana" w:hAnsi="Verdana"/>
          <w:sz w:val="20"/>
        </w:rPr>
        <w:footnoteReference w:id="19"/>
      </w:r>
      <w:r w:rsidRPr="00B50339">
        <w:t xml:space="preserve"> </w:t>
      </w:r>
      <w:r>
        <w:t xml:space="preserve">However, Figure 1 in the paper shows that following an initial steep decrease in concentration of the syn- isomer over the first ten days of depuration, the concentration increased by a factor of two between days 59 and 100, after which the concentration declined once more. The paper does not discuss this pattern specifically. This is considered </w:t>
      </w:r>
      <w:r w:rsidR="00B50339">
        <w:t>below</w:t>
      </w:r>
      <w:r>
        <w:t>.</w:t>
      </w:r>
    </w:p>
    <w:p w14:paraId="32DE2FE7" w14:textId="77777777" w:rsidR="00B50339" w:rsidRDefault="00526CD0" w:rsidP="00B50339">
      <w:pPr>
        <w:pStyle w:val="BodyText"/>
        <w:jc w:val="both"/>
      </w:pPr>
      <w:r>
        <w:t xml:space="preserve">Liver-specific uptake kinetics were similar to those observed in the carcass suggesting that uptake rates of the isomers are not tissue-specific. Depuration from the liver did not follow first order kinetics for either isomer. Elimination of the isomers from the liver was difficult to interpret because of suspected enterohepatic circulation and redistribution of the isomers in the liver during clearance from other tissues. </w:t>
      </w:r>
    </w:p>
    <w:p w14:paraId="10E079E7" w14:textId="77777777" w:rsidR="00B50339" w:rsidRDefault="00526CD0" w:rsidP="00B50339">
      <w:pPr>
        <w:pStyle w:val="BodyText"/>
        <w:jc w:val="both"/>
      </w:pPr>
      <w:r>
        <w:t>The biomagnification factor (BMF) values were reported to be 5.2 for the syn- isomer and 1.9 for the anti- isomer (whole fish minus liver), suggesting that the syn- isomer is more bioaccumulative. However, it is not clear how these values were obtained and the</w:t>
      </w:r>
      <w:r w:rsidR="00A9101B">
        <w:t>y appear</w:t>
      </w:r>
      <w:r>
        <w:t xml:space="preserve"> too high when compared to methods of calculation more in line with the methods recommended in the OECD 305 test guideline (see further discussion below).</w:t>
      </w:r>
    </w:p>
    <w:p w14:paraId="0EB14340" w14:textId="77777777" w:rsidR="00B50339" w:rsidRDefault="00526CD0" w:rsidP="00B50339">
      <w:pPr>
        <w:pStyle w:val="BodyText"/>
        <w:jc w:val="both"/>
      </w:pPr>
      <w:r>
        <w:t xml:space="preserve">None of the possible metabolic products of Dechlorane Plus (including dechlorinated, hydroxylated, methoxylated and methyl sulfone derivatives) were detected in the liver. </w:t>
      </w:r>
    </w:p>
    <w:p w14:paraId="416DA7CC" w14:textId="77777777" w:rsidR="0059208A" w:rsidRDefault="0059208A" w:rsidP="0059208A">
      <w:pPr>
        <w:pStyle w:val="BodyText"/>
        <w:widowControl/>
        <w:autoSpaceDE w:val="0"/>
        <w:autoSpaceDN w:val="0"/>
        <w:adjustRightInd w:val="0"/>
        <w:spacing w:after="180"/>
        <w:ind w:right="232"/>
        <w:jc w:val="both"/>
        <w:rPr>
          <w:b/>
          <w:i/>
        </w:rPr>
      </w:pPr>
      <w:r>
        <w:rPr>
          <w:b/>
          <w:i/>
        </w:rPr>
        <w:t>Discussion</w:t>
      </w:r>
    </w:p>
    <w:p w14:paraId="26CB03C5" w14:textId="77777777" w:rsidR="0059208A" w:rsidRDefault="0059208A" w:rsidP="0059208A">
      <w:pPr>
        <w:pStyle w:val="BodyText"/>
        <w:jc w:val="both"/>
      </w:pPr>
      <w:r>
        <w:t xml:space="preserve">Dietary studies provide a more environmentally realistic exposure route for very hydrophobic substances than aqueous exposure studies, and also provide a means to dose fish to see if </w:t>
      </w:r>
      <w:r>
        <w:lastRenderedPageBreak/>
        <w:t xml:space="preserve">uptake can occur and to follow depuration kinetics. Nevertheless, studies with other highly hydrophobic substances such as decabromodiphenyl ether (ECHA, 2012a) suggest that the presence of </w:t>
      </w:r>
      <w:r>
        <w:rPr>
          <w:color w:val="000000"/>
        </w:rPr>
        <w:t xml:space="preserve">undissolved </w:t>
      </w:r>
      <w:r>
        <w:t>microcrystals can affect the degree of absorption across the gut and the nature of the food may also have an influence.</w:t>
      </w:r>
    </w:p>
    <w:p w14:paraId="555C5B0E" w14:textId="77777777" w:rsidR="00B50339" w:rsidRDefault="00526CD0" w:rsidP="00B50339">
      <w:pPr>
        <w:pStyle w:val="BodyText"/>
        <w:jc w:val="both"/>
      </w:pPr>
      <w:r>
        <w:t>The Registrant describes th</w:t>
      </w:r>
      <w:r w:rsidR="0059208A">
        <w:t xml:space="preserve">e Tomy </w:t>
      </w:r>
      <w:r w:rsidR="0059208A">
        <w:rPr>
          <w:i/>
        </w:rPr>
        <w:t>et al</w:t>
      </w:r>
      <w:r w:rsidR="0059208A">
        <w:t>. (200</w:t>
      </w:r>
      <w:r w:rsidR="002E323D">
        <w:t>8</w:t>
      </w:r>
      <w:r w:rsidR="0059208A">
        <w:t>)</w:t>
      </w:r>
      <w:r>
        <w:t xml:space="preserve"> study as reliable with restrictions. Based on the information available in the paper, the study method is broadly in accordance with the OECD TG 305-III (Dietary Exposure Bioaccumulation Fish Test). Minor deviations include the use of slightly fewer fish (e.g. five fish per sampling point is recommended) and lack of information on spiked feed homogeneity and total organic carbon content of the test water. The most important missing information is the actual wet weight fish concentrations at each time point (this is not provided in the supporting information either).</w:t>
      </w:r>
      <w:r w:rsidR="0092167B">
        <w:t xml:space="preserve"> </w:t>
      </w:r>
    </w:p>
    <w:p w14:paraId="531E14A8" w14:textId="77777777" w:rsidR="00526CD0" w:rsidRDefault="00526CD0" w:rsidP="00B50339">
      <w:pPr>
        <w:pStyle w:val="BodyText"/>
        <w:jc w:val="both"/>
      </w:pPr>
      <w:r>
        <w:t xml:space="preserve">The BMF calculation in the paper was based on a method described in a previous paper by the same authors (Tomy </w:t>
      </w:r>
      <w:r>
        <w:rPr>
          <w:i/>
        </w:rPr>
        <w:t>et al</w:t>
      </w:r>
      <w:r>
        <w:t>., 2004</w:t>
      </w:r>
      <w:r w:rsidR="002E323D">
        <w:t>a</w:t>
      </w:r>
      <w:r>
        <w:t xml:space="preserve">). There are a number of differences between this method and that recommended in the OECD TG 305-III. In particular, Tomy </w:t>
      </w:r>
      <w:r>
        <w:rPr>
          <w:i/>
        </w:rPr>
        <w:t>et al</w:t>
      </w:r>
      <w:r>
        <w:t>. (2004</w:t>
      </w:r>
      <w:r w:rsidR="002E323D">
        <w:t>a</w:t>
      </w:r>
      <w:r>
        <w:t>) report rates for certain processes rather than the equivalent rate constant that is required for calculations by the OECD TG 305 methods</w:t>
      </w:r>
      <w:r w:rsidRPr="00B50339">
        <w:rPr>
          <w:rStyle w:val="FootnoteReference"/>
          <w:rFonts w:ascii="Verdana" w:hAnsi="Verdana"/>
          <w:sz w:val="20"/>
        </w:rPr>
        <w:footnoteReference w:id="20"/>
      </w:r>
      <w:r>
        <w:t>:</w:t>
      </w:r>
    </w:p>
    <w:p w14:paraId="440B5270" w14:textId="77777777" w:rsidR="00526CD0" w:rsidRDefault="00526CD0" w:rsidP="00686834">
      <w:pPr>
        <w:pStyle w:val="ListParagraph"/>
        <w:widowControl/>
        <w:numPr>
          <w:ilvl w:val="0"/>
          <w:numId w:val="20"/>
        </w:numPr>
        <w:autoSpaceDE w:val="0"/>
        <w:autoSpaceDN w:val="0"/>
        <w:adjustRightInd w:val="0"/>
        <w:ind w:right="515"/>
        <w:contextualSpacing/>
        <w:jc w:val="both"/>
      </w:pPr>
      <w:r>
        <w:t>Growth rate was calculated by fitting fish and liver weight data to a linear growth model, whereas the OECD TG recommends that a growth rate constant is obtained from the slope of a plot of natural logarithm of fish wet weights against time, separately for the uptake and depuration phases. T</w:t>
      </w:r>
      <w:r w:rsidR="00A9101B">
        <w:t xml:space="preserve">his cannot be done precisely </w:t>
      </w:r>
      <w:r>
        <w:t>in the absence of the raw data. However, if it is assumed that the initial fish weight was 50 g, and that the growth rate (rate of change of fish weight with time) was fitted using an equation of the form (1 + b × time), the expected fish concentrations at each time point during the study can be estimated approximately using the growth rates given in the paper (0.0308 mass/day for anti-DP and 0.0316 mass/day for syn-DP). Using these back-calculated fish weights it is then possible to estimate the rate constant for growth dilution from the slopes of plots of ln [back-calculated fish weight] versus time. Using this approach the rate constant for growth dilution (k</w:t>
      </w:r>
      <w:r>
        <w:rPr>
          <w:vertAlign w:val="subscript"/>
        </w:rPr>
        <w:t>g</w:t>
      </w:r>
      <w:r>
        <w:t xml:space="preserve">) </w:t>
      </w:r>
      <w:r w:rsidR="00C34826">
        <w:t xml:space="preserve">can be tentatively estimated </w:t>
      </w:r>
      <w:r>
        <w:t>to be around 0.01 d</w:t>
      </w:r>
      <w:r>
        <w:rPr>
          <w:vertAlign w:val="superscript"/>
        </w:rPr>
        <w:t>-1</w:t>
      </w:r>
      <w:r>
        <w:t xml:space="preserve"> for both anti-DP and syn-DP, although it should be noted that the plots show a slight deviation from linearity.</w:t>
      </w:r>
    </w:p>
    <w:p w14:paraId="016671A0" w14:textId="77777777" w:rsidR="00526CD0" w:rsidRDefault="00526CD0" w:rsidP="00526CD0">
      <w:pPr>
        <w:pStyle w:val="ListParagraph"/>
        <w:autoSpaceDE w:val="0"/>
        <w:autoSpaceDN w:val="0"/>
        <w:adjustRightInd w:val="0"/>
        <w:ind w:right="515"/>
        <w:jc w:val="both"/>
      </w:pPr>
    </w:p>
    <w:p w14:paraId="5221BFEB" w14:textId="77777777" w:rsidR="00526CD0" w:rsidRDefault="00526CD0" w:rsidP="00686834">
      <w:pPr>
        <w:pStyle w:val="ListParagraph"/>
        <w:widowControl/>
        <w:numPr>
          <w:ilvl w:val="0"/>
          <w:numId w:val="20"/>
        </w:numPr>
        <w:autoSpaceDE w:val="0"/>
        <w:autoSpaceDN w:val="0"/>
        <w:adjustRightInd w:val="0"/>
        <w:ind w:right="515"/>
        <w:contextualSpacing/>
        <w:jc w:val="both"/>
      </w:pPr>
      <w:r>
        <w:t xml:space="preserve">Fish concentrations were lipid-corrected and corrected for growth dilution by multiplying them by a factor of (1 + b × time), where b is the growth rate. The method used for lipid correction is not clear, but it is possible that the data have been corrected to give them on a lipid weight basis prior to correcting for growth (although this cannot be ascertained). The OECD TG recommends that correction for growth is done separately. However, the method used by Tomy </w:t>
      </w:r>
      <w:r>
        <w:rPr>
          <w:i/>
        </w:rPr>
        <w:t>et al</w:t>
      </w:r>
      <w:r>
        <w:t xml:space="preserve">. (2008) effectively estimates the amount of substance present in the fish (rather than the concentration). Such data can be used directly to estimate the growth-corrected depuration rate constant from the slope of a plot of ln [amount per fish] versus time. This is the “alternative” method for estimating the growth corrected depuration rate constant that is discussed in the OECD TG 305. Unfortunately the raw concentration/amount data are not provided in the Tomy </w:t>
      </w:r>
      <w:r>
        <w:rPr>
          <w:i/>
        </w:rPr>
        <w:t>et al</w:t>
      </w:r>
      <w:r>
        <w:t xml:space="preserve">. (2008) paper and are only presented graphically. The amounts per fish during the depuration phase for both anti-DP and syn-DP from </w:t>
      </w:r>
      <w:r w:rsidR="00C34826">
        <w:t xml:space="preserve">can be estimated the </w:t>
      </w:r>
      <w:r>
        <w:t xml:space="preserve">plots in the original paper and estimated the approximate value for the growth-corrected depuration rate </w:t>
      </w:r>
      <w:r>
        <w:lastRenderedPageBreak/>
        <w:t>constant (k</w:t>
      </w:r>
      <w:r>
        <w:rPr>
          <w:vertAlign w:val="subscript"/>
        </w:rPr>
        <w:t>2g</w:t>
      </w:r>
      <w:r>
        <w:t>) to be 0.019 d</w:t>
      </w:r>
      <w:r>
        <w:rPr>
          <w:vertAlign w:val="superscript"/>
        </w:rPr>
        <w:t>-1</w:t>
      </w:r>
      <w:r>
        <w:t xml:space="preserve"> for anti-DP and 0.012 d</w:t>
      </w:r>
      <w:r>
        <w:rPr>
          <w:vertAlign w:val="superscript"/>
        </w:rPr>
        <w:t>-1</w:t>
      </w:r>
      <w:r>
        <w:t xml:space="preserve"> for syn-DP. These are reasonably consistent with the depuration rate constants of 0.023 d</w:t>
      </w:r>
      <w:r>
        <w:rPr>
          <w:vertAlign w:val="superscript"/>
        </w:rPr>
        <w:t>-1</w:t>
      </w:r>
      <w:r>
        <w:t xml:space="preserve"> for anti-DP and 0.013 d</w:t>
      </w:r>
      <w:r>
        <w:rPr>
          <w:vertAlign w:val="superscript"/>
        </w:rPr>
        <w:t>-1</w:t>
      </w:r>
      <w:r>
        <w:t xml:space="preserve"> for syn-DP reported by Tomy </w:t>
      </w:r>
      <w:r>
        <w:rPr>
          <w:i/>
        </w:rPr>
        <w:t>et al</w:t>
      </w:r>
      <w:r>
        <w:t>. (2008).</w:t>
      </w:r>
    </w:p>
    <w:p w14:paraId="73CC8E6F" w14:textId="77777777" w:rsidR="00526CD0" w:rsidRDefault="00526CD0" w:rsidP="00526CD0">
      <w:pPr>
        <w:autoSpaceDE w:val="0"/>
        <w:autoSpaceDN w:val="0"/>
        <w:adjustRightInd w:val="0"/>
        <w:ind w:right="515"/>
        <w:jc w:val="both"/>
      </w:pPr>
    </w:p>
    <w:p w14:paraId="09812B7E" w14:textId="77777777" w:rsidR="00526CD0" w:rsidRDefault="00526CD0" w:rsidP="00686834">
      <w:pPr>
        <w:pStyle w:val="ListParagraph"/>
        <w:widowControl/>
        <w:numPr>
          <w:ilvl w:val="0"/>
          <w:numId w:val="20"/>
        </w:numPr>
        <w:autoSpaceDE w:val="0"/>
        <w:autoSpaceDN w:val="0"/>
        <w:adjustRightInd w:val="0"/>
        <w:ind w:right="515"/>
        <w:contextualSpacing/>
        <w:jc w:val="both"/>
      </w:pPr>
      <w:r>
        <w:t>It is also possible to estimate the overall depuration rate constant, and hence growth-corrected depuration rate constant, using the back-calculated fish weight data estimated above to convert the data on the amount per fish to a concentration in fish (μg/g (lipid?)</w:t>
      </w:r>
      <w:r w:rsidRPr="00A9101B">
        <w:rPr>
          <w:rStyle w:val="FootnoteReference"/>
          <w:rFonts w:ascii="Verdana" w:hAnsi="Verdana"/>
          <w:sz w:val="20"/>
        </w:rPr>
        <w:footnoteReference w:id="21"/>
      </w:r>
      <w:r>
        <w:t>). The overall depuration rate constant (k</w:t>
      </w:r>
      <w:r>
        <w:rPr>
          <w:vertAlign w:val="subscript"/>
        </w:rPr>
        <w:t>2</w:t>
      </w:r>
      <w:r>
        <w:t xml:space="preserve">) can be obtained from plots of ln [concentration (μg/g (lipid?))] versus time. Such plots have been constructed </w:t>
      </w:r>
      <w:r w:rsidR="00C34826">
        <w:t>for the purposes of this assessment</w:t>
      </w:r>
      <w:r>
        <w:t xml:space="preserve"> using the amounts per fish read from the graphs in the Tomy </w:t>
      </w:r>
      <w:r>
        <w:rPr>
          <w:i/>
        </w:rPr>
        <w:t>et al</w:t>
      </w:r>
      <w:r>
        <w:t>. (2008) paper and these give estimates for the k</w:t>
      </w:r>
      <w:r>
        <w:rPr>
          <w:vertAlign w:val="subscript"/>
        </w:rPr>
        <w:t>2</w:t>
      </w:r>
      <w:r>
        <w:t xml:space="preserve"> values as 0.027 d</w:t>
      </w:r>
      <w:r>
        <w:rPr>
          <w:vertAlign w:val="superscript"/>
        </w:rPr>
        <w:t xml:space="preserve">-1 </w:t>
      </w:r>
      <w:r>
        <w:t>for anti-DP and 0.020 d</w:t>
      </w:r>
      <w:r>
        <w:rPr>
          <w:vertAlign w:val="superscript"/>
        </w:rPr>
        <w:t>-1</w:t>
      </w:r>
      <w:r>
        <w:t xml:space="preserve"> for syn-DP. Using the k</w:t>
      </w:r>
      <w:r>
        <w:rPr>
          <w:vertAlign w:val="subscript"/>
        </w:rPr>
        <w:t>g</w:t>
      </w:r>
      <w:r>
        <w:t xml:space="preserve"> value estimated above of 0.01 d</w:t>
      </w:r>
      <w:r>
        <w:rPr>
          <w:vertAlign w:val="superscript"/>
        </w:rPr>
        <w:t>-1</w:t>
      </w:r>
      <w:r>
        <w:t>, results in growth-corrected depuration rate constants (k</w:t>
      </w:r>
      <w:r>
        <w:rPr>
          <w:vertAlign w:val="subscript"/>
        </w:rPr>
        <w:t>2g</w:t>
      </w:r>
      <w:r>
        <w:t>) of approximately 0.017 d</w:t>
      </w:r>
      <w:r>
        <w:rPr>
          <w:vertAlign w:val="superscript"/>
        </w:rPr>
        <w:t>-1</w:t>
      </w:r>
      <w:r>
        <w:t xml:space="preserve"> for anti-DP and 0.010 d</w:t>
      </w:r>
      <w:r>
        <w:rPr>
          <w:vertAlign w:val="superscript"/>
        </w:rPr>
        <w:t>-1</w:t>
      </w:r>
      <w:r>
        <w:t xml:space="preserve"> for syn-DP. Given the assumptions made in estimating these values, agreement with the values of k</w:t>
      </w:r>
      <w:r>
        <w:rPr>
          <w:vertAlign w:val="subscript"/>
        </w:rPr>
        <w:t>2g</w:t>
      </w:r>
      <w:r>
        <w:t xml:space="preserve"> determined above using the amounts per fish data directly is good.</w:t>
      </w:r>
    </w:p>
    <w:p w14:paraId="3B6E3B4B" w14:textId="77777777" w:rsidR="00526CD0" w:rsidRDefault="00526CD0" w:rsidP="00526CD0">
      <w:pPr>
        <w:pStyle w:val="ListParagraph"/>
        <w:autoSpaceDE w:val="0"/>
        <w:autoSpaceDN w:val="0"/>
        <w:adjustRightInd w:val="0"/>
        <w:ind w:right="515"/>
        <w:jc w:val="both"/>
      </w:pPr>
    </w:p>
    <w:p w14:paraId="0EE580C5" w14:textId="77777777" w:rsidR="00526CD0" w:rsidRDefault="00526CD0" w:rsidP="00686834">
      <w:pPr>
        <w:pStyle w:val="ListParagraph"/>
        <w:widowControl/>
        <w:numPr>
          <w:ilvl w:val="0"/>
          <w:numId w:val="20"/>
        </w:numPr>
        <w:autoSpaceDE w:val="0"/>
        <w:autoSpaceDN w:val="0"/>
        <w:adjustRightInd w:val="0"/>
        <w:ind w:right="515"/>
        <w:contextualSpacing/>
        <w:jc w:val="both"/>
      </w:pPr>
      <w:r>
        <w:t>It is also important to note that the above depuration rate constants are obtained by including the value for day 49 of uptake in the depuration plot. As noted earlier, for both anti-DP and syn-DP there was a relatively rapid decrease from the value on day 49 of uptake to that on day 7 of depuration. The inclusion of the day 49 of uptake value for the estimation of the depuration rate constant could be questioned as the fish were still being exposed on day 49. When the day 49 of uptake value is omitted, the growth-corrected depuration rate constant (k</w:t>
      </w:r>
      <w:r>
        <w:rPr>
          <w:vertAlign w:val="subscript"/>
        </w:rPr>
        <w:t>2g</w:t>
      </w:r>
      <w:r>
        <w:t>) obtained from the amount per fish data is lower than the above values, around 0.017 d</w:t>
      </w:r>
      <w:r>
        <w:rPr>
          <w:vertAlign w:val="superscript"/>
        </w:rPr>
        <w:t>-1</w:t>
      </w:r>
      <w:r w:rsidR="00A9101B">
        <w:t xml:space="preserve"> for anti-DP and 0.0099 d</w:t>
      </w:r>
      <w:r>
        <w:rPr>
          <w:vertAlign w:val="superscript"/>
        </w:rPr>
        <w:t>-1</w:t>
      </w:r>
      <w:r>
        <w:t xml:space="preserve"> for syn-DP. Again these values are reasonably consistent with the above estimates.</w:t>
      </w:r>
    </w:p>
    <w:p w14:paraId="1589B4D9" w14:textId="77777777" w:rsidR="00526CD0" w:rsidRDefault="00526CD0" w:rsidP="00526CD0">
      <w:pPr>
        <w:autoSpaceDE w:val="0"/>
        <w:autoSpaceDN w:val="0"/>
        <w:adjustRightInd w:val="0"/>
        <w:ind w:right="515"/>
        <w:jc w:val="both"/>
      </w:pPr>
    </w:p>
    <w:p w14:paraId="5EEBB3E9" w14:textId="77777777" w:rsidR="00526CD0" w:rsidRDefault="00526CD0" w:rsidP="00686834">
      <w:pPr>
        <w:pStyle w:val="ListParagraph"/>
        <w:widowControl/>
        <w:numPr>
          <w:ilvl w:val="0"/>
          <w:numId w:val="20"/>
        </w:numPr>
        <w:autoSpaceDE w:val="0"/>
        <w:autoSpaceDN w:val="0"/>
        <w:adjustRightInd w:val="0"/>
        <w:ind w:right="515"/>
        <w:contextualSpacing/>
        <w:jc w:val="both"/>
      </w:pPr>
      <w:r>
        <w:t>The assimilation efficiency was calculated with the equation:</w:t>
      </w:r>
    </w:p>
    <w:p w14:paraId="1361CBA3" w14:textId="77777777" w:rsidR="00526CD0" w:rsidRDefault="00526CD0" w:rsidP="00526CD0">
      <w:pPr>
        <w:pStyle w:val="ListParagraph"/>
        <w:autoSpaceDE w:val="0"/>
        <w:autoSpaceDN w:val="0"/>
        <w:adjustRightInd w:val="0"/>
        <w:ind w:right="515"/>
        <w:jc w:val="both"/>
      </w:pPr>
    </w:p>
    <w:p w14:paraId="29CDE576" w14:textId="77777777" w:rsidR="00526CD0" w:rsidRDefault="00526CD0" w:rsidP="00526CD0">
      <w:pPr>
        <w:autoSpaceDE w:val="0"/>
        <w:autoSpaceDN w:val="0"/>
        <w:adjustRightInd w:val="0"/>
        <w:ind w:right="515" w:firstLine="720"/>
        <w:jc w:val="center"/>
        <w:rPr>
          <w:u w:val="single"/>
        </w:rPr>
      </w:pPr>
      <w:r>
        <w:rPr>
          <w:u w:val="single"/>
        </w:rPr>
        <w:t>(control-corrected concentration in fish × mass of fish)</w:t>
      </w:r>
    </w:p>
    <w:p w14:paraId="5AE8B103" w14:textId="77777777" w:rsidR="00526CD0" w:rsidRDefault="00526CD0" w:rsidP="00526CD0">
      <w:pPr>
        <w:autoSpaceDE w:val="0"/>
        <w:autoSpaceDN w:val="0"/>
        <w:adjustRightInd w:val="0"/>
        <w:ind w:right="515" w:firstLine="720"/>
        <w:jc w:val="center"/>
      </w:pPr>
      <w:r>
        <w:t>(control-corrected concentration in food × mass of food eaten)</w:t>
      </w:r>
    </w:p>
    <w:p w14:paraId="2BDBB56E" w14:textId="77777777" w:rsidR="00526CD0" w:rsidRDefault="00526CD0" w:rsidP="00526CD0">
      <w:pPr>
        <w:autoSpaceDE w:val="0"/>
        <w:autoSpaceDN w:val="0"/>
        <w:adjustRightInd w:val="0"/>
        <w:ind w:right="515"/>
        <w:jc w:val="both"/>
      </w:pPr>
    </w:p>
    <w:p w14:paraId="26CC01AC" w14:textId="77777777" w:rsidR="00526CD0" w:rsidRDefault="00526CD0" w:rsidP="00526CD0">
      <w:pPr>
        <w:pStyle w:val="ListParagraph"/>
        <w:autoSpaceDE w:val="0"/>
        <w:autoSpaceDN w:val="0"/>
        <w:adjustRightInd w:val="0"/>
        <w:ind w:right="515"/>
        <w:jc w:val="both"/>
      </w:pPr>
      <w:r>
        <w:t>In contrast, the OECD TG recommends that it is calculated using the equation:</w:t>
      </w:r>
    </w:p>
    <w:p w14:paraId="7B68EC9C" w14:textId="77777777" w:rsidR="00C34826" w:rsidRDefault="00C34826" w:rsidP="00526CD0">
      <w:pPr>
        <w:pStyle w:val="ListParagraph"/>
        <w:autoSpaceDE w:val="0"/>
        <w:autoSpaceDN w:val="0"/>
        <w:adjustRightInd w:val="0"/>
        <w:ind w:right="515"/>
        <w:jc w:val="both"/>
      </w:pPr>
    </w:p>
    <w:p w14:paraId="034A27AB" w14:textId="77777777" w:rsidR="00526CD0" w:rsidRPr="00C34826" w:rsidRDefault="00526CD0" w:rsidP="00526CD0">
      <w:pPr>
        <w:pStyle w:val="ListParagraph"/>
        <w:autoSpaceDE w:val="0"/>
        <w:autoSpaceDN w:val="0"/>
        <w:adjustRightInd w:val="0"/>
        <w:ind w:left="993" w:right="799"/>
        <w:jc w:val="both"/>
      </w:pPr>
      <w:r>
        <w:t>(derived concentra</w:t>
      </w:r>
      <w:r w:rsidRPr="00C34826">
        <w:t>tion in fish at time zero of the depuration phase × overall (not growth-corrected) depuration rate constant) / (food ingestion rate constant × concentration in food × (1 – e</w:t>
      </w:r>
      <w:r w:rsidRPr="00C34826">
        <w:rPr>
          <w:vertAlign w:val="superscript"/>
        </w:rPr>
        <w:t>-(overall depuration constant × uptake duration)</w:t>
      </w:r>
      <w:r w:rsidRPr="00C34826">
        <w:t>)</w:t>
      </w:r>
    </w:p>
    <w:p w14:paraId="4EE07C80" w14:textId="77777777" w:rsidR="00526CD0" w:rsidRPr="00C34826" w:rsidRDefault="00526CD0" w:rsidP="00526CD0">
      <w:pPr>
        <w:pStyle w:val="ListParagraph"/>
        <w:autoSpaceDE w:val="0"/>
        <w:autoSpaceDN w:val="0"/>
        <w:adjustRightInd w:val="0"/>
        <w:ind w:right="515"/>
        <w:jc w:val="both"/>
      </w:pPr>
    </w:p>
    <w:p w14:paraId="151508E1" w14:textId="77777777" w:rsidR="00526CD0" w:rsidRDefault="00C34826" w:rsidP="00526CD0">
      <w:pPr>
        <w:pStyle w:val="ListParagraph"/>
        <w:autoSpaceDE w:val="0"/>
        <w:autoSpaceDN w:val="0"/>
        <w:adjustRightInd w:val="0"/>
        <w:ind w:right="515"/>
        <w:jc w:val="both"/>
      </w:pPr>
      <w:r w:rsidRPr="00C34826">
        <w:t>T</w:t>
      </w:r>
      <w:r w:rsidR="00526CD0" w:rsidRPr="00C34826">
        <w:t xml:space="preserve">his calculation </w:t>
      </w:r>
      <w:r w:rsidRPr="00C34826">
        <w:t xml:space="preserve">cannot be performed </w:t>
      </w:r>
      <w:r w:rsidR="00526CD0" w:rsidRPr="00C34826">
        <w:t>precisely due to the lack of raw data, but it is possible to use the estimates for the k</w:t>
      </w:r>
      <w:r w:rsidR="00526CD0" w:rsidRPr="00C34826">
        <w:rPr>
          <w:vertAlign w:val="subscript"/>
        </w:rPr>
        <w:t>2</w:t>
      </w:r>
      <w:r w:rsidR="00526CD0" w:rsidRPr="00C34826">
        <w:t xml:space="preserve"> value obtained above to estimate a value for the assimilation efficiency. The value of the concentration in fish at time zero of the depuration phase (C</w:t>
      </w:r>
      <w:r w:rsidR="00526CD0" w:rsidRPr="00C34826">
        <w:rPr>
          <w:vertAlign w:val="subscript"/>
        </w:rPr>
        <w:t>0</w:t>
      </w:r>
      <w:r w:rsidR="00526CD0" w:rsidRPr="00C34826">
        <w:t>) can be estimated to be around 0.0059 μg/g (lipid?) for anti-DP, and around 0.0075 μg/g (lipid?) for syn-DP, from the plot of ln [back-calculated concentration] versus time. As mentioned above it is not clear if these are lipid-normalised concentrations or not. Using the known concentrations in food (1.17 µg/g (lipid weight) for the anti- isomer and 0.79 µg/g (lipid weight) of the syn- isomer), the values of the overall depuration rate constants estimated above (0.027 d</w:t>
      </w:r>
      <w:r w:rsidR="00526CD0" w:rsidRPr="00C34826">
        <w:rPr>
          <w:vertAlign w:val="superscript"/>
        </w:rPr>
        <w:t>-1</w:t>
      </w:r>
      <w:r w:rsidR="00526CD0" w:rsidRPr="00C34826">
        <w:t xml:space="preserve"> for anti-DP and 0.020 d</w:t>
      </w:r>
      <w:r w:rsidR="00526CD0" w:rsidRPr="00C34826">
        <w:rPr>
          <w:vertAlign w:val="superscript"/>
        </w:rPr>
        <w:t>-1</w:t>
      </w:r>
      <w:r w:rsidR="00526CD0" w:rsidRPr="00C34826">
        <w:t xml:space="preserve"> for syn-DP) and the feeding rate</w:t>
      </w:r>
      <w:r w:rsidR="00526CD0" w:rsidRPr="00C34826">
        <w:rPr>
          <w:rStyle w:val="FootnoteReference"/>
          <w:rFonts w:ascii="Verdana" w:hAnsi="Verdana"/>
          <w:sz w:val="20"/>
        </w:rPr>
        <w:footnoteReference w:id="22"/>
      </w:r>
      <w:r w:rsidR="00526CD0" w:rsidRPr="00C34826">
        <w:t>, the assimilation efficiency</w:t>
      </w:r>
      <w:r w:rsidR="00526CD0">
        <w:t xml:space="preserve"> can be roughly estimated as 0.008 (0.8</w:t>
      </w:r>
      <w:r w:rsidR="00A9101B">
        <w:t xml:space="preserve"> %</w:t>
      </w:r>
      <w:r w:rsidR="00526CD0">
        <w:t>) for anti-DP and 0.016 (1.6</w:t>
      </w:r>
      <w:r w:rsidR="00A9101B">
        <w:t xml:space="preserve"> %</w:t>
      </w:r>
      <w:r w:rsidR="00526CD0">
        <w:t xml:space="preserve">) for syn-DP. These values are significantly lower than estimated by Tomy </w:t>
      </w:r>
      <w:r w:rsidR="00526CD0">
        <w:rPr>
          <w:i/>
        </w:rPr>
        <w:t>et al</w:t>
      </w:r>
      <w:r w:rsidR="00526CD0">
        <w:t>. (2008).</w:t>
      </w:r>
    </w:p>
    <w:p w14:paraId="63026A11" w14:textId="77777777" w:rsidR="00526CD0" w:rsidRDefault="00526CD0" w:rsidP="00526CD0">
      <w:pPr>
        <w:autoSpaceDE w:val="0"/>
        <w:autoSpaceDN w:val="0"/>
        <w:adjustRightInd w:val="0"/>
        <w:ind w:right="515"/>
        <w:jc w:val="both"/>
      </w:pPr>
    </w:p>
    <w:p w14:paraId="6EABEF35" w14:textId="77777777" w:rsidR="00526CD0" w:rsidRDefault="00526CD0" w:rsidP="00686834">
      <w:pPr>
        <w:pStyle w:val="ListParagraph"/>
        <w:widowControl/>
        <w:numPr>
          <w:ilvl w:val="0"/>
          <w:numId w:val="20"/>
        </w:numPr>
        <w:autoSpaceDE w:val="0"/>
        <w:autoSpaceDN w:val="0"/>
        <w:adjustRightInd w:val="0"/>
        <w:ind w:right="515"/>
        <w:contextualSpacing/>
        <w:jc w:val="both"/>
      </w:pPr>
      <w:r>
        <w:t>Depuration half-life was calculated by the formula ln(2)/depuration rate constant. This is the same as OECD 305, except that for the latter, the growth-corrected depuration rate constant can be used. As the authors seem to have corrected the data for growth prior to analysis, then presumably the derived half-life is effectively already growth-corrected (see above and as also assumed by Arnot &amp; Quinn, 2015).</w:t>
      </w:r>
    </w:p>
    <w:p w14:paraId="5504A6B5" w14:textId="77777777" w:rsidR="00526CD0" w:rsidRDefault="00526CD0" w:rsidP="00526CD0">
      <w:pPr>
        <w:autoSpaceDE w:val="0"/>
        <w:autoSpaceDN w:val="0"/>
        <w:adjustRightInd w:val="0"/>
        <w:ind w:right="515"/>
        <w:jc w:val="both"/>
      </w:pPr>
    </w:p>
    <w:p w14:paraId="2E7C61AB" w14:textId="77777777" w:rsidR="00526CD0" w:rsidRDefault="00526CD0" w:rsidP="00686834">
      <w:pPr>
        <w:pStyle w:val="ListParagraph"/>
        <w:widowControl/>
        <w:numPr>
          <w:ilvl w:val="0"/>
          <w:numId w:val="20"/>
        </w:numPr>
        <w:autoSpaceDE w:val="0"/>
        <w:autoSpaceDN w:val="0"/>
        <w:adjustRightInd w:val="0"/>
        <w:ind w:right="515"/>
        <w:contextualSpacing/>
        <w:jc w:val="both"/>
      </w:pPr>
      <w:r>
        <w:t xml:space="preserve">The equilibrium biomagnification factor (BMF) was predicted from the equation (assimilation efficiency × feeding rate) / depuration rate constant, where the feeding rate is “corrected for the lipid percentage of the food”. The OECD TG 305 uses the same equation, with lipid correction for the feeding rate where lipid-corrected concentration data have been used. As the authors seem to have corrected the data for lipid prior to analysis, then presumably the reported BMFs can be considered to be lipid-normalised. However, as noted above the method used by Tomy </w:t>
      </w:r>
      <w:r>
        <w:rPr>
          <w:i/>
        </w:rPr>
        <w:t>et al</w:t>
      </w:r>
      <w:r>
        <w:t>. (2008) to estimate the assimilation efficiency is different to that recommended in OECD TG 305. This may be important when comparing the data with the results of other substances.</w:t>
      </w:r>
    </w:p>
    <w:p w14:paraId="74BBB6E2" w14:textId="77777777" w:rsidR="00526CD0" w:rsidRDefault="00526CD0" w:rsidP="00526CD0">
      <w:pPr>
        <w:pStyle w:val="ListParagraph"/>
      </w:pPr>
    </w:p>
    <w:p w14:paraId="6063ED2B" w14:textId="77777777" w:rsidR="00526CD0" w:rsidRDefault="00526CD0" w:rsidP="00686834">
      <w:pPr>
        <w:pStyle w:val="ListParagraph"/>
        <w:widowControl/>
        <w:numPr>
          <w:ilvl w:val="0"/>
          <w:numId w:val="20"/>
        </w:numPr>
        <w:autoSpaceDE w:val="0"/>
        <w:autoSpaceDN w:val="0"/>
        <w:adjustRightInd w:val="0"/>
        <w:ind w:right="515"/>
        <w:contextualSpacing/>
        <w:jc w:val="both"/>
      </w:pPr>
      <w:r>
        <w:t xml:space="preserve">For the uptake phase, Tomy </w:t>
      </w:r>
      <w:r>
        <w:rPr>
          <w:i/>
        </w:rPr>
        <w:t>et al.</w:t>
      </w:r>
      <w:r>
        <w:t xml:space="preserve"> (2008) appear to report rates (in units of nmoles/day) rather than the rate constant (which has units of g/g/day). It is, however, possible to estimate an approximate rate constant for the uptake (k</w:t>
      </w:r>
      <w:r>
        <w:rPr>
          <w:vertAlign w:val="subscript"/>
        </w:rPr>
        <w:t>1</w:t>
      </w:r>
      <w:r>
        <w:t>) from the initial rate of uptake</w:t>
      </w:r>
      <w:r w:rsidRPr="00C968A8">
        <w:rPr>
          <w:rStyle w:val="FootnoteReference"/>
          <w:rFonts w:ascii="Verdana" w:hAnsi="Verdana"/>
          <w:sz w:val="20"/>
        </w:rPr>
        <w:footnoteReference w:id="23"/>
      </w:r>
      <w:r>
        <w:t>. Using the reported initial rates of uptake of 0.018 nmol/day for anti-DP and 0.045 nmol/day for syn-DP, the equivalent values of k</w:t>
      </w:r>
      <w:r>
        <w:rPr>
          <w:vertAlign w:val="subscript"/>
        </w:rPr>
        <w:t>1</w:t>
      </w:r>
      <w:r>
        <w:t xml:space="preserve"> can be estimated as 0.0002 g/g/day for anti-DP and 0.00075 g/g/day for syn-DP. These values of k</w:t>
      </w:r>
      <w:r>
        <w:rPr>
          <w:vertAlign w:val="subscript"/>
        </w:rPr>
        <w:t>1</w:t>
      </w:r>
      <w:r>
        <w:t xml:space="preserve"> correspond to an assimilation efficiency of approximately 0.02 (2</w:t>
      </w:r>
      <w:r w:rsidR="00C34826">
        <w:t> </w:t>
      </w:r>
      <w:r w:rsidR="00A9101B">
        <w:t>%</w:t>
      </w:r>
      <w:r>
        <w:t>) for anti-DP and 0.075 (7.5</w:t>
      </w:r>
      <w:r w:rsidR="00A9101B">
        <w:t xml:space="preserve"> %</w:t>
      </w:r>
      <w:r>
        <w:t xml:space="preserve"> for syn-DP). Assuming the growth-corrected depuration rate constant (k</w:t>
      </w:r>
      <w:r>
        <w:rPr>
          <w:vertAlign w:val="subscript"/>
        </w:rPr>
        <w:t>2g</w:t>
      </w:r>
      <w:r>
        <w:t>) is around 0.019 d</w:t>
      </w:r>
      <w:r>
        <w:rPr>
          <w:vertAlign w:val="superscript"/>
        </w:rPr>
        <w:t>-1</w:t>
      </w:r>
      <w:r>
        <w:t xml:space="preserve"> for anti-DP and 0.012 d</w:t>
      </w:r>
      <w:r>
        <w:rPr>
          <w:vertAlign w:val="superscript"/>
        </w:rPr>
        <w:noBreakHyphen/>
        <w:t>1</w:t>
      </w:r>
      <w:r>
        <w:t xml:space="preserve"> for syn-DP, the kinetic, growth-corrected BMF</w:t>
      </w:r>
      <w:r>
        <w:rPr>
          <w:vertAlign w:val="subscript"/>
        </w:rPr>
        <w:t>kg</w:t>
      </w:r>
      <w:r>
        <w:t xml:space="preserve"> can be estimated to be around 0.01 for anti-DP and 0.062 for syn-DP. Normalising these values to the lipid contents in fish at day 49 and the lipid concentration in food, gives the growth-corrected and lipid normalised BMF</w:t>
      </w:r>
      <w:r>
        <w:rPr>
          <w:vertAlign w:val="subscript"/>
        </w:rPr>
        <w:t>kgL</w:t>
      </w:r>
      <w:r>
        <w:t xml:space="preserve"> as around 0.022 for anti-DP and 0.12 for syn-DP. However, it should be noted that it is not clear how the raw data were lipid-normalised in the original study and so these lipid-normalised values should be treated with caution.</w:t>
      </w:r>
    </w:p>
    <w:p w14:paraId="748E6834" w14:textId="77777777" w:rsidR="00526CD0" w:rsidRDefault="00526CD0" w:rsidP="00526CD0">
      <w:pPr>
        <w:autoSpaceDE w:val="0"/>
        <w:autoSpaceDN w:val="0"/>
        <w:adjustRightInd w:val="0"/>
        <w:ind w:right="515"/>
        <w:jc w:val="both"/>
      </w:pPr>
    </w:p>
    <w:p w14:paraId="16408E13" w14:textId="77777777" w:rsidR="00526CD0" w:rsidRDefault="00526CD0" w:rsidP="00C968A8">
      <w:pPr>
        <w:pStyle w:val="BodyText"/>
        <w:jc w:val="both"/>
      </w:pPr>
      <w:r>
        <w:t>Whilst the study is considered to be reliable with restrictions by the Registrant, access to the original raw data is requi</w:t>
      </w:r>
      <w:r w:rsidR="00C34826">
        <w:t>red for proper interpretation. An attempt to contact t</w:t>
      </w:r>
      <w:r>
        <w:t>he lead author</w:t>
      </w:r>
      <w:r w:rsidR="00C34826">
        <w:t xml:space="preserve"> was unsuccessful, </w:t>
      </w:r>
      <w:r>
        <w:t xml:space="preserve">and so a number of assumptions and approximations have had to be made in order to attempt to calculate the appropriate kinetic parameters from the data. This has necessarily introduced some uncertainty into the analysis but the results of re-analysis suggests that the actual BMF from the study is much lower than originally reported by Tomy </w:t>
      </w:r>
      <w:r>
        <w:rPr>
          <w:i/>
        </w:rPr>
        <w:t>et al.</w:t>
      </w:r>
      <w:r>
        <w:t xml:space="preserve"> (2008). The main findings of the r</w:t>
      </w:r>
      <w:r w:rsidR="00C34826">
        <w:t>e-analysis are summarised below:</w:t>
      </w:r>
      <w:r w:rsidR="00C968A8">
        <w:tab/>
      </w:r>
    </w:p>
    <w:tbl>
      <w:tblPr>
        <w:tblStyle w:val="PlainTable4"/>
        <w:tblW w:w="0" w:type="auto"/>
        <w:tblLook w:val="04A0" w:firstRow="1" w:lastRow="0" w:firstColumn="1" w:lastColumn="0" w:noHBand="0" w:noVBand="1"/>
      </w:tblPr>
      <w:tblGrid>
        <w:gridCol w:w="5381"/>
        <w:gridCol w:w="2126"/>
        <w:gridCol w:w="1696"/>
      </w:tblGrid>
      <w:tr w:rsidR="00C34826" w14:paraId="3922AF92" w14:textId="77777777" w:rsidTr="00C968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1" w:type="dxa"/>
          </w:tcPr>
          <w:p w14:paraId="45973A0E" w14:textId="77777777" w:rsidR="00C34826" w:rsidRDefault="00C34826" w:rsidP="00526CD0">
            <w:pPr>
              <w:pStyle w:val="BodyText"/>
              <w:ind w:right="232"/>
            </w:pPr>
          </w:p>
        </w:tc>
        <w:tc>
          <w:tcPr>
            <w:tcW w:w="2126" w:type="dxa"/>
          </w:tcPr>
          <w:p w14:paraId="559B0C0B" w14:textId="77777777" w:rsidR="00C34826" w:rsidRDefault="00C34826" w:rsidP="00526CD0">
            <w:pPr>
              <w:pStyle w:val="BodyText"/>
              <w:ind w:right="232"/>
              <w:cnfStyle w:val="100000000000" w:firstRow="1" w:lastRow="0" w:firstColumn="0" w:lastColumn="0" w:oddVBand="0" w:evenVBand="0" w:oddHBand="0" w:evenHBand="0" w:firstRowFirstColumn="0" w:firstRowLastColumn="0" w:lastRowFirstColumn="0" w:lastRowLastColumn="0"/>
            </w:pPr>
            <w:r>
              <w:t>Anti-DP</w:t>
            </w:r>
          </w:p>
        </w:tc>
        <w:tc>
          <w:tcPr>
            <w:tcW w:w="1696" w:type="dxa"/>
          </w:tcPr>
          <w:p w14:paraId="3829DD7C" w14:textId="77777777" w:rsidR="00C34826" w:rsidRDefault="00C34826" w:rsidP="00526CD0">
            <w:pPr>
              <w:pStyle w:val="BodyText"/>
              <w:ind w:right="232"/>
              <w:cnfStyle w:val="100000000000" w:firstRow="1" w:lastRow="0" w:firstColumn="0" w:lastColumn="0" w:oddVBand="0" w:evenVBand="0" w:oddHBand="0" w:evenHBand="0" w:firstRowFirstColumn="0" w:firstRowLastColumn="0" w:lastRowFirstColumn="0" w:lastRowLastColumn="0"/>
            </w:pPr>
            <w:r>
              <w:t>Syn-DP</w:t>
            </w:r>
          </w:p>
        </w:tc>
      </w:tr>
      <w:tr w:rsidR="00C34826" w14:paraId="13CB7912" w14:textId="77777777" w:rsidTr="00C968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1" w:type="dxa"/>
          </w:tcPr>
          <w:p w14:paraId="02B63F7F" w14:textId="77777777" w:rsidR="00C34826" w:rsidRDefault="00C34826" w:rsidP="00526CD0">
            <w:pPr>
              <w:pStyle w:val="BodyText"/>
              <w:ind w:right="232"/>
            </w:pPr>
            <w:r>
              <w:t>Growth-corrected depuration rate constant</w:t>
            </w:r>
          </w:p>
        </w:tc>
        <w:tc>
          <w:tcPr>
            <w:tcW w:w="2126" w:type="dxa"/>
          </w:tcPr>
          <w:p w14:paraId="24AE9B3E" w14:textId="77777777" w:rsidR="00C34826" w:rsidRDefault="00C34826" w:rsidP="00526CD0">
            <w:pPr>
              <w:pStyle w:val="BodyText"/>
              <w:ind w:right="232"/>
              <w:cnfStyle w:val="000000100000" w:firstRow="0" w:lastRow="0" w:firstColumn="0" w:lastColumn="0" w:oddVBand="0" w:evenVBand="0" w:oddHBand="1" w:evenHBand="0" w:firstRowFirstColumn="0" w:firstRowLastColumn="0" w:lastRowFirstColumn="0" w:lastRowLastColumn="0"/>
            </w:pPr>
            <w:r>
              <w:t>~0.019 d</w:t>
            </w:r>
            <w:r>
              <w:rPr>
                <w:vertAlign w:val="superscript"/>
              </w:rPr>
              <w:t>-1</w:t>
            </w:r>
          </w:p>
        </w:tc>
        <w:tc>
          <w:tcPr>
            <w:tcW w:w="1696" w:type="dxa"/>
          </w:tcPr>
          <w:p w14:paraId="59866487" w14:textId="77777777" w:rsidR="00C34826" w:rsidRDefault="00C34826" w:rsidP="00526CD0">
            <w:pPr>
              <w:pStyle w:val="BodyText"/>
              <w:ind w:right="232"/>
              <w:cnfStyle w:val="000000100000" w:firstRow="0" w:lastRow="0" w:firstColumn="0" w:lastColumn="0" w:oddVBand="0" w:evenVBand="0" w:oddHBand="1" w:evenHBand="0" w:firstRowFirstColumn="0" w:firstRowLastColumn="0" w:lastRowFirstColumn="0" w:lastRowLastColumn="0"/>
            </w:pPr>
            <w:r>
              <w:t>~0.012 d</w:t>
            </w:r>
            <w:r>
              <w:rPr>
                <w:vertAlign w:val="superscript"/>
              </w:rPr>
              <w:t>-1</w:t>
            </w:r>
          </w:p>
        </w:tc>
      </w:tr>
      <w:tr w:rsidR="00C34826" w14:paraId="759074C7" w14:textId="77777777" w:rsidTr="00C968A8">
        <w:tc>
          <w:tcPr>
            <w:cnfStyle w:val="001000000000" w:firstRow="0" w:lastRow="0" w:firstColumn="1" w:lastColumn="0" w:oddVBand="0" w:evenVBand="0" w:oddHBand="0" w:evenHBand="0" w:firstRowFirstColumn="0" w:firstRowLastColumn="0" w:lastRowFirstColumn="0" w:lastRowLastColumn="0"/>
            <w:tcW w:w="5381" w:type="dxa"/>
          </w:tcPr>
          <w:p w14:paraId="7FF05BD6" w14:textId="77777777" w:rsidR="00C34826" w:rsidRDefault="00C34826" w:rsidP="00526CD0">
            <w:pPr>
              <w:pStyle w:val="BodyText"/>
              <w:ind w:right="232"/>
            </w:pPr>
            <w:r>
              <w:t>Growth-corrected depuration half-life</w:t>
            </w:r>
          </w:p>
        </w:tc>
        <w:tc>
          <w:tcPr>
            <w:tcW w:w="2126" w:type="dxa"/>
          </w:tcPr>
          <w:p w14:paraId="430018B4" w14:textId="77777777" w:rsidR="00C34826" w:rsidRDefault="00C34826" w:rsidP="00526CD0">
            <w:pPr>
              <w:pStyle w:val="BodyText"/>
              <w:ind w:right="232"/>
              <w:cnfStyle w:val="000000000000" w:firstRow="0" w:lastRow="0" w:firstColumn="0" w:lastColumn="0" w:oddVBand="0" w:evenVBand="0" w:oddHBand="0" w:evenHBand="0" w:firstRowFirstColumn="0" w:firstRowLastColumn="0" w:lastRowFirstColumn="0" w:lastRowLastColumn="0"/>
            </w:pPr>
            <w:r>
              <w:t>~36 days</w:t>
            </w:r>
          </w:p>
        </w:tc>
        <w:tc>
          <w:tcPr>
            <w:tcW w:w="1696" w:type="dxa"/>
          </w:tcPr>
          <w:p w14:paraId="75C083E2" w14:textId="77777777" w:rsidR="00C34826" w:rsidRDefault="00C34826" w:rsidP="00526CD0">
            <w:pPr>
              <w:pStyle w:val="BodyText"/>
              <w:ind w:right="232"/>
              <w:cnfStyle w:val="000000000000" w:firstRow="0" w:lastRow="0" w:firstColumn="0" w:lastColumn="0" w:oddVBand="0" w:evenVBand="0" w:oddHBand="0" w:evenHBand="0" w:firstRowFirstColumn="0" w:firstRowLastColumn="0" w:lastRowFirstColumn="0" w:lastRowLastColumn="0"/>
            </w:pPr>
            <w:r>
              <w:t>~58 days</w:t>
            </w:r>
          </w:p>
        </w:tc>
      </w:tr>
      <w:tr w:rsidR="00C34826" w14:paraId="1B16FBB0" w14:textId="77777777" w:rsidTr="00C968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1" w:type="dxa"/>
          </w:tcPr>
          <w:p w14:paraId="41DCE3EA" w14:textId="77777777" w:rsidR="00C34826" w:rsidRDefault="00C34826" w:rsidP="00526CD0">
            <w:pPr>
              <w:pStyle w:val="BodyText"/>
              <w:ind w:right="232"/>
            </w:pPr>
            <w:r>
              <w:t>Assimilation efficiency</w:t>
            </w:r>
          </w:p>
        </w:tc>
        <w:tc>
          <w:tcPr>
            <w:tcW w:w="2126" w:type="dxa"/>
          </w:tcPr>
          <w:p w14:paraId="522057F5" w14:textId="77777777" w:rsidR="00C34826" w:rsidRDefault="00C34826" w:rsidP="00526CD0">
            <w:pPr>
              <w:pStyle w:val="BodyText"/>
              <w:ind w:right="232"/>
              <w:cnfStyle w:val="000000100000" w:firstRow="0" w:lastRow="0" w:firstColumn="0" w:lastColumn="0" w:oddVBand="0" w:evenVBand="0" w:oddHBand="1" w:evenHBand="0" w:firstRowFirstColumn="0" w:firstRowLastColumn="0" w:lastRowFirstColumn="0" w:lastRowLastColumn="0"/>
            </w:pPr>
            <w:r>
              <w:t>~0.8-2 %</w:t>
            </w:r>
          </w:p>
        </w:tc>
        <w:tc>
          <w:tcPr>
            <w:tcW w:w="1696" w:type="dxa"/>
          </w:tcPr>
          <w:p w14:paraId="3DDB2493" w14:textId="77777777" w:rsidR="00C34826" w:rsidRDefault="00C34826" w:rsidP="00526CD0">
            <w:pPr>
              <w:pStyle w:val="BodyText"/>
              <w:ind w:right="232"/>
              <w:cnfStyle w:val="000000100000" w:firstRow="0" w:lastRow="0" w:firstColumn="0" w:lastColumn="0" w:oddVBand="0" w:evenVBand="0" w:oddHBand="1" w:evenHBand="0" w:firstRowFirstColumn="0" w:firstRowLastColumn="0" w:lastRowFirstColumn="0" w:lastRowLastColumn="0"/>
            </w:pPr>
            <w:r>
              <w:t>~1.6-7.5 %</w:t>
            </w:r>
          </w:p>
        </w:tc>
      </w:tr>
      <w:tr w:rsidR="00C34826" w14:paraId="4B86D20C" w14:textId="77777777" w:rsidTr="00C968A8">
        <w:tc>
          <w:tcPr>
            <w:cnfStyle w:val="001000000000" w:firstRow="0" w:lastRow="0" w:firstColumn="1" w:lastColumn="0" w:oddVBand="0" w:evenVBand="0" w:oddHBand="0" w:evenHBand="0" w:firstRowFirstColumn="0" w:firstRowLastColumn="0" w:lastRowFirstColumn="0" w:lastRowLastColumn="0"/>
            <w:tcW w:w="5381" w:type="dxa"/>
          </w:tcPr>
          <w:p w14:paraId="5BC25212" w14:textId="77777777" w:rsidR="00C34826" w:rsidRDefault="00C34826" w:rsidP="00526CD0">
            <w:pPr>
              <w:pStyle w:val="BodyText"/>
              <w:ind w:right="232"/>
            </w:pPr>
            <w:r>
              <w:t>Growth-corrected BMF</w:t>
            </w:r>
          </w:p>
        </w:tc>
        <w:tc>
          <w:tcPr>
            <w:tcW w:w="2126" w:type="dxa"/>
          </w:tcPr>
          <w:p w14:paraId="48D37326" w14:textId="77777777" w:rsidR="00C34826" w:rsidRDefault="00C34826" w:rsidP="00526CD0">
            <w:pPr>
              <w:pStyle w:val="BodyText"/>
              <w:ind w:right="232"/>
              <w:cnfStyle w:val="000000000000" w:firstRow="0" w:lastRow="0" w:firstColumn="0" w:lastColumn="0" w:oddVBand="0" w:evenVBand="0" w:oddHBand="0" w:evenHBand="0" w:firstRowFirstColumn="0" w:firstRowLastColumn="0" w:lastRowFirstColumn="0" w:lastRowLastColumn="0"/>
            </w:pPr>
            <w:r>
              <w:t>~0.01</w:t>
            </w:r>
          </w:p>
        </w:tc>
        <w:tc>
          <w:tcPr>
            <w:tcW w:w="1696" w:type="dxa"/>
          </w:tcPr>
          <w:p w14:paraId="72F5673F" w14:textId="77777777" w:rsidR="00C34826" w:rsidRDefault="00C34826" w:rsidP="00526CD0">
            <w:pPr>
              <w:pStyle w:val="BodyText"/>
              <w:ind w:right="232"/>
              <w:cnfStyle w:val="000000000000" w:firstRow="0" w:lastRow="0" w:firstColumn="0" w:lastColumn="0" w:oddVBand="0" w:evenVBand="0" w:oddHBand="0" w:evenHBand="0" w:firstRowFirstColumn="0" w:firstRowLastColumn="0" w:lastRowFirstColumn="0" w:lastRowLastColumn="0"/>
            </w:pPr>
            <w:r>
              <w:t>~0.062</w:t>
            </w:r>
          </w:p>
        </w:tc>
      </w:tr>
      <w:tr w:rsidR="00C34826" w14:paraId="4D76D33B" w14:textId="77777777" w:rsidTr="00C968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1" w:type="dxa"/>
          </w:tcPr>
          <w:p w14:paraId="0E35016F" w14:textId="77777777" w:rsidR="00C34826" w:rsidRDefault="00C968A8" w:rsidP="00526CD0">
            <w:pPr>
              <w:pStyle w:val="BodyText"/>
              <w:ind w:right="232"/>
            </w:pPr>
            <w:r>
              <w:t>Growth-corrected and lipid-normalised BMF</w:t>
            </w:r>
          </w:p>
        </w:tc>
        <w:tc>
          <w:tcPr>
            <w:tcW w:w="2126" w:type="dxa"/>
          </w:tcPr>
          <w:p w14:paraId="2284C875" w14:textId="77777777" w:rsidR="00C34826" w:rsidRDefault="00C968A8" w:rsidP="00526CD0">
            <w:pPr>
              <w:pStyle w:val="BodyText"/>
              <w:ind w:right="232"/>
              <w:cnfStyle w:val="000000100000" w:firstRow="0" w:lastRow="0" w:firstColumn="0" w:lastColumn="0" w:oddVBand="0" w:evenVBand="0" w:oddHBand="1" w:evenHBand="0" w:firstRowFirstColumn="0" w:firstRowLastColumn="0" w:lastRowFirstColumn="0" w:lastRowLastColumn="0"/>
            </w:pPr>
            <w:r>
              <w:t>~0.022</w:t>
            </w:r>
          </w:p>
        </w:tc>
        <w:tc>
          <w:tcPr>
            <w:tcW w:w="1696" w:type="dxa"/>
          </w:tcPr>
          <w:p w14:paraId="5B0AEEC5" w14:textId="77777777" w:rsidR="00C34826" w:rsidRDefault="00C968A8" w:rsidP="00526CD0">
            <w:pPr>
              <w:pStyle w:val="BodyText"/>
              <w:ind w:right="232"/>
              <w:cnfStyle w:val="000000100000" w:firstRow="0" w:lastRow="0" w:firstColumn="0" w:lastColumn="0" w:oddVBand="0" w:evenVBand="0" w:oddHBand="1" w:evenHBand="0" w:firstRowFirstColumn="0" w:firstRowLastColumn="0" w:lastRowFirstColumn="0" w:lastRowLastColumn="0"/>
            </w:pPr>
            <w:r>
              <w:t>~0.12</w:t>
            </w:r>
          </w:p>
        </w:tc>
      </w:tr>
    </w:tbl>
    <w:p w14:paraId="264DE4B4" w14:textId="51E21C89" w:rsidR="005C6506" w:rsidRDefault="005C6506">
      <w:pPr>
        <w:widowControl/>
      </w:pPr>
    </w:p>
    <w:p w14:paraId="154B90C1" w14:textId="77777777" w:rsidR="0059208A" w:rsidRDefault="00526CD0" w:rsidP="00C968A8">
      <w:pPr>
        <w:pStyle w:val="BodyText"/>
        <w:jc w:val="both"/>
      </w:pPr>
      <w:r>
        <w:t xml:space="preserve">This study has also been </w:t>
      </w:r>
      <w:r w:rsidR="00E02D05">
        <w:t>analysed</w:t>
      </w:r>
      <w:r>
        <w:t xml:space="preserve"> in depth by Arnot &amp; Quinn (2015) who critically reviewed a large number of published dietary feeding studies (based on information in the original publications rather than primary data). Arnot &amp; Quinn (2015) state that the BMFs derived by </w:t>
      </w:r>
      <w:r>
        <w:rPr>
          <w:rFonts w:cs="Utopia-Regular"/>
        </w:rPr>
        <w:t>Tomy</w:t>
      </w:r>
      <w:r>
        <w:t xml:space="preserve"> </w:t>
      </w:r>
      <w:r>
        <w:rPr>
          <w:i/>
        </w:rPr>
        <w:t>et al</w:t>
      </w:r>
      <w:r>
        <w:t xml:space="preserve">. (2008) are not reproducible: by reading the </w:t>
      </w:r>
      <w:r>
        <w:rPr>
          <w:rFonts w:cs="TimesNewRomanPSMT"/>
          <w:lang w:eastAsia="en-GB"/>
        </w:rPr>
        <w:t xml:space="preserve">depuration data from Figures 1 and 2 of the original paper (which plot the (control- and lipid-corrected) concentration of each isomer in nanomoles for whole body (minus liver) tissues against time in days), and transforming them (using natural logarithms) to re-calculate the depuration rate constant, growth-corrected kinetic BMFs of </w:t>
      </w:r>
      <w:r>
        <w:t xml:space="preserve">0.046 and </w:t>
      </w:r>
      <w:r>
        <w:rPr>
          <w:rFonts w:cs="TimesNewRomanPSMT"/>
          <w:lang w:eastAsia="en-GB"/>
        </w:rPr>
        <w:t xml:space="preserve">0.023 </w:t>
      </w:r>
      <w:r>
        <w:t>were estimated for the syn- and anti- isomers, respectively.</w:t>
      </w:r>
      <w:r>
        <w:rPr>
          <w:rFonts w:cs="TimesNewRomanPSMT"/>
          <w:lang w:eastAsia="en-GB"/>
        </w:rPr>
        <w:t xml:space="preserve"> </w:t>
      </w:r>
      <w:r>
        <w:t>These are reasonably consistent with the values estimated above.</w:t>
      </w:r>
      <w:r>
        <w:rPr>
          <w:rFonts w:cs="TimesNewRomanPSMT"/>
          <w:lang w:eastAsia="en-GB"/>
        </w:rPr>
        <w:t xml:space="preserve"> The re-estimated growth-corrected depuration rate constant and half-life for the syn- isomer were consistent with those provided in</w:t>
      </w:r>
      <w:r>
        <w:rPr>
          <w:rFonts w:cs="Utopia-Regular"/>
        </w:rPr>
        <w:t xml:space="preserve"> Tomy</w:t>
      </w:r>
      <w:r>
        <w:t xml:space="preserve"> </w:t>
      </w:r>
      <w:r>
        <w:rPr>
          <w:i/>
        </w:rPr>
        <w:t>et al</w:t>
      </w:r>
      <w:r>
        <w:t>. (2008), but t</w:t>
      </w:r>
      <w:r>
        <w:rPr>
          <w:rFonts w:cs="TimesNewRomanPSMT"/>
          <w:lang w:eastAsia="en-GB"/>
        </w:rPr>
        <w:t>he re-estimated growth-corrected depuration rate constant for the anti- isomer was slightly lower at 0.017 d</w:t>
      </w:r>
      <w:r>
        <w:rPr>
          <w:rFonts w:cs="TimesNewRomanPSMT"/>
          <w:vertAlign w:val="superscript"/>
          <w:lang w:eastAsia="en-GB"/>
        </w:rPr>
        <w:t>-1</w:t>
      </w:r>
      <w:r>
        <w:rPr>
          <w:rFonts w:cs="TimesNewRomanPSMT"/>
          <w:lang w:eastAsia="en-GB"/>
        </w:rPr>
        <w:t>, with a higher growth corrected depuration half-life of about 40 days (again these values are reasonably consistent with the values estimated above).</w:t>
      </w:r>
      <w:r>
        <w:t xml:space="preserve"> Arnot &amp; Quinn (2015) also estimated lipid-normalised growth-corrected BMFs, but given the uncertainty in how the lipid normalisation was done in the original paper, these values are not indicated here (they are slightly higher than the BMFs without lipid normalisation).</w:t>
      </w:r>
      <w:r w:rsidR="0059208A">
        <w:t xml:space="preserve"> </w:t>
      </w:r>
    </w:p>
    <w:p w14:paraId="0EFCFAE8" w14:textId="77777777" w:rsidR="0059208A" w:rsidRDefault="00526CD0" w:rsidP="0059208A">
      <w:pPr>
        <w:pStyle w:val="BodyText"/>
        <w:jc w:val="both"/>
      </w:pPr>
      <w:r>
        <w:rPr>
          <w:rFonts w:cs="Utopia-Regular"/>
        </w:rPr>
        <w:t>Tomy</w:t>
      </w:r>
      <w:r>
        <w:t xml:space="preserve"> </w:t>
      </w:r>
      <w:r>
        <w:rPr>
          <w:i/>
        </w:rPr>
        <w:t>et al</w:t>
      </w:r>
      <w:r>
        <w:t>. (2008) noted that in view of the high log K</w:t>
      </w:r>
      <w:r>
        <w:rPr>
          <w:vertAlign w:val="subscript"/>
        </w:rPr>
        <w:t>OW</w:t>
      </w:r>
      <w:r>
        <w:t xml:space="preserve"> of Dechlorane Plus and a BMF greater than 1, it is anticipated that Dechlorane Plus isomers will biomagnify in aquatic food webs. In contrast, the</w:t>
      </w:r>
      <w:r w:rsidR="00C34826">
        <w:t xml:space="preserve"> analysis presented in this report indicates th</w:t>
      </w:r>
      <w:r>
        <w:t xml:space="preserve">at </w:t>
      </w:r>
      <w:r w:rsidR="0059208A">
        <w:t xml:space="preserve">the BMFs </w:t>
      </w:r>
      <w:r w:rsidR="00E02D05">
        <w:t>actually deriv</w:t>
      </w:r>
      <w:r w:rsidR="0059208A">
        <w:t xml:space="preserve">ed by Tomy </w:t>
      </w:r>
      <w:r w:rsidR="0059208A">
        <w:rPr>
          <w:i/>
        </w:rPr>
        <w:t>et al.</w:t>
      </w:r>
      <w:r w:rsidR="0059208A">
        <w:t xml:space="preserve"> (2008) are unreliable and so they are not considered further in this dossier.</w:t>
      </w:r>
    </w:p>
    <w:p w14:paraId="1A325200" w14:textId="77777777" w:rsidR="00526CD0" w:rsidRDefault="0059208A" w:rsidP="00A9101B">
      <w:pPr>
        <w:pStyle w:val="BodyText"/>
        <w:widowControl/>
        <w:autoSpaceDE w:val="0"/>
        <w:autoSpaceDN w:val="0"/>
        <w:adjustRightInd w:val="0"/>
        <w:spacing w:after="180"/>
        <w:ind w:right="232"/>
        <w:jc w:val="both"/>
        <w:rPr>
          <w:b/>
          <w:i/>
        </w:rPr>
      </w:pPr>
      <w:r>
        <w:rPr>
          <w:b/>
          <w:i/>
        </w:rPr>
        <w:t>Conclusions</w:t>
      </w:r>
    </w:p>
    <w:p w14:paraId="17809AED" w14:textId="464918B6" w:rsidR="0059208A" w:rsidRDefault="009932BF" w:rsidP="00C968A8">
      <w:pPr>
        <w:pStyle w:val="BodyText"/>
        <w:jc w:val="both"/>
      </w:pPr>
      <w:r>
        <w:t xml:space="preserve">Overall the </w:t>
      </w:r>
      <w:r w:rsidR="000E2D00">
        <w:t>Dossier Submitter</w:t>
      </w:r>
      <w:r>
        <w:t xml:space="preserve"> agrees with the </w:t>
      </w:r>
      <w:r w:rsidR="005C6506">
        <w:t>R</w:t>
      </w:r>
      <w:r>
        <w:t xml:space="preserve">egistrant’s assignment of </w:t>
      </w:r>
      <w:r w:rsidR="005C6506">
        <w:t xml:space="preserve">the </w:t>
      </w:r>
      <w:r>
        <w:t xml:space="preserve">Tomy </w:t>
      </w:r>
      <w:r>
        <w:rPr>
          <w:i/>
        </w:rPr>
        <w:t>et al</w:t>
      </w:r>
      <w:r>
        <w:t>. (2008)</w:t>
      </w:r>
      <w:r w:rsidR="005C6506">
        <w:t xml:space="preserve"> study</w:t>
      </w:r>
      <w:r>
        <w:t xml:space="preserve"> as “reliable with restrictions”. </w:t>
      </w:r>
      <w:r w:rsidR="00C968A8">
        <w:t xml:space="preserve">Unfortunately it is not possible to fully analyse </w:t>
      </w:r>
      <w:r w:rsidR="00526CD0">
        <w:t>the study in line with the recommendations of OECD TG 305-III since the raw data are not available. Nevertheless,</w:t>
      </w:r>
      <w:r w:rsidR="0059208A">
        <w:t xml:space="preserve"> the calculations made in this dossier and by </w:t>
      </w:r>
      <w:r w:rsidR="00526CD0">
        <w:t xml:space="preserve">Arnot &amp; Quinn (2015) </w:t>
      </w:r>
      <w:r w:rsidR="0059208A">
        <w:t xml:space="preserve">indicate </w:t>
      </w:r>
      <w:r w:rsidR="00526CD0">
        <w:t>estimate</w:t>
      </w:r>
      <w:r w:rsidR="0059208A">
        <w:t>d</w:t>
      </w:r>
      <w:r w:rsidR="00526CD0">
        <w:t xml:space="preserve"> growth-corrected BMFs of </w:t>
      </w:r>
      <w:r w:rsidR="0059208A">
        <w:t xml:space="preserve">0.01 – </w:t>
      </w:r>
      <w:r w:rsidR="00526CD0">
        <w:rPr>
          <w:rFonts w:cs="TimesNewRomanPSMT"/>
          <w:lang w:eastAsia="en-GB"/>
        </w:rPr>
        <w:t>0.023</w:t>
      </w:r>
      <w:r w:rsidR="0059208A" w:rsidRPr="0059208A">
        <w:t xml:space="preserve"> </w:t>
      </w:r>
      <w:r w:rsidR="0059208A">
        <w:t>for the anti- isomer</w:t>
      </w:r>
      <w:r w:rsidR="00526CD0">
        <w:rPr>
          <w:rFonts w:cs="TimesNewRomanPSMT"/>
          <w:lang w:eastAsia="en-GB"/>
        </w:rPr>
        <w:t xml:space="preserve"> </w:t>
      </w:r>
      <w:r w:rsidR="00526CD0">
        <w:t>and 0.046</w:t>
      </w:r>
      <w:r w:rsidR="0059208A" w:rsidRPr="0059208A">
        <w:t xml:space="preserve"> </w:t>
      </w:r>
      <w:r w:rsidR="0059208A">
        <w:t>– 0.062 for the syn- isomer</w:t>
      </w:r>
      <w:r w:rsidR="00526CD0">
        <w:t xml:space="preserve">. Lipid normalisation of these data is uncertain but it is possible that the lipid-normalised values would be around a factor of </w:t>
      </w:r>
      <w:r w:rsidR="00C968A8">
        <w:t>two</w:t>
      </w:r>
      <w:r w:rsidR="00526CD0">
        <w:t xml:space="preserve"> higher than these values. </w:t>
      </w:r>
      <w:r w:rsidR="0059208A">
        <w:t>Another factor that should be considered is that the study used a feeding rate of 1 % of body weight per day. OECD TG 305 recommends a feeding rate of 1-2 % of body weight. In theory, the BMF obtained in an OECD TG 305 study should be directly proportional to the feeding rate</w:t>
      </w:r>
      <w:r w:rsidR="0059208A" w:rsidRPr="00C968A8">
        <w:rPr>
          <w:rStyle w:val="FootnoteReference"/>
          <w:rFonts w:ascii="Verdana" w:hAnsi="Verdana"/>
          <w:sz w:val="20"/>
        </w:rPr>
        <w:footnoteReference w:id="24"/>
      </w:r>
      <w:r w:rsidR="0059208A">
        <w:t>, but even if a higher feeding rate of 2 % of body weight had been used, the BMF would still likely be below 1 (i.e. around 0.12 for syn-DP, which has the higher BMF).</w:t>
      </w:r>
    </w:p>
    <w:p w14:paraId="3BC4302B" w14:textId="77777777" w:rsidR="00526CD0" w:rsidRDefault="002E6952" w:rsidP="002E6952">
      <w:pPr>
        <w:pStyle w:val="BodyText"/>
        <w:spacing w:after="120"/>
        <w:jc w:val="both"/>
      </w:pPr>
      <w:r w:rsidRPr="003905C6">
        <w:t>The following points are important</w:t>
      </w:r>
      <w:r w:rsidR="00526CD0">
        <w:t>:</w:t>
      </w:r>
    </w:p>
    <w:p w14:paraId="7078B2B1" w14:textId="77777777" w:rsidR="00526CD0" w:rsidRDefault="00526CD0" w:rsidP="00686834">
      <w:pPr>
        <w:pStyle w:val="BodyText"/>
        <w:widowControl/>
        <w:numPr>
          <w:ilvl w:val="0"/>
          <w:numId w:val="21"/>
        </w:numPr>
        <w:spacing w:after="180"/>
        <w:ind w:left="284" w:right="232" w:hanging="284"/>
        <w:jc w:val="both"/>
      </w:pPr>
      <w:r>
        <w:t xml:space="preserve">Neither isomer had reached a steady-state concentration in the fish after 49 days of </w:t>
      </w:r>
      <w:r w:rsidR="0059208A">
        <w:t>uptake</w:t>
      </w:r>
      <w:r>
        <w:t xml:space="preserve">, implying that concentrations could become higher given sufficient exposure time. However, the kinetic approach used </w:t>
      </w:r>
      <w:r w:rsidR="002E6952">
        <w:t>above</w:t>
      </w:r>
      <w:r>
        <w:t xml:space="preserve"> (and presumably</w:t>
      </w:r>
      <w:r w:rsidR="00B75C66">
        <w:t xml:space="preserve"> by</w:t>
      </w:r>
      <w:r>
        <w:t xml:space="preserve"> Arnot &amp; Quinn, 2015) would approximate to the steady-state situation. </w:t>
      </w:r>
      <w:r w:rsidR="00E02D05">
        <w:t>Using the overall depuration rate constants (k</w:t>
      </w:r>
      <w:r w:rsidR="00E02D05">
        <w:rPr>
          <w:vertAlign w:val="subscript"/>
        </w:rPr>
        <w:t>2</w:t>
      </w:r>
      <w:r w:rsidR="00E02D05">
        <w:t>) of 0.027 d</w:t>
      </w:r>
      <w:r w:rsidR="00E02D05">
        <w:rPr>
          <w:vertAlign w:val="superscript"/>
        </w:rPr>
        <w:t>-1</w:t>
      </w:r>
      <w:r w:rsidR="00E02D05">
        <w:t xml:space="preserve"> for anti-DP and 0.02 d</w:t>
      </w:r>
      <w:r w:rsidR="00E02D05">
        <w:rPr>
          <w:vertAlign w:val="superscript"/>
        </w:rPr>
        <w:t>-1</w:t>
      </w:r>
      <w:r w:rsidR="00E02D05">
        <w:t xml:space="preserve"> for syn-DP, i</w:t>
      </w:r>
      <w:r>
        <w:t>t</w:t>
      </w:r>
      <w:r w:rsidR="002E6952">
        <w:t xml:space="preserve"> </w:t>
      </w:r>
      <w:r w:rsidR="00E02D05">
        <w:t>can be</w:t>
      </w:r>
      <w:r>
        <w:t xml:space="preserve"> </w:t>
      </w:r>
      <w:r w:rsidR="002E6952">
        <w:t xml:space="preserve">estimated that it </w:t>
      </w:r>
      <w:r>
        <w:t>would take approximately 110-150 days to achieve 95</w:t>
      </w:r>
      <w:r w:rsidR="00A9101B">
        <w:t xml:space="preserve"> %</w:t>
      </w:r>
      <w:r>
        <w:t xml:space="preserve"> steady state.</w:t>
      </w:r>
    </w:p>
    <w:p w14:paraId="616C1EAB" w14:textId="77777777" w:rsidR="00526CD0" w:rsidRPr="00312C3D" w:rsidRDefault="00526CD0" w:rsidP="00686834">
      <w:pPr>
        <w:pStyle w:val="BodyText"/>
        <w:widowControl/>
        <w:numPr>
          <w:ilvl w:val="0"/>
          <w:numId w:val="21"/>
        </w:numPr>
        <w:spacing w:after="180"/>
        <w:ind w:left="284" w:right="232" w:hanging="284"/>
        <w:jc w:val="both"/>
        <w:rPr>
          <w:strike/>
        </w:rPr>
      </w:pPr>
      <w:r>
        <w:t>The growth-corrected depuration half-lives are around 30 – 40 days for the anti- isomer and 50 – 70 days for the syn- isomer for juvenile Rainbow Trout (</w:t>
      </w:r>
      <w:r>
        <w:rPr>
          <w:i/>
        </w:rPr>
        <w:t>O. mykiss</w:t>
      </w:r>
      <w:r>
        <w:t xml:space="preserve">). </w:t>
      </w:r>
    </w:p>
    <w:p w14:paraId="0BE17565" w14:textId="77777777" w:rsidR="00526CD0" w:rsidRDefault="00B75C66" w:rsidP="00B75C66">
      <w:pPr>
        <w:pStyle w:val="BodyText"/>
        <w:widowControl/>
        <w:numPr>
          <w:ilvl w:val="0"/>
          <w:numId w:val="21"/>
        </w:numPr>
        <w:spacing w:after="180"/>
        <w:ind w:left="284" w:right="232" w:hanging="284"/>
        <w:jc w:val="both"/>
      </w:pPr>
      <w:r>
        <w:t>T</w:t>
      </w:r>
      <w:r w:rsidR="00526CD0">
        <w:t xml:space="preserve">he maximum arithmetic mean fish whole body (minus liver) (control- and lipid- corrected) mass of the syn- isomer present at the end of the uptake period was 2.2 nmole, or 1.44 µg (value read from a graph). The mean mass of the anti- isomer was 1.7 nmole, or 1.11 µg per fish (value read from a graph). Fish weight was around 51.5 g, but a wet weight concentration cannot be estimated as the lipid correction method is unclear. </w:t>
      </w:r>
    </w:p>
    <w:p w14:paraId="63614D0D" w14:textId="77777777" w:rsidR="00526CD0" w:rsidRDefault="00526CD0" w:rsidP="00526CD0">
      <w:pPr>
        <w:pStyle w:val="NoSpacing"/>
        <w:ind w:left="284" w:right="232"/>
        <w:jc w:val="both"/>
      </w:pPr>
    </w:p>
    <w:p w14:paraId="26D5CFC1" w14:textId="77777777" w:rsidR="002E6952" w:rsidRDefault="002E6952" w:rsidP="002E6952">
      <w:pPr>
        <w:pStyle w:val="BodyText"/>
        <w:jc w:val="both"/>
      </w:pPr>
      <w:r>
        <w:t xml:space="preserve">Turning to the other studies summarised in Appendix 1, the non-guideline study by Zitko (1980) with Atlantic Salmon </w:t>
      </w:r>
      <w:r>
        <w:rPr>
          <w:i/>
        </w:rPr>
        <w:t>Salmo salar</w:t>
      </w:r>
      <w:r>
        <w:t xml:space="preserve"> is not valid for a variety of reasons. It does, however, indicate that uptake and elimination can occur in fish. The highest reported fish concentration was 176 µg/kg ww after 15 days, although it is not clear whether this included substance present in the gut or adsorbed to skin (whole fish were analysed). A depuration half-life of 58 days was estimated by the study authors, but this did not take any account of fish growth or lipid content changes. The fish growth rate for this part of the study was 0.19 d</w:t>
      </w:r>
      <w:r>
        <w:rPr>
          <w:vertAlign w:val="superscript"/>
        </w:rPr>
        <w:t>-1</w:t>
      </w:r>
      <w:r>
        <w:t xml:space="preserve"> (based on a plot of fish weight against time from day 16 of depuration). If the results are expressed in terms of mass of Dechlorane Plus, there was effectively </w:t>
      </w:r>
      <w:r w:rsidRPr="00C968A8">
        <w:rPr>
          <w:i/>
        </w:rPr>
        <w:t>no change</w:t>
      </w:r>
      <w:r w:rsidR="00B75C66">
        <w:rPr>
          <w:i/>
        </w:rPr>
        <w:t xml:space="preserve"> in the amount of Dechlorane Plus present in the fish</w:t>
      </w:r>
      <w:r w:rsidRPr="00C968A8">
        <w:rPr>
          <w:i/>
        </w:rPr>
        <w:t xml:space="preserve"> during the 72-day depuration phase </w:t>
      </w:r>
      <w:r>
        <w:t xml:space="preserve">(the range was 290-370 ng, with the lower value occurring after 16 days of depuration). Arnot &amp; Quinn (2015; supporting information) estimated a growth-corrected </w:t>
      </w:r>
      <w:r>
        <w:rPr>
          <w:rFonts w:cs="TimesNewRomanPSMT"/>
          <w:lang w:eastAsia="en-GB"/>
        </w:rPr>
        <w:t>depuration half-life of about 100 days for ca. 15 g, 5 % lipid content fish using the results of this study.</w:t>
      </w:r>
      <w:r w:rsidRPr="002E6952">
        <w:t xml:space="preserve"> </w:t>
      </w:r>
      <w:r w:rsidR="00084FD5">
        <w:t>It therefore supports the findings of a</w:t>
      </w:r>
      <w:r w:rsidR="00084FD5" w:rsidRPr="00151E72">
        <w:t xml:space="preserve"> long elimination half-life</w:t>
      </w:r>
      <w:r w:rsidR="00084FD5">
        <w:t xml:space="preserve"> by </w:t>
      </w:r>
      <w:r w:rsidR="00151E72">
        <w:t xml:space="preserve">Tomy </w:t>
      </w:r>
      <w:r w:rsidR="00151E72">
        <w:rPr>
          <w:i/>
        </w:rPr>
        <w:t>et al</w:t>
      </w:r>
      <w:r w:rsidR="00151E72">
        <w:t>. (2008).</w:t>
      </w:r>
    </w:p>
    <w:p w14:paraId="738FE565" w14:textId="77777777" w:rsidR="00526CD0" w:rsidRDefault="00526CD0" w:rsidP="002E6952">
      <w:pPr>
        <w:pStyle w:val="BodyText"/>
        <w:jc w:val="both"/>
      </w:pPr>
      <w:r>
        <w:t xml:space="preserve">Xiao </w:t>
      </w:r>
      <w:r>
        <w:rPr>
          <w:i/>
        </w:rPr>
        <w:t>et al</w:t>
      </w:r>
      <w:r>
        <w:t xml:space="preserve">. (2013) found that juvenile Rainbow Trout </w:t>
      </w:r>
      <w:r w:rsidR="002E6952" w:rsidRPr="002E6952">
        <w:rPr>
          <w:i/>
        </w:rPr>
        <w:t>O. mykiss</w:t>
      </w:r>
      <w:r w:rsidR="002E6952">
        <w:t xml:space="preserve"> </w:t>
      </w:r>
      <w:r>
        <w:t>appear to absorb at least 16</w:t>
      </w:r>
      <w:r w:rsidR="00A9101B">
        <w:t xml:space="preserve"> %</w:t>
      </w:r>
      <w:r>
        <w:t xml:space="preserve"> of the dose from a sing</w:t>
      </w:r>
      <w:r w:rsidR="000C797A">
        <w:t xml:space="preserve">le feed (a single exposure to 1 </w:t>
      </w:r>
      <w:r>
        <w:t xml:space="preserve">270 µg/kg in food led to a whole body concentration of around 12 µg/kg), although there are analytical </w:t>
      </w:r>
      <w:r w:rsidR="002E6952">
        <w:t>uncertainties</w:t>
      </w:r>
      <w:r>
        <w:t xml:space="preserve"> with this study. The study of Zeng </w:t>
      </w:r>
      <w:r>
        <w:rPr>
          <w:i/>
        </w:rPr>
        <w:t>et al</w:t>
      </w:r>
      <w:r>
        <w:t xml:space="preserve">. (2014a) showed that a steady state was not achieved over 50 days’ exposure in </w:t>
      </w:r>
      <w:r w:rsidR="002E6952">
        <w:t xml:space="preserve">Common Carp </w:t>
      </w:r>
      <w:r w:rsidR="002E6952" w:rsidRPr="002E6952">
        <w:rPr>
          <w:i/>
        </w:rPr>
        <w:t>Cyprinus carpio</w:t>
      </w:r>
      <w:r w:rsidR="002E6952">
        <w:t xml:space="preserve"> </w:t>
      </w:r>
      <w:r>
        <w:t xml:space="preserve">muscle, serum or liver tissue, with the highest concentrations being detected at the end of the 50-day uptake period (when the total concentration in liver was ~615 µg/kg ww). </w:t>
      </w:r>
      <w:r w:rsidR="00151E72">
        <w:t xml:space="preserve">This further supports the findings of the Tomy </w:t>
      </w:r>
      <w:r w:rsidR="00151E72">
        <w:rPr>
          <w:i/>
        </w:rPr>
        <w:t>et al</w:t>
      </w:r>
      <w:r w:rsidR="00151E72">
        <w:t xml:space="preserve">. (2008) study. </w:t>
      </w:r>
      <w:r>
        <w:t xml:space="preserve">The substance also accumulated in gonad tissue. This study suggests that factors other than lipid solubility (e.g. </w:t>
      </w:r>
      <w:r>
        <w:rPr>
          <w:lang w:eastAsia="en-GB"/>
        </w:rPr>
        <w:t>hepatic binding enzymes</w:t>
      </w:r>
      <w:r>
        <w:t>) could play important roles in determining deposition. Whole body concentrations were not reported and the small number of samples and variable depuration results also prevent any calculations of an overall depuration half-life. A BMF therefore cannot be derived from the data. However, residues remained in all tissues after 45 days of depuration (e.g. the total concentration in liver was ~250 µg/kg ww at the end of the study) which is consistent with the relatively long depuration half-life seen in other studies.</w:t>
      </w:r>
    </w:p>
    <w:p w14:paraId="72603C10" w14:textId="77777777" w:rsidR="00312C3D" w:rsidRPr="00B75C66" w:rsidRDefault="00B75C66" w:rsidP="002E6952">
      <w:pPr>
        <w:pStyle w:val="BodyText"/>
        <w:jc w:val="both"/>
        <w:rPr>
          <w:i/>
        </w:rPr>
      </w:pPr>
      <w:r>
        <w:rPr>
          <w:i/>
        </w:rPr>
        <w:t>B</w:t>
      </w:r>
      <w:r w:rsidR="00312C3D" w:rsidRPr="00B75C66">
        <w:rPr>
          <w:i/>
        </w:rPr>
        <w:t>enchmarking the fish bioaccumulation data</w:t>
      </w:r>
    </w:p>
    <w:p w14:paraId="70ED3310" w14:textId="77777777" w:rsidR="00312C3D" w:rsidRPr="00B75C66" w:rsidRDefault="00312C3D" w:rsidP="00C72E6B">
      <w:pPr>
        <w:pStyle w:val="NoSpacing"/>
        <w:widowControl/>
        <w:numPr>
          <w:ilvl w:val="0"/>
          <w:numId w:val="9"/>
        </w:numPr>
        <w:spacing w:after="120"/>
        <w:ind w:left="284" w:right="232" w:hanging="284"/>
        <w:jc w:val="both"/>
      </w:pPr>
      <w:r>
        <w:t xml:space="preserve">Inoue </w:t>
      </w:r>
      <w:r w:rsidRPr="00312C3D">
        <w:rPr>
          <w:i/>
        </w:rPr>
        <w:t>et al.</w:t>
      </w:r>
      <w:r>
        <w:t xml:space="preserve"> (2012) investigated the correlation of dietary BMF with BCF in Common Carp </w:t>
      </w:r>
      <w:r w:rsidRPr="00312C3D">
        <w:rPr>
          <w:i/>
        </w:rPr>
        <w:t>Cyprinus carpio</w:t>
      </w:r>
      <w:r>
        <w:t xml:space="preserve"> for eight aromatic compounds with log K</w:t>
      </w:r>
      <w:r w:rsidRPr="00312C3D">
        <w:rPr>
          <w:vertAlign w:val="subscript"/>
        </w:rPr>
        <w:t>OW</w:t>
      </w:r>
      <w:r>
        <w:t xml:space="preserve"> values in the range 4.3 – 9.0. This indicated that a BMF (growth-corrected and lipid-normalised) above 0.31 can correspond to a (lipid normalised) BCF above 5 000 L/kg. A theoretical analysis by MacKay </w:t>
      </w:r>
      <w:r w:rsidRPr="00312C3D">
        <w:rPr>
          <w:i/>
        </w:rPr>
        <w:t>et al</w:t>
      </w:r>
      <w:r>
        <w:t>. (2013) provides information to suggest that BCF values of 5 000 and 2 000 L/kg correspond approximately to BMF values of 0.25 and 0.1, respectively. This assumes that chemicals partition to the lipid fraction of the fish</w:t>
      </w:r>
      <w:r w:rsidR="00B75C66">
        <w:t xml:space="preserve"> with</w:t>
      </w:r>
      <w:r>
        <w:t xml:space="preserve"> no metabolism or growth dilution, and “set</w:t>
      </w:r>
      <w:r w:rsidR="00B75C66">
        <w:t>s</w:t>
      </w:r>
      <w:r>
        <w:t xml:space="preserve">” </w:t>
      </w:r>
      <w:r w:rsidR="00B75C66">
        <w:t xml:space="preserve">values for </w:t>
      </w:r>
      <w:r>
        <w:t xml:space="preserve">respiration rate and absorption efficiency that may not be typical for all species. Although a simplification, this supports the empirical relationship reported by Inoue </w:t>
      </w:r>
      <w:r w:rsidRPr="00312C3D">
        <w:rPr>
          <w:i/>
        </w:rPr>
        <w:t>et al</w:t>
      </w:r>
      <w:r>
        <w:t xml:space="preserve">. (2012). The re-estimated BMFs from the Tomy </w:t>
      </w:r>
      <w:r w:rsidRPr="00312C3D">
        <w:rPr>
          <w:i/>
        </w:rPr>
        <w:t>et al</w:t>
      </w:r>
      <w:r>
        <w:t xml:space="preserve">. (2008) study do not correlate with a BCF above 5 000 L/kg. A theoretical BMF of around 0.092 – 0.12 for the syn- isomer (if the feeding rate had been 2 % of body weight rather than 1 %) would just about correlate with a BCF of 2 000 L/kg. Whilst it is possible that lipid normalisation could increase the BMF still </w:t>
      </w:r>
      <w:r w:rsidRPr="00B75C66">
        <w:t xml:space="preserve">further (perhaps up to about 0.24), this cannot be established with any certainty. </w:t>
      </w:r>
    </w:p>
    <w:p w14:paraId="56CCD363" w14:textId="77777777" w:rsidR="00450975" w:rsidRDefault="00312C3D" w:rsidP="00450975">
      <w:pPr>
        <w:pStyle w:val="BodyText"/>
        <w:widowControl/>
        <w:numPr>
          <w:ilvl w:val="0"/>
          <w:numId w:val="9"/>
        </w:numPr>
        <w:spacing w:after="180"/>
        <w:ind w:left="284" w:right="232" w:hanging="284"/>
        <w:jc w:val="both"/>
      </w:pPr>
      <w:r w:rsidRPr="00B75C66">
        <w:t xml:space="preserve">In the absence of a reliable aqueous fish BCF value to compare to the REACH Annex XIII criteria, the depuration half-life is considered further. </w:t>
      </w:r>
      <w:r w:rsidR="00450975" w:rsidRPr="00B75C66">
        <w:t xml:space="preserve">There may be significant variability between and within species (e.g. due to differences in lipid content and metabolic profiles). </w:t>
      </w:r>
      <w:r w:rsidR="00450975">
        <w:t>However, a</w:t>
      </w:r>
      <w:r w:rsidRPr="00B75C66">
        <w:t>dvantages of using this metric as a key indicator for bioaccumulation assessment are that it is relatively easy to determine</w:t>
      </w:r>
      <w:r w:rsidR="00450975">
        <w:t xml:space="preserve"> and</w:t>
      </w:r>
      <w:r w:rsidRPr="00B75C66">
        <w:t xml:space="preserve"> not so dependent on other variables</w:t>
      </w:r>
      <w:r w:rsidR="00450975">
        <w:t xml:space="preserve"> within a particular study</w:t>
      </w:r>
      <w:r w:rsidRPr="00B75C66">
        <w:t>. </w:t>
      </w:r>
      <w:r w:rsidR="00450975" w:rsidRPr="006D4A59">
        <w:t>The achievement of a high level of bioaccumulation is obviously related to uptake as well as depuration kinetics</w:t>
      </w:r>
      <w:r w:rsidR="00450975">
        <w:t>, since this affects body burdens</w:t>
      </w:r>
      <w:r w:rsidR="00450975" w:rsidRPr="006D4A59">
        <w:t xml:space="preserve">. Nevertheless, in terms of the aims of protecting organisms from unpredictable adverse </w:t>
      </w:r>
      <w:r w:rsidR="00450975" w:rsidRPr="006D4A59">
        <w:lastRenderedPageBreak/>
        <w:t xml:space="preserve">effects, a long depuration half-life is a </w:t>
      </w:r>
      <w:r w:rsidR="00450975" w:rsidRPr="00B75C66">
        <w:t>key determinant of bioaccumulation potential and is directly related to one of the protection aims of the PBT assessment, i.e. concentrations for a PBT substance may take a long time to decline once emissions cease</w:t>
      </w:r>
      <w:r w:rsidR="00450975">
        <w:t>.</w:t>
      </w:r>
    </w:p>
    <w:p w14:paraId="0AD6706F" w14:textId="77777777" w:rsidR="00312C3D" w:rsidRPr="00B75C66" w:rsidRDefault="00312C3D" w:rsidP="00450975">
      <w:pPr>
        <w:pStyle w:val="BodyText"/>
        <w:widowControl/>
        <w:spacing w:after="180"/>
        <w:ind w:left="284" w:right="232"/>
        <w:jc w:val="both"/>
      </w:pPr>
      <w:r w:rsidRPr="00B75C66">
        <w:t xml:space="preserve">Two </w:t>
      </w:r>
      <w:r w:rsidR="00450975">
        <w:t xml:space="preserve">benchmarking </w:t>
      </w:r>
      <w:r w:rsidRPr="00B75C66">
        <w:t xml:space="preserve">approaches have been </w:t>
      </w:r>
      <w:r w:rsidR="00450975">
        <w:t>used to compare the depuration half-life of Dechlorane Plus with other relevant substances</w:t>
      </w:r>
      <w:r w:rsidRPr="00B75C66">
        <w:t>:</w:t>
      </w:r>
    </w:p>
    <w:p w14:paraId="5FA40247" w14:textId="77777777" w:rsidR="00312C3D" w:rsidRDefault="00312C3D" w:rsidP="00450975">
      <w:pPr>
        <w:pStyle w:val="ListParagraph"/>
        <w:widowControl/>
        <w:numPr>
          <w:ilvl w:val="0"/>
          <w:numId w:val="26"/>
        </w:numPr>
        <w:spacing w:after="160" w:line="259" w:lineRule="auto"/>
        <w:ind w:right="992"/>
        <w:contextualSpacing/>
        <w:jc w:val="both"/>
      </w:pPr>
      <w:r w:rsidRPr="00B75C66">
        <w:t>An Environment Agency report (EA, 2012) analys</w:t>
      </w:r>
      <w:r w:rsidR="00450975">
        <w:t>ed</w:t>
      </w:r>
      <w:r w:rsidRPr="00B75C66">
        <w:t xml:space="preserve"> </w:t>
      </w:r>
      <w:r w:rsidR="00450975" w:rsidRPr="00B75C66">
        <w:t>depuration rate constants (k</w:t>
      </w:r>
      <w:r w:rsidR="00450975" w:rsidRPr="00B75C66">
        <w:rPr>
          <w:vertAlign w:val="subscript"/>
        </w:rPr>
        <w:t>2</w:t>
      </w:r>
      <w:r w:rsidR="00450975" w:rsidRPr="00B75C66">
        <w:t xml:space="preserve">) </w:t>
      </w:r>
      <w:r w:rsidRPr="00B75C66">
        <w:t xml:space="preserve">from </w:t>
      </w:r>
      <w:r w:rsidR="00450975">
        <w:t xml:space="preserve">a large number of </w:t>
      </w:r>
      <w:r w:rsidRPr="00B75C66">
        <w:t>available BCF studies</w:t>
      </w:r>
      <w:r w:rsidR="00450975">
        <w:t>. A</w:t>
      </w:r>
      <w:r w:rsidRPr="00B75C66">
        <w:t xml:space="preserve"> </w:t>
      </w:r>
      <w:r w:rsidR="00450975" w:rsidRPr="00B75C66">
        <w:t>k</w:t>
      </w:r>
      <w:r w:rsidR="00450975" w:rsidRPr="00B75C66">
        <w:rPr>
          <w:vertAlign w:val="subscript"/>
        </w:rPr>
        <w:t>2</w:t>
      </w:r>
      <w:r w:rsidR="00450975">
        <w:rPr>
          <w:vertAlign w:val="subscript"/>
        </w:rPr>
        <w:t xml:space="preserve"> </w:t>
      </w:r>
      <w:r w:rsidRPr="00B75C66">
        <w:t>value ≤ 0.065 d</w:t>
      </w:r>
      <w:r w:rsidRPr="00B75C66">
        <w:rPr>
          <w:vertAlign w:val="superscript"/>
        </w:rPr>
        <w:t>-1</w:t>
      </w:r>
      <w:r w:rsidR="00450975">
        <w:t xml:space="preserve"> (95 </w:t>
      </w:r>
      <w:r w:rsidRPr="00B75C66">
        <w:t>% CI: 0.062 – 0.068) or a lipid-normalised k</w:t>
      </w:r>
      <w:r w:rsidRPr="00B75C66">
        <w:rPr>
          <w:vertAlign w:val="subscript"/>
        </w:rPr>
        <w:t>2</w:t>
      </w:r>
      <w:r w:rsidRPr="00B75C66">
        <w:t xml:space="preserve"> ≤0.085 d</w:t>
      </w:r>
      <w:r w:rsidRPr="00B75C66">
        <w:rPr>
          <w:vertAlign w:val="superscript"/>
        </w:rPr>
        <w:noBreakHyphen/>
        <w:t>1</w:t>
      </w:r>
      <w:r w:rsidRPr="00B75C66">
        <w:t xml:space="preserve"> 95 % CI: 0.083 – 0.086)</w:t>
      </w:r>
      <w:r w:rsidRPr="00450975">
        <w:rPr>
          <w:rStyle w:val="FootnoteReference"/>
          <w:rFonts w:ascii="Verdana" w:hAnsi="Verdana"/>
          <w:sz w:val="20"/>
        </w:rPr>
        <w:footnoteReference w:id="25"/>
      </w:r>
      <w:r w:rsidRPr="00B75C66">
        <w:t xml:space="preserve"> was </w:t>
      </w:r>
      <w:r w:rsidR="00450975">
        <w:t xml:space="preserve">found to be </w:t>
      </w:r>
      <w:r w:rsidRPr="00B75C66">
        <w:t>consistent with a BCF of ≥5 000 L/kg (normalised to a 5 % lipid content)</w:t>
      </w:r>
      <w:r w:rsidRPr="00450975">
        <w:rPr>
          <w:rStyle w:val="FootnoteReference"/>
          <w:rFonts w:ascii="Verdana" w:hAnsi="Verdana"/>
          <w:sz w:val="20"/>
        </w:rPr>
        <w:footnoteReference w:id="26"/>
      </w:r>
      <w:r w:rsidRPr="00B75C66">
        <w:t>. The ‘growth-corrected lipid-normalised’ k</w:t>
      </w:r>
      <w:r w:rsidRPr="00B75C66">
        <w:rPr>
          <w:vertAlign w:val="subscript"/>
        </w:rPr>
        <w:t>2</w:t>
      </w:r>
      <w:r w:rsidRPr="00B75C66">
        <w:t xml:space="preserve"> values for Dechlorane Plus </w:t>
      </w:r>
      <w:r w:rsidR="00450975">
        <w:t xml:space="preserve">from Tomy </w:t>
      </w:r>
      <w:r w:rsidR="00450975" w:rsidRPr="00450975">
        <w:rPr>
          <w:i/>
        </w:rPr>
        <w:t>et al</w:t>
      </w:r>
      <w:r w:rsidR="00450975">
        <w:t xml:space="preserve">. (2008) </w:t>
      </w:r>
      <w:r w:rsidRPr="00B75C66">
        <w:t>were 0.010 – 0.013 d</w:t>
      </w:r>
      <w:r w:rsidRPr="00B75C66">
        <w:rPr>
          <w:vertAlign w:val="superscript"/>
        </w:rPr>
        <w:t>-1</w:t>
      </w:r>
      <w:r w:rsidRPr="00B75C66">
        <w:t xml:space="preserve"> (syn- isomer) and </w:t>
      </w:r>
      <w:r w:rsidRPr="00B75C66">
        <w:rPr>
          <w:rFonts w:cs="TimesNewRomanPSMT"/>
          <w:lang w:eastAsia="en-GB"/>
        </w:rPr>
        <w:t xml:space="preserve">0.017 </w:t>
      </w:r>
      <w:r w:rsidRPr="00B75C66">
        <w:t>– 0.023 d</w:t>
      </w:r>
      <w:r w:rsidRPr="00B75C66">
        <w:rPr>
          <w:vertAlign w:val="superscript"/>
        </w:rPr>
        <w:t>-1</w:t>
      </w:r>
      <w:r w:rsidRPr="00B75C66">
        <w:t xml:space="preserve"> (anti- isomer). Thus the low rate of depuration seen in the feeding study with </w:t>
      </w:r>
      <w:r w:rsidRPr="00B75C66">
        <w:rPr>
          <w:i/>
        </w:rPr>
        <w:t>O. mykiss</w:t>
      </w:r>
      <w:r w:rsidRPr="00B75C66">
        <w:t xml:space="preserve"> is consistent with a BCF above 5 000 L/kg.</w:t>
      </w:r>
    </w:p>
    <w:p w14:paraId="31F84139" w14:textId="77777777" w:rsidR="00450975" w:rsidRPr="00B75C66" w:rsidRDefault="00450975" w:rsidP="00450975">
      <w:pPr>
        <w:pStyle w:val="ListParagraph"/>
        <w:widowControl/>
        <w:spacing w:after="160" w:line="259" w:lineRule="auto"/>
        <w:ind w:right="992"/>
        <w:contextualSpacing/>
        <w:jc w:val="both"/>
      </w:pPr>
    </w:p>
    <w:p w14:paraId="1BEB02F9" w14:textId="77777777" w:rsidR="00312C3D" w:rsidRPr="00B75C66" w:rsidRDefault="008354DB" w:rsidP="00E67A3F">
      <w:pPr>
        <w:pStyle w:val="ListParagraph"/>
        <w:widowControl/>
        <w:numPr>
          <w:ilvl w:val="0"/>
          <w:numId w:val="26"/>
        </w:numPr>
        <w:spacing w:after="160" w:line="259" w:lineRule="auto"/>
        <w:ind w:right="992"/>
        <w:contextualSpacing/>
        <w:jc w:val="both"/>
      </w:pPr>
      <w:r>
        <w:t>It is relevant to compare the data for Dechlorane Plus with polychlorobiphenyls (</w:t>
      </w:r>
      <w:r w:rsidR="00312C3D" w:rsidRPr="00B75C66">
        <w:t>PCBs</w:t>
      </w:r>
      <w:r>
        <w:t>)</w:t>
      </w:r>
      <w:r w:rsidR="00312C3D" w:rsidRPr="00B75C66">
        <w:t xml:space="preserve"> and other substances previously assessed to be vB under REACH</w:t>
      </w:r>
      <w:r>
        <w:t xml:space="preserve">. In particular, </w:t>
      </w:r>
      <w:r w:rsidR="00312C3D" w:rsidRPr="00B75C66">
        <w:t xml:space="preserve">PCB data were used to support the identification of </w:t>
      </w:r>
      <w:r w:rsidRPr="008354DB">
        <w:t>p</w:t>
      </w:r>
      <w:r>
        <w:t>erfluorohexane-1-sulf</w:t>
      </w:r>
      <w:r w:rsidR="00312C3D" w:rsidRPr="008354DB">
        <w:t>onic acid and its salts</w:t>
      </w:r>
      <w:r w:rsidR="00312C3D" w:rsidRPr="00B75C66">
        <w:t xml:space="preserve"> (PFHxS, CAS </w:t>
      </w:r>
      <w:r>
        <w:t xml:space="preserve">no. </w:t>
      </w:r>
      <w:r w:rsidR="00312C3D" w:rsidRPr="00B75C66">
        <w:t xml:space="preserve">355-46-4) as vB (the data are summarised in Appendix 7). There are nine studies, although only four provide useable depuration half-lives for this analysis. Twelve further substances had been determined as meeting the vB criteria up to May 2015. Seven studies covering four of those substances report a depuration half-life (see Appendix 6). The information is summarised in </w:t>
      </w:r>
      <w:r w:rsidR="00312C3D" w:rsidRPr="00B75C66">
        <w:fldChar w:fldCharType="begin"/>
      </w:r>
      <w:r w:rsidR="00312C3D" w:rsidRPr="00B75C66">
        <w:instrText xml:space="preserve"> REF _Ref489261462 \h  \* MERGEFORMAT </w:instrText>
      </w:r>
      <w:r w:rsidR="00312C3D" w:rsidRPr="00B75C66">
        <w:fldChar w:fldCharType="separate"/>
      </w:r>
      <w:r w:rsidR="00F0628F" w:rsidRPr="00F0628F">
        <w:t xml:space="preserve">Table </w:t>
      </w:r>
      <w:r w:rsidR="00F0628F">
        <w:t>9</w:t>
      </w:r>
      <w:r w:rsidR="00312C3D" w:rsidRPr="00B75C66">
        <w:fldChar w:fldCharType="end"/>
      </w:r>
      <w:r w:rsidR="00312C3D" w:rsidRPr="00B75C66">
        <w:t>.</w:t>
      </w:r>
    </w:p>
    <w:p w14:paraId="21DDC714" w14:textId="77777777" w:rsidR="00312C3D" w:rsidRPr="00B75C66" w:rsidRDefault="00312C3D" w:rsidP="00312C3D">
      <w:pPr>
        <w:jc w:val="both"/>
      </w:pPr>
    </w:p>
    <w:p w14:paraId="542AFBB8" w14:textId="77777777" w:rsidR="00312C3D" w:rsidRPr="00B75C66" w:rsidRDefault="00312C3D" w:rsidP="008354DB">
      <w:pPr>
        <w:ind w:left="284"/>
        <w:rPr>
          <w:bCs/>
          <w:sz w:val="22"/>
          <w:szCs w:val="24"/>
          <w:lang w:eastAsia="en-US"/>
        </w:rPr>
      </w:pPr>
      <w:bookmarkStart w:id="582" w:name="_Ref489261462"/>
      <w:bookmarkStart w:id="583" w:name="_Toc491778959"/>
      <w:r w:rsidRPr="00B75C66">
        <w:rPr>
          <w:bCs/>
          <w:sz w:val="22"/>
          <w:szCs w:val="24"/>
          <w:lang w:eastAsia="en-US"/>
        </w:rPr>
        <w:t xml:space="preserve">Table </w:t>
      </w:r>
      <w:fldSimple w:instr=" SEQ Table \* ARABIC ">
        <w:r w:rsidR="00F0628F">
          <w:rPr>
            <w:noProof/>
          </w:rPr>
          <w:t>9</w:t>
        </w:r>
      </w:fldSimple>
      <w:bookmarkEnd w:id="582"/>
      <w:r w:rsidRPr="00B75C66">
        <w:rPr>
          <w:bCs/>
          <w:sz w:val="22"/>
          <w:szCs w:val="24"/>
          <w:lang w:eastAsia="en-US"/>
        </w:rPr>
        <w:t>: Depuration half-lives and BCF values for chemicals meeting the vB criteria</w:t>
      </w:r>
      <w:bookmarkEnd w:id="583"/>
    </w:p>
    <w:p w14:paraId="10079731" w14:textId="77777777" w:rsidR="00312C3D" w:rsidRPr="00B75C66" w:rsidRDefault="00312C3D" w:rsidP="00312C3D"/>
    <w:tbl>
      <w:tblPr>
        <w:tblStyle w:val="TableGrid"/>
        <w:tblW w:w="8647" w:type="dxa"/>
        <w:tblInd w:w="562" w:type="dxa"/>
        <w:tblLook w:val="04A0" w:firstRow="1" w:lastRow="0" w:firstColumn="1" w:lastColumn="0" w:noHBand="0" w:noVBand="1"/>
      </w:tblPr>
      <w:tblGrid>
        <w:gridCol w:w="2410"/>
        <w:gridCol w:w="2268"/>
        <w:gridCol w:w="3969"/>
      </w:tblGrid>
      <w:tr w:rsidR="00B75C66" w:rsidRPr="00B75C66" w14:paraId="6DDB576D" w14:textId="77777777" w:rsidTr="008354DB">
        <w:tc>
          <w:tcPr>
            <w:tcW w:w="2410" w:type="dxa"/>
            <w:vAlign w:val="center"/>
          </w:tcPr>
          <w:p w14:paraId="0E3FE202" w14:textId="77777777" w:rsidR="00312C3D" w:rsidRPr="00B75C66" w:rsidRDefault="00312C3D" w:rsidP="00C72E6B">
            <w:pPr>
              <w:jc w:val="center"/>
              <w:rPr>
                <w:b/>
                <w:sz w:val="18"/>
                <w:szCs w:val="18"/>
              </w:rPr>
            </w:pPr>
            <w:r w:rsidRPr="00B75C66">
              <w:rPr>
                <w:b/>
                <w:sz w:val="18"/>
                <w:szCs w:val="18"/>
              </w:rPr>
              <w:t>Depuration half-life, days</w:t>
            </w:r>
          </w:p>
        </w:tc>
        <w:tc>
          <w:tcPr>
            <w:tcW w:w="2268" w:type="dxa"/>
            <w:vAlign w:val="center"/>
          </w:tcPr>
          <w:p w14:paraId="43CE2AD6" w14:textId="77777777" w:rsidR="00312C3D" w:rsidRPr="00B75C66" w:rsidRDefault="00312C3D" w:rsidP="00C72E6B">
            <w:pPr>
              <w:jc w:val="center"/>
              <w:rPr>
                <w:b/>
                <w:sz w:val="18"/>
                <w:szCs w:val="18"/>
              </w:rPr>
            </w:pPr>
            <w:r w:rsidRPr="00B75C66">
              <w:rPr>
                <w:b/>
                <w:sz w:val="18"/>
                <w:szCs w:val="18"/>
              </w:rPr>
              <w:t>BCF value, L/kg</w:t>
            </w:r>
          </w:p>
        </w:tc>
        <w:tc>
          <w:tcPr>
            <w:tcW w:w="3969" w:type="dxa"/>
            <w:vAlign w:val="center"/>
          </w:tcPr>
          <w:p w14:paraId="574E31DA" w14:textId="77777777" w:rsidR="00312C3D" w:rsidRPr="00B75C66" w:rsidRDefault="00312C3D" w:rsidP="00C72E6B">
            <w:pPr>
              <w:jc w:val="center"/>
              <w:rPr>
                <w:b/>
                <w:sz w:val="18"/>
                <w:szCs w:val="18"/>
              </w:rPr>
            </w:pPr>
            <w:r w:rsidRPr="00B75C66">
              <w:rPr>
                <w:b/>
                <w:sz w:val="18"/>
                <w:szCs w:val="18"/>
              </w:rPr>
              <w:t>Source</w:t>
            </w:r>
          </w:p>
        </w:tc>
      </w:tr>
      <w:tr w:rsidR="00B75C66" w:rsidRPr="00B75C66" w14:paraId="65CD4D64" w14:textId="77777777" w:rsidTr="008354DB">
        <w:tc>
          <w:tcPr>
            <w:tcW w:w="2410" w:type="dxa"/>
          </w:tcPr>
          <w:p w14:paraId="12B5EBA2" w14:textId="77777777" w:rsidR="00312C3D" w:rsidRPr="00B75C66" w:rsidRDefault="00312C3D" w:rsidP="00C72E6B">
            <w:pPr>
              <w:jc w:val="center"/>
              <w:rPr>
                <w:sz w:val="18"/>
                <w:szCs w:val="18"/>
              </w:rPr>
            </w:pPr>
            <w:r w:rsidRPr="00B75C66">
              <w:rPr>
                <w:sz w:val="18"/>
                <w:szCs w:val="18"/>
              </w:rPr>
              <w:t>39 – 77</w:t>
            </w:r>
          </w:p>
        </w:tc>
        <w:tc>
          <w:tcPr>
            <w:tcW w:w="2268" w:type="dxa"/>
            <w:vMerge w:val="restart"/>
            <w:vAlign w:val="center"/>
          </w:tcPr>
          <w:p w14:paraId="681D6337" w14:textId="77777777" w:rsidR="00312C3D" w:rsidRPr="00B75C66" w:rsidRDefault="00312C3D" w:rsidP="00C72E6B">
            <w:pPr>
              <w:jc w:val="center"/>
              <w:rPr>
                <w:sz w:val="18"/>
                <w:szCs w:val="18"/>
              </w:rPr>
            </w:pPr>
            <w:r w:rsidRPr="00B75C66">
              <w:rPr>
                <w:sz w:val="18"/>
                <w:szCs w:val="18"/>
              </w:rPr>
              <w:t>7 273</w:t>
            </w:r>
          </w:p>
        </w:tc>
        <w:tc>
          <w:tcPr>
            <w:tcW w:w="3969" w:type="dxa"/>
            <w:vMerge w:val="restart"/>
            <w:vAlign w:val="center"/>
          </w:tcPr>
          <w:p w14:paraId="4A742C1E" w14:textId="77777777" w:rsidR="00312C3D" w:rsidRPr="00B75C66" w:rsidRDefault="00312C3D" w:rsidP="00C72E6B">
            <w:pPr>
              <w:rPr>
                <w:sz w:val="18"/>
                <w:szCs w:val="18"/>
              </w:rPr>
            </w:pPr>
            <w:r w:rsidRPr="00B75C66">
              <w:rPr>
                <w:sz w:val="18"/>
                <w:szCs w:val="18"/>
              </w:rPr>
              <w:t>SCCPs (REACH vB)</w:t>
            </w:r>
          </w:p>
        </w:tc>
      </w:tr>
      <w:tr w:rsidR="00B75C66" w:rsidRPr="00B75C66" w14:paraId="7E9C15D5" w14:textId="77777777" w:rsidTr="008354DB">
        <w:tc>
          <w:tcPr>
            <w:tcW w:w="2410" w:type="dxa"/>
          </w:tcPr>
          <w:p w14:paraId="101EF502" w14:textId="77777777" w:rsidR="00312C3D" w:rsidRPr="00B75C66" w:rsidRDefault="00312C3D" w:rsidP="00C72E6B">
            <w:pPr>
              <w:jc w:val="center"/>
              <w:rPr>
                <w:sz w:val="18"/>
                <w:szCs w:val="18"/>
              </w:rPr>
            </w:pPr>
            <w:r w:rsidRPr="00B75C66">
              <w:rPr>
                <w:sz w:val="18"/>
                <w:szCs w:val="18"/>
              </w:rPr>
              <w:t>77 – 87</w:t>
            </w:r>
          </w:p>
        </w:tc>
        <w:tc>
          <w:tcPr>
            <w:tcW w:w="2268" w:type="dxa"/>
            <w:vMerge/>
            <w:vAlign w:val="center"/>
          </w:tcPr>
          <w:p w14:paraId="0EAA14FD" w14:textId="77777777" w:rsidR="00312C3D" w:rsidRPr="00B75C66" w:rsidRDefault="00312C3D" w:rsidP="00C72E6B">
            <w:pPr>
              <w:jc w:val="center"/>
              <w:rPr>
                <w:sz w:val="18"/>
                <w:szCs w:val="18"/>
              </w:rPr>
            </w:pPr>
          </w:p>
        </w:tc>
        <w:tc>
          <w:tcPr>
            <w:tcW w:w="3969" w:type="dxa"/>
            <w:vMerge/>
            <w:vAlign w:val="center"/>
          </w:tcPr>
          <w:p w14:paraId="2DF3D76C" w14:textId="77777777" w:rsidR="00312C3D" w:rsidRPr="00B75C66" w:rsidRDefault="00312C3D" w:rsidP="00C72E6B">
            <w:pPr>
              <w:rPr>
                <w:sz w:val="18"/>
                <w:szCs w:val="18"/>
              </w:rPr>
            </w:pPr>
          </w:p>
        </w:tc>
      </w:tr>
      <w:tr w:rsidR="00B75C66" w:rsidRPr="00B75C66" w14:paraId="38D18F40" w14:textId="77777777" w:rsidTr="008354DB">
        <w:tc>
          <w:tcPr>
            <w:tcW w:w="2410" w:type="dxa"/>
          </w:tcPr>
          <w:p w14:paraId="44FE9725" w14:textId="77777777" w:rsidR="00312C3D" w:rsidRPr="00B75C66" w:rsidRDefault="00312C3D" w:rsidP="00C72E6B">
            <w:pPr>
              <w:jc w:val="center"/>
              <w:rPr>
                <w:sz w:val="18"/>
                <w:szCs w:val="18"/>
              </w:rPr>
            </w:pPr>
            <w:r w:rsidRPr="00B75C66">
              <w:rPr>
                <w:sz w:val="18"/>
                <w:szCs w:val="18"/>
              </w:rPr>
              <w:t>2.8 – 4.2</w:t>
            </w:r>
          </w:p>
        </w:tc>
        <w:tc>
          <w:tcPr>
            <w:tcW w:w="2268" w:type="dxa"/>
            <w:vAlign w:val="center"/>
          </w:tcPr>
          <w:p w14:paraId="75F94F90" w14:textId="77777777" w:rsidR="00312C3D" w:rsidRPr="00B75C66" w:rsidRDefault="00312C3D" w:rsidP="00C72E6B">
            <w:pPr>
              <w:jc w:val="center"/>
              <w:rPr>
                <w:sz w:val="18"/>
                <w:szCs w:val="18"/>
              </w:rPr>
            </w:pPr>
            <w:r w:rsidRPr="00B75C66">
              <w:rPr>
                <w:sz w:val="18"/>
                <w:szCs w:val="18"/>
              </w:rPr>
              <w:t>3 730 – 10 500</w:t>
            </w:r>
          </w:p>
        </w:tc>
        <w:tc>
          <w:tcPr>
            <w:tcW w:w="3969" w:type="dxa"/>
            <w:vAlign w:val="center"/>
          </w:tcPr>
          <w:p w14:paraId="786E4171" w14:textId="77777777" w:rsidR="00312C3D" w:rsidRPr="00B75C66" w:rsidRDefault="00312C3D" w:rsidP="00C72E6B">
            <w:pPr>
              <w:rPr>
                <w:sz w:val="18"/>
                <w:szCs w:val="18"/>
              </w:rPr>
            </w:pPr>
            <w:r w:rsidRPr="00B75C66">
              <w:rPr>
                <w:sz w:val="18"/>
                <w:szCs w:val="18"/>
              </w:rPr>
              <w:t>Musk xylene (REACH vB)</w:t>
            </w:r>
          </w:p>
        </w:tc>
      </w:tr>
      <w:tr w:rsidR="00B75C66" w:rsidRPr="00B75C66" w14:paraId="1FE3EDBB" w14:textId="77777777" w:rsidTr="008354DB">
        <w:tc>
          <w:tcPr>
            <w:tcW w:w="2410" w:type="dxa"/>
          </w:tcPr>
          <w:p w14:paraId="5A716630" w14:textId="77777777" w:rsidR="00312C3D" w:rsidRPr="00B75C66" w:rsidRDefault="00312C3D" w:rsidP="00C72E6B">
            <w:pPr>
              <w:jc w:val="center"/>
              <w:rPr>
                <w:sz w:val="18"/>
                <w:szCs w:val="18"/>
              </w:rPr>
            </w:pPr>
            <w:r w:rsidRPr="00B75C66">
              <w:rPr>
                <w:sz w:val="18"/>
                <w:szCs w:val="18"/>
              </w:rPr>
              <w:t>3.8, 105</w:t>
            </w:r>
          </w:p>
        </w:tc>
        <w:tc>
          <w:tcPr>
            <w:tcW w:w="2268" w:type="dxa"/>
            <w:vAlign w:val="center"/>
          </w:tcPr>
          <w:p w14:paraId="4B6A1468" w14:textId="77777777" w:rsidR="00312C3D" w:rsidRPr="00B75C66" w:rsidRDefault="00312C3D" w:rsidP="00C72E6B">
            <w:pPr>
              <w:jc w:val="center"/>
              <w:rPr>
                <w:sz w:val="18"/>
                <w:szCs w:val="18"/>
              </w:rPr>
            </w:pPr>
            <w:r w:rsidRPr="00B75C66">
              <w:rPr>
                <w:sz w:val="18"/>
                <w:szCs w:val="18"/>
              </w:rPr>
              <w:t>≥11 495</w:t>
            </w:r>
          </w:p>
        </w:tc>
        <w:tc>
          <w:tcPr>
            <w:tcW w:w="3969" w:type="dxa"/>
            <w:vAlign w:val="center"/>
          </w:tcPr>
          <w:p w14:paraId="3F9DB2DF" w14:textId="77777777" w:rsidR="00312C3D" w:rsidRPr="00B75C66" w:rsidRDefault="00312C3D" w:rsidP="00C72E6B">
            <w:pPr>
              <w:rPr>
                <w:sz w:val="18"/>
                <w:szCs w:val="18"/>
              </w:rPr>
            </w:pPr>
            <w:r w:rsidRPr="00B75C66">
              <w:rPr>
                <w:sz w:val="18"/>
                <w:szCs w:val="18"/>
              </w:rPr>
              <w:t>D4 (REACH vB)</w:t>
            </w:r>
          </w:p>
        </w:tc>
      </w:tr>
      <w:tr w:rsidR="00B75C66" w:rsidRPr="00B75C66" w14:paraId="33576624" w14:textId="77777777" w:rsidTr="008354DB">
        <w:tc>
          <w:tcPr>
            <w:tcW w:w="2410" w:type="dxa"/>
          </w:tcPr>
          <w:p w14:paraId="0623D4D0" w14:textId="77777777" w:rsidR="00312C3D" w:rsidRPr="00B75C66" w:rsidRDefault="00312C3D" w:rsidP="00C72E6B">
            <w:pPr>
              <w:jc w:val="center"/>
              <w:rPr>
                <w:sz w:val="18"/>
                <w:szCs w:val="18"/>
              </w:rPr>
            </w:pPr>
            <w:r w:rsidRPr="00B75C66">
              <w:rPr>
                <w:sz w:val="18"/>
                <w:szCs w:val="18"/>
              </w:rPr>
              <w:t>24 – 39</w:t>
            </w:r>
          </w:p>
        </w:tc>
        <w:tc>
          <w:tcPr>
            <w:tcW w:w="2268" w:type="dxa"/>
            <w:vAlign w:val="center"/>
          </w:tcPr>
          <w:p w14:paraId="27A7D3AE" w14:textId="77777777" w:rsidR="00312C3D" w:rsidRPr="00B75C66" w:rsidRDefault="00312C3D" w:rsidP="00C72E6B">
            <w:pPr>
              <w:jc w:val="center"/>
              <w:rPr>
                <w:sz w:val="18"/>
                <w:szCs w:val="18"/>
              </w:rPr>
            </w:pPr>
            <w:r w:rsidRPr="00B75C66">
              <w:rPr>
                <w:sz w:val="18"/>
                <w:szCs w:val="18"/>
              </w:rPr>
              <w:t>≥ 5 860</w:t>
            </w:r>
          </w:p>
        </w:tc>
        <w:tc>
          <w:tcPr>
            <w:tcW w:w="3969" w:type="dxa"/>
            <w:vMerge w:val="restart"/>
            <w:vAlign w:val="center"/>
          </w:tcPr>
          <w:p w14:paraId="6C7082D0" w14:textId="77777777" w:rsidR="00312C3D" w:rsidRPr="00B75C66" w:rsidRDefault="00312C3D" w:rsidP="00C72E6B">
            <w:pPr>
              <w:rPr>
                <w:sz w:val="18"/>
                <w:szCs w:val="18"/>
              </w:rPr>
            </w:pPr>
            <w:r w:rsidRPr="00B75C66">
              <w:rPr>
                <w:sz w:val="18"/>
                <w:szCs w:val="18"/>
              </w:rPr>
              <w:t>D5 (REACH vB)</w:t>
            </w:r>
          </w:p>
        </w:tc>
      </w:tr>
      <w:tr w:rsidR="00B75C66" w:rsidRPr="00B75C66" w14:paraId="5044748F" w14:textId="77777777" w:rsidTr="008354DB">
        <w:tc>
          <w:tcPr>
            <w:tcW w:w="2410" w:type="dxa"/>
          </w:tcPr>
          <w:p w14:paraId="3AF6413B" w14:textId="77777777" w:rsidR="00312C3D" w:rsidRPr="00B75C66" w:rsidRDefault="00312C3D" w:rsidP="00C72E6B">
            <w:pPr>
              <w:jc w:val="center"/>
              <w:rPr>
                <w:sz w:val="18"/>
                <w:szCs w:val="18"/>
              </w:rPr>
            </w:pPr>
            <w:r w:rsidRPr="00B75C66">
              <w:rPr>
                <w:sz w:val="18"/>
                <w:szCs w:val="18"/>
              </w:rPr>
              <w:t>19 – 22</w:t>
            </w:r>
          </w:p>
        </w:tc>
        <w:tc>
          <w:tcPr>
            <w:tcW w:w="2268" w:type="dxa"/>
            <w:vAlign w:val="center"/>
          </w:tcPr>
          <w:p w14:paraId="14313939" w14:textId="77777777" w:rsidR="00312C3D" w:rsidRPr="00B75C66" w:rsidRDefault="00312C3D" w:rsidP="00C72E6B">
            <w:pPr>
              <w:jc w:val="center"/>
              <w:rPr>
                <w:sz w:val="18"/>
                <w:szCs w:val="18"/>
              </w:rPr>
            </w:pPr>
            <w:r w:rsidRPr="00B75C66">
              <w:rPr>
                <w:sz w:val="18"/>
                <w:szCs w:val="18"/>
              </w:rPr>
              <w:t>12 600</w:t>
            </w:r>
          </w:p>
        </w:tc>
        <w:tc>
          <w:tcPr>
            <w:tcW w:w="3969" w:type="dxa"/>
            <w:vMerge/>
            <w:vAlign w:val="center"/>
          </w:tcPr>
          <w:p w14:paraId="3F6CE971" w14:textId="77777777" w:rsidR="00312C3D" w:rsidRPr="00B75C66" w:rsidRDefault="00312C3D" w:rsidP="00C72E6B">
            <w:pPr>
              <w:rPr>
                <w:sz w:val="18"/>
                <w:szCs w:val="18"/>
              </w:rPr>
            </w:pPr>
          </w:p>
        </w:tc>
      </w:tr>
      <w:tr w:rsidR="00B75C66" w:rsidRPr="00B75C66" w14:paraId="0CD9616D" w14:textId="77777777" w:rsidTr="008354DB">
        <w:tc>
          <w:tcPr>
            <w:tcW w:w="2410" w:type="dxa"/>
          </w:tcPr>
          <w:p w14:paraId="6D3869FD" w14:textId="77777777" w:rsidR="00312C3D" w:rsidRPr="00B75C66" w:rsidRDefault="00312C3D" w:rsidP="00C72E6B">
            <w:pPr>
              <w:jc w:val="center"/>
              <w:rPr>
                <w:sz w:val="18"/>
                <w:szCs w:val="18"/>
              </w:rPr>
            </w:pPr>
            <w:r w:rsidRPr="00B75C66">
              <w:rPr>
                <w:sz w:val="18"/>
                <w:szCs w:val="18"/>
              </w:rPr>
              <w:t>&gt;28</w:t>
            </w:r>
          </w:p>
        </w:tc>
        <w:tc>
          <w:tcPr>
            <w:tcW w:w="2268" w:type="dxa"/>
            <w:vMerge w:val="restart"/>
            <w:vAlign w:val="center"/>
          </w:tcPr>
          <w:p w14:paraId="2846F929" w14:textId="77777777" w:rsidR="00312C3D" w:rsidRPr="00B75C66" w:rsidRDefault="00312C3D" w:rsidP="00C72E6B">
            <w:pPr>
              <w:jc w:val="center"/>
              <w:rPr>
                <w:sz w:val="18"/>
                <w:szCs w:val="18"/>
              </w:rPr>
            </w:pPr>
            <w:r w:rsidRPr="00B75C66">
              <w:rPr>
                <w:sz w:val="18"/>
                <w:szCs w:val="18"/>
              </w:rPr>
              <w:t>&gt;&gt;5 000</w:t>
            </w:r>
          </w:p>
        </w:tc>
        <w:tc>
          <w:tcPr>
            <w:tcW w:w="3969" w:type="dxa"/>
            <w:vAlign w:val="center"/>
          </w:tcPr>
          <w:p w14:paraId="45D16340" w14:textId="77777777" w:rsidR="00312C3D" w:rsidRPr="00B75C66" w:rsidRDefault="00312C3D" w:rsidP="00C72E6B">
            <w:pPr>
              <w:rPr>
                <w:sz w:val="18"/>
                <w:szCs w:val="18"/>
              </w:rPr>
            </w:pPr>
            <w:r w:rsidRPr="00B75C66">
              <w:rPr>
                <w:sz w:val="18"/>
                <w:szCs w:val="18"/>
              </w:rPr>
              <w:t>Arochlor 1248 (commercial PCB mixture)</w:t>
            </w:r>
          </w:p>
        </w:tc>
      </w:tr>
      <w:tr w:rsidR="00B75C66" w:rsidRPr="00B75C66" w14:paraId="7F28AAA2" w14:textId="77777777" w:rsidTr="008354DB">
        <w:tc>
          <w:tcPr>
            <w:tcW w:w="2410" w:type="dxa"/>
          </w:tcPr>
          <w:p w14:paraId="0A7B378A" w14:textId="77777777" w:rsidR="00312C3D" w:rsidRPr="00B75C66" w:rsidRDefault="00312C3D" w:rsidP="00C72E6B">
            <w:pPr>
              <w:jc w:val="center"/>
              <w:rPr>
                <w:sz w:val="18"/>
                <w:szCs w:val="18"/>
              </w:rPr>
            </w:pPr>
            <w:r w:rsidRPr="00B75C66">
              <w:rPr>
                <w:sz w:val="18"/>
                <w:szCs w:val="18"/>
              </w:rPr>
              <w:t>&gt;42, 50</w:t>
            </w:r>
          </w:p>
        </w:tc>
        <w:tc>
          <w:tcPr>
            <w:tcW w:w="2268" w:type="dxa"/>
            <w:vMerge/>
            <w:vAlign w:val="center"/>
          </w:tcPr>
          <w:p w14:paraId="340E71AA" w14:textId="77777777" w:rsidR="00312C3D" w:rsidRPr="00B75C66" w:rsidRDefault="00312C3D" w:rsidP="00C72E6B">
            <w:pPr>
              <w:rPr>
                <w:sz w:val="18"/>
                <w:szCs w:val="18"/>
              </w:rPr>
            </w:pPr>
          </w:p>
        </w:tc>
        <w:tc>
          <w:tcPr>
            <w:tcW w:w="3969" w:type="dxa"/>
            <w:vAlign w:val="center"/>
          </w:tcPr>
          <w:p w14:paraId="292B5A01" w14:textId="77777777" w:rsidR="00312C3D" w:rsidRPr="00B75C66" w:rsidRDefault="00312C3D" w:rsidP="00C72E6B">
            <w:pPr>
              <w:rPr>
                <w:sz w:val="18"/>
                <w:szCs w:val="18"/>
              </w:rPr>
            </w:pPr>
            <w:r w:rsidRPr="00B75C66">
              <w:rPr>
                <w:sz w:val="18"/>
                <w:szCs w:val="18"/>
              </w:rPr>
              <w:t>Arochlor 1260 (commercial PCB mixture)</w:t>
            </w:r>
          </w:p>
        </w:tc>
      </w:tr>
      <w:tr w:rsidR="00312C3D" w:rsidRPr="00B75C66" w14:paraId="619228C5" w14:textId="77777777" w:rsidTr="008354DB">
        <w:tc>
          <w:tcPr>
            <w:tcW w:w="2410" w:type="dxa"/>
          </w:tcPr>
          <w:p w14:paraId="5626F3A0" w14:textId="77777777" w:rsidR="00312C3D" w:rsidRPr="00B75C66" w:rsidRDefault="00312C3D" w:rsidP="00C72E6B">
            <w:pPr>
              <w:jc w:val="center"/>
              <w:rPr>
                <w:sz w:val="18"/>
                <w:szCs w:val="18"/>
              </w:rPr>
            </w:pPr>
            <w:r w:rsidRPr="00B75C66">
              <w:rPr>
                <w:sz w:val="18"/>
                <w:szCs w:val="18"/>
              </w:rPr>
              <w:t>&gt;974</w:t>
            </w:r>
          </w:p>
        </w:tc>
        <w:tc>
          <w:tcPr>
            <w:tcW w:w="2268" w:type="dxa"/>
            <w:vMerge/>
            <w:vAlign w:val="center"/>
          </w:tcPr>
          <w:p w14:paraId="2F5D14D2" w14:textId="77777777" w:rsidR="00312C3D" w:rsidRPr="00B75C66" w:rsidRDefault="00312C3D" w:rsidP="00C72E6B">
            <w:pPr>
              <w:rPr>
                <w:sz w:val="18"/>
                <w:szCs w:val="18"/>
              </w:rPr>
            </w:pPr>
          </w:p>
        </w:tc>
        <w:tc>
          <w:tcPr>
            <w:tcW w:w="3969" w:type="dxa"/>
            <w:vAlign w:val="center"/>
          </w:tcPr>
          <w:p w14:paraId="20F49202" w14:textId="77777777" w:rsidR="00312C3D" w:rsidRPr="00B75C66" w:rsidRDefault="00312C3D" w:rsidP="00C72E6B">
            <w:pPr>
              <w:rPr>
                <w:sz w:val="18"/>
                <w:szCs w:val="18"/>
              </w:rPr>
            </w:pPr>
            <w:r w:rsidRPr="00B75C66">
              <w:rPr>
                <w:sz w:val="18"/>
                <w:szCs w:val="18"/>
              </w:rPr>
              <w:t>PCB-52</w:t>
            </w:r>
          </w:p>
        </w:tc>
      </w:tr>
    </w:tbl>
    <w:p w14:paraId="3F3309CC" w14:textId="77777777" w:rsidR="00312C3D" w:rsidRPr="00B75C66" w:rsidRDefault="00312C3D" w:rsidP="00312C3D"/>
    <w:p w14:paraId="240BB718" w14:textId="77777777" w:rsidR="00312C3D" w:rsidRPr="00B75C66" w:rsidRDefault="00312C3D" w:rsidP="008354DB">
      <w:pPr>
        <w:pStyle w:val="ListParagraph"/>
        <w:widowControl/>
        <w:spacing w:after="160" w:line="259" w:lineRule="auto"/>
        <w:ind w:right="992"/>
        <w:contextualSpacing/>
        <w:jc w:val="both"/>
      </w:pPr>
      <w:r w:rsidRPr="00B75C66">
        <w:t xml:space="preserve">Therefore with one exception (musk xylene), substances already agreed to meet the vB criterion or identified as POPs based on BCF values generally have relatively long depuration half-lives of 20 days or more in at least one fish species. A depuration half-life above around 8-10 days is also suggestive of a lipid-normalised and growth-corrected BCF above 5 000 L/kg according to the analysis in EA (2012). The depuration half-life for Dechlorane Plus was around 30-40 days for the anti- isomer and 50-70 days for the syn- isomer in the dietary study of Tomy </w:t>
      </w:r>
      <w:r w:rsidRPr="00B75C66">
        <w:rPr>
          <w:i/>
        </w:rPr>
        <w:t>et al</w:t>
      </w:r>
      <w:r w:rsidRPr="00B75C66">
        <w:t xml:space="preserve">. (2008) with juvenile Rainbow Trout </w:t>
      </w:r>
      <w:r w:rsidRPr="00B75C66">
        <w:rPr>
          <w:i/>
        </w:rPr>
        <w:t>O. mykiss</w:t>
      </w:r>
      <w:r w:rsidRPr="00B75C66">
        <w:t>.</w:t>
      </w:r>
      <w:r w:rsidRPr="00B75C66">
        <w:rPr>
          <w:vertAlign w:val="superscript"/>
        </w:rPr>
        <w:footnoteReference w:id="27"/>
      </w:r>
      <w:r w:rsidRPr="00B75C66">
        <w:t xml:space="preserve"> </w:t>
      </w:r>
      <w:r w:rsidRPr="00B75C66">
        <w:lastRenderedPageBreak/>
        <w:t xml:space="preserve">Zeng </w:t>
      </w:r>
      <w:r w:rsidRPr="00B75C66">
        <w:rPr>
          <w:i/>
        </w:rPr>
        <w:t>et al</w:t>
      </w:r>
      <w:r w:rsidRPr="00B75C66">
        <w:t xml:space="preserve">. (2014a) found that residues remained in all tissues in a study using Common Carp </w:t>
      </w:r>
      <w:r w:rsidRPr="00B75C66">
        <w:rPr>
          <w:i/>
        </w:rPr>
        <w:t>C. carpio</w:t>
      </w:r>
      <w:r w:rsidRPr="00B75C66">
        <w:t xml:space="preserve"> after 45 days of depuration. The long depuration half-life for Dechlorane Plus in fish is therefore highly indicative of a very bioaccumulative substance.</w:t>
      </w:r>
    </w:p>
    <w:p w14:paraId="707BE158" w14:textId="77777777" w:rsidR="00312C3D" w:rsidRPr="00B75C66" w:rsidRDefault="00312C3D" w:rsidP="00312C3D">
      <w:pPr>
        <w:jc w:val="both"/>
      </w:pPr>
    </w:p>
    <w:p w14:paraId="5B80CDB3" w14:textId="77777777" w:rsidR="00312C3D" w:rsidRPr="00B75C66" w:rsidRDefault="00312C3D" w:rsidP="00312C3D">
      <w:pPr>
        <w:jc w:val="both"/>
      </w:pPr>
      <w:r w:rsidRPr="00B75C66">
        <w:t>As noted above depuration half-life can be influenced by a number of experimental factors such as species differences, age of fish, etc. Therefore it may be difficult to reach clear conclusions for borderline cases. Sufficient uptake of a chemical by an organism is also required, so depuration half-life alone may not be indicative of a very bioaccumulative substance. However, field monitoring data (see following sections) suggest that Dechlorane Plus is bioavailable, and can achieve a relatively high body burden in some cases that may be expected to be associated with toxic effects due to baseline narcosis (see Appendix 3</w:t>
      </w:r>
      <w:r w:rsidR="008354DB">
        <w:t>, 4</w:t>
      </w:r>
      <w:r w:rsidRPr="00B75C66">
        <w:t xml:space="preserve"> and </w:t>
      </w:r>
      <w:r w:rsidR="008354DB">
        <w:t>6</w:t>
      </w:r>
      <w:r w:rsidRPr="00B75C66">
        <w:t>). Therefore the use of depuration half-life to guide decision-making is considered to be reasonable for Dechlorane Plus, and its very long depuration half-life is given a high weighting in the bioaccumulation assessment.</w:t>
      </w:r>
    </w:p>
    <w:p w14:paraId="7760390C" w14:textId="77777777" w:rsidR="00312C3D" w:rsidRPr="00B75C66" w:rsidRDefault="00312C3D" w:rsidP="00312C3D"/>
    <w:p w14:paraId="41796637" w14:textId="77777777" w:rsidR="00312C3D" w:rsidRPr="00B75C66" w:rsidRDefault="00312C3D" w:rsidP="002E6952">
      <w:pPr>
        <w:pStyle w:val="BodyText"/>
        <w:jc w:val="both"/>
      </w:pPr>
    </w:p>
    <w:p w14:paraId="69531256" w14:textId="77777777" w:rsidR="00A51194" w:rsidRPr="008640CB" w:rsidRDefault="00A51194" w:rsidP="00A51194">
      <w:pPr>
        <w:pStyle w:val="Heading5"/>
        <w:keepNext w:val="0"/>
        <w:tabs>
          <w:tab w:val="num" w:pos="284"/>
        </w:tabs>
      </w:pPr>
      <w:r>
        <w:t>3.4.1.2.3</w:t>
      </w:r>
      <w:r>
        <w:tab/>
        <w:t xml:space="preserve"> Sediment</w:t>
      </w:r>
      <w:r w:rsidRPr="008640CB">
        <w:t xml:space="preserve"> exposure</w:t>
      </w:r>
    </w:p>
    <w:p w14:paraId="32F35C96" w14:textId="77777777" w:rsidR="00A51194" w:rsidRDefault="00A51194" w:rsidP="00A51194">
      <w:pPr>
        <w:pStyle w:val="BodyText"/>
        <w:ind w:right="-52"/>
        <w:jc w:val="both"/>
        <w:rPr>
          <w:color w:val="000000"/>
          <w:lang w:eastAsia="en-US"/>
        </w:rPr>
      </w:pPr>
      <w:r w:rsidRPr="00A51194">
        <w:t>L</w:t>
      </w:r>
      <w:r w:rsidRPr="00A51194">
        <w:rPr>
          <w:color w:val="000000"/>
        </w:rPr>
        <w:t xml:space="preserve">i </w:t>
      </w:r>
      <w:r w:rsidRPr="00A51194">
        <w:rPr>
          <w:i/>
          <w:color w:val="000000"/>
        </w:rPr>
        <w:t xml:space="preserve">et al. </w:t>
      </w:r>
      <w:r w:rsidRPr="00A51194">
        <w:rPr>
          <w:color w:val="000000"/>
        </w:rPr>
        <w:t>(2014a)</w:t>
      </w:r>
      <w:r>
        <w:rPr>
          <w:color w:val="000000"/>
        </w:rPr>
        <w:t xml:space="preserve"> determined the bioaccumulation of Dechlorane Plus in the oligochaete </w:t>
      </w:r>
      <w:r>
        <w:rPr>
          <w:i/>
          <w:color w:val="000000"/>
        </w:rPr>
        <w:t>Lumbriculus variegatus</w:t>
      </w:r>
      <w:r>
        <w:rPr>
          <w:color w:val="000000"/>
        </w:rPr>
        <w:t>. The study was carried out using both laboratory-spiked sediment and field-collected sediment from an electronics recycling site in South China. The test was carried out in triplicate beakers containing approximately 120 g of wet sediment and 300 mL of moderately hard water, with each beaker containing 30 worms. The mean measured concentrations of anti-DP and syn-DP in the field sediments were 8.8 and 3.54 mg/kg organic carbon, respectively. For the laboratory-spiked sediments two exposure concentrations (high and low) were used for each of anti-DP and syn-DP. The mean measured anti-DP concentrations were 83.1 mg/kg organic carbon (high) and 24.3 mg/kg organic carbon (low). The mean measured syn-DP concentrations were 27.3 mg/kg organic carbon (high) and 7.66 mg/kg organic carbon (low). An uncontaminated sediment was used as a control. The organic carbon contents of the sediments were 2.75</w:t>
      </w:r>
      <w:r w:rsidR="00BA580B">
        <w:rPr>
          <w:color w:val="000000"/>
        </w:rPr>
        <w:t xml:space="preserve"> </w:t>
      </w:r>
      <w:r>
        <w:rPr>
          <w:color w:val="000000"/>
        </w:rPr>
        <w:t>% for the control and 1.80</w:t>
      </w:r>
      <w:r w:rsidR="00906888">
        <w:rPr>
          <w:color w:val="000000"/>
        </w:rPr>
        <w:t xml:space="preserve"> </w:t>
      </w:r>
      <w:r>
        <w:rPr>
          <w:color w:val="000000"/>
        </w:rPr>
        <w:t>% for the field sediment. The organic carbon content of the laboratory soil is not clear.</w:t>
      </w:r>
    </w:p>
    <w:p w14:paraId="3D33BD2F" w14:textId="77777777" w:rsidR="00A51194" w:rsidRDefault="00A51194" w:rsidP="00A51194">
      <w:pPr>
        <w:pStyle w:val="BodyText"/>
        <w:ind w:right="-52"/>
        <w:jc w:val="both"/>
        <w:rPr>
          <w:color w:val="000000"/>
        </w:rPr>
      </w:pPr>
      <w:r>
        <w:rPr>
          <w:color w:val="000000"/>
        </w:rPr>
        <w:t xml:space="preserve">The test consisted of a 28-day uptake period followed by a 28-day (laboratory sediment) or 21-day (field sediment) depuration period. The test was carried out at 23 °C and the worms were not fed during the test. Approximately 150 mL of the overlying water was changed twice daily. The dissolved oxygen content of the water was 5.4±0.4 mg/L and the pH was 7.6. The sediment concentrations were found to remain constant during the uptake phase of the test. </w:t>
      </w:r>
    </w:p>
    <w:p w14:paraId="04ED93FD" w14:textId="77777777" w:rsidR="00A51194" w:rsidRDefault="00A51194" w:rsidP="00A51194">
      <w:pPr>
        <w:pStyle w:val="BodyText"/>
        <w:ind w:right="-52"/>
        <w:jc w:val="both"/>
        <w:rPr>
          <w:color w:val="000000"/>
        </w:rPr>
      </w:pPr>
      <w:r>
        <w:rPr>
          <w:color w:val="000000"/>
        </w:rPr>
        <w:t>The exposed worms behaved similarly to the control worms, with no overt avoidance of the sediment and no significant reproduction of the worms occurred.</w:t>
      </w:r>
    </w:p>
    <w:p w14:paraId="2952F135" w14:textId="77777777" w:rsidR="00A51194" w:rsidRDefault="00A51194" w:rsidP="00A51194">
      <w:pPr>
        <w:pStyle w:val="BodyText"/>
        <w:ind w:right="-52"/>
        <w:jc w:val="both"/>
        <w:rPr>
          <w:color w:val="000000"/>
        </w:rPr>
      </w:pPr>
      <w:r>
        <w:rPr>
          <w:color w:val="000000"/>
        </w:rPr>
        <w:t>The concentrations of anti-DP and syn-DP in the worms increased during the first 14 days and then reached a plateau (steady-state) between days 14 and 28. The biota-sediment accumulation factor (BSAF) was determined as the ratio of the uptake rate constant and the depuration rate constant obtained using a first order kinetic model. No obvious growth of the worms was reported to occur in the test (worm weights per replicate were similar before and after the test).</w:t>
      </w:r>
    </w:p>
    <w:p w14:paraId="6DFC3CBE" w14:textId="77777777" w:rsidR="00A51194" w:rsidRDefault="00A51194" w:rsidP="00A51194">
      <w:pPr>
        <w:pStyle w:val="BodyText"/>
        <w:ind w:right="-52"/>
        <w:jc w:val="both"/>
        <w:rPr>
          <w:color w:val="000000"/>
        </w:rPr>
      </w:pPr>
      <w:r>
        <w:rPr>
          <w:color w:val="000000"/>
        </w:rPr>
        <w:t>The uptake rate constants for anti-DP were determined to be between 0.027 and 0.037 g organic carbon/g lipid/day in the laboratory sediments and 0.037 g organic carbon/g lipid/day in the field sediment. The depuration rate constants for anti-DP were determined to be 0.092-0.095 d</w:t>
      </w:r>
      <w:r>
        <w:rPr>
          <w:color w:val="000000"/>
          <w:vertAlign w:val="superscript"/>
        </w:rPr>
        <w:t>-1</w:t>
      </w:r>
      <w:r>
        <w:rPr>
          <w:color w:val="000000"/>
        </w:rPr>
        <w:t xml:space="preserve"> in laboratory sediment and 0.18 d</w:t>
      </w:r>
      <w:r>
        <w:rPr>
          <w:color w:val="000000"/>
          <w:vertAlign w:val="superscript"/>
        </w:rPr>
        <w:t xml:space="preserve">-1 </w:t>
      </w:r>
      <w:r>
        <w:rPr>
          <w:color w:val="000000"/>
        </w:rPr>
        <w:t xml:space="preserve">in the field sediment and the BSAF was determined to be 0.29-0.39 g organic carbon/g lipid in laboratory sediment and 0.21 g organic carbon/g lipid in the field </w:t>
      </w:r>
      <w:r>
        <w:rPr>
          <w:color w:val="000000"/>
        </w:rPr>
        <w:lastRenderedPageBreak/>
        <w:t>sediment.  For syn-DP the uptake rate constant was between 0.0298 and 0.0698 g organic carbon/g lipid/day in the laboratory sediments and 0.044 g organic carbon/g lipid/day in the field sediment, and the depuration rate constant was 0.063-0.15 d</w:t>
      </w:r>
      <w:r>
        <w:rPr>
          <w:color w:val="000000"/>
          <w:vertAlign w:val="superscript"/>
        </w:rPr>
        <w:t>-1</w:t>
      </w:r>
      <w:r>
        <w:rPr>
          <w:color w:val="000000"/>
        </w:rPr>
        <w:t xml:space="preserve"> in the laboratory sediments and 0.13 d</w:t>
      </w:r>
      <w:r>
        <w:rPr>
          <w:color w:val="000000"/>
          <w:vertAlign w:val="superscript"/>
        </w:rPr>
        <w:t>-1</w:t>
      </w:r>
      <w:r>
        <w:rPr>
          <w:color w:val="000000"/>
        </w:rPr>
        <w:t xml:space="preserve"> in the field sediment. The BSAF values for syn-DP were therefore 0.47-0.48 g organic carbon/g lipid in the laboratory sediments and 0.34 g organic carbon/g lipid in the field sediment.</w:t>
      </w:r>
    </w:p>
    <w:p w14:paraId="00B33199" w14:textId="77777777" w:rsidR="00A51194" w:rsidRDefault="00A51194" w:rsidP="00A51194">
      <w:pPr>
        <w:pStyle w:val="BodyText"/>
        <w:ind w:right="-52"/>
        <w:jc w:val="both"/>
        <w:rPr>
          <w:color w:val="000000"/>
        </w:rPr>
      </w:pPr>
      <w:r>
        <w:rPr>
          <w:color w:val="000000"/>
        </w:rPr>
        <w:t>All of the BSAF values determined were &lt;1. The BSAF value for syn-DP was greater than for anti-DP and this difference was statistically significant (p&lt;0.05) for the low-level laboratory sediment and the field sediment.</w:t>
      </w:r>
    </w:p>
    <w:p w14:paraId="758275B3" w14:textId="77777777" w:rsidR="00A51194" w:rsidRDefault="00A51194" w:rsidP="00A51194">
      <w:pPr>
        <w:pStyle w:val="BodyText"/>
        <w:jc w:val="both"/>
        <w:rPr>
          <w:b/>
          <w:i/>
        </w:rPr>
      </w:pPr>
      <w:r>
        <w:rPr>
          <w:b/>
          <w:i/>
        </w:rPr>
        <w:t>Discussion</w:t>
      </w:r>
    </w:p>
    <w:p w14:paraId="28EA39EF" w14:textId="77777777" w:rsidR="00A51194" w:rsidRDefault="00A51194" w:rsidP="00A51194">
      <w:pPr>
        <w:pStyle w:val="BodyText"/>
        <w:jc w:val="both"/>
        <w:rPr>
          <w:b/>
          <w:i/>
        </w:rPr>
      </w:pPr>
      <w:r>
        <w:t xml:space="preserve">The BSAF determined with </w:t>
      </w:r>
      <w:r>
        <w:rPr>
          <w:i/>
        </w:rPr>
        <w:t>Lumbriculus variegatus</w:t>
      </w:r>
      <w:r>
        <w:rPr>
          <w:b/>
          <w:i/>
        </w:rPr>
        <w:t xml:space="preserve"> </w:t>
      </w:r>
      <w:r>
        <w:t xml:space="preserve">is in the range 0.21-0.39 g organic carbon/g lipid for anti-DP and 0.34-0.48 g organic carbon/g lipid for syn-DP. The BSAF for syn-DP was found to be higher than for anti-DP. The values obtained in the laboratory study are discussed further in Section </w:t>
      </w:r>
      <w:r w:rsidR="00641064">
        <w:t>3.4.1.2.4</w:t>
      </w:r>
      <w:r>
        <w:t xml:space="preserve"> alongside the available BSAF values from field studies.</w:t>
      </w:r>
    </w:p>
    <w:p w14:paraId="3CBD460A" w14:textId="77777777" w:rsidR="00A51194" w:rsidRPr="008640CB" w:rsidRDefault="00A51194" w:rsidP="00A51194">
      <w:pPr>
        <w:pStyle w:val="Heading5"/>
        <w:keepNext w:val="0"/>
        <w:tabs>
          <w:tab w:val="num" w:pos="284"/>
        </w:tabs>
      </w:pPr>
      <w:r>
        <w:t>3.4.1.2.4</w:t>
      </w:r>
      <w:r>
        <w:tab/>
        <w:t xml:space="preserve"> Field studies</w:t>
      </w:r>
    </w:p>
    <w:p w14:paraId="4434BAA9" w14:textId="77777777" w:rsidR="00A51194" w:rsidRDefault="00A51194" w:rsidP="00A51194">
      <w:pPr>
        <w:pStyle w:val="BodyText"/>
        <w:jc w:val="both"/>
      </w:pPr>
      <w:r>
        <w:t xml:space="preserve">Twenty-two biota monitoring studies that report some measure of bioaccumulation potential have been summarised in </w:t>
      </w:r>
      <w:r w:rsidR="003877C2">
        <w:t xml:space="preserve">detail in </w:t>
      </w:r>
      <w:r>
        <w:t>Appendix 1 (</w:t>
      </w:r>
      <w:r w:rsidR="003877C2">
        <w:t xml:space="preserve">Wu </w:t>
      </w:r>
      <w:r w:rsidR="003877C2">
        <w:rPr>
          <w:i/>
        </w:rPr>
        <w:t>et al</w:t>
      </w:r>
      <w:r w:rsidR="003877C2">
        <w:t xml:space="preserve">., 2010; Tomy </w:t>
      </w:r>
      <w:r w:rsidR="003877C2">
        <w:rPr>
          <w:i/>
        </w:rPr>
        <w:t>et al</w:t>
      </w:r>
      <w:r w:rsidR="003877C2">
        <w:t xml:space="preserve">., 2007; </w:t>
      </w:r>
      <w:r w:rsidR="003877C2">
        <w:rPr>
          <w:rFonts w:eastAsiaTheme="minorHAnsi"/>
        </w:rPr>
        <w:t xml:space="preserve">Mo </w:t>
      </w:r>
      <w:r w:rsidR="003877C2">
        <w:rPr>
          <w:rFonts w:eastAsiaTheme="minorHAnsi"/>
          <w:i/>
        </w:rPr>
        <w:t>et al</w:t>
      </w:r>
      <w:r w:rsidR="003877C2">
        <w:rPr>
          <w:rFonts w:eastAsiaTheme="minorHAnsi"/>
        </w:rPr>
        <w:t xml:space="preserve">., 2013; </w:t>
      </w:r>
      <w:r w:rsidR="003877C2">
        <w:rPr>
          <w:rFonts w:eastAsia="BatangChe"/>
        </w:rPr>
        <w:t xml:space="preserve">Klosterhaus </w:t>
      </w:r>
      <w:r w:rsidR="003877C2">
        <w:rPr>
          <w:rFonts w:eastAsia="BatangChe"/>
          <w:i/>
        </w:rPr>
        <w:t>et al</w:t>
      </w:r>
      <w:r w:rsidR="003877C2">
        <w:rPr>
          <w:rFonts w:eastAsia="BatangChe"/>
        </w:rPr>
        <w:t xml:space="preserve">., 2012; </w:t>
      </w:r>
      <w:r w:rsidR="003877C2">
        <w:rPr>
          <w:color w:val="000000"/>
        </w:rPr>
        <w:t xml:space="preserve">Peng </w:t>
      </w:r>
      <w:r w:rsidR="003877C2">
        <w:rPr>
          <w:i/>
          <w:color w:val="000000"/>
        </w:rPr>
        <w:t>et al.</w:t>
      </w:r>
      <w:r w:rsidR="003877C2">
        <w:rPr>
          <w:color w:val="000000"/>
        </w:rPr>
        <w:t xml:space="preserve">, 2012; </w:t>
      </w:r>
      <w:r w:rsidR="003877C2">
        <w:t xml:space="preserve">He </w:t>
      </w:r>
      <w:r w:rsidR="003877C2">
        <w:rPr>
          <w:i/>
        </w:rPr>
        <w:t>et al</w:t>
      </w:r>
      <w:r w:rsidR="003877C2">
        <w:t xml:space="preserve">., 2014; Zhang </w:t>
      </w:r>
      <w:r w:rsidR="003877C2">
        <w:rPr>
          <w:i/>
        </w:rPr>
        <w:t>et al</w:t>
      </w:r>
      <w:r w:rsidR="003877C2">
        <w:t xml:space="preserve">., 2011b; </w:t>
      </w:r>
      <w:r w:rsidR="003877C2">
        <w:rPr>
          <w:rFonts w:eastAsia="BatangChe"/>
        </w:rPr>
        <w:t xml:space="preserve">Peng </w:t>
      </w:r>
      <w:r w:rsidR="003877C2">
        <w:rPr>
          <w:rFonts w:eastAsia="BatangChe"/>
          <w:i/>
        </w:rPr>
        <w:t>et al</w:t>
      </w:r>
      <w:r w:rsidR="003877C2">
        <w:rPr>
          <w:rFonts w:eastAsia="BatangChe"/>
        </w:rPr>
        <w:t xml:space="preserve">., 2014; </w:t>
      </w:r>
      <w:r w:rsidR="003877C2">
        <w:rPr>
          <w:lang w:eastAsia="en-GB"/>
        </w:rPr>
        <w:t>Wang</w:t>
      </w:r>
      <w:r w:rsidR="003877C2">
        <w:rPr>
          <w:rFonts w:eastAsia="BatangChe"/>
        </w:rPr>
        <w:t xml:space="preserve"> </w:t>
      </w:r>
      <w:r w:rsidR="003877C2">
        <w:rPr>
          <w:rFonts w:eastAsia="BatangChe"/>
          <w:i/>
        </w:rPr>
        <w:t>et al</w:t>
      </w:r>
      <w:r w:rsidR="003877C2">
        <w:rPr>
          <w:rFonts w:eastAsia="BatangChe"/>
        </w:rPr>
        <w:t xml:space="preserve">., 2015; </w:t>
      </w:r>
      <w:r w:rsidR="003877C2">
        <w:t xml:space="preserve">Barón </w:t>
      </w:r>
      <w:r w:rsidR="003877C2">
        <w:rPr>
          <w:i/>
        </w:rPr>
        <w:t>et al</w:t>
      </w:r>
      <w:r w:rsidR="003877C2">
        <w:t xml:space="preserve">., 2013; She </w:t>
      </w:r>
      <w:r w:rsidR="003877C2">
        <w:rPr>
          <w:i/>
        </w:rPr>
        <w:t>et al</w:t>
      </w:r>
      <w:r w:rsidR="003877C2">
        <w:t xml:space="preserve">., 2013; Jia </w:t>
      </w:r>
      <w:r w:rsidR="003877C2">
        <w:rPr>
          <w:i/>
        </w:rPr>
        <w:t>et al</w:t>
      </w:r>
      <w:r w:rsidR="003877C2">
        <w:t xml:space="preserve">., 2011; Shen </w:t>
      </w:r>
      <w:r w:rsidR="003877C2">
        <w:rPr>
          <w:i/>
        </w:rPr>
        <w:t>et al</w:t>
      </w:r>
      <w:r w:rsidR="003877C2">
        <w:t xml:space="preserve">., 2011a; Wang </w:t>
      </w:r>
      <w:r w:rsidR="003877C2">
        <w:rPr>
          <w:i/>
        </w:rPr>
        <w:t>et al.</w:t>
      </w:r>
      <w:r w:rsidR="003877C2">
        <w:t xml:space="preserve">, 2012; </w:t>
      </w:r>
      <w:r w:rsidR="003877C2">
        <w:rPr>
          <w:noProof/>
          <w:lang w:eastAsia="en-GB"/>
        </w:rPr>
        <w:t xml:space="preserve">Chen </w:t>
      </w:r>
      <w:r w:rsidR="003877C2">
        <w:rPr>
          <w:i/>
          <w:noProof/>
          <w:lang w:eastAsia="en-GB"/>
        </w:rPr>
        <w:t>et al</w:t>
      </w:r>
      <w:r w:rsidR="003877C2">
        <w:rPr>
          <w:noProof/>
          <w:lang w:eastAsia="en-GB"/>
        </w:rPr>
        <w:t xml:space="preserve">., 2012b; </w:t>
      </w:r>
      <w:r w:rsidR="003877C2">
        <w:t xml:space="preserve">Muñoz-Arnanz </w:t>
      </w:r>
      <w:r w:rsidR="003877C2">
        <w:rPr>
          <w:i/>
        </w:rPr>
        <w:t>et al</w:t>
      </w:r>
      <w:r w:rsidR="003877C2">
        <w:t xml:space="preserve">., 2012; Zhang </w:t>
      </w:r>
      <w:r w:rsidR="003877C2">
        <w:rPr>
          <w:i/>
        </w:rPr>
        <w:t>et al.</w:t>
      </w:r>
      <w:r w:rsidR="003877C2">
        <w:t xml:space="preserve">, 2010b; Kim </w:t>
      </w:r>
      <w:r w:rsidR="003877C2">
        <w:rPr>
          <w:i/>
        </w:rPr>
        <w:t>et al.</w:t>
      </w:r>
      <w:r w:rsidR="003877C2">
        <w:t xml:space="preserve">, 2015; Wu </w:t>
      </w:r>
      <w:r w:rsidR="003877C2">
        <w:rPr>
          <w:i/>
        </w:rPr>
        <w:t>et al.</w:t>
      </w:r>
      <w:r w:rsidR="003877C2">
        <w:t xml:space="preserve">, 2013; Li </w:t>
      </w:r>
      <w:r w:rsidR="003877C2">
        <w:rPr>
          <w:i/>
        </w:rPr>
        <w:t xml:space="preserve">et al., </w:t>
      </w:r>
      <w:r w:rsidR="003877C2">
        <w:t xml:space="preserve">2014b; Sühring </w:t>
      </w:r>
      <w:r w:rsidR="003877C2">
        <w:rPr>
          <w:i/>
        </w:rPr>
        <w:t>et al</w:t>
      </w:r>
      <w:r w:rsidR="003877C2">
        <w:t xml:space="preserve">., 2015; Sun </w:t>
      </w:r>
      <w:r w:rsidR="003877C2">
        <w:rPr>
          <w:i/>
        </w:rPr>
        <w:t>et al.</w:t>
      </w:r>
      <w:r w:rsidR="003877C2">
        <w:t>, 2015</w:t>
      </w:r>
      <w:r>
        <w:t xml:space="preserve">). </w:t>
      </w:r>
      <w:r w:rsidR="0018708A">
        <w:t>Other biota monitoring data are reported in Appendix 3.</w:t>
      </w:r>
    </w:p>
    <w:p w14:paraId="35E9B4BF" w14:textId="77777777" w:rsidR="003877C2" w:rsidRDefault="003877C2" w:rsidP="003877C2">
      <w:pPr>
        <w:pStyle w:val="BodyText"/>
        <w:jc w:val="both"/>
      </w:pPr>
      <w:r>
        <w:t xml:space="preserve">In general, monitoring studies are of limited usefulness for bioaccumulation assessment because the concentrations that the organisms were exposed to are unknown. Some species are highly migratory, so exposure at the sampling location might not be very relevant (i.e. the body burden may result from exposures some distance away). The studies are often screening exercises, with several substances investigated in the same samples, and often only include relatively low numbers of samples. The lack of a suitably ring-tested analytical method means that the results should be treated with caution, especially when comparing studies undertaken by different laboratories and at different times. Comparisons are also limited by the expression of the concentration in terms of either wet or lipid weight (rarely both), the use of different tissues and potentially the age/size and health of the organism when it was collected (particularly dead or injured individuals that may have depleted fat reserves). This is important if the accumulation of Dechlorane Plus is linked to more factors than lipid content alone, as suggested by the studies of Zeng </w:t>
      </w:r>
      <w:r>
        <w:rPr>
          <w:i/>
        </w:rPr>
        <w:t>et al</w:t>
      </w:r>
      <w:r>
        <w:t xml:space="preserve">. </w:t>
      </w:r>
      <w:r w:rsidRPr="00F0628F">
        <w:rPr>
          <w:lang w:val="fr-FR"/>
        </w:rPr>
        <w:t xml:space="preserve">(2014a), de la Torre </w:t>
      </w:r>
      <w:r w:rsidRPr="00F0628F">
        <w:rPr>
          <w:i/>
          <w:lang w:val="fr-FR"/>
        </w:rPr>
        <w:t>et al</w:t>
      </w:r>
      <w:r w:rsidRPr="00F0628F">
        <w:rPr>
          <w:lang w:val="fr-FR"/>
        </w:rPr>
        <w:t xml:space="preserve">. (2012), Zhang </w:t>
      </w:r>
      <w:r w:rsidRPr="00F0628F">
        <w:rPr>
          <w:i/>
          <w:lang w:val="fr-FR"/>
        </w:rPr>
        <w:t>et al</w:t>
      </w:r>
      <w:r w:rsidRPr="00F0628F">
        <w:rPr>
          <w:lang w:val="fr-FR"/>
        </w:rPr>
        <w:t xml:space="preserve">. (2011a), Li </w:t>
      </w:r>
      <w:r w:rsidRPr="00F0628F">
        <w:rPr>
          <w:i/>
          <w:lang w:val="fr-FR"/>
        </w:rPr>
        <w:t>et al</w:t>
      </w:r>
      <w:r w:rsidRPr="00F0628F">
        <w:rPr>
          <w:lang w:val="fr-FR"/>
        </w:rPr>
        <w:t xml:space="preserve">. </w:t>
      </w:r>
      <w:r>
        <w:t xml:space="preserve">(2013a), Chen </w:t>
      </w:r>
      <w:r>
        <w:rPr>
          <w:i/>
        </w:rPr>
        <w:t>et al</w:t>
      </w:r>
      <w:r>
        <w:t xml:space="preserve">. (2013b) and Zheng </w:t>
      </w:r>
      <w:r>
        <w:rPr>
          <w:i/>
        </w:rPr>
        <w:t>et al</w:t>
      </w:r>
      <w:r>
        <w:t xml:space="preserve">. (2014a) (summarised in Section </w:t>
      </w:r>
      <w:r w:rsidR="00641064">
        <w:t>3.4.1</w:t>
      </w:r>
      <w:r>
        <w:t xml:space="preserve">).  </w:t>
      </w:r>
    </w:p>
    <w:p w14:paraId="61C7C493" w14:textId="77777777" w:rsidR="003877C2" w:rsidRDefault="003877C2" w:rsidP="003877C2">
      <w:pPr>
        <w:pStyle w:val="BodyText"/>
        <w:jc w:val="both"/>
      </w:pPr>
      <w:r>
        <w:t xml:space="preserve">Nevertheless, the available monitoring studies show that the two isomers of Dechlorane Plus are widely dispersed in the European environment. Evidence from around the world shows that uptake can clearly occur in a wide range of wildlife species throughout freshwater and marine aquatic food webs, from invertebrates and fish to piscivorous top predators such as Bald Eagle </w:t>
      </w:r>
      <w:r>
        <w:rPr>
          <w:i/>
        </w:rPr>
        <w:t>Haliaeetus leucocephalus</w:t>
      </w:r>
      <w:r>
        <w:t xml:space="preserve">, Double-crested Cormorant </w:t>
      </w:r>
      <w:r>
        <w:rPr>
          <w:rFonts w:eastAsia="BatangChe"/>
          <w:i/>
        </w:rPr>
        <w:t>Phalacrocorax auritus</w:t>
      </w:r>
      <w:r>
        <w:t xml:space="preserve">, Eurasian Otter </w:t>
      </w:r>
      <w:r>
        <w:rPr>
          <w:i/>
        </w:rPr>
        <w:t>Lutra lutra</w:t>
      </w:r>
      <w:r>
        <w:t xml:space="preserve"> and cetaceans (e.g. </w:t>
      </w:r>
      <w:r>
        <w:rPr>
          <w:i/>
          <w:iCs/>
        </w:rPr>
        <w:t>Delphinus delphis</w:t>
      </w:r>
      <w:r>
        <w:rPr>
          <w:iCs/>
        </w:rPr>
        <w:t>). Dechlorane Plus is also found in</w:t>
      </w:r>
      <w:r>
        <w:t xml:space="preserve"> bird- and mammal-eating predators associated with aquatic environments (such as Peregrine Falcon </w:t>
      </w:r>
      <w:r>
        <w:rPr>
          <w:i/>
        </w:rPr>
        <w:t>Falco peregrinus</w:t>
      </w:r>
      <w:r>
        <w:t xml:space="preserve"> and Polar Bear </w:t>
      </w:r>
      <w:r>
        <w:rPr>
          <w:i/>
          <w:iCs/>
        </w:rPr>
        <w:t>Ursus maritimus</w:t>
      </w:r>
      <w:r>
        <w:rPr>
          <w:iCs/>
        </w:rPr>
        <w:t>)</w:t>
      </w:r>
      <w:r>
        <w:t>. From the small number of studies available, maximum levels in top predators in Europe are broadly in the range 0.1 – 1 µg/kg ww, although there are many non-detects.</w:t>
      </w:r>
    </w:p>
    <w:p w14:paraId="47CD164A" w14:textId="77777777" w:rsidR="003877C2" w:rsidRDefault="003877C2" w:rsidP="003877C2">
      <w:pPr>
        <w:pStyle w:val="BodyText"/>
        <w:jc w:val="both"/>
      </w:pPr>
      <w:r>
        <w:t xml:space="preserve">Most European samples have been collected from relatively unpolluted environments, where the substance is more likely to be present at very low concentrations due to long range transport rather than (in)direct local releases. Such studies show that Dechlorane Plus can be present in wildlife (including top predators) in regions relatively remote from human activity, although the </w:t>
      </w:r>
      <w:r>
        <w:lastRenderedPageBreak/>
        <w:t>levels are typically very low (&lt;0.1 µg/kg ww). In contrast, studies in more polluted environments in China and near the U.S. manufacturing facility show higher levels, indicating that organisms have the potential to accumulate in the region of 1 – 10 µg/kg ww, and up to 1 mg/kg ww [97 mg/kg lw] in fish muscle in the vicinity of point sources</w:t>
      </w:r>
      <w:r>
        <w:rPr>
          <w:lang w:eastAsia="en-GB"/>
        </w:rPr>
        <w:t xml:space="preserve"> (Wang</w:t>
      </w:r>
      <w:r>
        <w:rPr>
          <w:rFonts w:eastAsia="BatangChe"/>
        </w:rPr>
        <w:t xml:space="preserve"> </w:t>
      </w:r>
      <w:r>
        <w:rPr>
          <w:rFonts w:eastAsia="BatangChe"/>
          <w:i/>
        </w:rPr>
        <w:t>et al</w:t>
      </w:r>
      <w:r>
        <w:rPr>
          <w:rFonts w:eastAsia="BatangChe"/>
        </w:rPr>
        <w:t>., 2015)</w:t>
      </w:r>
      <w:r>
        <w:t xml:space="preserve"> (whole body concentrations are not available). This suggests that if exposure in the European environment were to increase, levels in wildlife might also increase. The higher levels that have been found in wildlife exceed concentrations that are considered to be of concern within a bioaccumulation context (e.g. a “critical concentration” of 0.065 or 0.65 mg/kg ww [1.3 or 13 mg/kg lw] can be estimated for Dechlorane Plus based on a critical body burden of 0.001 mmol/kg ww recommended in the REACH PBT Guidance (ECHA, 201</w:t>
      </w:r>
      <w:r w:rsidR="00DD6E1D">
        <w:t>7</w:t>
      </w:r>
      <w:r>
        <w:t>a); see Appendix 7).</w:t>
      </w:r>
    </w:p>
    <w:p w14:paraId="21DCFB63" w14:textId="77777777" w:rsidR="003877C2" w:rsidRDefault="003877C2" w:rsidP="003877C2">
      <w:pPr>
        <w:pStyle w:val="BodyText"/>
        <w:jc w:val="both"/>
        <w:rPr>
          <w:rFonts w:eastAsiaTheme="minorHAnsi"/>
        </w:rPr>
      </w:pPr>
      <w:r>
        <w:rPr>
          <w:rFonts w:eastAsiaTheme="minorHAnsi"/>
        </w:rPr>
        <w:t>According to equilibrium partitioning theory, BSAF values should be in the range 1–2 when the partitioning of a non</w:t>
      </w:r>
      <w:r w:rsidR="008F54C6">
        <w:rPr>
          <w:rFonts w:eastAsiaTheme="minorHAnsi"/>
        </w:rPr>
        <w:t>-</w:t>
      </w:r>
      <w:r>
        <w:rPr>
          <w:rFonts w:eastAsiaTheme="minorHAnsi"/>
        </w:rPr>
        <w:t xml:space="preserve">ionic organic chemical is at equilibrium between the organic carbon in the sediment and lipids of an organism (e.g. Burkhard </w:t>
      </w:r>
      <w:r>
        <w:rPr>
          <w:rFonts w:eastAsiaTheme="minorHAnsi"/>
          <w:i/>
        </w:rPr>
        <w:t>et al</w:t>
      </w:r>
      <w:r>
        <w:rPr>
          <w:rFonts w:eastAsiaTheme="minorHAnsi"/>
        </w:rPr>
        <w:t xml:space="preserve">., 2004). Lower BSAFs imply that the partitioning of an organic compound into lipids is lower than expected, i.e. that the partitioning between the fish or invertebrate species and the sediment is not in equilibrium (which may be due to </w:t>
      </w:r>
      <w:r>
        <w:rPr>
          <w:lang w:val="en-US"/>
        </w:rPr>
        <w:t xml:space="preserve">chemical </w:t>
      </w:r>
      <w:r>
        <w:rPr>
          <w:rFonts w:eastAsiaTheme="minorHAnsi"/>
        </w:rPr>
        <w:t>disequilibrium between the water and sediment,</w:t>
      </w:r>
      <w:r>
        <w:t xml:space="preserve"> </w:t>
      </w:r>
      <w:r>
        <w:rPr>
          <w:rFonts w:eastAsiaTheme="minorHAnsi"/>
        </w:rPr>
        <w:t xml:space="preserve">limited bioavailability </w:t>
      </w:r>
      <w:r>
        <w:rPr>
          <w:lang w:val="en-US"/>
        </w:rPr>
        <w:t xml:space="preserve">due to the amount and type of sediment organic carbon </w:t>
      </w:r>
      <w:r>
        <w:rPr>
          <w:rFonts w:eastAsiaTheme="minorHAnsi"/>
        </w:rPr>
        <w:t xml:space="preserve">and/or dietary uptake efficiencies, and/or metabolism in the organism or its food items). In contrast, higher BSAFs suggest that the substance can accumulate to a greater extent than by simple partitioning alone. The available data for Dechlorane Plus are as follows: </w:t>
      </w:r>
    </w:p>
    <w:p w14:paraId="35A4CB06" w14:textId="77777777" w:rsidR="003877C2" w:rsidRDefault="003877C2" w:rsidP="00686834">
      <w:pPr>
        <w:pStyle w:val="NoSpacing"/>
        <w:widowControl/>
        <w:numPr>
          <w:ilvl w:val="0"/>
          <w:numId w:val="22"/>
        </w:numPr>
        <w:spacing w:after="180"/>
        <w:ind w:right="657"/>
        <w:jc w:val="both"/>
        <w:rPr>
          <w:rFonts w:eastAsiaTheme="minorHAnsi"/>
        </w:rPr>
      </w:pPr>
      <w:r>
        <w:rPr>
          <w:lang w:eastAsia="en-GB"/>
        </w:rPr>
        <w:t xml:space="preserve">For fish, reported </w:t>
      </w:r>
      <w:r>
        <w:t>average BSAFs</w:t>
      </w:r>
      <w:r w:rsidR="00FF26EF" w:rsidRPr="00822BE8">
        <w:rPr>
          <w:rStyle w:val="FootnoteReference"/>
          <w:rFonts w:ascii="Verdana" w:hAnsi="Verdana"/>
        </w:rPr>
        <w:footnoteReference w:id="28"/>
      </w:r>
      <w:r w:rsidRPr="00822BE8">
        <w:t xml:space="preserve"> </w:t>
      </w:r>
      <w:r>
        <w:t>for total isomers were below 1 in four studies (</w:t>
      </w:r>
      <w:r>
        <w:rPr>
          <w:lang w:eastAsia="en-GB"/>
        </w:rPr>
        <w:t>Zhang</w:t>
      </w:r>
      <w:r>
        <w:rPr>
          <w:i/>
          <w:lang w:eastAsia="en-GB"/>
        </w:rPr>
        <w:t xml:space="preserve"> et al</w:t>
      </w:r>
      <w:r>
        <w:rPr>
          <w:lang w:eastAsia="en-GB"/>
        </w:rPr>
        <w:t>. (2011c): three species;</w:t>
      </w:r>
      <w:r>
        <w:t xml:space="preserve"> Shen </w:t>
      </w:r>
      <w:r>
        <w:rPr>
          <w:i/>
        </w:rPr>
        <w:t>et al</w:t>
      </w:r>
      <w:r>
        <w:t xml:space="preserve">. (2011a): one fish species; Wang </w:t>
      </w:r>
      <w:r>
        <w:rPr>
          <w:i/>
        </w:rPr>
        <w:t>et al.</w:t>
      </w:r>
      <w:r>
        <w:t xml:space="preserve"> (2012): one fish species</w:t>
      </w:r>
      <w:r>
        <w:rPr>
          <w:lang w:eastAsia="en-GB"/>
        </w:rPr>
        <w:t xml:space="preserve">; </w:t>
      </w:r>
      <w:r>
        <w:t xml:space="preserve">He </w:t>
      </w:r>
      <w:r>
        <w:rPr>
          <w:i/>
        </w:rPr>
        <w:t>et al</w:t>
      </w:r>
      <w:r>
        <w:t>. (2014</w:t>
      </w:r>
      <w:r>
        <w:rPr>
          <w:lang w:eastAsia="en-GB"/>
        </w:rPr>
        <w:t xml:space="preserve">): three species). However, another study </w:t>
      </w:r>
      <w:r>
        <w:t xml:space="preserve">(Wang </w:t>
      </w:r>
      <w:r>
        <w:rPr>
          <w:i/>
        </w:rPr>
        <w:t>et al</w:t>
      </w:r>
      <w:r>
        <w:t xml:space="preserve">., 2015) </w:t>
      </w:r>
      <w:r>
        <w:rPr>
          <w:lang w:eastAsia="en-GB"/>
        </w:rPr>
        <w:t xml:space="preserve">reported </w:t>
      </w:r>
      <w:r>
        <w:t xml:space="preserve">BSAFs above 1 for three fish species, with values up to 3.2 and 9.0 for the anti- and syn- isomers, respectively. </w:t>
      </w:r>
    </w:p>
    <w:p w14:paraId="0E0D78A7" w14:textId="77777777" w:rsidR="003877C2" w:rsidRDefault="003877C2" w:rsidP="00686834">
      <w:pPr>
        <w:pStyle w:val="NoSpacing"/>
        <w:widowControl/>
        <w:numPr>
          <w:ilvl w:val="0"/>
          <w:numId w:val="22"/>
        </w:numPr>
        <w:spacing w:after="180"/>
        <w:ind w:right="657"/>
        <w:jc w:val="both"/>
        <w:rPr>
          <w:lang w:val="en-US"/>
        </w:rPr>
      </w:pPr>
      <w:r>
        <w:t xml:space="preserve">For invertebrates, one study reported BSAFs below 1.7 (Wang </w:t>
      </w:r>
      <w:r>
        <w:rPr>
          <w:i/>
        </w:rPr>
        <w:t>et al.</w:t>
      </w:r>
      <w:r>
        <w:t xml:space="preserve"> (2015): river snail &amp; shrimp) whereas another reported BSAFs above 2 (Jia </w:t>
      </w:r>
      <w:r>
        <w:rPr>
          <w:i/>
        </w:rPr>
        <w:t>et al</w:t>
      </w:r>
      <w:r>
        <w:t>. (2011)</w:t>
      </w:r>
      <w:r>
        <w:rPr>
          <w:lang w:val="en-US"/>
        </w:rPr>
        <w:t xml:space="preserve">: oysters). </w:t>
      </w:r>
    </w:p>
    <w:p w14:paraId="35DA5F7B" w14:textId="77777777" w:rsidR="003877C2" w:rsidRDefault="003877C2" w:rsidP="00686834">
      <w:pPr>
        <w:pStyle w:val="NoSpacing"/>
        <w:widowControl/>
        <w:numPr>
          <w:ilvl w:val="0"/>
          <w:numId w:val="22"/>
        </w:numPr>
        <w:spacing w:after="180"/>
        <w:ind w:right="657"/>
        <w:jc w:val="both"/>
        <w:rPr>
          <w:lang w:val="en-US"/>
        </w:rPr>
      </w:pPr>
      <w:r>
        <w:rPr>
          <w:lang w:val="en-US"/>
        </w:rPr>
        <w:t xml:space="preserve">BSAF values below 1 (in the range 0.2-0.5 g organic carbon/g lipid) have been determined for </w:t>
      </w:r>
      <w:r>
        <w:rPr>
          <w:i/>
          <w:lang w:val="en-US"/>
        </w:rPr>
        <w:t>Lumbriculus variegatus</w:t>
      </w:r>
      <w:r>
        <w:rPr>
          <w:lang w:val="en-US"/>
        </w:rPr>
        <w:t xml:space="preserve"> in a laboratory study (Li </w:t>
      </w:r>
      <w:r>
        <w:rPr>
          <w:i/>
          <w:lang w:val="en-US"/>
        </w:rPr>
        <w:t>et al</w:t>
      </w:r>
      <w:r>
        <w:rPr>
          <w:lang w:val="en-US"/>
        </w:rPr>
        <w:t>. (2014a); see Section</w:t>
      </w:r>
      <w:r w:rsidR="00A37285">
        <w:rPr>
          <w:lang w:val="en-US"/>
        </w:rPr>
        <w:t xml:space="preserve"> </w:t>
      </w:r>
      <w:r w:rsidR="00641064">
        <w:rPr>
          <w:lang w:val="en-US"/>
        </w:rPr>
        <w:t>3.4.1.2.3</w:t>
      </w:r>
      <w:r>
        <w:rPr>
          <w:lang w:val="en-US"/>
        </w:rPr>
        <w:t>).</w:t>
      </w:r>
    </w:p>
    <w:p w14:paraId="158DD019" w14:textId="7D45D03C" w:rsidR="003877C2" w:rsidRDefault="003877C2" w:rsidP="003877C2">
      <w:pPr>
        <w:pStyle w:val="BodyText"/>
        <w:jc w:val="both"/>
        <w:rPr>
          <w:rFonts w:eastAsiaTheme="minorHAnsi"/>
        </w:rPr>
      </w:pPr>
      <w:r>
        <w:rPr>
          <w:rFonts w:eastAsiaTheme="minorHAnsi"/>
        </w:rPr>
        <w:t xml:space="preserve">This conflicting information is difficult to interpret. The studies tend to be based on small sample sizes, with sediment and biota sometimes collected at different time points and/or locations in the same general area, so their reliability is uncertain. </w:t>
      </w:r>
      <w:r w:rsidR="00181DCE">
        <w:rPr>
          <w:rFonts w:eastAsiaTheme="minorHAnsi"/>
        </w:rPr>
        <w:t xml:space="preserve">In addition, </w:t>
      </w:r>
      <w:r w:rsidR="00181DCE">
        <w:t xml:space="preserve">the ECHA PBT guidance R.11 (Appendix R.11-4) states that it is often difficult to distinguish between real uptake and adsorption to the organisms or interference of gut content in the determination of the BSAF values for highly hydrophobic substances. BSAF values of 0.1 and below may give an incomplete indication of bioaccumulation potential based on pore water concentrations. </w:t>
      </w:r>
      <w:r>
        <w:rPr>
          <w:rFonts w:eastAsiaTheme="minorHAnsi"/>
        </w:rPr>
        <w:t xml:space="preserve">However, one study for fish and one for invertebrates suggest that BSAFs might exceed 2, suggesting an enhanced level of bioaccumulation. For two studies where the BSAF is below 1, </w:t>
      </w:r>
      <w:r>
        <w:rPr>
          <w:lang w:eastAsia="en-GB"/>
        </w:rPr>
        <w:t xml:space="preserve">the BSAF values for </w:t>
      </w:r>
      <w:r>
        <w:rPr>
          <w:rFonts w:eastAsiaTheme="minorHAnsi"/>
        </w:rPr>
        <w:t>BDE-183 (a hep</w:t>
      </w:r>
      <w:r>
        <w:t>tabromodiphenyl ether)</w:t>
      </w:r>
      <w:r>
        <w:rPr>
          <w:rFonts w:eastAsiaTheme="minorHAnsi"/>
        </w:rPr>
        <w:t xml:space="preserve"> </w:t>
      </w:r>
      <w:r>
        <w:rPr>
          <w:lang w:eastAsia="en-GB"/>
        </w:rPr>
        <w:t>are similar to those for Dechlorane Plus</w:t>
      </w:r>
      <w:r>
        <w:rPr>
          <w:rFonts w:eastAsiaTheme="minorHAnsi"/>
        </w:rPr>
        <w:t xml:space="preserve"> in the same samples. </w:t>
      </w:r>
      <w:r w:rsidR="005B02C3">
        <w:rPr>
          <w:rFonts w:eastAsiaTheme="minorHAnsi"/>
        </w:rPr>
        <w:t xml:space="preserve">In the support document for </w:t>
      </w:r>
      <w:r w:rsidR="005C6506">
        <w:rPr>
          <w:rFonts w:eastAsiaTheme="minorHAnsi"/>
        </w:rPr>
        <w:t>b</w:t>
      </w:r>
      <w:r w:rsidR="005B02C3">
        <w:rPr>
          <w:rFonts w:eastAsiaTheme="minorHAnsi"/>
        </w:rPr>
        <w:t xml:space="preserve">is(pentabromophenyl)ether, </w:t>
      </w:r>
      <w:r>
        <w:rPr>
          <w:rFonts w:eastAsiaTheme="minorHAnsi"/>
        </w:rPr>
        <w:t xml:space="preserve">heptaBDE congeners </w:t>
      </w:r>
      <w:r w:rsidR="00BB28AA">
        <w:rPr>
          <w:rFonts w:eastAsiaTheme="minorHAnsi"/>
        </w:rPr>
        <w:t>were</w:t>
      </w:r>
      <w:r w:rsidR="005B02C3">
        <w:rPr>
          <w:rFonts w:eastAsiaTheme="minorHAnsi"/>
        </w:rPr>
        <w:t xml:space="preserve"> concluded to </w:t>
      </w:r>
      <w:r>
        <w:rPr>
          <w:rFonts w:eastAsiaTheme="minorHAnsi"/>
        </w:rPr>
        <w:t>meet the B criterion of Annex XIII</w:t>
      </w:r>
      <w:r w:rsidR="005B02C3" w:rsidRPr="005B02C3">
        <w:rPr>
          <w:rFonts w:eastAsiaTheme="minorHAnsi"/>
        </w:rPr>
        <w:t xml:space="preserve"> </w:t>
      </w:r>
      <w:r w:rsidR="005B02C3">
        <w:rPr>
          <w:rFonts w:eastAsiaTheme="minorHAnsi"/>
        </w:rPr>
        <w:t>(ECHA, 2012a)</w:t>
      </w:r>
      <w:r>
        <w:rPr>
          <w:rFonts w:eastAsiaTheme="minorHAnsi"/>
        </w:rPr>
        <w:t>.</w:t>
      </w:r>
      <w:r w:rsidR="005C6506">
        <w:rPr>
          <w:rFonts w:eastAsiaTheme="minorHAnsi"/>
        </w:rPr>
        <w:t xml:space="preserve"> </w:t>
      </w:r>
    </w:p>
    <w:p w14:paraId="7C74FD76" w14:textId="77777777" w:rsidR="003877C2" w:rsidRDefault="003877C2" w:rsidP="003877C2">
      <w:pPr>
        <w:pStyle w:val="BodyText"/>
        <w:jc w:val="both"/>
      </w:pPr>
      <w:r>
        <w:t xml:space="preserve">Detection of Dechlorane Plus (and anti-[DP-1Cl]) in eggs shows that maternal uptake and transfer to eggs can occur in birds. Similar maternal uptake and transfer has also been seen in fish (e.g. Wu </w:t>
      </w:r>
      <w:r>
        <w:rPr>
          <w:i/>
        </w:rPr>
        <w:t>et al.</w:t>
      </w:r>
      <w:r>
        <w:t xml:space="preserve"> (2013) and Sühring </w:t>
      </w:r>
      <w:r>
        <w:rPr>
          <w:i/>
        </w:rPr>
        <w:t>et al.</w:t>
      </w:r>
      <w:r>
        <w:t xml:space="preserve"> (2015)). The studies of Zhang </w:t>
      </w:r>
      <w:r>
        <w:rPr>
          <w:i/>
        </w:rPr>
        <w:t>et al</w:t>
      </w:r>
      <w:r>
        <w:t xml:space="preserve">. (2011a) and Zeng </w:t>
      </w:r>
      <w:r>
        <w:rPr>
          <w:i/>
        </w:rPr>
        <w:t>et al</w:t>
      </w:r>
      <w:r>
        <w:t xml:space="preserve">. (2014a) also show that the substance can cross the blood-brain barrier and be passed from females to eggs in fish. Li </w:t>
      </w:r>
      <w:r>
        <w:rPr>
          <w:i/>
        </w:rPr>
        <w:t>et al.</w:t>
      </w:r>
      <w:r>
        <w:t xml:space="preserve"> (2014b) showed that the substance can cross the blood-</w:t>
      </w:r>
      <w:r>
        <w:lastRenderedPageBreak/>
        <w:t>brain barrier in frogs. Sensitive life stages and tissues are therefore exposed to the substance.</w:t>
      </w:r>
    </w:p>
    <w:p w14:paraId="2F2C826B" w14:textId="77777777" w:rsidR="003877C2" w:rsidRDefault="003877C2" w:rsidP="003877C2">
      <w:pPr>
        <w:pStyle w:val="BodyText"/>
        <w:jc w:val="both"/>
      </w:pPr>
      <w:r>
        <w:t xml:space="preserve">Of particular relevance to this assessment are field studies that indicate biomagnification between trophic levels. The interpretation of such studies is evolving and it is clear that they can be complicated by a range of factors such as migratory behaviour of the species sampled, difficulties in establishing trophic position and feeding relationships, concentration gradients in water and/or sediment, and measurement limitations (e.g. in terms of temporal and spatial coverage, sample numbers (especially for larger species), specific tissue versus whole body, contamination during sampling, processing and analysis, etc.). These findings should therefore be treated with caution. Whilst some studies do not provide convincing evidence of biomagnification (e.g. Barón </w:t>
      </w:r>
      <w:r>
        <w:rPr>
          <w:i/>
        </w:rPr>
        <w:t>et al</w:t>
      </w:r>
      <w:r>
        <w:t xml:space="preserve">. (2013), Peng </w:t>
      </w:r>
      <w:r>
        <w:rPr>
          <w:i/>
        </w:rPr>
        <w:t>et al</w:t>
      </w:r>
      <w:r>
        <w:t xml:space="preserve">. (2014) and Klosterhaus </w:t>
      </w:r>
      <w:r>
        <w:rPr>
          <w:i/>
        </w:rPr>
        <w:t>et al</w:t>
      </w:r>
      <w:r>
        <w:t>. (2012)), four independent studies of aquatic food webs provide some evidence of trophic magnification:</w:t>
      </w:r>
    </w:p>
    <w:p w14:paraId="599401BC" w14:textId="77777777" w:rsidR="003877C2" w:rsidRDefault="003877C2" w:rsidP="00686834">
      <w:pPr>
        <w:pStyle w:val="BodyText"/>
        <w:widowControl/>
        <w:numPr>
          <w:ilvl w:val="0"/>
          <w:numId w:val="21"/>
        </w:numPr>
        <w:spacing w:after="180"/>
        <w:ind w:left="426" w:right="232"/>
        <w:jc w:val="both"/>
      </w:pPr>
      <w:r>
        <w:t xml:space="preserve">Wu </w:t>
      </w:r>
      <w:r>
        <w:rPr>
          <w:i/>
        </w:rPr>
        <w:t>et al</w:t>
      </w:r>
      <w:r>
        <w:t xml:space="preserve">. (2010) calculated a TMF above 1 for both Dechlorane Plus isomers in a Chinese aquatic food web. The value for both isomers together was approximately five times higher than that of total PBDEs and similar to polychlorinated biphenyls in the same web (although the overall Dechlorane Plus concentrations were 1 – 2 orders of magnitude lower). Sample numbers were low. The TMF depends on the assignment of one species (a water snake) to the highest trophic position; inclusion of a top predatory fish (Northern Snakehead) results in a lack of biomagnification (and even biodilution for the anti- isomer). Levels in three benthic-feeding carp species are consistently higher than potential invertebrate prey, suggesting that biomagnification may occur for some feeding relationships although this might also be influenced by sediment ingestion.  This study provides evidence of biomagnification for some feeding relationships in an aquatic food web, though this is not unequivocal. </w:t>
      </w:r>
    </w:p>
    <w:p w14:paraId="1E137259" w14:textId="77777777" w:rsidR="003877C2" w:rsidRDefault="003877C2" w:rsidP="00686834">
      <w:pPr>
        <w:pStyle w:val="BodyText"/>
        <w:widowControl/>
        <w:numPr>
          <w:ilvl w:val="0"/>
          <w:numId w:val="21"/>
        </w:numPr>
        <w:spacing w:after="120"/>
        <w:ind w:left="426" w:right="232"/>
        <w:jc w:val="both"/>
      </w:pPr>
      <w:r>
        <w:t xml:space="preserve">Tomy </w:t>
      </w:r>
      <w:r>
        <w:rPr>
          <w:i/>
        </w:rPr>
        <w:t>et al</w:t>
      </w:r>
      <w:r>
        <w:t>. (2007) investigated food web samples from Lake Ontario and Lake Winnipeg, Canada. In Lake Winnipeg, trophic level-adjusted BMFs (based on the ratio of lipid-corrected concentrations) for four feeding relationships were all below 1 for both syn- and anti- isomers, with the exception of the Walleye/Whitefish predator-prey relationship for the anti- isomer only (BMF of 11). In Lake Ontario, trophic level-adjusted BMFs for three of four feeding relationships were below 1 for both isomers. The exception was the Lake Trout/Smelt predator-prey relationship, with a BMF of 12 for the syn- isomer and 11 for the anti- isomer. These calculations assume that a predator consumes one prey species only, and as this is unlikely to be the case in reality, the BMFs should be treated with caution.</w:t>
      </w:r>
    </w:p>
    <w:p w14:paraId="6B168D22" w14:textId="77777777" w:rsidR="003877C2" w:rsidRDefault="003877C2" w:rsidP="003877C2">
      <w:pPr>
        <w:spacing w:after="120"/>
        <w:ind w:left="426" w:right="232"/>
        <w:jc w:val="both"/>
      </w:pPr>
      <w:r>
        <w:t>A TMF value above 1 was calculated for the anti- isomer in Lake Winnipeg (TMF = 2.5, r</w:t>
      </w:r>
      <w:r>
        <w:rPr>
          <w:vertAlign w:val="superscript"/>
        </w:rPr>
        <w:t>2</w:t>
      </w:r>
      <w:r>
        <w:t xml:space="preserve"> = 0.12, </w:t>
      </w:r>
      <w:r>
        <w:rPr>
          <w:i/>
        </w:rPr>
        <w:t>p</w:t>
      </w:r>
      <w:r>
        <w:t xml:space="preserve"> = 0.04), but not for the syn- isomer, or either isomer in Lake Ontario. The positioning of some of the species in the food web is open to question, and the Lake Winnipeg results were based on fish muscle only, which introduces uncertainty. Low concentrations, the very small sample sizes and possibility of variable exposure raise additional concerns about the representivity of the data for these food chains. </w:t>
      </w:r>
    </w:p>
    <w:p w14:paraId="5B313228" w14:textId="77777777" w:rsidR="003877C2" w:rsidRDefault="003877C2" w:rsidP="003877C2">
      <w:pPr>
        <w:spacing w:after="120"/>
        <w:ind w:left="426" w:right="232"/>
        <w:jc w:val="both"/>
      </w:pPr>
      <w:r>
        <w:t>Whilst the study suggests that interspecies differences in bioaccumulation/</w:t>
      </w:r>
      <w:r w:rsidR="008F54C6">
        <w:t xml:space="preserve"> </w:t>
      </w:r>
      <w:r>
        <w:t>biotransformation are likely, and that biomagnification may be taking place in some aquatic food webs and feeding relationships, the evidence is equivocal.</w:t>
      </w:r>
    </w:p>
    <w:p w14:paraId="095E1C73" w14:textId="77777777" w:rsidR="003877C2" w:rsidRDefault="003877C2" w:rsidP="00686834">
      <w:pPr>
        <w:pStyle w:val="BodyText"/>
        <w:widowControl/>
        <w:numPr>
          <w:ilvl w:val="0"/>
          <w:numId w:val="21"/>
        </w:numPr>
        <w:spacing w:after="120"/>
        <w:ind w:left="426" w:right="232"/>
        <w:jc w:val="both"/>
        <w:rPr>
          <w:rFonts w:eastAsiaTheme="minorHAnsi"/>
        </w:rPr>
      </w:pPr>
      <w:r>
        <w:rPr>
          <w:lang w:eastAsia="en-GB"/>
        </w:rPr>
        <w:t>Wang</w:t>
      </w:r>
      <w:r>
        <w:rPr>
          <w:rFonts w:eastAsia="BatangChe"/>
        </w:rPr>
        <w:t xml:space="preserve"> </w:t>
      </w:r>
      <w:r>
        <w:rPr>
          <w:rFonts w:eastAsia="BatangChe"/>
          <w:i/>
        </w:rPr>
        <w:t>et al</w:t>
      </w:r>
      <w:r>
        <w:rPr>
          <w:rFonts w:eastAsia="BatangChe"/>
        </w:rPr>
        <w:t>. (2015)</w:t>
      </w:r>
      <w:r>
        <w:rPr>
          <w:lang w:eastAsia="en-GB"/>
        </w:rPr>
        <w:t xml:space="preserve"> </w:t>
      </w:r>
      <w:r>
        <w:rPr>
          <w:rFonts w:eastAsia="BatangChe"/>
        </w:rPr>
        <w:t xml:space="preserve">investigated trophic magnification </w:t>
      </w:r>
      <w:r>
        <w:rPr>
          <w:lang w:eastAsia="en-GB"/>
        </w:rPr>
        <w:t xml:space="preserve">in an aquatic food chain </w:t>
      </w:r>
      <w:r>
        <w:t xml:space="preserve">that receives discharges from </w:t>
      </w:r>
      <w:r>
        <w:rPr>
          <w:lang w:eastAsia="en-GB"/>
        </w:rPr>
        <w:t xml:space="preserve">the Dechlorane Plus production facility in China. </w:t>
      </w:r>
      <w:r>
        <w:t>Sample numbers were low, but t</w:t>
      </w:r>
      <w:r>
        <w:rPr>
          <w:lang w:eastAsia="en-GB"/>
        </w:rPr>
        <w:t xml:space="preserve">he TMF was 1.9 </w:t>
      </w:r>
      <w:r>
        <w:t>(95</w:t>
      </w:r>
      <w:r w:rsidR="00BA580B">
        <w:t xml:space="preserve"> </w:t>
      </w:r>
      <w:r>
        <w:t xml:space="preserve">% CI: 1.1–3.4) </w:t>
      </w:r>
      <w:r>
        <w:rPr>
          <w:lang w:eastAsia="en-GB"/>
        </w:rPr>
        <w:t xml:space="preserve">for </w:t>
      </w:r>
      <w:r>
        <w:t xml:space="preserve">anti-Dechlorane Plus, and this was statistically significant. </w:t>
      </w:r>
      <w:r>
        <w:rPr>
          <w:rFonts w:eastAsiaTheme="minorHAnsi"/>
        </w:rPr>
        <w:t xml:space="preserve">Total Dechlorane Plus concentrations were in the range 0.8 – 1.1 mg/kg ww for four of the five fish species sampled, including the species at the highest trophic level. </w:t>
      </w:r>
    </w:p>
    <w:p w14:paraId="7A761B2D" w14:textId="77777777" w:rsidR="003877C2" w:rsidRDefault="003877C2" w:rsidP="003877C2">
      <w:pPr>
        <w:pStyle w:val="BodyText"/>
        <w:spacing w:after="120"/>
        <w:ind w:left="426" w:right="232"/>
        <w:jc w:val="both"/>
      </w:pPr>
      <w:r>
        <w:t>In addition, the log-normalized concentration ratios of anti-DP-1Cl to anti-DP showed a significant relationship with trophic level (</w:t>
      </w:r>
      <w:r>
        <w:rPr>
          <w:i/>
        </w:rPr>
        <w:t>p</w:t>
      </w:r>
      <w:r>
        <w:t xml:space="preserve"> &lt; 0.001), implying that anti-DP-1Cl may have a higher trophic magnification potential than anti-DP. </w:t>
      </w:r>
    </w:p>
    <w:p w14:paraId="1FFD7E6B" w14:textId="77777777" w:rsidR="003877C2" w:rsidRDefault="003877C2" w:rsidP="003877C2">
      <w:pPr>
        <w:pStyle w:val="BodyText"/>
        <w:spacing w:after="120"/>
        <w:ind w:left="426" w:right="232"/>
        <w:jc w:val="both"/>
      </w:pPr>
      <w:r>
        <w:t>A significant negative correlation was found between f</w:t>
      </w:r>
      <w:r>
        <w:rPr>
          <w:vertAlign w:val="subscript"/>
        </w:rPr>
        <w:t>anti</w:t>
      </w:r>
      <w:r>
        <w:t xml:space="preserve"> and trophic level for </w:t>
      </w:r>
      <w:r>
        <w:rPr>
          <w:rFonts w:eastAsiaTheme="minorHAnsi"/>
        </w:rPr>
        <w:t>the</w:t>
      </w:r>
      <w:r>
        <w:t xml:space="preserve"> sampled </w:t>
      </w:r>
      <w:r>
        <w:lastRenderedPageBreak/>
        <w:t>species (</w:t>
      </w:r>
      <w:r>
        <w:rPr>
          <w:i/>
        </w:rPr>
        <w:t>p</w:t>
      </w:r>
      <w:r>
        <w:t xml:space="preserve"> &lt; 0.01), suggesting that the organisms have lower uptake efficiencies and higher depuration rates for the anti- isomer compared to the syn-isomer.</w:t>
      </w:r>
    </w:p>
    <w:p w14:paraId="5AE78618" w14:textId="77777777" w:rsidR="003877C2" w:rsidRDefault="003877C2" w:rsidP="00686834">
      <w:pPr>
        <w:pStyle w:val="BodyText"/>
        <w:widowControl/>
        <w:numPr>
          <w:ilvl w:val="0"/>
          <w:numId w:val="21"/>
        </w:numPr>
        <w:spacing w:after="120"/>
        <w:ind w:left="426" w:right="232"/>
        <w:jc w:val="both"/>
      </w:pPr>
      <w:r>
        <w:t xml:space="preserve">Sun </w:t>
      </w:r>
      <w:r>
        <w:rPr>
          <w:i/>
          <w:iCs/>
        </w:rPr>
        <w:t>et al.</w:t>
      </w:r>
      <w:r>
        <w:t xml:space="preserve"> (2015) investigated the bioaccumulation of Dechlorane Plus in biota from the Island Mangrove Nature Reserve, Pearl River estuary, South China. A total of 22 samples from four species were analysed in the study and anti-DP was detectable in 100</w:t>
      </w:r>
      <w:r w:rsidR="00906888">
        <w:t xml:space="preserve"> </w:t>
      </w:r>
      <w:r>
        <w:t>% of the samples and syn-DP was detectable in 54</w:t>
      </w:r>
      <w:r w:rsidR="00906888">
        <w:t xml:space="preserve"> </w:t>
      </w:r>
      <w:r>
        <w:t>% of the samples. The TMF for total Dechlorane Plus was determined to be 2.31, although the regression was not statistically significant (</w:t>
      </w:r>
      <w:r>
        <w:rPr>
          <w:i/>
        </w:rPr>
        <w:t xml:space="preserve">p </w:t>
      </w:r>
      <w:r>
        <w:t xml:space="preserve">= 0.07). Estimated BMFs for various predator-prey combinations were in the range 1.27 to 11.8. These calculations assume that a predator consumes one prey species only, and as this is unlikely to be the case in reality, the BMFs should be treated with caution.  </w:t>
      </w:r>
    </w:p>
    <w:p w14:paraId="7F101B89" w14:textId="77777777" w:rsidR="00641064" w:rsidRDefault="003877C2" w:rsidP="003877C2">
      <w:pPr>
        <w:jc w:val="both"/>
      </w:pPr>
      <w:r>
        <w:t xml:space="preserve">The interpretation of </w:t>
      </w:r>
      <w:r>
        <w:rPr>
          <w:lang w:eastAsia="en-GB"/>
        </w:rPr>
        <w:t xml:space="preserve">trophic transfer </w:t>
      </w:r>
      <w:r>
        <w:t xml:space="preserve">studies involving waterbirds is complicated by the fact that sample sizes are small, and a single tissue (usually egg, muscle or liver) is typically analysed. Zheng </w:t>
      </w:r>
      <w:r>
        <w:rPr>
          <w:i/>
        </w:rPr>
        <w:t>et al</w:t>
      </w:r>
      <w:r>
        <w:t xml:space="preserve">. (2014a) (summarised in Section </w:t>
      </w:r>
      <w:r w:rsidR="00BE130F">
        <w:t>3.4.2</w:t>
      </w:r>
      <w:r>
        <w:t xml:space="preserve">) showed that fat tissue is an important </w:t>
      </w:r>
      <w:r>
        <w:rPr>
          <w:lang w:eastAsia="en-GB"/>
        </w:rPr>
        <w:t xml:space="preserve">compartment for </w:t>
      </w:r>
      <w:r>
        <w:t>Dechlorane Plus</w:t>
      </w:r>
      <w:r>
        <w:rPr>
          <w:lang w:eastAsia="en-GB"/>
        </w:rPr>
        <w:t xml:space="preserve"> accumulation in the Domestic Chicken (</w:t>
      </w:r>
      <w:r>
        <w:rPr>
          <w:i/>
          <w:lang w:eastAsia="en-GB"/>
        </w:rPr>
        <w:t>Gallus gallus</w:t>
      </w:r>
      <w:r>
        <w:rPr>
          <w:lang w:eastAsia="en-GB"/>
        </w:rPr>
        <w:t>), so whole body burdens might be significantly different from those implied by measured concentrations in a single tissue (particularly muscle)</w:t>
      </w:r>
      <w:r>
        <w:t xml:space="preserve">. Coupled with the uncertainties about the relevance of lipid normalisation, firm conclusions about trophic transfer in birds cannot be drawn from the available data. </w:t>
      </w:r>
    </w:p>
    <w:p w14:paraId="27FD484A" w14:textId="77777777" w:rsidR="003877C2" w:rsidRDefault="003877C2" w:rsidP="003877C2">
      <w:pPr>
        <w:jc w:val="both"/>
      </w:pPr>
      <w:r>
        <w:t xml:space="preserve">  </w:t>
      </w:r>
    </w:p>
    <w:p w14:paraId="3ACAF98D" w14:textId="77777777" w:rsidR="00B12C39" w:rsidRPr="008F54C6" w:rsidRDefault="00264345" w:rsidP="008F54C6">
      <w:pPr>
        <w:pStyle w:val="Heading3"/>
        <w:tabs>
          <w:tab w:val="clear" w:pos="360"/>
          <w:tab w:val="num" w:pos="284"/>
        </w:tabs>
        <w:ind w:left="1134" w:hanging="1134"/>
        <w:jc w:val="both"/>
        <w:rPr>
          <w:sz w:val="20"/>
          <w:szCs w:val="20"/>
        </w:rPr>
      </w:pPr>
      <w:bookmarkStart w:id="584" w:name="_Toc341888531"/>
      <w:bookmarkStart w:id="585" w:name="_Toc342400384"/>
      <w:bookmarkStart w:id="586" w:name="_Toc354499586"/>
      <w:bookmarkStart w:id="587" w:name="_Toc357083661"/>
      <w:bookmarkStart w:id="588" w:name="_Toc357184210"/>
      <w:bookmarkStart w:id="589" w:name="_Toc357184446"/>
      <w:bookmarkStart w:id="590" w:name="_Toc357185248"/>
      <w:bookmarkStart w:id="591" w:name="_Toc357186096"/>
      <w:bookmarkStart w:id="592" w:name="_Toc357186245"/>
      <w:bookmarkStart w:id="593" w:name="_Toc357437531"/>
      <w:bookmarkStart w:id="594" w:name="_Toc357590804"/>
      <w:bookmarkStart w:id="595" w:name="_Toc357692836"/>
      <w:bookmarkStart w:id="596" w:name="_Toc365649665"/>
      <w:bookmarkStart w:id="597" w:name="_Toc365649814"/>
      <w:bookmarkStart w:id="598" w:name="_Toc366489866"/>
      <w:bookmarkStart w:id="599" w:name="_Toc418498571"/>
      <w:bookmarkStart w:id="600" w:name="_Toc418506014"/>
      <w:bookmarkStart w:id="601" w:name="_Toc491862236"/>
      <w:r w:rsidRPr="008F54C6">
        <w:rPr>
          <w:sz w:val="20"/>
          <w:szCs w:val="20"/>
        </w:rPr>
        <w:t xml:space="preserve">3.4.2 </w:t>
      </w:r>
      <w:r w:rsidR="00D3264A" w:rsidRPr="008F54C6">
        <w:rPr>
          <w:sz w:val="20"/>
          <w:szCs w:val="20"/>
        </w:rPr>
        <w:t>Bioaccumulation in terrestrial organisms (soil dwelling organisms, vertebrates)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14:paraId="17D478AE" w14:textId="77777777" w:rsidR="00204ACB" w:rsidRPr="00F70CAE" w:rsidRDefault="00204ACB" w:rsidP="00204ACB">
      <w:pPr>
        <w:pStyle w:val="Heading4"/>
      </w:pPr>
      <w:r>
        <w:t>3.4.2.1 Screening information</w:t>
      </w:r>
      <w:r w:rsidRPr="00F70CAE">
        <w:t xml:space="preserve"> </w:t>
      </w:r>
    </w:p>
    <w:p w14:paraId="4D26789D" w14:textId="34EFD379" w:rsidR="00204ACB" w:rsidRDefault="008F54C6" w:rsidP="004547A0">
      <w:pPr>
        <w:pStyle w:val="NoSpacing"/>
        <w:widowControl/>
        <w:autoSpaceDE w:val="0"/>
        <w:autoSpaceDN w:val="0"/>
        <w:adjustRightInd w:val="0"/>
        <w:spacing w:after="120"/>
        <w:jc w:val="both"/>
        <w:rPr>
          <w:color w:val="000000"/>
        </w:rPr>
      </w:pPr>
      <w:r>
        <w:t>Although there are significant uncertainties in the physicochemical data set, the combination of a predicted log K</w:t>
      </w:r>
      <w:r>
        <w:rPr>
          <w:vertAlign w:val="subscript"/>
        </w:rPr>
        <w:t xml:space="preserve">OW </w:t>
      </w:r>
      <w:r>
        <w:t xml:space="preserve"> &gt;2 and log K</w:t>
      </w:r>
      <w:r>
        <w:rPr>
          <w:vertAlign w:val="subscript"/>
        </w:rPr>
        <w:t>OA</w:t>
      </w:r>
      <w:r>
        <w:t xml:space="preserve"> &gt;5 indicate that Dechlorane Plus has the potential to bio</w:t>
      </w:r>
      <w:r w:rsidR="00F10B3C">
        <w:t>accumulate</w:t>
      </w:r>
      <w:r>
        <w:t xml:space="preserve"> in terrestrial food webs if the rate of chemical transformation or metabolism is low, as suggested by Gobas </w:t>
      </w:r>
      <w:r>
        <w:rPr>
          <w:i/>
        </w:rPr>
        <w:t>et al</w:t>
      </w:r>
      <w:r>
        <w:t xml:space="preserve">. (2003) and Kelly </w:t>
      </w:r>
      <w:r>
        <w:rPr>
          <w:i/>
        </w:rPr>
        <w:t>et al</w:t>
      </w:r>
      <w:r>
        <w:t>. (2007). In particular, bio</w:t>
      </w:r>
      <w:r w:rsidR="00FF26EF">
        <w:t>accumulation</w:t>
      </w:r>
      <w:r>
        <w:t xml:space="preserve"> of very hydrophobic substances (log K</w:t>
      </w:r>
      <w:r>
        <w:rPr>
          <w:vertAlign w:val="subscript"/>
        </w:rPr>
        <w:t>OW</w:t>
      </w:r>
      <w:r>
        <w:t xml:space="preserve"> &gt;7) in terrestrial biota do</w:t>
      </w:r>
      <w:r w:rsidR="00181DCE">
        <w:t>es</w:t>
      </w:r>
      <w:r>
        <w:t xml:space="preserve"> not necessarily fall </w:t>
      </w:r>
      <w:r w:rsidR="00181DCE">
        <w:t xml:space="preserve">off </w:t>
      </w:r>
      <w:r>
        <w:t>with increasing K</w:t>
      </w:r>
      <w:r>
        <w:rPr>
          <w:vertAlign w:val="subscript"/>
        </w:rPr>
        <w:t>OW</w:t>
      </w:r>
      <w:r>
        <w:t>. It is therefore important not to overlook the potential for terrestrial bioaccumulation for Dechlorane Plus.</w:t>
      </w:r>
      <w:r w:rsidR="00204ACB" w:rsidRPr="00204ACB">
        <w:rPr>
          <w:color w:val="000000"/>
        </w:rPr>
        <w:t xml:space="preserve"> </w:t>
      </w:r>
    </w:p>
    <w:p w14:paraId="57EDEADD" w14:textId="77777777" w:rsidR="00204ACB" w:rsidRDefault="00204ACB" w:rsidP="004547A0">
      <w:pPr>
        <w:pStyle w:val="NoSpacing"/>
        <w:widowControl/>
        <w:autoSpaceDE w:val="0"/>
        <w:autoSpaceDN w:val="0"/>
        <w:adjustRightInd w:val="0"/>
        <w:spacing w:after="120"/>
        <w:jc w:val="both"/>
      </w:pPr>
      <w:r>
        <w:rPr>
          <w:color w:val="000000"/>
        </w:rPr>
        <w:t>I</w:t>
      </w:r>
      <w:r>
        <w:t>t is not useful to estimate an earthworm BCF using QSAR approaches given the uncertainty in the log K</w:t>
      </w:r>
      <w:r>
        <w:rPr>
          <w:vertAlign w:val="subscript"/>
        </w:rPr>
        <w:t>OW</w:t>
      </w:r>
      <w:r>
        <w:t xml:space="preserve"> value and limitations of the QSAR equations themselves.</w:t>
      </w:r>
    </w:p>
    <w:p w14:paraId="5D57F33B" w14:textId="77777777" w:rsidR="00204ACB" w:rsidRDefault="00204ACB" w:rsidP="004547A0">
      <w:pPr>
        <w:jc w:val="both"/>
        <w:rPr>
          <w:lang w:eastAsia="en-US"/>
        </w:rPr>
      </w:pPr>
    </w:p>
    <w:p w14:paraId="121AFB33" w14:textId="77777777" w:rsidR="00204ACB" w:rsidRPr="00F70CAE" w:rsidRDefault="00204ACB" w:rsidP="004547A0">
      <w:pPr>
        <w:pStyle w:val="Heading4"/>
      </w:pPr>
      <w:r>
        <w:t xml:space="preserve">3.4.2.2 </w:t>
      </w:r>
      <w:r w:rsidRPr="00F70CAE">
        <w:t xml:space="preserve">Laboratory studies </w:t>
      </w:r>
    </w:p>
    <w:p w14:paraId="3023820F" w14:textId="77777777" w:rsidR="00516CAB" w:rsidRDefault="00204ACB" w:rsidP="004547A0">
      <w:pPr>
        <w:pStyle w:val="NoSpacing"/>
        <w:widowControl/>
        <w:autoSpaceDE w:val="0"/>
        <w:autoSpaceDN w:val="0"/>
        <w:adjustRightInd w:val="0"/>
        <w:spacing w:after="120"/>
        <w:jc w:val="both"/>
        <w:rPr>
          <w:color w:val="000000"/>
        </w:rPr>
      </w:pPr>
      <w:r>
        <w:rPr>
          <w:color w:val="000000"/>
        </w:rPr>
        <w:t xml:space="preserve">Short-term and </w:t>
      </w:r>
      <w:r w:rsidRPr="00204ACB">
        <w:rPr>
          <w:i/>
          <w:color w:val="000000"/>
        </w:rPr>
        <w:t>in vitro</w:t>
      </w:r>
      <w:r>
        <w:rPr>
          <w:color w:val="000000"/>
        </w:rPr>
        <w:t xml:space="preserve"> studies are summarised in Appendix 1 (</w:t>
      </w:r>
      <w:r w:rsidRPr="00516CAB">
        <w:rPr>
          <w:color w:val="000000"/>
        </w:rPr>
        <w:t xml:space="preserve">Zhang </w:t>
      </w:r>
      <w:r w:rsidRPr="00516CAB">
        <w:rPr>
          <w:i/>
          <w:color w:val="000000"/>
        </w:rPr>
        <w:t>et al</w:t>
      </w:r>
      <w:r w:rsidRPr="00516CAB">
        <w:rPr>
          <w:color w:val="000000"/>
        </w:rPr>
        <w:t xml:space="preserve">., 2014; </w:t>
      </w:r>
      <w:r w:rsidRPr="00516CAB">
        <w:t xml:space="preserve">Chabot-Giguère </w:t>
      </w:r>
      <w:r w:rsidRPr="00516CAB">
        <w:rPr>
          <w:i/>
        </w:rPr>
        <w:t>et al</w:t>
      </w:r>
      <w:r w:rsidRPr="00516CAB">
        <w:t xml:space="preserve">., 2013; Peng </w:t>
      </w:r>
      <w:r w:rsidRPr="00516CAB">
        <w:rPr>
          <w:i/>
        </w:rPr>
        <w:t>et al</w:t>
      </w:r>
      <w:r w:rsidRPr="00516CAB">
        <w:t>., 2014</w:t>
      </w:r>
      <w:r w:rsidR="00516CAB">
        <w:t xml:space="preserve">; </w:t>
      </w:r>
      <w:r w:rsidR="00516CAB" w:rsidRPr="00516CAB">
        <w:t xml:space="preserve">Zhang </w:t>
      </w:r>
      <w:r w:rsidR="00516CAB" w:rsidRPr="00516CAB">
        <w:rPr>
          <w:i/>
        </w:rPr>
        <w:t>et al</w:t>
      </w:r>
      <w:r w:rsidR="00516CAB" w:rsidRPr="00516CAB">
        <w:t>.</w:t>
      </w:r>
      <w:r w:rsidR="00516CAB">
        <w:t>,</w:t>
      </w:r>
      <w:r w:rsidR="00516CAB" w:rsidRPr="00516CAB">
        <w:t xml:space="preserve"> 2015</w:t>
      </w:r>
      <w:r w:rsidRPr="00516CAB">
        <w:rPr>
          <w:color w:val="000000"/>
        </w:rPr>
        <w:t>). Due to limitations in terms of duration or experimental set up, these do not provide any relevant information for the assessment of bioaccumulation.</w:t>
      </w:r>
      <w:r w:rsidR="00516CAB">
        <w:rPr>
          <w:color w:val="000000"/>
        </w:rPr>
        <w:t xml:space="preserve"> </w:t>
      </w:r>
    </w:p>
    <w:p w14:paraId="5D414B92" w14:textId="77777777" w:rsidR="00516CAB" w:rsidRDefault="00516CAB" w:rsidP="004547A0">
      <w:pPr>
        <w:pStyle w:val="NoSpacing"/>
        <w:widowControl/>
        <w:autoSpaceDE w:val="0"/>
        <w:autoSpaceDN w:val="0"/>
        <w:adjustRightInd w:val="0"/>
        <w:spacing w:after="120"/>
        <w:jc w:val="both"/>
        <w:rPr>
          <w:color w:val="000000"/>
        </w:rPr>
      </w:pPr>
      <w:r>
        <w:rPr>
          <w:color w:val="000000"/>
        </w:rPr>
        <w:t xml:space="preserve">Mammalian studies are reported in Section 4.1. </w:t>
      </w:r>
    </w:p>
    <w:p w14:paraId="2CFCFCE0" w14:textId="77777777" w:rsidR="00204ACB" w:rsidRPr="00516CAB" w:rsidRDefault="00DD468E" w:rsidP="004547A0">
      <w:pPr>
        <w:pStyle w:val="NoSpacing"/>
        <w:widowControl/>
        <w:autoSpaceDE w:val="0"/>
        <w:autoSpaceDN w:val="0"/>
        <w:adjustRightInd w:val="0"/>
        <w:spacing w:after="120"/>
        <w:jc w:val="both"/>
        <w:rPr>
          <w:color w:val="000000"/>
        </w:rPr>
      </w:pPr>
      <w:r>
        <w:rPr>
          <w:color w:val="000000"/>
        </w:rPr>
        <w:t>Three s</w:t>
      </w:r>
      <w:r w:rsidR="00516CAB">
        <w:rPr>
          <w:color w:val="000000"/>
        </w:rPr>
        <w:t xml:space="preserve">tudies involving birds are </w:t>
      </w:r>
      <w:r>
        <w:rPr>
          <w:color w:val="000000"/>
        </w:rPr>
        <w:t xml:space="preserve">available and are </w:t>
      </w:r>
      <w:r w:rsidR="00516CAB">
        <w:rPr>
          <w:color w:val="000000"/>
        </w:rPr>
        <w:t>summarised below:</w:t>
      </w:r>
    </w:p>
    <w:p w14:paraId="007DF93E" w14:textId="77777777" w:rsidR="00204ACB" w:rsidRDefault="00204ACB" w:rsidP="004547A0">
      <w:pPr>
        <w:pStyle w:val="NoSpacing"/>
        <w:widowControl/>
        <w:numPr>
          <w:ilvl w:val="0"/>
          <w:numId w:val="23"/>
        </w:numPr>
        <w:autoSpaceDE w:val="0"/>
        <w:autoSpaceDN w:val="0"/>
        <w:adjustRightInd w:val="0"/>
        <w:spacing w:after="120"/>
        <w:ind w:left="426"/>
        <w:jc w:val="both"/>
        <w:rPr>
          <w:rFonts w:eastAsiaTheme="minorHAnsi"/>
        </w:rPr>
      </w:pPr>
      <w:r w:rsidRPr="00DD468E">
        <w:t xml:space="preserve">Li </w:t>
      </w:r>
      <w:r w:rsidRPr="00DD468E">
        <w:rPr>
          <w:i/>
        </w:rPr>
        <w:t>et al</w:t>
      </w:r>
      <w:r w:rsidRPr="00DD468E">
        <w:t>. (2013a)</w:t>
      </w:r>
      <w:r>
        <w:t xml:space="preserve"> exposed male Common</w:t>
      </w:r>
      <w:r>
        <w:rPr>
          <w:color w:val="000000"/>
        </w:rPr>
        <w:t xml:space="preserve"> Quail (</w:t>
      </w:r>
      <w:r>
        <w:rPr>
          <w:i/>
          <w:iCs/>
          <w:color w:val="000000"/>
        </w:rPr>
        <w:t>Coturnix coturnix</w:t>
      </w:r>
      <w:r>
        <w:rPr>
          <w:color w:val="000000"/>
        </w:rPr>
        <w:t xml:space="preserve">) </w:t>
      </w:r>
      <w:r>
        <w:t>(6–8 weeks’ old, with an average weight of 125 g) to commercial Dechlorane Plus mixed in corn oil by oral gavage for 90 days at different doses (0, 1, 10, and 100 mg/kg/d). Sixty animals were used in all. Liver, muscle and serum samples were analysed using GC-MS at the end of the exposure period. The LoDs for the anti- and sy</w:t>
      </w:r>
      <w:r w:rsidR="00516CAB">
        <w:t>n- isomers were 46.12 and 27.85 </w:t>
      </w:r>
      <w:r>
        <w:t>µg/kg lw in muscle/liver, and 0.054 and 0.20 ng/mL in serum, respectively.</w:t>
      </w:r>
    </w:p>
    <w:p w14:paraId="7BCF6728" w14:textId="77777777" w:rsidR="00204ACB" w:rsidRDefault="00204ACB" w:rsidP="004547A0">
      <w:pPr>
        <w:pStyle w:val="NoSpacing"/>
        <w:spacing w:after="120"/>
        <w:ind w:left="426"/>
        <w:jc w:val="both"/>
        <w:rPr>
          <w:color w:val="000000"/>
        </w:rPr>
      </w:pPr>
      <w:r>
        <w:rPr>
          <w:color w:val="000000"/>
        </w:rPr>
        <w:t>Both isomers were detected in all of the tissues measured in the control group at the end of the 90-day exposure period (average concentrations in l</w:t>
      </w:r>
      <w:r w:rsidR="00906888">
        <w:rPr>
          <w:color w:val="000000"/>
        </w:rPr>
        <w:t>iver were 15 ± 8.1 and 10 ± 5.9 </w:t>
      </w:r>
      <w:r>
        <w:rPr>
          <w:color w:val="000000"/>
        </w:rPr>
        <w:t>mg/kg lw for the anti- and syn- isomer, respectively), indicating a background level of exposure (e.g. from feed or air-borne dust). DP-1Cl was also detected in the control group (e.g. 0.131 mg/kg lw in liver).</w:t>
      </w:r>
    </w:p>
    <w:p w14:paraId="5EB56D1B" w14:textId="77777777" w:rsidR="00204ACB" w:rsidRPr="007A3365" w:rsidRDefault="00204ACB" w:rsidP="004547A0">
      <w:pPr>
        <w:pStyle w:val="NoSpacing"/>
        <w:spacing w:after="120"/>
        <w:ind w:left="426"/>
        <w:jc w:val="both"/>
        <w:rPr>
          <w:color w:val="000000"/>
        </w:rPr>
      </w:pPr>
      <w:r>
        <w:rPr>
          <w:color w:val="000000"/>
        </w:rPr>
        <w:lastRenderedPageBreak/>
        <w:t>In the exposure groups, the highest concentrations wer</w:t>
      </w:r>
      <w:r w:rsidR="00516CAB">
        <w:rPr>
          <w:color w:val="000000"/>
        </w:rPr>
        <w:t>e detected in liver. For the 10 </w:t>
      </w:r>
      <w:r>
        <w:rPr>
          <w:color w:val="000000"/>
        </w:rPr>
        <w:t>mg/kg/d dose group, the total liver concentratio</w:t>
      </w:r>
      <w:r w:rsidR="007A3365">
        <w:rPr>
          <w:color w:val="000000"/>
        </w:rPr>
        <w:t>n was ~1 750 mg/kg lw (260 ± 39 </w:t>
      </w:r>
      <w:r>
        <w:rPr>
          <w:color w:val="000000"/>
        </w:rPr>
        <w:t>mg/kg lw for the anti- isomer and 1</w:t>
      </w:r>
      <w:r w:rsidR="007A3365">
        <w:rPr>
          <w:color w:val="000000"/>
        </w:rPr>
        <w:t xml:space="preserve"> </w:t>
      </w:r>
      <w:r>
        <w:rPr>
          <w:color w:val="000000"/>
        </w:rPr>
        <w:t xml:space="preserve">500 ± 69 mg/kg lw for the syn- isomer). These levels were around ten times greater than in the lower dose group, and three times greater than in the highest dose group (although the levels of the anti- isomer </w:t>
      </w:r>
      <w:r w:rsidR="00906888">
        <w:rPr>
          <w:color w:val="000000"/>
        </w:rPr>
        <w:t>were greatest in liver in the 1 </w:t>
      </w:r>
      <w:r>
        <w:rPr>
          <w:color w:val="000000"/>
        </w:rPr>
        <w:t xml:space="preserve">mg/kg/d group, at 300 ± 120 mg/kg lw). The syn- isomer tended to accumulate more in the two highest dose groups, whereas the anti- isomer was dominant in the low-dose group (the isomer ratio was similar to the commercial product at this dose). </w:t>
      </w:r>
    </w:p>
    <w:p w14:paraId="712788AF" w14:textId="77777777" w:rsidR="00204ACB" w:rsidRDefault="00204ACB" w:rsidP="004547A0">
      <w:pPr>
        <w:pStyle w:val="NoSpacing"/>
        <w:spacing w:after="120"/>
        <w:ind w:left="426"/>
        <w:jc w:val="both"/>
        <w:rPr>
          <w:color w:val="000000"/>
          <w:highlight w:val="yellow"/>
        </w:rPr>
      </w:pPr>
      <w:r>
        <w:rPr>
          <w:color w:val="000000"/>
        </w:rPr>
        <w:t>The highest average total concentration of the mono-dechlorination products</w:t>
      </w:r>
      <w:r>
        <w:rPr>
          <w:rFonts w:cs="AdvOT3c2d9f11"/>
          <w:lang w:eastAsia="en-GB"/>
        </w:rPr>
        <w:t xml:space="preserve"> </w:t>
      </w:r>
      <w:r>
        <w:rPr>
          <w:color w:val="000000"/>
        </w:rPr>
        <w:t>syn-DP-1Cl and anti-DP-1Cl occurred in the 10 mg/kg/d group, reaching 1.2 mg/kg lw in liver. Two additional unidentified substances were detected in the tissue samples as well as in the commercial substance.</w:t>
      </w:r>
    </w:p>
    <w:p w14:paraId="14B3A6A6" w14:textId="77777777" w:rsidR="00204ACB" w:rsidRDefault="00204ACB" w:rsidP="004547A0">
      <w:pPr>
        <w:pStyle w:val="NoSpacing"/>
        <w:spacing w:after="120"/>
        <w:ind w:left="425"/>
        <w:jc w:val="both"/>
        <w:rPr>
          <w:color w:val="000000"/>
        </w:rPr>
      </w:pPr>
      <w:r>
        <w:rPr>
          <w:color w:val="000000"/>
        </w:rPr>
        <w:t xml:space="preserve">In conclusion, both isomers </w:t>
      </w:r>
      <w:r>
        <w:t xml:space="preserve">preferentially </w:t>
      </w:r>
      <w:r>
        <w:rPr>
          <w:color w:val="000000"/>
        </w:rPr>
        <w:t xml:space="preserve">accumulate in liver rather than muscle or blood in Common Quail, but accumulation was not dose-dependent (with lower levels observed in the top dose group compared to the mid-dose group). There appeared to be enrichment of the syn- isomer at higher exposures. It is not known how long it would take to achieve a steady state. </w:t>
      </w:r>
    </w:p>
    <w:p w14:paraId="4B0CF88F" w14:textId="77777777" w:rsidR="00204ACB" w:rsidRDefault="00204ACB" w:rsidP="004547A0">
      <w:pPr>
        <w:autoSpaceDE w:val="0"/>
        <w:autoSpaceDN w:val="0"/>
        <w:adjustRightInd w:val="0"/>
        <w:spacing w:after="120"/>
        <w:jc w:val="both"/>
        <w:rPr>
          <w:rFonts w:eastAsiaTheme="minorHAnsi"/>
        </w:rPr>
      </w:pPr>
    </w:p>
    <w:p w14:paraId="4BA86003" w14:textId="77777777" w:rsidR="00204ACB" w:rsidRDefault="00204ACB" w:rsidP="004547A0">
      <w:pPr>
        <w:pStyle w:val="NoSpacing"/>
        <w:widowControl/>
        <w:numPr>
          <w:ilvl w:val="0"/>
          <w:numId w:val="23"/>
        </w:numPr>
        <w:autoSpaceDE w:val="0"/>
        <w:autoSpaceDN w:val="0"/>
        <w:adjustRightInd w:val="0"/>
        <w:spacing w:after="120"/>
        <w:ind w:left="426"/>
        <w:jc w:val="both"/>
        <w:rPr>
          <w:rFonts w:eastAsiaTheme="minorHAnsi"/>
          <w:lang w:eastAsia="en-GB"/>
        </w:rPr>
      </w:pPr>
      <w:r w:rsidRPr="00DD468E">
        <w:rPr>
          <w:lang w:eastAsia="en-GB"/>
        </w:rPr>
        <w:t xml:space="preserve">Zheng </w:t>
      </w:r>
      <w:r w:rsidRPr="00DD468E">
        <w:rPr>
          <w:i/>
          <w:lang w:eastAsia="en-GB"/>
        </w:rPr>
        <w:t>et al</w:t>
      </w:r>
      <w:r w:rsidRPr="00DD468E">
        <w:rPr>
          <w:lang w:eastAsia="en-GB"/>
        </w:rPr>
        <w:t>. (2014a)</w:t>
      </w:r>
      <w:r>
        <w:rPr>
          <w:lang w:eastAsia="en-GB"/>
        </w:rPr>
        <w:t xml:space="preserve"> investigated dietary accumulation and tissue distribution in Domestic Chickens (</w:t>
      </w:r>
      <w:r>
        <w:rPr>
          <w:i/>
          <w:lang w:eastAsia="en-GB"/>
        </w:rPr>
        <w:t>Gallus gallus domesticus</w:t>
      </w:r>
      <w:r>
        <w:rPr>
          <w:lang w:eastAsia="en-GB"/>
        </w:rPr>
        <w:t>). Birds purchased from a market (several weeks old; n=12: 1 male, 11 females) were raised for seven months in a farmer’s yard surrounded by e-waste recycling workshops in Qingyuan county, Guangdong province, China. Atmospheric particles (n=10, collected using a high-volume air sampler), chicken food (mixture of rice, wheat and other types of grain, n=9) and soil (n=10) samples were collected from the yard. After sacrifice, eight tissues (liver, muscle, heart, gonad, brain, lung, and fat from all birds, and kidney from ten) and digestive tract contents (n=12 for chyme</w:t>
      </w:r>
      <w:r w:rsidRPr="00DD468E">
        <w:rPr>
          <w:rStyle w:val="FootnoteReference"/>
          <w:rFonts w:ascii="Verdana" w:hAnsi="Verdana"/>
          <w:sz w:val="20"/>
          <w:lang w:eastAsia="en-GB"/>
        </w:rPr>
        <w:footnoteReference w:id="29"/>
      </w:r>
      <w:r>
        <w:rPr>
          <w:lang w:eastAsia="en-GB"/>
        </w:rPr>
        <w:t xml:space="preserve">, intestinal contents and faeces) were sampled, weighed and then stored at –20 </w:t>
      </w:r>
      <w:r w:rsidR="00DD468E">
        <w:rPr>
          <w:lang w:eastAsia="en-GB"/>
        </w:rPr>
        <w:t>°</w:t>
      </w:r>
      <w:r>
        <w:rPr>
          <w:lang w:eastAsia="en-GB"/>
        </w:rPr>
        <w:t xml:space="preserve">C until further analysis. </w:t>
      </w:r>
    </w:p>
    <w:p w14:paraId="157839AB" w14:textId="77777777" w:rsidR="00204ACB" w:rsidRDefault="00204ACB" w:rsidP="004547A0">
      <w:pPr>
        <w:pStyle w:val="NoSpacing"/>
        <w:autoSpaceDE w:val="0"/>
        <w:autoSpaceDN w:val="0"/>
        <w:adjustRightInd w:val="0"/>
        <w:spacing w:after="120"/>
        <w:ind w:left="426"/>
        <w:jc w:val="both"/>
        <w:rPr>
          <w:lang w:eastAsia="en-GB"/>
        </w:rPr>
      </w:pPr>
      <w:r>
        <w:rPr>
          <w:lang w:eastAsia="en-GB"/>
        </w:rPr>
        <w:t>After being spiked with surrogate standards (BDE-77, -181 &amp; -205), approximately 2 g of lyophilized tissue sample were extracted with solvents, then spiked with known amounts of internal standards (BDE-118 &amp; -128, 4-F-BDE-67 and 3-F-BDE-153) prior to instrumental analysis via GC-MS using electron capture negative</w:t>
      </w:r>
      <w:r>
        <w:t xml:space="preserve"> </w:t>
      </w:r>
      <w:r>
        <w:rPr>
          <w:lang w:eastAsia="en-GB"/>
        </w:rPr>
        <w:t>ionization operated in the selected ion monitoring mode.</w:t>
      </w:r>
    </w:p>
    <w:p w14:paraId="40492226" w14:textId="77777777" w:rsidR="00204ACB" w:rsidRDefault="00204ACB" w:rsidP="004547A0">
      <w:pPr>
        <w:pStyle w:val="NoSpacing"/>
        <w:autoSpaceDE w:val="0"/>
        <w:autoSpaceDN w:val="0"/>
        <w:adjustRightInd w:val="0"/>
        <w:spacing w:after="120"/>
        <w:ind w:left="426"/>
        <w:jc w:val="both"/>
        <w:rPr>
          <w:lang w:eastAsia="en-US"/>
        </w:rPr>
      </w:pPr>
      <w:r>
        <w:rPr>
          <w:lang w:eastAsia="en-GB"/>
        </w:rPr>
        <w:t xml:space="preserve">Regular analysis of procedural blanks </w:t>
      </w:r>
      <w:r>
        <w:t>(n=17)</w:t>
      </w:r>
      <w:r>
        <w:rPr>
          <w:lang w:eastAsia="en-GB"/>
        </w:rPr>
        <w:t xml:space="preserve">, spiking blanks, blind triplicate samples, and </w:t>
      </w:r>
      <w:r>
        <w:t>regular injection of solvent blanks and standard solutions</w:t>
      </w:r>
      <w:r>
        <w:rPr>
          <w:lang w:eastAsia="en-GB"/>
        </w:rPr>
        <w:t xml:space="preserve"> were performed for quality control purposes.</w:t>
      </w:r>
      <w:r>
        <w:t xml:space="preserve"> Trace amounts of the anti- isomer were detected in procedural blanks with median concentrations of 0.46 ng/mL (accounting for 15</w:t>
      </w:r>
      <w:r w:rsidR="00BA580B">
        <w:t xml:space="preserve"> </w:t>
      </w:r>
      <w:r>
        <w:t>% of the sample with the lowest Dechlorane Plus level), so this was subtracted from the sample results. The recoveries in the spiking blanks were 90 ± 6.5</w:t>
      </w:r>
      <w:r w:rsidR="00BA580B">
        <w:t xml:space="preserve"> </w:t>
      </w:r>
      <w:r>
        <w:t>%. No surrogate correction was made to the final concentrations. Target chemicals detected in the triplicate samples were consistent (RSD &lt;15</w:t>
      </w:r>
      <w:r w:rsidR="00BA580B">
        <w:t xml:space="preserve"> </w:t>
      </w:r>
      <w:r>
        <w:t>%). LoQs for syn-DP, anti-DP, anti-DP-2Cl, and anti-DP-1Cl were 0.04, 0.12, &lt; 0.01, &lt; 0.01 µg/kg dw/ww in environment matrices; 0.21, 0.61, 0.01, 0.01 µg/kg dw/ww in digestive tract; and 0.11, 0.13, 0.01 and 0.01 µg/kg dw/ww in chicken tissues, respectively.</w:t>
      </w:r>
    </w:p>
    <w:p w14:paraId="50AFDB27" w14:textId="77777777" w:rsidR="00204ACB" w:rsidRDefault="00204ACB" w:rsidP="004547A0">
      <w:pPr>
        <w:pStyle w:val="NoSpacing"/>
        <w:autoSpaceDE w:val="0"/>
        <w:autoSpaceDN w:val="0"/>
        <w:adjustRightInd w:val="0"/>
        <w:spacing w:after="120"/>
        <w:ind w:left="426"/>
        <w:jc w:val="both"/>
        <w:rPr>
          <w:rFonts w:cstheme="minorBidi"/>
          <w:lang w:eastAsia="en-GB"/>
        </w:rPr>
      </w:pPr>
      <w:r>
        <w:rPr>
          <w:lang w:eastAsia="en-GB"/>
        </w:rPr>
        <w:t>The median (and range) concentrations of Dechlorane Plus (total isomers) in chicken food, atmospheric particulates and soil we</w:t>
      </w:r>
      <w:r w:rsidR="00DB7126">
        <w:rPr>
          <w:lang w:eastAsia="en-GB"/>
        </w:rPr>
        <w:t xml:space="preserve">re 0.2 (not detected – 0.98), 1 </w:t>
      </w:r>
      <w:r>
        <w:rPr>
          <w:lang w:eastAsia="en-GB"/>
        </w:rPr>
        <w:t>500 (</w:t>
      </w:r>
      <w:r>
        <w:rPr>
          <w:rFonts w:eastAsia="Arial Unicode MS"/>
          <w:color w:val="2E2E2E"/>
          <w:lang w:eastAsia="en-GB"/>
        </w:rPr>
        <w:t>360–8</w:t>
      </w:r>
      <w:r w:rsidR="00DB7126">
        <w:rPr>
          <w:rFonts w:eastAsia="Arial Unicode MS"/>
          <w:color w:val="2E2E2E"/>
          <w:lang w:eastAsia="en-GB"/>
        </w:rPr>
        <w:t> </w:t>
      </w:r>
      <w:r>
        <w:rPr>
          <w:rFonts w:eastAsia="Arial Unicode MS"/>
          <w:color w:val="2E2E2E"/>
          <w:lang w:eastAsia="en-GB"/>
        </w:rPr>
        <w:t>700</w:t>
      </w:r>
      <w:r>
        <w:rPr>
          <w:lang w:eastAsia="en-GB"/>
        </w:rPr>
        <w:t>), and 7</w:t>
      </w:r>
      <w:r w:rsidR="00DB7126">
        <w:rPr>
          <w:lang w:eastAsia="en-GB"/>
        </w:rPr>
        <w:t xml:space="preserve"> </w:t>
      </w:r>
      <w:r>
        <w:rPr>
          <w:lang w:eastAsia="en-GB"/>
        </w:rPr>
        <w:t xml:space="preserve">600 </w:t>
      </w:r>
      <w:r>
        <w:rPr>
          <w:rFonts w:eastAsia="Arial Unicode MS"/>
          <w:color w:val="2E2E2E"/>
          <w:lang w:eastAsia="en-GB"/>
        </w:rPr>
        <w:t>(5</w:t>
      </w:r>
      <w:r w:rsidR="00DB7126">
        <w:rPr>
          <w:rFonts w:eastAsia="Arial Unicode MS"/>
          <w:color w:val="2E2E2E"/>
          <w:lang w:eastAsia="en-GB"/>
        </w:rPr>
        <w:t xml:space="preserve"> </w:t>
      </w:r>
      <w:r>
        <w:rPr>
          <w:rFonts w:eastAsia="Arial Unicode MS"/>
          <w:color w:val="2E2E2E"/>
          <w:lang w:eastAsia="en-GB"/>
        </w:rPr>
        <w:t>900–10</w:t>
      </w:r>
      <w:r w:rsidR="00DB7126">
        <w:rPr>
          <w:rFonts w:eastAsia="Arial Unicode MS"/>
          <w:color w:val="2E2E2E"/>
          <w:lang w:eastAsia="en-GB"/>
        </w:rPr>
        <w:t xml:space="preserve"> </w:t>
      </w:r>
      <w:r>
        <w:rPr>
          <w:rFonts w:eastAsia="Arial Unicode MS"/>
          <w:color w:val="2E2E2E"/>
          <w:lang w:eastAsia="en-GB"/>
        </w:rPr>
        <w:t xml:space="preserve">000) </w:t>
      </w:r>
      <w:r>
        <w:t xml:space="preserve">µg/kg </w:t>
      </w:r>
      <w:r>
        <w:rPr>
          <w:lang w:eastAsia="en-GB"/>
        </w:rPr>
        <w:t xml:space="preserve">dw, respectively. </w:t>
      </w:r>
    </w:p>
    <w:p w14:paraId="05774EB9" w14:textId="77777777" w:rsidR="00204ACB" w:rsidRDefault="00204ACB" w:rsidP="004547A0">
      <w:pPr>
        <w:pStyle w:val="NoSpacing"/>
        <w:autoSpaceDE w:val="0"/>
        <w:autoSpaceDN w:val="0"/>
        <w:adjustRightInd w:val="0"/>
        <w:spacing w:after="120"/>
        <w:ind w:left="426"/>
        <w:jc w:val="both"/>
        <w:rPr>
          <w:lang w:eastAsia="en-GB"/>
        </w:rPr>
      </w:pPr>
      <w:r>
        <w:rPr>
          <w:lang w:eastAsia="en-GB"/>
        </w:rPr>
        <w:t>The median (and range) concentrations of Dechlorane Plus (total isomers) in chyme, intestinal contents and faeces were 7.6 (3.7–1</w:t>
      </w:r>
      <w:r w:rsidR="00DB7126">
        <w:rPr>
          <w:lang w:eastAsia="en-GB"/>
        </w:rPr>
        <w:t xml:space="preserve"> </w:t>
      </w:r>
      <w:r>
        <w:rPr>
          <w:lang w:eastAsia="en-GB"/>
        </w:rPr>
        <w:t>100), 35 (</w:t>
      </w:r>
      <w:r w:rsidR="00DB7126">
        <w:rPr>
          <w:lang w:eastAsia="en-GB"/>
        </w:rPr>
        <w:t xml:space="preserve">14–580), and 31 (not detected–1 </w:t>
      </w:r>
      <w:r>
        <w:rPr>
          <w:lang w:eastAsia="en-GB"/>
        </w:rPr>
        <w:t>300) µg/kg dw, respectively. Mass balance calculations indicated that there was 52</w:t>
      </w:r>
      <w:r w:rsidR="00906888">
        <w:rPr>
          <w:lang w:eastAsia="en-GB"/>
        </w:rPr>
        <w:t xml:space="preserve"> </w:t>
      </w:r>
      <w:r>
        <w:rPr>
          <w:lang w:eastAsia="en-GB"/>
        </w:rPr>
        <w:t>% “absorption” [transfer?] from chyme to intestinal contents and 50</w:t>
      </w:r>
      <w:r w:rsidR="00906888">
        <w:rPr>
          <w:lang w:eastAsia="en-GB"/>
        </w:rPr>
        <w:t xml:space="preserve"> </w:t>
      </w:r>
      <w:r>
        <w:rPr>
          <w:lang w:eastAsia="en-GB"/>
        </w:rPr>
        <w:t>% “absorption” [transfer?] from intestinal contents to faeces. No significant differences in Dechlorane Plus levels were found between the intestinal contents and faeces (</w:t>
      </w:r>
      <w:r>
        <w:rPr>
          <w:i/>
          <w:lang w:eastAsia="en-GB"/>
        </w:rPr>
        <w:t>p</w:t>
      </w:r>
      <w:r>
        <w:rPr>
          <w:lang w:eastAsia="en-GB"/>
        </w:rPr>
        <w:t xml:space="preserve"> &gt; 0.05); while levels in chyme were </w:t>
      </w:r>
      <w:r>
        <w:rPr>
          <w:lang w:eastAsia="en-GB"/>
        </w:rPr>
        <w:lastRenderedPageBreak/>
        <w:t>significantly lower (</w:t>
      </w:r>
      <w:r>
        <w:rPr>
          <w:i/>
          <w:lang w:eastAsia="en-GB"/>
        </w:rPr>
        <w:t>p</w:t>
      </w:r>
      <w:r>
        <w:rPr>
          <w:lang w:eastAsia="en-GB"/>
        </w:rPr>
        <w:t xml:space="preserve"> &lt; 0.05). </w:t>
      </w:r>
    </w:p>
    <w:p w14:paraId="4D13C3BB" w14:textId="77777777" w:rsidR="00204ACB" w:rsidRDefault="00204ACB" w:rsidP="004547A0">
      <w:pPr>
        <w:pStyle w:val="NoSpacing"/>
        <w:autoSpaceDE w:val="0"/>
        <w:autoSpaceDN w:val="0"/>
        <w:adjustRightInd w:val="0"/>
        <w:spacing w:after="120"/>
        <w:ind w:left="426"/>
        <w:jc w:val="both"/>
        <w:rPr>
          <w:lang w:eastAsia="en-GB"/>
        </w:rPr>
      </w:pPr>
      <w:r>
        <w:rPr>
          <w:lang w:eastAsia="en-GB"/>
        </w:rPr>
        <w:t>The substance was detected in all tissues. Since there was only one male, gender differences in accumulation behaviour were not considered. Median Dechlorane Plus (total isomers) concentrations (and range) were in the order of fat (10 (</w:t>
      </w:r>
      <w:r>
        <w:rPr>
          <w:rFonts w:eastAsia="Arial Unicode MS"/>
          <w:color w:val="2E2E2E"/>
          <w:lang w:eastAsia="en-GB"/>
        </w:rPr>
        <w:t>3.4–72</w:t>
      </w:r>
      <w:r>
        <w:rPr>
          <w:lang w:eastAsia="en-GB"/>
        </w:rPr>
        <w:t>)</w:t>
      </w:r>
      <w:r>
        <w:t xml:space="preserve"> µg/kg </w:t>
      </w:r>
      <w:r>
        <w:rPr>
          <w:lang w:eastAsia="en-GB"/>
        </w:rPr>
        <w:t xml:space="preserve">ww) &gt; gonad (7.9 (0.82–417) µg/kg ww) &gt; kidney (6.8 (1.07–460) µg/kg ww) &gt; heart (6.3 (1.0–21) µg/kg ww) &gt; liver (4.4 (0.79–320) </w:t>
      </w:r>
      <w:r w:rsidR="00DD468E">
        <w:rPr>
          <w:lang w:eastAsia="en-GB"/>
        </w:rPr>
        <w:t>µg/kg ww) &gt; lung (2.8 (1.3–126) </w:t>
      </w:r>
      <w:r>
        <w:rPr>
          <w:lang w:eastAsia="en-GB"/>
        </w:rPr>
        <w:t xml:space="preserve">µg/kg ww) &gt; brain (1.4 (0.43–5.2) µg/kg ww) &gt; muscle (0.92 (not detected–124) µg/kg ww). The range for all tissues was 17 – 140 µg/kg lw. </w:t>
      </w:r>
    </w:p>
    <w:p w14:paraId="0A48C370" w14:textId="77777777" w:rsidR="00204ACB" w:rsidRDefault="00204ACB" w:rsidP="004547A0">
      <w:pPr>
        <w:pStyle w:val="NoSpacing"/>
        <w:autoSpaceDE w:val="0"/>
        <w:autoSpaceDN w:val="0"/>
        <w:adjustRightInd w:val="0"/>
        <w:spacing w:after="120"/>
        <w:ind w:left="426"/>
        <w:jc w:val="both"/>
        <w:rPr>
          <w:lang w:eastAsia="en-GB"/>
        </w:rPr>
      </w:pPr>
      <w:r>
        <w:rPr>
          <w:lang w:eastAsia="en-GB"/>
        </w:rPr>
        <w:t>The mass deposition percentage of Dechlorane Plus in individual tissues indicated that fat was the most important reservoir (accounting for 56</w:t>
      </w:r>
      <w:r w:rsidR="00906888">
        <w:rPr>
          <w:lang w:eastAsia="en-GB"/>
        </w:rPr>
        <w:t xml:space="preserve"> </w:t>
      </w:r>
      <w:r>
        <w:rPr>
          <w:lang w:eastAsia="en-GB"/>
        </w:rPr>
        <w:t>% of the residues), followed by liver (12</w:t>
      </w:r>
      <w:r w:rsidR="00906888">
        <w:rPr>
          <w:lang w:eastAsia="en-GB"/>
        </w:rPr>
        <w:t xml:space="preserve"> </w:t>
      </w:r>
      <w:r>
        <w:rPr>
          <w:lang w:eastAsia="en-GB"/>
        </w:rPr>
        <w:t>%) and gonad (12</w:t>
      </w:r>
      <w:r w:rsidR="00906888">
        <w:rPr>
          <w:lang w:eastAsia="en-GB"/>
        </w:rPr>
        <w:t xml:space="preserve"> </w:t>
      </w:r>
      <w:r>
        <w:rPr>
          <w:lang w:eastAsia="en-GB"/>
        </w:rPr>
        <w:t>%). No significant differences were found amongst the tissues levels (</w:t>
      </w:r>
      <w:r>
        <w:rPr>
          <w:i/>
          <w:lang w:eastAsia="en-GB"/>
        </w:rPr>
        <w:t>p</w:t>
      </w:r>
      <w:r>
        <w:rPr>
          <w:lang w:eastAsia="en-GB"/>
        </w:rPr>
        <w:t xml:space="preserve"> &gt; 0.05), except muscle contained significantly lower concentrations than those in liver, gonad, fat, and kidney (</w:t>
      </w:r>
      <w:r>
        <w:rPr>
          <w:i/>
          <w:lang w:eastAsia="en-GB"/>
        </w:rPr>
        <w:t>p</w:t>
      </w:r>
      <w:r>
        <w:rPr>
          <w:lang w:eastAsia="en-GB"/>
        </w:rPr>
        <w:t xml:space="preserve"> &lt; 0.05). This was thought to relate to the lower lipid content of muscle. </w:t>
      </w:r>
    </w:p>
    <w:p w14:paraId="247E65BF" w14:textId="77777777" w:rsidR="00204ACB" w:rsidRDefault="00204ACB" w:rsidP="004547A0">
      <w:pPr>
        <w:pStyle w:val="NoSpacing"/>
        <w:autoSpaceDE w:val="0"/>
        <w:autoSpaceDN w:val="0"/>
        <w:adjustRightInd w:val="0"/>
        <w:spacing w:after="120"/>
        <w:ind w:left="426"/>
        <w:jc w:val="both"/>
        <w:rPr>
          <w:lang w:eastAsia="en-GB"/>
        </w:rPr>
      </w:pPr>
      <w:r>
        <w:rPr>
          <w:lang w:eastAsia="en-GB"/>
        </w:rPr>
        <w:t>The lipid content of fat tissue was significantly higher than other tissues (</w:t>
      </w:r>
      <w:r>
        <w:rPr>
          <w:i/>
          <w:lang w:eastAsia="en-GB"/>
        </w:rPr>
        <w:t>p</w:t>
      </w:r>
      <w:r>
        <w:rPr>
          <w:lang w:eastAsia="en-GB"/>
        </w:rPr>
        <w:t xml:space="preserve"> &lt; 0.05) although fat did not show significantly elevated substance concentrations compared with other tissues (expect for muscle). This suggests that lipid content was not the only factor that influenced tissue distribution, and it was speculated that blood perfusion and sequestration by proteins could be additional factors (Government of Canada (2016) reports that the OECD QSAR Toolbox (2012) profile suggests a high level of protein binding for this substance). </w:t>
      </w:r>
    </w:p>
    <w:p w14:paraId="201223DC" w14:textId="77777777" w:rsidR="00204ACB" w:rsidRDefault="00204ACB" w:rsidP="004547A0">
      <w:pPr>
        <w:pStyle w:val="NoSpacing"/>
        <w:autoSpaceDE w:val="0"/>
        <w:autoSpaceDN w:val="0"/>
        <w:adjustRightInd w:val="0"/>
        <w:spacing w:after="120"/>
        <w:ind w:left="426"/>
        <w:jc w:val="both"/>
        <w:rPr>
          <w:lang w:eastAsia="en-GB"/>
        </w:rPr>
      </w:pPr>
      <w:r>
        <w:rPr>
          <w:lang w:eastAsia="en-GB"/>
        </w:rPr>
        <w:t xml:space="preserve">Brain concentrations were not significantly different to those in other tissues, but as it has the lowest lipid content, the lipid-normalized concentration in brain was the highest among all tissues. The study suggested transfer to and retention of Dechlorane Plus in chicken brain, despite its high molecular weight and hydrophobicity. </w:t>
      </w:r>
    </w:p>
    <w:p w14:paraId="72F66FBB" w14:textId="77777777" w:rsidR="00204ACB" w:rsidRDefault="00204ACB" w:rsidP="004547A0">
      <w:pPr>
        <w:pStyle w:val="NoSpacing"/>
        <w:autoSpaceDE w:val="0"/>
        <w:autoSpaceDN w:val="0"/>
        <w:adjustRightInd w:val="0"/>
        <w:spacing w:after="120"/>
        <w:ind w:left="426"/>
        <w:jc w:val="both"/>
        <w:rPr>
          <w:lang w:eastAsia="en-GB"/>
        </w:rPr>
      </w:pPr>
      <w:r>
        <w:rPr>
          <w:lang w:eastAsia="en-GB"/>
        </w:rPr>
        <w:t>The f</w:t>
      </w:r>
      <w:r>
        <w:rPr>
          <w:vertAlign w:val="subscript"/>
          <w:lang w:eastAsia="en-GB"/>
        </w:rPr>
        <w:t>anti</w:t>
      </w:r>
      <w:r>
        <w:rPr>
          <w:lang w:eastAsia="en-GB"/>
        </w:rPr>
        <w:t xml:space="preserve"> values varied from 0.39 to 0.79 in chicken tissues. Fat (0.65), brain (0.64), and liver (0.64) had higher f</w:t>
      </w:r>
      <w:r>
        <w:rPr>
          <w:vertAlign w:val="subscript"/>
          <w:lang w:eastAsia="en-GB"/>
        </w:rPr>
        <w:t>anti</w:t>
      </w:r>
      <w:r>
        <w:rPr>
          <w:lang w:eastAsia="en-GB"/>
        </w:rPr>
        <w:t xml:space="preserve"> values than the other tissues (</w:t>
      </w:r>
      <w:r>
        <w:rPr>
          <w:i/>
          <w:lang w:eastAsia="en-GB"/>
        </w:rPr>
        <w:t>p</w:t>
      </w:r>
      <w:r>
        <w:rPr>
          <w:lang w:eastAsia="en-GB"/>
        </w:rPr>
        <w:t xml:space="preserve"> &lt; 0.01), as well as soil (0.52). The f</w:t>
      </w:r>
      <w:r>
        <w:rPr>
          <w:vertAlign w:val="subscript"/>
          <w:lang w:eastAsia="en-GB"/>
        </w:rPr>
        <w:t>anti</w:t>
      </w:r>
      <w:r>
        <w:rPr>
          <w:lang w:eastAsia="en-GB"/>
        </w:rPr>
        <w:t xml:space="preserve"> value for the whole chicken was calculated as 0.57 ± 0.07, which was significantly higher than those in soil (t-test, </w:t>
      </w:r>
      <w:r>
        <w:rPr>
          <w:i/>
          <w:lang w:eastAsia="en-GB"/>
        </w:rPr>
        <w:t>p</w:t>
      </w:r>
      <w:r>
        <w:rPr>
          <w:lang w:eastAsia="en-GB"/>
        </w:rPr>
        <w:t xml:space="preserve"> = 0.048). However, the f</w:t>
      </w:r>
      <w:r>
        <w:rPr>
          <w:vertAlign w:val="subscript"/>
          <w:lang w:eastAsia="en-GB"/>
        </w:rPr>
        <w:t>anti</w:t>
      </w:r>
      <w:r>
        <w:rPr>
          <w:lang w:eastAsia="en-GB"/>
        </w:rPr>
        <w:t xml:space="preserve"> values ranged from 0.39 to 0.73 in chyme, intestinal contents and faeces, respectively, and these were not statistically significantly different, suggesting that gastrointestinal absorption was not stereoselective. It was estimated that soil contributed 94–100</w:t>
      </w:r>
      <w:r w:rsidR="00906888">
        <w:rPr>
          <w:lang w:eastAsia="en-GB"/>
        </w:rPr>
        <w:t xml:space="preserve"> </w:t>
      </w:r>
      <w:r>
        <w:rPr>
          <w:lang w:eastAsia="en-GB"/>
        </w:rPr>
        <w:t>% of the substance in chyme. These results suggest a preferential accumulation of the anti- isomer in chicken compared with soil, which is not due to differences in gastro-intestinal absorption efficiencies.</w:t>
      </w:r>
    </w:p>
    <w:p w14:paraId="73295DB4" w14:textId="77777777" w:rsidR="00204ACB" w:rsidRDefault="00204ACB" w:rsidP="004547A0">
      <w:pPr>
        <w:pStyle w:val="NoSpacing"/>
        <w:autoSpaceDE w:val="0"/>
        <w:autoSpaceDN w:val="0"/>
        <w:adjustRightInd w:val="0"/>
        <w:spacing w:after="120"/>
        <w:ind w:left="426"/>
        <w:jc w:val="both"/>
        <w:rPr>
          <w:lang w:eastAsia="en-GB"/>
        </w:rPr>
      </w:pPr>
      <w:r>
        <w:rPr>
          <w:lang w:eastAsia="en-GB"/>
        </w:rPr>
        <w:t>Anti-DP-1Cl was detected in most samples of atmospheric particulates and soil at concentrations of 2.2–7.5 and 16–51 </w:t>
      </w:r>
      <w:r>
        <w:t xml:space="preserve">µg/kg </w:t>
      </w:r>
      <w:r>
        <w:rPr>
          <w:lang w:eastAsia="en-GB"/>
        </w:rPr>
        <w:t xml:space="preserve">dw, respectively, but not in chicken food. It was detected in three chyme samples at concentrations from 0.07 to 0.96 </w:t>
      </w:r>
      <w:r>
        <w:t xml:space="preserve">µg/kg </w:t>
      </w:r>
      <w:r>
        <w:rPr>
          <w:lang w:eastAsia="en-GB"/>
        </w:rPr>
        <w:t xml:space="preserve">dw and one faeces sample (1.12 </w:t>
      </w:r>
      <w:r>
        <w:t xml:space="preserve">µg/kg </w:t>
      </w:r>
      <w:r>
        <w:rPr>
          <w:lang w:eastAsia="en-GB"/>
        </w:rPr>
        <w:t xml:space="preserve">dw). In chicken tissues, concentrations of anti-DP-1Cl were in the range of ‘not detected’ to 4.7 </w:t>
      </w:r>
      <w:r>
        <w:t xml:space="preserve">µg/kg </w:t>
      </w:r>
      <w:r>
        <w:rPr>
          <w:lang w:eastAsia="en-GB"/>
        </w:rPr>
        <w:t>ww. It was detected in 67</w:t>
      </w:r>
      <w:r w:rsidR="00906888">
        <w:rPr>
          <w:lang w:eastAsia="en-GB"/>
        </w:rPr>
        <w:t xml:space="preserve"> </w:t>
      </w:r>
      <w:r>
        <w:rPr>
          <w:lang w:eastAsia="en-GB"/>
        </w:rPr>
        <w:t>% of heart and 83.3</w:t>
      </w:r>
      <w:r w:rsidR="00906888">
        <w:rPr>
          <w:lang w:eastAsia="en-GB"/>
        </w:rPr>
        <w:t xml:space="preserve"> </w:t>
      </w:r>
      <w:r>
        <w:rPr>
          <w:lang w:eastAsia="en-GB"/>
        </w:rPr>
        <w:t>% of liver samples (the detection frequency in other tissues was below 34</w:t>
      </w:r>
      <w:r w:rsidR="00906888">
        <w:rPr>
          <w:lang w:eastAsia="en-GB"/>
        </w:rPr>
        <w:t xml:space="preserve"> </w:t>
      </w:r>
      <w:r>
        <w:rPr>
          <w:lang w:eastAsia="en-GB"/>
        </w:rPr>
        <w:t>%). Anti-DP-2Cl was not detected.</w:t>
      </w:r>
    </w:p>
    <w:p w14:paraId="14FCBD80" w14:textId="77777777" w:rsidR="00204ACB" w:rsidRDefault="00204ACB" w:rsidP="004547A0">
      <w:pPr>
        <w:pStyle w:val="NoSpacing"/>
        <w:autoSpaceDE w:val="0"/>
        <w:autoSpaceDN w:val="0"/>
        <w:adjustRightInd w:val="0"/>
        <w:spacing w:after="120"/>
        <w:ind w:left="426"/>
        <w:jc w:val="both"/>
        <w:rPr>
          <w:lang w:eastAsia="en-GB"/>
        </w:rPr>
      </w:pPr>
      <w:r>
        <w:rPr>
          <w:lang w:eastAsia="en-GB"/>
        </w:rPr>
        <w:t>Significant correlation was found between anti-DP-1Cl and anti-DP (</w:t>
      </w:r>
      <w:r>
        <w:rPr>
          <w:i/>
          <w:lang w:eastAsia="en-GB"/>
        </w:rPr>
        <w:t>p</w:t>
      </w:r>
      <w:r>
        <w:rPr>
          <w:lang w:eastAsia="en-GB"/>
        </w:rPr>
        <w:t> &lt; 0.01) in both atmospheric particulates (r</w:t>
      </w:r>
      <w:r>
        <w:rPr>
          <w:vertAlign w:val="superscript"/>
          <w:lang w:eastAsia="en-GB"/>
        </w:rPr>
        <w:t>2</w:t>
      </w:r>
      <w:r>
        <w:rPr>
          <w:lang w:eastAsia="en-GB"/>
        </w:rPr>
        <w:t xml:space="preserve"> = 0.98) and soil samples (r</w:t>
      </w:r>
      <w:r>
        <w:rPr>
          <w:vertAlign w:val="superscript"/>
          <w:lang w:eastAsia="en-GB"/>
        </w:rPr>
        <w:t>2 </w:t>
      </w:r>
      <w:r>
        <w:rPr>
          <w:lang w:eastAsia="en-GB"/>
        </w:rPr>
        <w:t>= 0.79), and in both liver (r</w:t>
      </w:r>
      <w:r>
        <w:rPr>
          <w:vertAlign w:val="superscript"/>
          <w:lang w:eastAsia="en-GB"/>
        </w:rPr>
        <w:t>2</w:t>
      </w:r>
      <w:r>
        <w:rPr>
          <w:lang w:eastAsia="en-GB"/>
        </w:rPr>
        <w:t xml:space="preserve"> = 0.99, </w:t>
      </w:r>
      <w:r>
        <w:rPr>
          <w:i/>
          <w:lang w:eastAsia="en-GB"/>
        </w:rPr>
        <w:t>p</w:t>
      </w:r>
      <w:r>
        <w:rPr>
          <w:lang w:eastAsia="en-GB"/>
        </w:rPr>
        <w:t xml:space="preserve"> &lt; 0.01) and heart (r</w:t>
      </w:r>
      <w:r>
        <w:rPr>
          <w:vertAlign w:val="superscript"/>
          <w:lang w:eastAsia="en-GB"/>
        </w:rPr>
        <w:t>2</w:t>
      </w:r>
      <w:r>
        <w:rPr>
          <w:lang w:eastAsia="en-GB"/>
        </w:rPr>
        <w:t xml:space="preserve"> = 0.31, </w:t>
      </w:r>
      <w:r>
        <w:rPr>
          <w:i/>
          <w:lang w:eastAsia="en-GB"/>
        </w:rPr>
        <w:t>p </w:t>
      </w:r>
      <w:r>
        <w:rPr>
          <w:lang w:eastAsia="en-GB"/>
        </w:rPr>
        <w:t xml:space="preserve">&lt; 0.05). </w:t>
      </w:r>
    </w:p>
    <w:p w14:paraId="3EFE9BC3" w14:textId="77777777" w:rsidR="00204ACB" w:rsidRDefault="00204ACB" w:rsidP="004547A0">
      <w:pPr>
        <w:pStyle w:val="NoSpacing"/>
        <w:autoSpaceDE w:val="0"/>
        <w:autoSpaceDN w:val="0"/>
        <w:adjustRightInd w:val="0"/>
        <w:spacing w:after="120"/>
        <w:ind w:left="426"/>
        <w:jc w:val="both"/>
        <w:rPr>
          <w:lang w:eastAsia="en-GB"/>
        </w:rPr>
      </w:pPr>
      <w:r>
        <w:rPr>
          <w:lang w:eastAsia="en-GB"/>
        </w:rPr>
        <w:t xml:space="preserve">The ratio of anti-DP-1Cl to anti-DP was lower in soil (0.005 ± 0.002) than atmospheric particulates (0.010 ± 0.003). The ratios in heart and liver varied from 0.0017 to 0.01 and 0.001 to 0.009, respectively. No significant differences were found in the ratios between soil and chicken tissues (p &gt; 0.05), implying that anti-DP-1Cl mainly derives from the dietary uptake rather than </w:t>
      </w:r>
      <w:r>
        <w:rPr>
          <w:i/>
          <w:lang w:eastAsia="en-GB"/>
        </w:rPr>
        <w:t>in vivo</w:t>
      </w:r>
      <w:r>
        <w:rPr>
          <w:lang w:eastAsia="en-GB"/>
        </w:rPr>
        <w:t xml:space="preserve"> dechlorination.</w:t>
      </w:r>
      <w:r w:rsidR="001208E7">
        <w:rPr>
          <w:lang w:eastAsia="en-GB"/>
        </w:rPr>
        <w:t xml:space="preserve"> </w:t>
      </w:r>
      <w:r>
        <w:rPr>
          <w:lang w:eastAsia="en-GB"/>
        </w:rPr>
        <w:t xml:space="preserve">This study is considered by to be reliable with restrictions, because the birds were not dosed in a standardised manner, and the variability in individual tissue concentrations was high. The validity of comparisons based on median concentrations only is therefore open to question. Since the birds appear to have been only around one year old at sacrifice, it is also possible that higher concentrations might have been achieved had the exposure duration been longer. However, the study is important </w:t>
      </w:r>
      <w:r>
        <w:rPr>
          <w:lang w:eastAsia="en-GB"/>
        </w:rPr>
        <w:lastRenderedPageBreak/>
        <w:t>because it shows that the anti- isomer is preferentially accumulated in chicken, which is presumably due to differences in metabolism and/or elimination. In addition, most trophic transfer studies in birds use measured concentrations in either liver or muscle only (see Section</w:t>
      </w:r>
      <w:r w:rsidR="00A37285">
        <w:rPr>
          <w:lang w:eastAsia="en-GB"/>
        </w:rPr>
        <w:t xml:space="preserve"> </w:t>
      </w:r>
      <w:r w:rsidR="00157044">
        <w:rPr>
          <w:lang w:eastAsia="en-GB"/>
        </w:rPr>
        <w:t xml:space="preserve">5.5.1 of </w:t>
      </w:r>
      <w:r w:rsidR="00CA6B85">
        <w:rPr>
          <w:lang w:eastAsia="en-GB"/>
        </w:rPr>
        <w:t>A</w:t>
      </w:r>
      <w:r w:rsidR="00157044">
        <w:rPr>
          <w:lang w:eastAsia="en-GB"/>
        </w:rPr>
        <w:t>ppendix</w:t>
      </w:r>
      <w:r w:rsidR="00A37285">
        <w:rPr>
          <w:lang w:eastAsia="en-GB"/>
        </w:rPr>
        <w:t xml:space="preserve"> 1</w:t>
      </w:r>
      <w:r>
        <w:rPr>
          <w:lang w:eastAsia="en-GB"/>
        </w:rPr>
        <w:t>), and since these are not necessarily the main compartments for accumulation, whole body burdens might be significantly different.</w:t>
      </w:r>
    </w:p>
    <w:p w14:paraId="48AA4D86" w14:textId="77777777" w:rsidR="00204ACB" w:rsidRDefault="00204ACB" w:rsidP="004547A0">
      <w:pPr>
        <w:pStyle w:val="NoSpacing"/>
        <w:autoSpaceDE w:val="0"/>
        <w:autoSpaceDN w:val="0"/>
        <w:adjustRightInd w:val="0"/>
        <w:spacing w:after="120"/>
        <w:ind w:left="426"/>
        <w:jc w:val="both"/>
        <w:rPr>
          <w:rFonts w:cs="AdvGulliv-R"/>
        </w:rPr>
      </w:pPr>
    </w:p>
    <w:p w14:paraId="486CE4AC" w14:textId="77777777" w:rsidR="00204ACB" w:rsidRDefault="00204ACB" w:rsidP="004547A0">
      <w:pPr>
        <w:rPr>
          <w:rFonts w:eastAsiaTheme="minorHAnsi" w:cs="AdvGulliv-R"/>
        </w:rPr>
      </w:pPr>
    </w:p>
    <w:p w14:paraId="148D6FE8" w14:textId="77777777" w:rsidR="00204ACB" w:rsidRDefault="00204ACB" w:rsidP="004547A0">
      <w:pPr>
        <w:pStyle w:val="NoSpacing"/>
        <w:widowControl/>
        <w:numPr>
          <w:ilvl w:val="0"/>
          <w:numId w:val="23"/>
        </w:numPr>
        <w:autoSpaceDE w:val="0"/>
        <w:autoSpaceDN w:val="0"/>
        <w:adjustRightInd w:val="0"/>
        <w:spacing w:after="120"/>
        <w:ind w:left="426"/>
        <w:jc w:val="both"/>
        <w:rPr>
          <w:rFonts w:eastAsiaTheme="minorHAnsi" w:cstheme="minorBidi"/>
          <w:lang w:eastAsia="en-GB"/>
        </w:rPr>
      </w:pPr>
      <w:r w:rsidRPr="00DD468E">
        <w:rPr>
          <w:lang w:eastAsia="en-GB"/>
        </w:rPr>
        <w:t xml:space="preserve">Zheng </w:t>
      </w:r>
      <w:r w:rsidRPr="00DD468E">
        <w:rPr>
          <w:i/>
          <w:lang w:eastAsia="en-GB"/>
        </w:rPr>
        <w:t>et al</w:t>
      </w:r>
      <w:r w:rsidRPr="00DD468E">
        <w:rPr>
          <w:lang w:eastAsia="en-GB"/>
        </w:rPr>
        <w:t>. (2014b)</w:t>
      </w:r>
      <w:r>
        <w:rPr>
          <w:lang w:eastAsia="en-GB"/>
        </w:rPr>
        <w:t xml:space="preserve"> investigated maternal transfer, potential metabolism and tissue distribution of Dechlorane Plus (and other flame retardants) during egg formation and embryo development in Domestic Chickens (</w:t>
      </w:r>
      <w:r>
        <w:rPr>
          <w:i/>
          <w:lang w:eastAsia="en-GB"/>
        </w:rPr>
        <w:t>Gallus gallus domesticus</w:t>
      </w:r>
      <w:r>
        <w:rPr>
          <w:lang w:eastAsia="en-GB"/>
        </w:rPr>
        <w:t xml:space="preserve">), apparently using the same birds as described in the study of Zheng </w:t>
      </w:r>
      <w:r>
        <w:rPr>
          <w:i/>
          <w:lang w:eastAsia="en-GB"/>
        </w:rPr>
        <w:t>et al</w:t>
      </w:r>
      <w:r>
        <w:rPr>
          <w:lang w:eastAsia="en-GB"/>
        </w:rPr>
        <w:t>. (2014a). Eggs were collected every day after the hens began laying, between March and April 2012 (n=79). The collected eggs were stored at ambient temperature in the yard. Nine chicks were hatched from ten collected eggs in an electric incubator and then sacrificed on the day of hatching, with liver and muscle tissues excised.</w:t>
      </w:r>
      <w:r>
        <w:rPr>
          <w:rStyle w:val="FootnoteReference"/>
          <w:lang w:eastAsia="en-GB"/>
        </w:rPr>
        <w:footnoteReference w:id="30"/>
      </w:r>
      <w:r>
        <w:rPr>
          <w:lang w:eastAsia="en-GB"/>
        </w:rPr>
        <w:t xml:space="preserve"> The hens were sacrificed in May 2012, and muscle samples (n=11) were collected. All samples were weighed and stored at </w:t>
      </w:r>
      <w:r>
        <w:rPr>
          <w:lang w:eastAsia="en-GB"/>
        </w:rPr>
        <w:noBreakHyphen/>
        <w:t>20 </w:t>
      </w:r>
      <w:r w:rsidR="001208E7">
        <w:rPr>
          <w:lang w:eastAsia="en-GB"/>
        </w:rPr>
        <w:t>°</w:t>
      </w:r>
      <w:r>
        <w:rPr>
          <w:lang w:eastAsia="en-GB"/>
        </w:rPr>
        <w:t xml:space="preserve">C until further analysis, which followed the same procedures as Zheng </w:t>
      </w:r>
      <w:r>
        <w:rPr>
          <w:i/>
          <w:lang w:eastAsia="en-GB"/>
        </w:rPr>
        <w:t>et al</w:t>
      </w:r>
      <w:r>
        <w:rPr>
          <w:lang w:eastAsia="en-GB"/>
        </w:rPr>
        <w:t>. (2014a).</w:t>
      </w:r>
    </w:p>
    <w:p w14:paraId="110ACD75" w14:textId="3E448944" w:rsidR="00204ACB" w:rsidRDefault="00204ACB" w:rsidP="004547A0">
      <w:pPr>
        <w:pStyle w:val="NoSpacing"/>
        <w:spacing w:after="120"/>
        <w:ind w:left="426"/>
        <w:jc w:val="both"/>
        <w:rPr>
          <w:color w:val="000000"/>
          <w:lang w:eastAsia="en-US"/>
        </w:rPr>
      </w:pPr>
      <w:r>
        <w:rPr>
          <w:color w:val="000000"/>
        </w:rPr>
        <w:t>Dechlorane Plus (total isomers) was found in all of the samples, covering a wide range of concentrations from 0.77 to 9</w:t>
      </w:r>
      <w:r w:rsidR="000C797A">
        <w:rPr>
          <w:color w:val="000000"/>
        </w:rPr>
        <w:t xml:space="preserve"> </w:t>
      </w:r>
      <w:r>
        <w:rPr>
          <w:color w:val="000000"/>
        </w:rPr>
        <w:t xml:space="preserve">034 </w:t>
      </w:r>
      <w:r>
        <w:rPr>
          <w:lang w:eastAsia="en-GB"/>
        </w:rPr>
        <w:t>µg/kg lw. The highest concentration was reported for a liver sample, but eggs also had a wide range of concentratio</w:t>
      </w:r>
      <w:r w:rsidR="007A3365">
        <w:rPr>
          <w:lang w:eastAsia="en-GB"/>
        </w:rPr>
        <w:t xml:space="preserve">ns, some of which were around 7 </w:t>
      </w:r>
      <w:r>
        <w:rPr>
          <w:lang w:eastAsia="en-GB"/>
        </w:rPr>
        <w:t>000 µg/kg lw. The results are summarised in</w:t>
      </w:r>
      <w:r w:rsidR="00281744">
        <w:rPr>
          <w:lang w:eastAsia="en-GB"/>
        </w:rPr>
        <w:t xml:space="preserve"> </w:t>
      </w:r>
      <w:r w:rsidR="00281744">
        <w:rPr>
          <w:lang w:eastAsia="en-GB"/>
        </w:rPr>
        <w:fldChar w:fldCharType="begin"/>
      </w:r>
      <w:r w:rsidR="00281744">
        <w:rPr>
          <w:lang w:eastAsia="en-GB"/>
        </w:rPr>
        <w:instrText xml:space="preserve"> REF _Ref491779056 \h </w:instrText>
      </w:r>
      <w:r w:rsidR="00281744">
        <w:rPr>
          <w:lang w:eastAsia="en-GB"/>
        </w:rPr>
      </w:r>
      <w:r w:rsidR="00281744">
        <w:rPr>
          <w:lang w:eastAsia="en-GB"/>
        </w:rPr>
        <w:fldChar w:fldCharType="separate"/>
      </w:r>
      <w:r w:rsidR="00281744" w:rsidRPr="002F1DA3">
        <w:t xml:space="preserve">Figure </w:t>
      </w:r>
      <w:r w:rsidR="00281744">
        <w:rPr>
          <w:noProof/>
        </w:rPr>
        <w:t>4</w:t>
      </w:r>
      <w:r w:rsidR="00281744">
        <w:rPr>
          <w:lang w:eastAsia="en-GB"/>
        </w:rPr>
        <w:fldChar w:fldCharType="end"/>
      </w:r>
      <w:r>
        <w:rPr>
          <w:color w:val="000000"/>
        </w:rPr>
        <w:t xml:space="preserve">. </w:t>
      </w:r>
      <w:r>
        <w:t>The horizontal lines represents 5th, median and 95th percentiles, and the box represents 25th and 75th percentiles. Outliers exceeding 1.5 and 3 times of the height of box are shown as individual circles and asterisks, respectively. Unfortunately, the data for the two isomers and two potential transformation products are lumped together in the data table and figure in the original paper.</w:t>
      </w:r>
      <w:r>
        <w:rPr>
          <w:lang w:eastAsia="en-GB"/>
        </w:rPr>
        <w:t xml:space="preserve"> Anti-DP-2Cl was not detected in any sample, but anti-DP-1Cl </w:t>
      </w:r>
      <w:r>
        <w:rPr>
          <w:color w:val="000000"/>
        </w:rPr>
        <w:t>was found in 79</w:t>
      </w:r>
      <w:r w:rsidR="00BA580B">
        <w:rPr>
          <w:color w:val="000000"/>
        </w:rPr>
        <w:t xml:space="preserve"> </w:t>
      </w:r>
      <w:r>
        <w:rPr>
          <w:color w:val="000000"/>
        </w:rPr>
        <w:t>% of samples at concentrations be</w:t>
      </w:r>
      <w:r w:rsidR="00DD468E">
        <w:rPr>
          <w:color w:val="000000"/>
        </w:rPr>
        <w:t>tween ‘not detectable’ and 30.7 </w:t>
      </w:r>
      <w:r>
        <w:rPr>
          <w:lang w:eastAsia="en-GB"/>
        </w:rPr>
        <w:t>µg/kg lw</w:t>
      </w:r>
      <w:r>
        <w:rPr>
          <w:color w:val="000000"/>
        </w:rPr>
        <w:t>.</w:t>
      </w:r>
    </w:p>
    <w:p w14:paraId="4C93AB25" w14:textId="77777777" w:rsidR="00F87881" w:rsidRDefault="00F87881" w:rsidP="00204ACB">
      <w:pPr>
        <w:pStyle w:val="Caption"/>
        <w:ind w:left="1418" w:hanging="1361"/>
        <w:rPr>
          <w:rFonts w:ascii="Times New Roman Bold" w:hAnsi="Times New Roman Bold"/>
          <w:noProof/>
          <w:sz w:val="24"/>
          <w:lang w:eastAsia="en-GB"/>
        </w:rPr>
      </w:pPr>
      <w:bookmarkStart w:id="602" w:name="_Ref491779056"/>
      <w:bookmarkStart w:id="603" w:name="_Toc439772086"/>
    </w:p>
    <w:p w14:paraId="6678C17E" w14:textId="060ED63E" w:rsidR="00204ACB" w:rsidRPr="002F1DA3" w:rsidRDefault="00F87881" w:rsidP="00204ACB">
      <w:pPr>
        <w:pStyle w:val="Caption"/>
        <w:ind w:left="1418" w:hanging="1361"/>
        <w:rPr>
          <w:szCs w:val="22"/>
        </w:rPr>
      </w:pPr>
      <w:bookmarkStart w:id="604" w:name="_Toc491779899"/>
      <w:r>
        <w:rPr>
          <w:rFonts w:ascii="Times New Roman Bold" w:hAnsi="Times New Roman Bold"/>
          <w:noProof/>
          <w:sz w:val="24"/>
          <w:lang w:eastAsia="en-GB"/>
        </w:rPr>
        <w:drawing>
          <wp:anchor distT="0" distB="0" distL="114300" distR="114300" simplePos="0" relativeHeight="251756544" behindDoc="1" locked="0" layoutInCell="1" allowOverlap="1" wp14:anchorId="4A4EE399" wp14:editId="494E6F1F">
            <wp:simplePos x="0" y="0"/>
            <wp:positionH relativeFrom="column">
              <wp:posOffset>632460</wp:posOffset>
            </wp:positionH>
            <wp:positionV relativeFrom="paragraph">
              <wp:posOffset>208915</wp:posOffset>
            </wp:positionV>
            <wp:extent cx="4159885" cy="28765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5">
                      <a:extLst>
                        <a:ext uri="{28A0092B-C50C-407E-A947-70E740481C1C}">
                          <a14:useLocalDpi xmlns:a14="http://schemas.microsoft.com/office/drawing/2010/main" val="0"/>
                        </a:ext>
                      </a:extLst>
                    </a:blip>
                    <a:srcRect t="3345" b="4806"/>
                    <a:stretch/>
                  </pic:blipFill>
                  <pic:spPr bwMode="auto">
                    <a:xfrm>
                      <a:off x="0" y="0"/>
                      <a:ext cx="4159885"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4ACB" w:rsidRPr="002F1DA3">
        <w:t xml:space="preserve">Figure </w:t>
      </w:r>
      <w:fldSimple w:instr=" SEQ Figure \* ARABIC ">
        <w:r w:rsidR="00281744">
          <w:rPr>
            <w:noProof/>
          </w:rPr>
          <w:t>4</w:t>
        </w:r>
      </w:fldSimple>
      <w:bookmarkEnd w:id="602"/>
      <w:r w:rsidR="00204ACB" w:rsidRPr="002F1DA3">
        <w:rPr>
          <w:szCs w:val="22"/>
        </w:rPr>
        <w:t xml:space="preserve">: </w:t>
      </w:r>
      <w:r w:rsidR="00204ACB" w:rsidRPr="002F1DA3">
        <w:tab/>
        <w:t>Dechlorane Plus levels in chicken tissues</w:t>
      </w:r>
      <w:bookmarkEnd w:id="603"/>
      <w:bookmarkEnd w:id="604"/>
    </w:p>
    <w:p w14:paraId="5E8C0C20" w14:textId="779F8D3A" w:rsidR="00F87881" w:rsidRDefault="00F87881" w:rsidP="00F87881">
      <w:pPr>
        <w:pStyle w:val="NoSpacing"/>
        <w:spacing w:after="120"/>
        <w:ind w:left="426" w:right="374"/>
        <w:jc w:val="center"/>
      </w:pPr>
      <w:r w:rsidRPr="00F87881">
        <w:t xml:space="preserve">a: adult; b: </w:t>
      </w:r>
      <w:r>
        <w:t>chicken</w:t>
      </w:r>
    </w:p>
    <w:p w14:paraId="1918BAD4" w14:textId="3DBA202F" w:rsidR="00204ACB" w:rsidRDefault="00204ACB" w:rsidP="00F87881">
      <w:pPr>
        <w:autoSpaceDE w:val="0"/>
        <w:autoSpaceDN w:val="0"/>
        <w:adjustRightInd w:val="0"/>
        <w:ind w:left="1134" w:right="657"/>
        <w:jc w:val="both"/>
        <w:rPr>
          <w:b/>
          <w:sz w:val="22"/>
          <w:szCs w:val="22"/>
        </w:rPr>
      </w:pPr>
      <w:r>
        <w:rPr>
          <w:b/>
          <w:sz w:val="22"/>
          <w:szCs w:val="22"/>
        </w:rPr>
        <w:t>(</w:t>
      </w:r>
      <w:r>
        <w:rPr>
          <w:b/>
          <w:sz w:val="18"/>
          <w:szCs w:val="18"/>
        </w:rPr>
        <w:t xml:space="preserve">reprinted with permission from Zheng </w:t>
      </w:r>
      <w:r>
        <w:rPr>
          <w:b/>
          <w:i/>
          <w:sz w:val="18"/>
          <w:szCs w:val="18"/>
        </w:rPr>
        <w:t>et al</w:t>
      </w:r>
      <w:r>
        <w:rPr>
          <w:b/>
          <w:sz w:val="18"/>
          <w:szCs w:val="18"/>
        </w:rPr>
        <w:t>. (2014b). Copyright 2014: SETAC</w:t>
      </w:r>
      <w:r>
        <w:rPr>
          <w:b/>
          <w:sz w:val="22"/>
          <w:szCs w:val="22"/>
        </w:rPr>
        <w:t>)</w:t>
      </w:r>
    </w:p>
    <w:p w14:paraId="64C40F5C" w14:textId="77777777" w:rsidR="00204ACB" w:rsidRDefault="00204ACB" w:rsidP="00204ACB">
      <w:pPr>
        <w:autoSpaceDE w:val="0"/>
        <w:autoSpaceDN w:val="0"/>
        <w:adjustRightInd w:val="0"/>
        <w:ind w:left="1134" w:right="657"/>
        <w:jc w:val="center"/>
        <w:rPr>
          <w:b/>
        </w:rPr>
      </w:pPr>
    </w:p>
    <w:p w14:paraId="508E2D0A" w14:textId="77777777" w:rsidR="00204ACB" w:rsidRDefault="00204ACB" w:rsidP="004547A0">
      <w:pPr>
        <w:pStyle w:val="NoSpacing"/>
        <w:spacing w:after="120"/>
        <w:ind w:left="426"/>
        <w:jc w:val="both"/>
        <w:rPr>
          <w:color w:val="000000"/>
        </w:rPr>
      </w:pPr>
      <w:r>
        <w:rPr>
          <w:color w:val="000000"/>
        </w:rPr>
        <w:t xml:space="preserve">Eggs were analysed in three groups (collected at 0, 7 and 14 d of incubation, n=10 for each). No significant difference in concentration was found once extremes were removed (one-way ANOVA, </w:t>
      </w:r>
      <w:r>
        <w:rPr>
          <w:i/>
          <w:color w:val="000000"/>
        </w:rPr>
        <w:t>p</w:t>
      </w:r>
      <w:r>
        <w:rPr>
          <w:color w:val="000000"/>
        </w:rPr>
        <w:t xml:space="preserve">&gt;0.05), with median levels of 16, 24 and 30 </w:t>
      </w:r>
      <w:r>
        <w:rPr>
          <w:lang w:eastAsia="en-GB"/>
        </w:rPr>
        <w:t>µg/kg lw, respectively</w:t>
      </w:r>
      <w:r>
        <w:rPr>
          <w:color w:val="000000"/>
        </w:rPr>
        <w:t>. With the outliers included, the</w:t>
      </w:r>
      <w:r w:rsidR="007A3365">
        <w:rPr>
          <w:color w:val="000000"/>
        </w:rPr>
        <w:t xml:space="preserve"> means (±standard error) were 1 </w:t>
      </w:r>
      <w:r>
        <w:rPr>
          <w:color w:val="000000"/>
        </w:rPr>
        <w:t xml:space="preserve">336±878, 58±29 and </w:t>
      </w:r>
      <w:r w:rsidR="007A3365">
        <w:rPr>
          <w:color w:val="000000"/>
        </w:rPr>
        <w:t>1 </w:t>
      </w:r>
      <w:r>
        <w:rPr>
          <w:color w:val="000000"/>
        </w:rPr>
        <w:t xml:space="preserve">032±529 </w:t>
      </w:r>
      <w:r>
        <w:rPr>
          <w:lang w:eastAsia="en-GB"/>
        </w:rPr>
        <w:t xml:space="preserve">µg/kg lw (total concentration of </w:t>
      </w:r>
      <w:r>
        <w:rPr>
          <w:color w:val="000000"/>
        </w:rPr>
        <w:t xml:space="preserve">Dechlorane Plus </w:t>
      </w:r>
      <w:r>
        <w:rPr>
          <w:lang w:eastAsia="en-GB"/>
        </w:rPr>
        <w:t>isomers and anti-DP-1Cl).</w:t>
      </w:r>
    </w:p>
    <w:p w14:paraId="7962B2B2" w14:textId="77777777" w:rsidR="00204ACB" w:rsidRDefault="00204ACB" w:rsidP="004547A0">
      <w:pPr>
        <w:pStyle w:val="NoSpacing"/>
        <w:spacing w:after="120"/>
        <w:ind w:left="426"/>
        <w:jc w:val="both"/>
        <w:rPr>
          <w:color w:val="000000"/>
        </w:rPr>
      </w:pPr>
      <w:r>
        <w:rPr>
          <w:color w:val="000000"/>
        </w:rPr>
        <w:t xml:space="preserve">The mean (±standard error) concentration in hen muscle was 82±32 </w:t>
      </w:r>
      <w:r>
        <w:rPr>
          <w:lang w:eastAsia="en-GB"/>
        </w:rPr>
        <w:t xml:space="preserve">µg/kg lw (total concentration of </w:t>
      </w:r>
      <w:r>
        <w:rPr>
          <w:color w:val="000000"/>
        </w:rPr>
        <w:t xml:space="preserve">Dechlorane Plus </w:t>
      </w:r>
      <w:r>
        <w:rPr>
          <w:lang w:eastAsia="en-GB"/>
        </w:rPr>
        <w:t xml:space="preserve">isomers and anti-DP-1Cl). </w:t>
      </w:r>
      <w:r>
        <w:rPr>
          <w:color w:val="000000"/>
        </w:rPr>
        <w:t>The ratios of median concentrations in eggs to hen muscle for the syn- (0.40) and anti- isomer (0.67) were less than 1, indicating that these substances were more selectively retained by mothers. The maternal transfer potential of syn-Dechlorane Plus was lower than that of the anti- isomer. Consequently, the f</w:t>
      </w:r>
      <w:r>
        <w:rPr>
          <w:color w:val="000000"/>
          <w:vertAlign w:val="subscript"/>
        </w:rPr>
        <w:t>anti</w:t>
      </w:r>
      <w:r>
        <w:rPr>
          <w:color w:val="000000"/>
        </w:rPr>
        <w:t xml:space="preserve"> values in eggs (median 0.65, range 0.37 – 0.77; higher in albumin (0.89) than in yolk (0.59)) were significantly higher than those in hen muscle (median 0.56) (</w:t>
      </w:r>
      <w:r>
        <w:rPr>
          <w:i/>
          <w:color w:val="000000"/>
        </w:rPr>
        <w:t>p</w:t>
      </w:r>
      <w:r>
        <w:rPr>
          <w:color w:val="000000"/>
        </w:rPr>
        <w:t xml:space="preserve"> &lt; 0.05). The study therefore provides strong evidence for the stereoselective maternal transfer of Dechlorane Plus isomers to eggs.</w:t>
      </w:r>
    </w:p>
    <w:p w14:paraId="5A6E3D3D" w14:textId="77777777" w:rsidR="00204ACB" w:rsidRDefault="00204ACB" w:rsidP="004547A0">
      <w:pPr>
        <w:pStyle w:val="NoSpacing"/>
        <w:spacing w:after="120"/>
        <w:ind w:left="426"/>
        <w:jc w:val="both"/>
        <w:rPr>
          <w:color w:val="000000"/>
        </w:rPr>
      </w:pPr>
      <w:r>
        <w:rPr>
          <w:color w:val="000000"/>
        </w:rPr>
        <w:t xml:space="preserve">The mean (±standard error) concentration in chick muscle and </w:t>
      </w:r>
      <w:r w:rsidR="007A3365">
        <w:rPr>
          <w:color w:val="000000"/>
        </w:rPr>
        <w:t xml:space="preserve">liver samples was 673±124 and 2 </w:t>
      </w:r>
      <w:r>
        <w:rPr>
          <w:color w:val="000000"/>
        </w:rPr>
        <w:t>595±928 µg/kg lw, respectively (total concentration of</w:t>
      </w:r>
      <w:r>
        <w:rPr>
          <w:lang w:eastAsia="en-GB"/>
        </w:rPr>
        <w:t xml:space="preserve"> </w:t>
      </w:r>
      <w:r>
        <w:rPr>
          <w:color w:val="000000"/>
        </w:rPr>
        <w:t xml:space="preserve">Dechlorane Plus </w:t>
      </w:r>
      <w:r>
        <w:rPr>
          <w:lang w:eastAsia="en-GB"/>
        </w:rPr>
        <w:t>isomers and anti-DP-1Cl)</w:t>
      </w:r>
      <w:r>
        <w:rPr>
          <w:color w:val="000000"/>
        </w:rPr>
        <w:t>. The difference in levels in chick tissues compared with mid-incubation eggs was likely caused by lipid consumption during the last days of incubation</w:t>
      </w:r>
      <w:r w:rsidRPr="00312A11">
        <w:rPr>
          <w:rStyle w:val="FootnoteReference"/>
          <w:rFonts w:ascii="Verdana" w:hAnsi="Verdana"/>
          <w:color w:val="000000"/>
          <w:sz w:val="20"/>
        </w:rPr>
        <w:footnoteReference w:id="31"/>
      </w:r>
      <w:r>
        <w:rPr>
          <w:color w:val="000000"/>
        </w:rPr>
        <w:t>. Egg weights also decreased (by 10</w:t>
      </w:r>
      <w:r w:rsidR="00906888">
        <w:rPr>
          <w:color w:val="000000"/>
        </w:rPr>
        <w:t xml:space="preserve"> </w:t>
      </w:r>
      <w:r>
        <w:rPr>
          <w:color w:val="000000"/>
        </w:rPr>
        <w:t xml:space="preserve">% at 14 days after the onset of incubation) because of water loss and energy consumption during incubation. </w:t>
      </w:r>
    </w:p>
    <w:p w14:paraId="523040A0" w14:textId="77777777" w:rsidR="00204ACB" w:rsidRDefault="00204ACB" w:rsidP="004547A0">
      <w:pPr>
        <w:pStyle w:val="NoSpacing"/>
        <w:spacing w:after="120"/>
        <w:ind w:left="426"/>
        <w:jc w:val="both"/>
        <w:rPr>
          <w:color w:val="000000"/>
        </w:rPr>
      </w:pPr>
      <w:r>
        <w:rPr>
          <w:color w:val="000000"/>
        </w:rPr>
        <w:t>With the assumption that the levels in eggs during incubation represented the initial level in eggs from which chicks were successfully hatched, the residual percentage of pollutants after incubation was roughly estimated by dividing the amount of substance in chicks (a summation of muscle and liver) by that in eggs (median levels were used for the calculation). The ratio for Dechlorane Plus was in the range 9 – 14</w:t>
      </w:r>
      <w:r w:rsidR="00906888">
        <w:rPr>
          <w:color w:val="000000"/>
        </w:rPr>
        <w:t xml:space="preserve"> </w:t>
      </w:r>
      <w:r>
        <w:rPr>
          <w:color w:val="000000"/>
        </w:rPr>
        <w:t>%. Although this estimation is crude (uncertainty exists due to data heterogeneity and underestimations of whole-body amounts), the result suggests that there might have been significant metabolism by chicken embryos.</w:t>
      </w:r>
    </w:p>
    <w:p w14:paraId="202C1072" w14:textId="77777777" w:rsidR="00204ACB" w:rsidRDefault="00204ACB" w:rsidP="004547A0">
      <w:pPr>
        <w:pStyle w:val="NoSpacing"/>
        <w:spacing w:after="120"/>
        <w:ind w:left="426"/>
        <w:jc w:val="both"/>
        <w:rPr>
          <w:color w:val="000000"/>
        </w:rPr>
      </w:pPr>
      <w:r>
        <w:rPr>
          <w:color w:val="000000"/>
        </w:rPr>
        <w:t>The f</w:t>
      </w:r>
      <w:r>
        <w:rPr>
          <w:color w:val="000000"/>
          <w:vertAlign w:val="subscript"/>
        </w:rPr>
        <w:t>anti</w:t>
      </w:r>
      <w:r>
        <w:rPr>
          <w:color w:val="000000"/>
        </w:rPr>
        <w:t xml:space="preserve"> values (0.68±0.02 in liver and 0.72±0.03 in muscle) in chick tissues were higher than those in eggs (0.65±0.07). The difference was statistically significantly different for muscle and eggs (</w:t>
      </w:r>
      <w:r>
        <w:rPr>
          <w:i/>
          <w:color w:val="000000"/>
        </w:rPr>
        <w:t>p</w:t>
      </w:r>
      <w:r>
        <w:rPr>
          <w:color w:val="000000"/>
        </w:rPr>
        <w:t xml:space="preserve"> &lt; 0.01). This suggests that stereoselective metabolism of the syn- isomer occurred during chicken embryo development.</w:t>
      </w:r>
    </w:p>
    <w:p w14:paraId="557FA27B" w14:textId="77777777" w:rsidR="00204ACB" w:rsidRDefault="00204ACB" w:rsidP="004547A0">
      <w:pPr>
        <w:pStyle w:val="NoSpacing"/>
        <w:autoSpaceDE w:val="0"/>
        <w:autoSpaceDN w:val="0"/>
        <w:adjustRightInd w:val="0"/>
        <w:spacing w:after="120"/>
        <w:ind w:left="426"/>
        <w:jc w:val="both"/>
        <w:rPr>
          <w:rFonts w:cstheme="minorBidi"/>
          <w:lang w:eastAsia="en-GB"/>
        </w:rPr>
      </w:pPr>
      <w:r>
        <w:rPr>
          <w:lang w:eastAsia="en-GB"/>
        </w:rPr>
        <w:t>This study is considered to be reliable with restrictions, because the birds were not dosed in a standardised manner, and the variability in individual tissue concentrations was high. The validity of comparisons based on median concentrations only is therefore open to question. However, the study shows that when exposure is sufficiently high, chicken eggs can accumulate up to around 7 mg/kg of Dechlorane Plus on a lipid weight basis [around 1 mg/kg ww</w:t>
      </w:r>
      <w:r w:rsidRPr="00312A11">
        <w:rPr>
          <w:rStyle w:val="FootnoteReference"/>
          <w:rFonts w:ascii="Verdana" w:hAnsi="Verdana"/>
          <w:sz w:val="20"/>
          <w:lang w:eastAsia="en-GB"/>
        </w:rPr>
        <w:footnoteReference w:id="32"/>
      </w:r>
      <w:r>
        <w:rPr>
          <w:lang w:eastAsia="en-GB"/>
        </w:rPr>
        <w:t xml:space="preserve">]. It also implies selective maternal transfer of the anti- isomer to eggs and stereoselective metabolism of the syn- isomer during chicken embryo development. In addition, it suggests that caution is needed in the interpretation of trophic transfer studies involving concentrations in bird eggs (see Sections </w:t>
      </w:r>
      <w:r w:rsidR="00157044">
        <w:rPr>
          <w:lang w:eastAsia="en-GB"/>
        </w:rPr>
        <w:t>3.4.1.3 and 3.4.2.2</w:t>
      </w:r>
      <w:r>
        <w:rPr>
          <w:lang w:eastAsia="en-GB"/>
        </w:rPr>
        <w:t>), since they do not necessarily reflect parental whole body burdens.</w:t>
      </w:r>
    </w:p>
    <w:p w14:paraId="1C8923F3" w14:textId="77777777" w:rsidR="001208E7" w:rsidRDefault="001208E7" w:rsidP="004547A0">
      <w:pPr>
        <w:pStyle w:val="NoSpacing"/>
        <w:spacing w:after="120"/>
        <w:jc w:val="both"/>
        <w:rPr>
          <w:b/>
          <w:i/>
          <w:color w:val="000000"/>
        </w:rPr>
      </w:pPr>
    </w:p>
    <w:p w14:paraId="5434DDE5" w14:textId="77777777" w:rsidR="001208E7" w:rsidRDefault="001208E7" w:rsidP="004547A0">
      <w:pPr>
        <w:pStyle w:val="NoSpacing"/>
        <w:spacing w:after="120"/>
        <w:jc w:val="both"/>
        <w:rPr>
          <w:b/>
          <w:i/>
          <w:color w:val="000000"/>
          <w:lang w:eastAsia="en-US"/>
        </w:rPr>
      </w:pPr>
      <w:r>
        <w:rPr>
          <w:b/>
          <w:i/>
          <w:color w:val="000000"/>
        </w:rPr>
        <w:t>Discussion</w:t>
      </w:r>
    </w:p>
    <w:p w14:paraId="0B317203" w14:textId="77777777" w:rsidR="001208E7" w:rsidRDefault="001208E7" w:rsidP="004547A0">
      <w:pPr>
        <w:spacing w:after="120"/>
        <w:jc w:val="both"/>
      </w:pPr>
      <w:r>
        <w:t xml:space="preserve">Studies with other highly hydrophobic substances such as decabromodiphenyl ether (ECHA, 2012a) suggest that achieving truly dissolved concentrations in many standard solvent vehicles is very difficult. The presence of </w:t>
      </w:r>
      <w:r>
        <w:rPr>
          <w:color w:val="000000"/>
        </w:rPr>
        <w:t xml:space="preserve">undissolved </w:t>
      </w:r>
      <w:r>
        <w:t xml:space="preserve">microcrystals can mean that the degree of absorption across the gut can actually be higher at lower doses and solvent choice may also </w:t>
      </w:r>
      <w:r>
        <w:lastRenderedPageBreak/>
        <w:t>have an influence.</w:t>
      </w:r>
      <w:r>
        <w:rPr>
          <w:color w:val="000000"/>
        </w:rPr>
        <w:t xml:space="preserve"> This could confound conclusions drawn from any apparent dose-response relationship, since the nominal concentrations might not represent the actual dissolved concentrations.  Dechlorane Plus does seem to have a reasonable degree of solubility in several organic solvents (see Section 1.5), so the variation seen might perhaps be more related to saturation of various pathways at different doses. The studies by Zheng </w:t>
      </w:r>
      <w:r>
        <w:rPr>
          <w:i/>
          <w:color w:val="000000"/>
        </w:rPr>
        <w:t>et al</w:t>
      </w:r>
      <w:r>
        <w:rPr>
          <w:color w:val="000000"/>
        </w:rPr>
        <w:t>. (2014a&amp;b) involved birds contaminated from their local environment, so at least represent concentrations that can actually be achieved in nature.</w:t>
      </w:r>
    </w:p>
    <w:p w14:paraId="02EF8C13" w14:textId="77777777" w:rsidR="001208E7" w:rsidRDefault="001208E7" w:rsidP="004547A0">
      <w:pPr>
        <w:pStyle w:val="NoSpacing"/>
        <w:autoSpaceDE w:val="0"/>
        <w:autoSpaceDN w:val="0"/>
        <w:adjustRightInd w:val="0"/>
        <w:spacing w:after="120"/>
        <w:jc w:val="both"/>
        <w:rPr>
          <w:lang w:eastAsia="en-GB"/>
        </w:rPr>
      </w:pPr>
      <w:r>
        <w:rPr>
          <w:color w:val="000000"/>
        </w:rPr>
        <w:t xml:space="preserve">The main conclusions that can be drawn from these </w:t>
      </w:r>
      <w:r>
        <w:t xml:space="preserve">bird </w:t>
      </w:r>
      <w:r>
        <w:rPr>
          <w:color w:val="000000"/>
        </w:rPr>
        <w:t xml:space="preserve">studies </w:t>
      </w:r>
      <w:r>
        <w:t>is that uptake, distribution and e</w:t>
      </w:r>
      <w:r w:rsidR="00312A11">
        <w:t>limination kinetics are complex</w:t>
      </w:r>
      <w:r>
        <w:t xml:space="preserve">. </w:t>
      </w:r>
      <w:r>
        <w:rPr>
          <w:lang w:eastAsia="en-GB"/>
        </w:rPr>
        <w:t xml:space="preserve">Zheng </w:t>
      </w:r>
      <w:r>
        <w:rPr>
          <w:i/>
          <w:lang w:eastAsia="en-GB"/>
        </w:rPr>
        <w:t>et al</w:t>
      </w:r>
      <w:r>
        <w:rPr>
          <w:lang w:eastAsia="en-GB"/>
        </w:rPr>
        <w:t>. (2014a) detected the substance in all tissues examined in a sample of Domestic Chickens (</w:t>
      </w:r>
      <w:r>
        <w:rPr>
          <w:i/>
          <w:lang w:eastAsia="en-GB"/>
        </w:rPr>
        <w:t>Gallus gallus domesticus</w:t>
      </w:r>
      <w:r>
        <w:rPr>
          <w:lang w:eastAsia="en-GB"/>
        </w:rPr>
        <w:t>): concentrations were variable, but the data suggest that concentrations were typically highest in fat (median: 10</w:t>
      </w:r>
      <w:r w:rsidR="004F0C11">
        <w:t> </w:t>
      </w:r>
      <w:r>
        <w:t xml:space="preserve">µg/kg </w:t>
      </w:r>
      <w:r>
        <w:rPr>
          <w:lang w:eastAsia="en-GB"/>
        </w:rPr>
        <w:t>ww), with liver (median: 4.4 µg/kg ww) and muscle (median: 0.92 µg/kg ww) having lower concentrations. Fat was the most important reservoir (accounting for 56</w:t>
      </w:r>
      <w:r w:rsidR="00BA580B">
        <w:rPr>
          <w:lang w:eastAsia="en-GB"/>
        </w:rPr>
        <w:t xml:space="preserve"> </w:t>
      </w:r>
      <w:r>
        <w:rPr>
          <w:lang w:eastAsia="en-GB"/>
        </w:rPr>
        <w:t>% of the residues), followed by liver (12</w:t>
      </w:r>
      <w:r w:rsidR="00906888">
        <w:rPr>
          <w:lang w:eastAsia="en-GB"/>
        </w:rPr>
        <w:t xml:space="preserve"> </w:t>
      </w:r>
      <w:r>
        <w:rPr>
          <w:lang w:eastAsia="en-GB"/>
        </w:rPr>
        <w:t>%) and gonad (12</w:t>
      </w:r>
      <w:r w:rsidR="00906888">
        <w:rPr>
          <w:lang w:eastAsia="en-GB"/>
        </w:rPr>
        <w:t xml:space="preserve"> </w:t>
      </w:r>
      <w:r>
        <w:rPr>
          <w:lang w:eastAsia="en-GB"/>
        </w:rPr>
        <w:t>%). Muscle contained significantly lower concentrations than other tissues (</w:t>
      </w:r>
      <w:r>
        <w:rPr>
          <w:i/>
          <w:lang w:eastAsia="en-GB"/>
        </w:rPr>
        <w:t>p</w:t>
      </w:r>
      <w:r>
        <w:rPr>
          <w:lang w:eastAsia="en-GB"/>
        </w:rPr>
        <w:t xml:space="preserve"> &lt; 0.05). The comparable concentrations in these other tissues suggests that lipid content was not the only factor that influenced tissue distribution, and it was speculated that blood perfusion and sequestration by proteins could be additional factors. Wet weight brain concentrations were not significantly different to those in other tissues, but as it has the lowest lipid content, the lipid-normalized concentration in brain was the highest among all tissues. There was some evidence of preferential accumulation of the anti- isomer in chicken compared with soil.</w:t>
      </w:r>
      <w:r w:rsidR="00312A11">
        <w:rPr>
          <w:lang w:eastAsia="en-GB"/>
        </w:rPr>
        <w:t xml:space="preserve"> In contrast, the Zheng </w:t>
      </w:r>
      <w:r w:rsidR="00312A11">
        <w:rPr>
          <w:i/>
          <w:lang w:eastAsia="en-GB"/>
        </w:rPr>
        <w:t>et al</w:t>
      </w:r>
      <w:r w:rsidR="00312A11">
        <w:rPr>
          <w:lang w:eastAsia="en-GB"/>
        </w:rPr>
        <w:t xml:space="preserve">. (2014b) study found that liver had the highest levels in </w:t>
      </w:r>
      <w:r w:rsidR="00DF6536">
        <w:rPr>
          <w:lang w:eastAsia="en-GB"/>
        </w:rPr>
        <w:t xml:space="preserve">chicks of </w:t>
      </w:r>
      <w:r w:rsidR="00312A11">
        <w:rPr>
          <w:lang w:eastAsia="en-GB"/>
        </w:rPr>
        <w:t xml:space="preserve">this species (up to </w:t>
      </w:r>
      <w:r w:rsidR="00312A11">
        <w:rPr>
          <w:color w:val="000000"/>
        </w:rPr>
        <w:t>9</w:t>
      </w:r>
      <w:r w:rsidR="007A3365">
        <w:rPr>
          <w:color w:val="000000"/>
        </w:rPr>
        <w:t xml:space="preserve"> </w:t>
      </w:r>
      <w:r w:rsidR="00312A11">
        <w:rPr>
          <w:color w:val="000000"/>
        </w:rPr>
        <w:t xml:space="preserve">034 </w:t>
      </w:r>
      <w:r w:rsidR="00312A11">
        <w:rPr>
          <w:lang w:eastAsia="en-GB"/>
        </w:rPr>
        <w:t xml:space="preserve">µg/kg lw). Similarly, </w:t>
      </w:r>
      <w:r w:rsidR="00312A11">
        <w:t xml:space="preserve">Li </w:t>
      </w:r>
      <w:r w:rsidR="00312A11">
        <w:rPr>
          <w:i/>
        </w:rPr>
        <w:t>et al</w:t>
      </w:r>
      <w:r w:rsidR="00312A11">
        <w:t xml:space="preserve">. (2013a) found the </w:t>
      </w:r>
      <w:r w:rsidR="00312A11">
        <w:rPr>
          <w:color w:val="000000"/>
        </w:rPr>
        <w:t>highest concentrations in liver in C</w:t>
      </w:r>
      <w:r w:rsidR="00312A11">
        <w:t>ommon</w:t>
      </w:r>
      <w:r w:rsidR="00312A11">
        <w:rPr>
          <w:color w:val="000000"/>
        </w:rPr>
        <w:t xml:space="preserve"> Quail </w:t>
      </w:r>
      <w:r w:rsidR="00312A11">
        <w:rPr>
          <w:i/>
          <w:iCs/>
          <w:color w:val="000000"/>
        </w:rPr>
        <w:t>Coturnix coturnix</w:t>
      </w:r>
      <w:r w:rsidR="00312A11">
        <w:rPr>
          <w:color w:val="000000"/>
        </w:rPr>
        <w:t xml:space="preserve"> (</w:t>
      </w:r>
      <w:r w:rsidR="007A3365">
        <w:rPr>
          <w:color w:val="000000"/>
        </w:rPr>
        <w:t xml:space="preserve">~1 </w:t>
      </w:r>
      <w:r w:rsidR="00312A11">
        <w:rPr>
          <w:color w:val="000000"/>
        </w:rPr>
        <w:t>750 mg/kg lw in the 10 mg/kg/d dose group</w:t>
      </w:r>
      <w:r w:rsidR="00312A11">
        <w:t xml:space="preserve"> after 90 days;</w:t>
      </w:r>
      <w:r w:rsidR="00312A11" w:rsidRPr="00312A11">
        <w:rPr>
          <w:color w:val="000000"/>
        </w:rPr>
        <w:t xml:space="preserve"> </w:t>
      </w:r>
      <w:r w:rsidR="00312A11">
        <w:rPr>
          <w:color w:val="000000"/>
        </w:rPr>
        <w:t>lower total levels were found at the 100 mg/kg/d dose group, and there appeared to be enrichment of the syn- isomer as exposure increased).</w:t>
      </w:r>
    </w:p>
    <w:p w14:paraId="3ADD641C" w14:textId="77777777" w:rsidR="001208E7" w:rsidRDefault="001208E7" w:rsidP="004547A0">
      <w:pPr>
        <w:pStyle w:val="BodyText"/>
        <w:jc w:val="both"/>
        <w:rPr>
          <w:color w:val="000000"/>
          <w:lang w:eastAsia="en-US"/>
        </w:rPr>
      </w:pPr>
      <w:r>
        <w:t>Like fish, r</w:t>
      </w:r>
      <w:r>
        <w:rPr>
          <w:color w:val="000000"/>
        </w:rPr>
        <w:t>esidues increased with longer exposure times and a steady state was not achieved.</w:t>
      </w:r>
      <w:r>
        <w:t xml:space="preserve"> </w:t>
      </w:r>
      <w:r>
        <w:rPr>
          <w:color w:val="000000"/>
        </w:rPr>
        <w:t xml:space="preserve">It is not known how long it would take to achieve a steady state in </w:t>
      </w:r>
      <w:r w:rsidR="007A3365">
        <w:rPr>
          <w:color w:val="000000"/>
        </w:rPr>
        <w:t>chicken or quail</w:t>
      </w:r>
      <w:r>
        <w:rPr>
          <w:color w:val="000000"/>
        </w:rPr>
        <w:t xml:space="preserve">, and </w:t>
      </w:r>
      <w:r w:rsidR="00312A11">
        <w:rPr>
          <w:color w:val="000000"/>
        </w:rPr>
        <w:t>none of the</w:t>
      </w:r>
      <w:r>
        <w:rPr>
          <w:color w:val="000000"/>
        </w:rPr>
        <w:t xml:space="preserve"> stud</w:t>
      </w:r>
      <w:r w:rsidR="00312A11">
        <w:rPr>
          <w:color w:val="000000"/>
        </w:rPr>
        <w:t>ies</w:t>
      </w:r>
      <w:r>
        <w:rPr>
          <w:color w:val="000000"/>
        </w:rPr>
        <w:t xml:space="preserve"> investigate</w:t>
      </w:r>
      <w:r w:rsidR="00312A11">
        <w:rPr>
          <w:color w:val="000000"/>
        </w:rPr>
        <w:t>d</w:t>
      </w:r>
      <w:r>
        <w:rPr>
          <w:color w:val="000000"/>
        </w:rPr>
        <w:t xml:space="preserve"> depuration kinetics.</w:t>
      </w:r>
    </w:p>
    <w:p w14:paraId="5A564A48" w14:textId="77777777" w:rsidR="001208E7" w:rsidRDefault="001208E7" w:rsidP="004547A0">
      <w:pPr>
        <w:pStyle w:val="NoSpacing"/>
        <w:autoSpaceDE w:val="0"/>
        <w:autoSpaceDN w:val="0"/>
        <w:adjustRightInd w:val="0"/>
        <w:spacing w:after="120"/>
        <w:jc w:val="both"/>
        <w:rPr>
          <w:lang w:eastAsia="en-GB"/>
        </w:rPr>
      </w:pPr>
      <w:r>
        <w:rPr>
          <w:lang w:eastAsia="en-GB"/>
        </w:rPr>
        <w:t xml:space="preserve">Zheng </w:t>
      </w:r>
      <w:r>
        <w:rPr>
          <w:i/>
          <w:lang w:eastAsia="en-GB"/>
        </w:rPr>
        <w:t>et al</w:t>
      </w:r>
      <w:r>
        <w:rPr>
          <w:lang w:eastAsia="en-GB"/>
        </w:rPr>
        <w:t>. (2014b) reported a wide range of concentrations in Domestic Chicken eggs and chicks. Concentrations in the mother birds were higher than in the eggs and chicks</w:t>
      </w:r>
      <w:r>
        <w:rPr>
          <w:color w:val="000000"/>
        </w:rPr>
        <w:t>, and the maternal transfer potential of the syn- isomer was lower than that of the anti- isomer. There could also have been stereoselective metabolism of the syn- isomer during chicken embryo development.</w:t>
      </w:r>
      <w:r>
        <w:rPr>
          <w:lang w:eastAsia="en-GB"/>
        </w:rPr>
        <w:t xml:space="preserve"> The study also showed that when natural exposure is sufficiently high, birds’ eggs can accumulate up to around 7 mg/kg of Dechlorane Plus on</w:t>
      </w:r>
      <w:r w:rsidR="004F0C11">
        <w:rPr>
          <w:lang w:eastAsia="en-GB"/>
        </w:rPr>
        <w:t xml:space="preserve"> a lipid weight basis [around 1 </w:t>
      </w:r>
      <w:r>
        <w:rPr>
          <w:lang w:eastAsia="en-GB"/>
        </w:rPr>
        <w:t>mg/kg ww].</w:t>
      </w:r>
    </w:p>
    <w:p w14:paraId="3B6CA145" w14:textId="77777777" w:rsidR="00DF6536" w:rsidRDefault="00DF6536" w:rsidP="001208E7">
      <w:pPr>
        <w:pStyle w:val="NoSpacing"/>
        <w:autoSpaceDE w:val="0"/>
        <w:autoSpaceDN w:val="0"/>
        <w:adjustRightInd w:val="0"/>
        <w:spacing w:after="120"/>
        <w:ind w:right="-46"/>
        <w:jc w:val="both"/>
        <w:rPr>
          <w:lang w:eastAsia="en-GB"/>
        </w:rPr>
      </w:pPr>
    </w:p>
    <w:p w14:paraId="5173AA3C" w14:textId="77777777" w:rsidR="00DF6536" w:rsidRPr="00F70CAE" w:rsidRDefault="00DF6536" w:rsidP="00DF6536">
      <w:pPr>
        <w:pStyle w:val="Heading4"/>
      </w:pPr>
      <w:r>
        <w:t>3.4.2.3 Field</w:t>
      </w:r>
      <w:r w:rsidRPr="00F70CAE">
        <w:t xml:space="preserve"> studies </w:t>
      </w:r>
    </w:p>
    <w:p w14:paraId="5D56954A" w14:textId="77777777" w:rsidR="00DF6536" w:rsidRDefault="00157A97" w:rsidP="00157A97">
      <w:pPr>
        <w:pStyle w:val="NoSpacing"/>
        <w:autoSpaceDE w:val="0"/>
        <w:autoSpaceDN w:val="0"/>
        <w:adjustRightInd w:val="0"/>
        <w:spacing w:after="120"/>
        <w:ind w:right="-46"/>
        <w:jc w:val="both"/>
      </w:pPr>
      <w:bookmarkStart w:id="605" w:name="_Ref422989907"/>
      <w:r>
        <w:t>Six</w:t>
      </w:r>
      <w:r w:rsidR="00DF6536">
        <w:t xml:space="preserve"> biota monitoring studies that report some measure of bioaccumulation potential have been summarised in detail in Appendix 1</w:t>
      </w:r>
      <w:r>
        <w:t xml:space="preserve"> (</w:t>
      </w:r>
      <w:r w:rsidRPr="00157A97">
        <w:t xml:space="preserve">Sun </w:t>
      </w:r>
      <w:r w:rsidRPr="00157A97">
        <w:rPr>
          <w:i/>
        </w:rPr>
        <w:t>et al</w:t>
      </w:r>
      <w:r w:rsidRPr="00157A97">
        <w:t xml:space="preserve">., 2012; Yu </w:t>
      </w:r>
      <w:r w:rsidRPr="00157A97">
        <w:rPr>
          <w:i/>
        </w:rPr>
        <w:t>et al</w:t>
      </w:r>
      <w:r w:rsidRPr="00157A97">
        <w:t>., 2013;</w:t>
      </w:r>
      <w:r w:rsidRPr="00157A97">
        <w:rPr>
          <w:color w:val="000000"/>
        </w:rPr>
        <w:t xml:space="preserve"> Barón </w:t>
      </w:r>
      <w:r w:rsidRPr="00157A97">
        <w:rPr>
          <w:i/>
          <w:color w:val="000000"/>
        </w:rPr>
        <w:t>et al</w:t>
      </w:r>
      <w:r w:rsidRPr="00157A97">
        <w:rPr>
          <w:color w:val="000000"/>
        </w:rPr>
        <w:t>., 2014a;</w:t>
      </w:r>
      <w:r w:rsidRPr="00157A97">
        <w:t xml:space="preserve"> Yu </w:t>
      </w:r>
      <w:r w:rsidRPr="00157A97">
        <w:rPr>
          <w:i/>
        </w:rPr>
        <w:t>et al</w:t>
      </w:r>
      <w:r w:rsidRPr="00157A97">
        <w:t>., 2014;</w:t>
      </w:r>
      <w:r w:rsidRPr="00157A97">
        <w:rPr>
          <w:color w:val="000000"/>
        </w:rPr>
        <w:t xml:space="preserve"> </w:t>
      </w:r>
      <w:r w:rsidRPr="00157A97">
        <w:t xml:space="preserve">Muir </w:t>
      </w:r>
      <w:r w:rsidRPr="00157A97">
        <w:rPr>
          <w:i/>
        </w:rPr>
        <w:t>et al.,</w:t>
      </w:r>
      <w:r w:rsidRPr="00157A97">
        <w:t xml:space="preserve"> 2014</w:t>
      </w:r>
      <w:r w:rsidRPr="00157A97">
        <w:rPr>
          <w:color w:val="000000"/>
          <w:lang w:eastAsia="en-GB"/>
        </w:rPr>
        <w:t xml:space="preserve"> [ABST]; </w:t>
      </w:r>
      <w:r w:rsidRPr="00157A97">
        <w:rPr>
          <w:color w:val="000000"/>
        </w:rPr>
        <w:t xml:space="preserve">Peng </w:t>
      </w:r>
      <w:r w:rsidRPr="00157A97">
        <w:rPr>
          <w:i/>
          <w:color w:val="000000"/>
        </w:rPr>
        <w:t>et al.</w:t>
      </w:r>
      <w:r w:rsidRPr="00157A97">
        <w:rPr>
          <w:color w:val="000000"/>
        </w:rPr>
        <w:t>, 2015</w:t>
      </w:r>
      <w:r>
        <w:t xml:space="preserve">). </w:t>
      </w:r>
      <w:bookmarkEnd w:id="605"/>
      <w:r w:rsidR="00DF6536">
        <w:t xml:space="preserve">Other terrestrial wildlife monitoring results from the open literature are reported in Appendix 5. </w:t>
      </w:r>
    </w:p>
    <w:p w14:paraId="5DAA1B63" w14:textId="77777777" w:rsidR="00157A97" w:rsidRDefault="00157A97" w:rsidP="00157A97">
      <w:pPr>
        <w:pStyle w:val="NoSpacing"/>
        <w:autoSpaceDE w:val="0"/>
        <w:autoSpaceDN w:val="0"/>
        <w:adjustRightInd w:val="0"/>
        <w:spacing w:after="120"/>
        <w:ind w:right="-46"/>
        <w:jc w:val="both"/>
      </w:pPr>
      <w:r>
        <w:t>Monitoring studies for terrestrial wildlife face the same problems and limitations as those involving aquatic species (see Section</w:t>
      </w:r>
      <w:r w:rsidR="00157044">
        <w:t xml:space="preserve"> 3.4.1.3</w:t>
      </w:r>
      <w:r>
        <w:t xml:space="preserve">). The available data show that European terrestrial wildlife is contaminated with Dechlorane Plus, so uptake is clearly occurring. Many European samples have been collected from relatively unpolluted environments, where the substance is more likely to be present due to long range transport rather than (in)direct local releases. Levels therefore tend to be lower than in more polluted environments close to the U.S. manufacturing site and in China (e.g. by two orders of magnitude in the study of Guerra </w:t>
      </w:r>
      <w:r>
        <w:rPr>
          <w:i/>
        </w:rPr>
        <w:t>et al</w:t>
      </w:r>
      <w:r>
        <w:t>., 2011).</w:t>
      </w:r>
    </w:p>
    <w:p w14:paraId="61E98732" w14:textId="77777777" w:rsidR="00157A97" w:rsidRDefault="00157A97" w:rsidP="00157A97">
      <w:pPr>
        <w:pStyle w:val="NoSpacing"/>
        <w:autoSpaceDE w:val="0"/>
        <w:autoSpaceDN w:val="0"/>
        <w:adjustRightInd w:val="0"/>
        <w:spacing w:after="120"/>
        <w:ind w:right="-46"/>
        <w:jc w:val="both"/>
      </w:pPr>
      <w:r>
        <w:rPr>
          <w:lang w:eastAsia="en-GB"/>
        </w:rPr>
        <w:t xml:space="preserve">The highest concentration in terrestrial bird eggs reported to date is around 7 mg/kg lw [around 1 mg/kg ww] (Zheng </w:t>
      </w:r>
      <w:r>
        <w:rPr>
          <w:i/>
          <w:lang w:eastAsia="en-GB"/>
        </w:rPr>
        <w:t>et al</w:t>
      </w:r>
      <w:r>
        <w:rPr>
          <w:lang w:eastAsia="en-GB"/>
        </w:rPr>
        <w:t>., 2014b) for Domestic Chicken (</w:t>
      </w:r>
      <w:r>
        <w:rPr>
          <w:i/>
          <w:lang w:eastAsia="en-GB"/>
        </w:rPr>
        <w:t>Gallus gallus domesticus</w:t>
      </w:r>
      <w:r>
        <w:rPr>
          <w:lang w:eastAsia="en-GB"/>
        </w:rPr>
        <w:t xml:space="preserve">) from </w:t>
      </w:r>
      <w:r>
        <w:rPr>
          <w:lang w:val="en-CA" w:eastAsia="en-GB"/>
        </w:rPr>
        <w:t>an e</w:t>
      </w:r>
      <w:r>
        <w:rPr>
          <w:lang w:val="en-CA" w:eastAsia="en-GB"/>
        </w:rPr>
        <w:noBreakHyphen/>
        <w:t>waste recycling region</w:t>
      </w:r>
      <w:r>
        <w:rPr>
          <w:lang w:eastAsia="en-GB"/>
        </w:rPr>
        <w:t xml:space="preserve"> in southern</w:t>
      </w:r>
      <w:r>
        <w:rPr>
          <w:lang w:val="en-CA" w:eastAsia="en-GB"/>
        </w:rPr>
        <w:t xml:space="preserve"> China</w:t>
      </w:r>
      <w:r>
        <w:rPr>
          <w:lang w:eastAsia="en-GB"/>
        </w:rPr>
        <w:t xml:space="preserve"> (Zheng </w:t>
      </w:r>
      <w:r>
        <w:rPr>
          <w:i/>
          <w:lang w:eastAsia="en-GB"/>
        </w:rPr>
        <w:t>et al</w:t>
      </w:r>
      <w:r>
        <w:rPr>
          <w:lang w:eastAsia="en-GB"/>
        </w:rPr>
        <w:t xml:space="preserve">. (2012) reported a slightly lower maximum concentration of just </w:t>
      </w:r>
      <w:r>
        <w:rPr>
          <w:color w:val="000000"/>
        </w:rPr>
        <w:t xml:space="preserve">over 3 mg/kg </w:t>
      </w:r>
      <w:r>
        <w:rPr>
          <w:snapToGrid w:val="0"/>
          <w:lang w:eastAsia="en-GB"/>
        </w:rPr>
        <w:t>lw</w:t>
      </w:r>
      <w:r>
        <w:rPr>
          <w:lang w:eastAsia="en-GB"/>
        </w:rPr>
        <w:t xml:space="preserve">). </w:t>
      </w:r>
      <w:r>
        <w:t xml:space="preserve">Sun </w:t>
      </w:r>
      <w:r>
        <w:rPr>
          <w:i/>
        </w:rPr>
        <w:t>et al</w:t>
      </w:r>
      <w:r>
        <w:t xml:space="preserve">. (2012) and Chen </w:t>
      </w:r>
      <w:r>
        <w:rPr>
          <w:i/>
        </w:rPr>
        <w:t>et al</w:t>
      </w:r>
      <w:r>
        <w:t xml:space="preserve">. (2013b) </w:t>
      </w:r>
      <w:r>
        <w:lastRenderedPageBreak/>
        <w:t xml:space="preserve">found that other terrestrial bird tissues (e.g. liver and muscle) may accumulate Dechlorane Plus up to </w:t>
      </w:r>
      <w:r w:rsidR="007A3365">
        <w:rPr>
          <w:color w:val="000000"/>
        </w:rPr>
        <w:t xml:space="preserve">3 </w:t>
      </w:r>
      <w:r>
        <w:rPr>
          <w:color w:val="000000"/>
        </w:rPr>
        <w:t>820 µg/kg [3.82 mg/kg] lw (approximately 500 µg/kg [0.5 mg/kg] ww)</w:t>
      </w:r>
      <w:r>
        <w:t xml:space="preserve">. In addition, the latter study suggests that Dechlorane Plus burdens in terrestrial organisms could be driven by the accumulation of the anti- isomer, and factors other than lipid solubility (e.g. </w:t>
      </w:r>
      <w:r>
        <w:rPr>
          <w:lang w:eastAsia="en-GB"/>
        </w:rPr>
        <w:t>hepatic binding enzymes</w:t>
      </w:r>
      <w:r>
        <w:t>) could play important roles in determining deposition in terrestrial bird tissues (based on the ratio of muscle and liver levels). Similar findings apply to other highly hydrophobic halogenated substances, such as decabromodiphenyl ether (ECHA, 2012a).</w:t>
      </w:r>
    </w:p>
    <w:p w14:paraId="56F46806" w14:textId="77777777" w:rsidR="00157A97" w:rsidRDefault="00157A97" w:rsidP="00157A97">
      <w:pPr>
        <w:autoSpaceDE w:val="0"/>
        <w:autoSpaceDN w:val="0"/>
        <w:adjustRightInd w:val="0"/>
        <w:jc w:val="both"/>
      </w:pPr>
    </w:p>
    <w:p w14:paraId="7947865E" w14:textId="77777777" w:rsidR="00157A97" w:rsidRDefault="00157A97" w:rsidP="00157A97">
      <w:pPr>
        <w:jc w:val="both"/>
      </w:pPr>
      <w:r>
        <w:t>Four studies have attempted to investigate biomagnification potential in terrestrial food chains involving birds:</w:t>
      </w:r>
    </w:p>
    <w:p w14:paraId="47FABC55" w14:textId="77777777" w:rsidR="00157A97" w:rsidRDefault="00157A97" w:rsidP="00157A97">
      <w:pPr>
        <w:jc w:val="both"/>
      </w:pPr>
    </w:p>
    <w:p w14:paraId="7917F034" w14:textId="77777777" w:rsidR="00157A97" w:rsidRDefault="00157A97" w:rsidP="00686834">
      <w:pPr>
        <w:pStyle w:val="ListParagraph"/>
        <w:widowControl/>
        <w:numPr>
          <w:ilvl w:val="0"/>
          <w:numId w:val="24"/>
        </w:numPr>
        <w:spacing w:after="180"/>
        <w:ind w:left="425" w:right="374" w:hanging="357"/>
        <w:contextualSpacing/>
        <w:jc w:val="both"/>
        <w:rPr>
          <w:color w:val="000000"/>
        </w:rPr>
      </w:pPr>
      <w:r>
        <w:t xml:space="preserve">Yu </w:t>
      </w:r>
      <w:r>
        <w:rPr>
          <w:i/>
        </w:rPr>
        <w:t>et al</w:t>
      </w:r>
      <w:r>
        <w:t>. (2013) investigated the biomagnification of Dechlorane Plus in two terrestrial food chains in China.</w:t>
      </w:r>
      <w:r>
        <w:rPr>
          <w:lang w:eastAsia="en-GB"/>
        </w:rPr>
        <w:t xml:space="preserve"> BMFs based on median lipid normalized concentrations were 2 in a rat–owl food chain, indicating biomagnification, and 0.3 for a sparrow–kestrel food chain, indicating biodilution. As previously noted, lipid normalisation might not be appropriate for this substance, and when wet weight is considered, the BMFs become 0.9 and 0.4, respectively. No significant differences were found for the BMF values of the two isomers in either feeding relationship. Other studies have found significantly higher concentrations of Dechlorane Plus in some of the same species from the same general area, which raises some doubts about the reliability of the BMFs, although they could be higher. </w:t>
      </w:r>
    </w:p>
    <w:p w14:paraId="2666E73D" w14:textId="77777777" w:rsidR="00157A97" w:rsidRDefault="00157A97" w:rsidP="00157A97">
      <w:pPr>
        <w:pStyle w:val="ListParagraph"/>
        <w:widowControl/>
        <w:spacing w:after="180"/>
        <w:ind w:left="425" w:right="374"/>
        <w:contextualSpacing/>
        <w:jc w:val="both"/>
        <w:rPr>
          <w:color w:val="000000"/>
        </w:rPr>
      </w:pPr>
    </w:p>
    <w:p w14:paraId="54C1DBD0" w14:textId="77777777" w:rsidR="00157A97" w:rsidRDefault="00157A97" w:rsidP="00686834">
      <w:pPr>
        <w:pStyle w:val="ListParagraph"/>
        <w:widowControl/>
        <w:numPr>
          <w:ilvl w:val="0"/>
          <w:numId w:val="24"/>
        </w:numPr>
        <w:spacing w:after="180"/>
        <w:ind w:left="425" w:right="374" w:hanging="357"/>
        <w:contextualSpacing/>
        <w:jc w:val="both"/>
        <w:rPr>
          <w:color w:val="000000"/>
        </w:rPr>
      </w:pPr>
      <w:r>
        <w:rPr>
          <w:color w:val="000000"/>
        </w:rPr>
        <w:t xml:space="preserve">Barón </w:t>
      </w:r>
      <w:r>
        <w:rPr>
          <w:i/>
          <w:color w:val="000000"/>
        </w:rPr>
        <w:t>et al</w:t>
      </w:r>
      <w:r>
        <w:rPr>
          <w:color w:val="000000"/>
        </w:rPr>
        <w:t xml:space="preserve">. (2014a) investigated biomagnification potential for terrestrial birds of prey in a Spanish national park using egg concentrations (total isomers) and stable isotope analysis. Although the paper did not find a clear linear correlation with trophic position, a strongly positive trend would result if the species in the highest trophic position is discounted (only a single egg was collected for that species).  </w:t>
      </w:r>
    </w:p>
    <w:p w14:paraId="2C1A8D6F" w14:textId="77777777" w:rsidR="00157A97" w:rsidRPr="00157A97" w:rsidRDefault="00157A97" w:rsidP="00157A97">
      <w:pPr>
        <w:pStyle w:val="ListParagraph"/>
        <w:widowControl/>
        <w:spacing w:after="180"/>
        <w:ind w:left="425" w:right="374"/>
        <w:contextualSpacing/>
        <w:jc w:val="both"/>
        <w:rPr>
          <w:color w:val="000000"/>
        </w:rPr>
      </w:pPr>
    </w:p>
    <w:p w14:paraId="11B0B11F" w14:textId="77777777" w:rsidR="00157A97" w:rsidRDefault="00157A97" w:rsidP="00686834">
      <w:pPr>
        <w:pStyle w:val="ListParagraph"/>
        <w:widowControl/>
        <w:numPr>
          <w:ilvl w:val="0"/>
          <w:numId w:val="24"/>
        </w:numPr>
        <w:spacing w:after="180"/>
        <w:ind w:left="425" w:right="374" w:hanging="357"/>
        <w:contextualSpacing/>
        <w:jc w:val="both"/>
        <w:rPr>
          <w:color w:val="000000"/>
        </w:rPr>
      </w:pPr>
      <w:r>
        <w:t xml:space="preserve">Sun </w:t>
      </w:r>
      <w:r>
        <w:rPr>
          <w:i/>
        </w:rPr>
        <w:t>et al</w:t>
      </w:r>
      <w:r>
        <w:t xml:space="preserve">. (2012) found a </w:t>
      </w:r>
      <w:r>
        <w:rPr>
          <w:color w:val="000000"/>
        </w:rPr>
        <w:t>positive correlation between log normalized median muscle concentrations (syn- and anti- isomer separately) and δ</w:t>
      </w:r>
      <w:r>
        <w:rPr>
          <w:color w:val="000000"/>
          <w:vertAlign w:val="superscript"/>
        </w:rPr>
        <w:t>15</w:t>
      </w:r>
      <w:r>
        <w:rPr>
          <w:color w:val="000000"/>
        </w:rPr>
        <w:t xml:space="preserve">N values at both rural and urban sites for </w:t>
      </w:r>
      <w:r>
        <w:t xml:space="preserve">three terrestrial passerine bird species: Light-vented Bulbul </w:t>
      </w:r>
      <w:r>
        <w:rPr>
          <w:color w:val="000000"/>
        </w:rPr>
        <w:t>(</w:t>
      </w:r>
      <w:r>
        <w:rPr>
          <w:i/>
          <w:color w:val="000000"/>
        </w:rPr>
        <w:t>Pycnonotus sinensis</w:t>
      </w:r>
      <w:r>
        <w:rPr>
          <w:color w:val="000000"/>
        </w:rPr>
        <w:t>)</w:t>
      </w:r>
      <w:r>
        <w:t xml:space="preserve">, Long-tailed Shrike </w:t>
      </w:r>
      <w:r>
        <w:rPr>
          <w:color w:val="000000"/>
        </w:rPr>
        <w:t>(</w:t>
      </w:r>
      <w:r>
        <w:rPr>
          <w:i/>
          <w:color w:val="000000"/>
        </w:rPr>
        <w:t>Lanius schach</w:t>
      </w:r>
      <w:r>
        <w:rPr>
          <w:color w:val="000000"/>
        </w:rPr>
        <w:t>)</w:t>
      </w:r>
      <w:r>
        <w:t xml:space="preserve">, and Oriental Magpie-robin </w:t>
      </w:r>
      <w:r>
        <w:rPr>
          <w:color w:val="000000"/>
        </w:rPr>
        <w:t>(</w:t>
      </w:r>
      <w:r>
        <w:rPr>
          <w:i/>
          <w:color w:val="000000"/>
        </w:rPr>
        <w:t>Copsychus saularis</w:t>
      </w:r>
      <w:r>
        <w:rPr>
          <w:color w:val="000000"/>
        </w:rPr>
        <w:t xml:space="preserve">) </w:t>
      </w:r>
      <w:r>
        <w:t>collected from southern China.</w:t>
      </w:r>
      <w:r>
        <w:rPr>
          <w:color w:val="000000"/>
        </w:rPr>
        <w:t xml:space="preserve"> Whilst this co</w:t>
      </w:r>
      <w:r w:rsidR="000C797A">
        <w:rPr>
          <w:color w:val="000000"/>
        </w:rPr>
        <w:t xml:space="preserve">uld imply biomagnification, </w:t>
      </w:r>
      <w:r>
        <w:rPr>
          <w:color w:val="000000"/>
        </w:rPr>
        <w:t>comparisons of trophic position between locations based on raw δ</w:t>
      </w:r>
      <w:r>
        <w:rPr>
          <w:color w:val="000000"/>
          <w:vertAlign w:val="superscript"/>
        </w:rPr>
        <w:t>15</w:t>
      </w:r>
      <w:r>
        <w:rPr>
          <w:color w:val="000000"/>
        </w:rPr>
        <w:t>N data are inappropriate since the baseline δ</w:t>
      </w:r>
      <w:r>
        <w:rPr>
          <w:color w:val="000000"/>
          <w:vertAlign w:val="superscript"/>
        </w:rPr>
        <w:t>15</w:t>
      </w:r>
      <w:r>
        <w:rPr>
          <w:color w:val="000000"/>
        </w:rPr>
        <w:t xml:space="preserve">N values for each site are unknown. </w:t>
      </w:r>
      <w:r>
        <w:t xml:space="preserve">It is also unclear how the calculations would be </w:t>
      </w:r>
      <w:r>
        <w:rPr>
          <w:lang w:eastAsia="en-GB"/>
        </w:rPr>
        <w:t>affected</w:t>
      </w:r>
      <w:r>
        <w:t xml:space="preserve"> if the concentrations were expressed as a geometric mean rather than median concentration. </w:t>
      </w:r>
      <w:r>
        <w:rPr>
          <w:color w:val="000000"/>
        </w:rPr>
        <w:t>The variation in trophic status is also surprisingly wide for each species. The actual level of accumulation from the diet cannot be assessed. This study therefore only provides equivocal evidence that contamination levels increase with trophic position in terrestrial passerines.</w:t>
      </w:r>
    </w:p>
    <w:p w14:paraId="4287A4EA" w14:textId="77777777" w:rsidR="00157A97" w:rsidRDefault="00157A97" w:rsidP="00157A97">
      <w:pPr>
        <w:pStyle w:val="ListParagraph"/>
        <w:widowControl/>
        <w:spacing w:after="180"/>
        <w:ind w:left="425" w:right="374"/>
        <w:contextualSpacing/>
        <w:jc w:val="both"/>
        <w:rPr>
          <w:color w:val="000000"/>
        </w:rPr>
      </w:pPr>
    </w:p>
    <w:p w14:paraId="68CE76C1" w14:textId="77777777" w:rsidR="00157A97" w:rsidRDefault="00157A97" w:rsidP="00686834">
      <w:pPr>
        <w:pStyle w:val="ListParagraph"/>
        <w:widowControl/>
        <w:numPr>
          <w:ilvl w:val="0"/>
          <w:numId w:val="24"/>
        </w:numPr>
        <w:spacing w:after="180"/>
        <w:ind w:left="425" w:right="374" w:hanging="357"/>
        <w:contextualSpacing/>
        <w:jc w:val="both"/>
        <w:rPr>
          <w:color w:val="000000"/>
        </w:rPr>
      </w:pPr>
      <w:r>
        <w:rPr>
          <w:color w:val="000000"/>
        </w:rPr>
        <w:t xml:space="preserve">Peng </w:t>
      </w:r>
      <w:r>
        <w:rPr>
          <w:i/>
          <w:color w:val="000000"/>
        </w:rPr>
        <w:t>et al.</w:t>
      </w:r>
      <w:r>
        <w:rPr>
          <w:color w:val="000000"/>
        </w:rPr>
        <w:t xml:space="preserve"> (2015) investigated the accumulation of Dechlorane Plus in terrestrial passerines from a national nature reserve in South China. The levels of total Dechlorane Plus ranged from 1.2 to 104 μg/kg lipid and the levels were found to be significantly (</w:t>
      </w:r>
      <w:r>
        <w:rPr>
          <w:i/>
          <w:color w:val="000000"/>
        </w:rPr>
        <w:t>p</w:t>
      </w:r>
      <w:r>
        <w:rPr>
          <w:color w:val="000000"/>
        </w:rPr>
        <w:t xml:space="preserve">=0.03) higher in insectivorous birds (mean 16.9 μg/kg lipid; n-=27) than in omnivorous birds (mean 6.4 μg/kg lipid; n-17). As insectivorous birds generally occupy a higher trophic level than omnivorous birds Peng </w:t>
      </w:r>
      <w:r>
        <w:rPr>
          <w:i/>
          <w:color w:val="000000"/>
        </w:rPr>
        <w:t>et al</w:t>
      </w:r>
      <w:r>
        <w:rPr>
          <w:color w:val="000000"/>
        </w:rPr>
        <w:t>. (2015) considered that this could be an indication of biomagnification. Unfortunately the trophic levels of the birds in the study were not determined.</w:t>
      </w:r>
    </w:p>
    <w:p w14:paraId="53AEAA78" w14:textId="77777777" w:rsidR="00157A97" w:rsidRDefault="00157A97" w:rsidP="00157A97">
      <w:pPr>
        <w:pStyle w:val="NoSpacing"/>
        <w:autoSpaceDE w:val="0"/>
        <w:autoSpaceDN w:val="0"/>
        <w:adjustRightInd w:val="0"/>
        <w:spacing w:after="120"/>
        <w:ind w:right="-46"/>
        <w:jc w:val="both"/>
      </w:pPr>
      <w:r>
        <w:rPr>
          <w:lang w:eastAsia="en-GB"/>
        </w:rPr>
        <w:t>T</w:t>
      </w:r>
      <w:r>
        <w:t xml:space="preserve">he interpretation of </w:t>
      </w:r>
      <w:r>
        <w:rPr>
          <w:lang w:eastAsia="en-GB"/>
        </w:rPr>
        <w:t xml:space="preserve">trophic transfer </w:t>
      </w:r>
      <w:r>
        <w:t xml:space="preserve">studies involving terrestrial birds is complicated by the fact that sample sizes are small, and a single tissue (usually egg, muscle or liver) is typically analysed. Zheng </w:t>
      </w:r>
      <w:r>
        <w:rPr>
          <w:i/>
        </w:rPr>
        <w:t>et al</w:t>
      </w:r>
      <w:r>
        <w:t xml:space="preserve">. (2014a) showed that fat tissue is an important </w:t>
      </w:r>
      <w:r>
        <w:rPr>
          <w:lang w:eastAsia="en-GB"/>
        </w:rPr>
        <w:t xml:space="preserve">compartment for </w:t>
      </w:r>
      <w:r>
        <w:t>Dechlorane Plus</w:t>
      </w:r>
      <w:r>
        <w:rPr>
          <w:lang w:eastAsia="en-GB"/>
        </w:rPr>
        <w:t xml:space="preserve"> accumulation in the Domestic Chicken (</w:t>
      </w:r>
      <w:r>
        <w:rPr>
          <w:i/>
          <w:lang w:eastAsia="en-GB"/>
        </w:rPr>
        <w:t>Gallus gallus</w:t>
      </w:r>
      <w:r>
        <w:rPr>
          <w:lang w:eastAsia="en-GB"/>
        </w:rPr>
        <w:t>), so whole body burdens might be significantly different from those implied by measured concentrations in a single tissue (particularly muscle)</w:t>
      </w:r>
      <w:r>
        <w:t xml:space="preserve">. Coupled with the uncertainties about the relevance of lipid normalisation, firm conclusions about trophic transfer in birds cannot be drawn from the available data. </w:t>
      </w:r>
    </w:p>
    <w:p w14:paraId="6ECEAE0F" w14:textId="77777777" w:rsidR="00157A97" w:rsidRDefault="00157A97" w:rsidP="00157A97">
      <w:pPr>
        <w:pStyle w:val="NoSpacing"/>
        <w:autoSpaceDE w:val="0"/>
        <w:autoSpaceDN w:val="0"/>
        <w:adjustRightInd w:val="0"/>
        <w:spacing w:after="120"/>
        <w:ind w:right="-46"/>
        <w:jc w:val="both"/>
      </w:pPr>
      <w:r>
        <w:lastRenderedPageBreak/>
        <w:t xml:space="preserve">Guerra </w:t>
      </w:r>
      <w:r>
        <w:rPr>
          <w:i/>
        </w:rPr>
        <w:t>et al</w:t>
      </w:r>
      <w:r>
        <w:t xml:space="preserve">. (2011) found that the concentration of total Dechlorane Plus isomers in Peregrine Falcon </w:t>
      </w:r>
      <w:r>
        <w:rPr>
          <w:i/>
        </w:rPr>
        <w:t>Falco peregrinus</w:t>
      </w:r>
      <w:r>
        <w:t xml:space="preserve"> eggs from birds with a known terrestrial diet was slightly lower than those with an aquatic-based diet in Spain, but of a similar order of magnitude in Canada. This study suggested differences in uptake in the two isomers, with the relative concentration of the anti- isomer in eggs from birds with a known terrestrial diet being significantly higher in Spanish samples compared to their Canadian counterparts. </w:t>
      </w:r>
    </w:p>
    <w:p w14:paraId="09F867F1" w14:textId="77777777" w:rsidR="00157A97" w:rsidRDefault="00157A97" w:rsidP="00157A97">
      <w:pPr>
        <w:pStyle w:val="NoSpacing"/>
        <w:autoSpaceDE w:val="0"/>
        <w:autoSpaceDN w:val="0"/>
        <w:adjustRightInd w:val="0"/>
        <w:spacing w:after="120"/>
        <w:ind w:right="-46"/>
        <w:jc w:val="both"/>
        <w:rPr>
          <w:lang w:eastAsia="en-GB"/>
        </w:rPr>
      </w:pPr>
      <w:r>
        <w:t>Detection of Dechlorane Plus and anti-[DP-1Cl] in birds’ eggs shows that maternal uptake and transfer to eggs can occur. Similarly, detection of these substances in human cord serum indicates transfer across the placenta and exposure of foetuses. Presence in human breast milk also means that exposure can continue prior to weaning</w:t>
      </w:r>
      <w:r>
        <w:rPr>
          <w:rStyle w:val="CommentReference"/>
        </w:rPr>
        <w:t>.</w:t>
      </w:r>
      <w:r>
        <w:t xml:space="preserve"> Sensitive life stages are therefore exposed to the substance. Concentrations in maternal sera imply that elevated concentrations may arise following prolonged exposure. </w:t>
      </w:r>
    </w:p>
    <w:p w14:paraId="19B85102" w14:textId="77777777" w:rsidR="00157A97" w:rsidRDefault="00157A97" w:rsidP="00157A97">
      <w:pPr>
        <w:pStyle w:val="BodyText"/>
        <w:ind w:right="-52"/>
        <w:jc w:val="both"/>
      </w:pPr>
    </w:p>
    <w:p w14:paraId="4F088601" w14:textId="6F909D8D" w:rsidR="00157A97" w:rsidRDefault="007A3365" w:rsidP="00157A97">
      <w:pPr>
        <w:pStyle w:val="BodyText"/>
        <w:ind w:right="-52"/>
        <w:jc w:val="both"/>
      </w:pPr>
      <w:r>
        <w:t>In addition, a number of studies have examined contamination of human tissues</w:t>
      </w:r>
      <w:r w:rsidR="00374DDB">
        <w:t xml:space="preserve"> </w:t>
      </w:r>
      <w:r w:rsidR="004A16A9">
        <w:t>(</w:t>
      </w:r>
      <w:r w:rsidR="00374DDB" w:rsidRPr="007E1C2C">
        <w:t xml:space="preserve">Ren </w:t>
      </w:r>
      <w:r w:rsidR="00374DDB" w:rsidRPr="007E1C2C">
        <w:rPr>
          <w:i/>
        </w:rPr>
        <w:t>et al</w:t>
      </w:r>
      <w:r w:rsidR="00374DDB" w:rsidRPr="007E1C2C">
        <w:t xml:space="preserve">. </w:t>
      </w:r>
      <w:r w:rsidR="00374DDB" w:rsidRPr="009063AB">
        <w:rPr>
          <w:lang w:val="fr-FR"/>
        </w:rPr>
        <w:t xml:space="preserve">(2009); Yan </w:t>
      </w:r>
      <w:r w:rsidR="00374DDB" w:rsidRPr="009063AB">
        <w:rPr>
          <w:i/>
          <w:lang w:val="fr-FR"/>
        </w:rPr>
        <w:t>et al</w:t>
      </w:r>
      <w:r w:rsidR="00374DDB" w:rsidRPr="009063AB">
        <w:rPr>
          <w:lang w:val="fr-FR"/>
        </w:rPr>
        <w:t xml:space="preserve">. (2012); Ben </w:t>
      </w:r>
      <w:r w:rsidR="00374DDB" w:rsidRPr="009063AB">
        <w:rPr>
          <w:i/>
          <w:lang w:val="fr-FR"/>
        </w:rPr>
        <w:t>et al</w:t>
      </w:r>
      <w:r w:rsidR="00374DDB" w:rsidRPr="009063AB">
        <w:rPr>
          <w:lang w:val="fr-FR"/>
        </w:rPr>
        <w:t xml:space="preserve">. (2013); Ben </w:t>
      </w:r>
      <w:r w:rsidR="00374DDB" w:rsidRPr="009063AB">
        <w:rPr>
          <w:i/>
          <w:lang w:val="fr-FR"/>
        </w:rPr>
        <w:t>et al</w:t>
      </w:r>
      <w:r w:rsidR="00374DDB" w:rsidRPr="009063AB">
        <w:rPr>
          <w:lang w:val="fr-FR"/>
        </w:rPr>
        <w:t xml:space="preserve">. (2014); Zhang </w:t>
      </w:r>
      <w:r w:rsidR="00374DDB" w:rsidRPr="009063AB">
        <w:rPr>
          <w:i/>
          <w:lang w:val="fr-FR"/>
        </w:rPr>
        <w:t>et al</w:t>
      </w:r>
      <w:r w:rsidR="00374DDB" w:rsidRPr="009063AB">
        <w:rPr>
          <w:lang w:val="fr-FR"/>
        </w:rPr>
        <w:t xml:space="preserve">. (2013); </w:t>
      </w:r>
      <w:r w:rsidR="00374DDB" w:rsidRPr="009063AB">
        <w:rPr>
          <w:lang w:val="fr-FR" w:eastAsia="ar-SA"/>
        </w:rPr>
        <w:t xml:space="preserve">He </w:t>
      </w:r>
      <w:r w:rsidR="00374DDB" w:rsidRPr="009063AB">
        <w:rPr>
          <w:i/>
          <w:lang w:val="fr-FR" w:eastAsia="ar-SA"/>
        </w:rPr>
        <w:t>et al</w:t>
      </w:r>
      <w:r w:rsidR="00374DDB" w:rsidRPr="009063AB">
        <w:rPr>
          <w:lang w:val="fr-FR" w:eastAsia="ar-SA"/>
        </w:rPr>
        <w:t>.</w:t>
      </w:r>
      <w:r w:rsidR="00374DDB" w:rsidRPr="009063AB">
        <w:rPr>
          <w:lang w:val="fr-FR"/>
        </w:rPr>
        <w:t xml:space="preserve"> (</w:t>
      </w:r>
      <w:r w:rsidR="00374DDB" w:rsidRPr="009063AB">
        <w:rPr>
          <w:lang w:val="fr-FR" w:eastAsia="ar-SA"/>
        </w:rPr>
        <w:t>2013);</w:t>
      </w:r>
      <w:r w:rsidR="00374DDB" w:rsidRPr="009063AB">
        <w:rPr>
          <w:lang w:val="fr-FR"/>
        </w:rPr>
        <w:t xml:space="preserve"> </w:t>
      </w:r>
      <w:r w:rsidR="00374DDB" w:rsidRPr="009063AB">
        <w:rPr>
          <w:lang w:val="fr-FR" w:eastAsia="ar-SA"/>
        </w:rPr>
        <w:t xml:space="preserve">Wang </w:t>
      </w:r>
      <w:r w:rsidR="00374DDB" w:rsidRPr="009063AB">
        <w:rPr>
          <w:i/>
          <w:lang w:val="fr-FR" w:eastAsia="ar-SA"/>
        </w:rPr>
        <w:t>et al</w:t>
      </w:r>
      <w:r w:rsidR="00374DDB" w:rsidRPr="009063AB">
        <w:rPr>
          <w:lang w:val="fr-FR" w:eastAsia="ar-SA"/>
        </w:rPr>
        <w:t xml:space="preserve">. (2014); </w:t>
      </w:r>
      <w:r w:rsidR="00374DDB" w:rsidRPr="009063AB">
        <w:rPr>
          <w:lang w:val="fr-FR" w:eastAsia="en-GB"/>
        </w:rPr>
        <w:t xml:space="preserve">Chen </w:t>
      </w:r>
      <w:r w:rsidR="00374DDB" w:rsidRPr="009063AB">
        <w:rPr>
          <w:i/>
          <w:lang w:val="fr-FR" w:eastAsia="en-GB"/>
        </w:rPr>
        <w:t>et al</w:t>
      </w:r>
      <w:r w:rsidR="00374DDB" w:rsidRPr="009063AB">
        <w:rPr>
          <w:lang w:val="fr-FR" w:eastAsia="en-GB"/>
        </w:rPr>
        <w:t xml:space="preserve">. (2015); </w:t>
      </w:r>
      <w:r w:rsidR="00374DDB" w:rsidRPr="009063AB">
        <w:rPr>
          <w:lang w:val="fr-FR"/>
        </w:rPr>
        <w:t xml:space="preserve">Cequier </w:t>
      </w:r>
      <w:r w:rsidR="00374DDB" w:rsidRPr="009063AB">
        <w:rPr>
          <w:i/>
          <w:lang w:val="fr-FR"/>
        </w:rPr>
        <w:t>et al</w:t>
      </w:r>
      <w:r w:rsidR="00374DDB" w:rsidRPr="009063AB">
        <w:rPr>
          <w:lang w:val="fr-FR"/>
        </w:rPr>
        <w:t xml:space="preserve">. (2013); </w:t>
      </w:r>
      <w:r w:rsidR="00374DDB" w:rsidRPr="009063AB">
        <w:rPr>
          <w:lang w:val="fr-FR" w:eastAsia="en-GB"/>
        </w:rPr>
        <w:t xml:space="preserve">Sahlström </w:t>
      </w:r>
      <w:r w:rsidR="00374DDB" w:rsidRPr="009063AB">
        <w:rPr>
          <w:i/>
          <w:lang w:val="fr-FR" w:eastAsia="en-GB"/>
        </w:rPr>
        <w:t>et al</w:t>
      </w:r>
      <w:r w:rsidR="00374DDB" w:rsidRPr="009063AB">
        <w:rPr>
          <w:lang w:val="fr-FR" w:eastAsia="en-GB"/>
        </w:rPr>
        <w:t xml:space="preserve">. (2014); </w:t>
      </w:r>
      <w:r w:rsidR="00374DDB" w:rsidRPr="009063AB">
        <w:rPr>
          <w:lang w:val="fr-FR" w:eastAsia="ar-SA"/>
        </w:rPr>
        <w:t xml:space="preserve">Brasseur </w:t>
      </w:r>
      <w:r w:rsidR="00374DDB" w:rsidRPr="009063AB">
        <w:rPr>
          <w:i/>
          <w:lang w:val="fr-FR" w:eastAsia="ar-SA"/>
        </w:rPr>
        <w:t>et al</w:t>
      </w:r>
      <w:r w:rsidR="00374DDB" w:rsidRPr="009063AB">
        <w:rPr>
          <w:lang w:val="fr-FR" w:eastAsia="ar-SA"/>
        </w:rPr>
        <w:t xml:space="preserve">. (2014); </w:t>
      </w:r>
      <w:r w:rsidR="00374DDB" w:rsidRPr="009063AB">
        <w:rPr>
          <w:lang w:val="fr-FR"/>
        </w:rPr>
        <w:t xml:space="preserve">Siddique </w:t>
      </w:r>
      <w:r w:rsidR="00374DDB" w:rsidRPr="009063AB">
        <w:rPr>
          <w:i/>
          <w:lang w:val="fr-FR"/>
        </w:rPr>
        <w:t>et al</w:t>
      </w:r>
      <w:r w:rsidR="00374DDB" w:rsidRPr="009063AB">
        <w:rPr>
          <w:lang w:val="fr-FR"/>
        </w:rPr>
        <w:t>. (2012)</w:t>
      </w:r>
      <w:r w:rsidR="00181DCE" w:rsidRPr="009063AB">
        <w:rPr>
          <w:lang w:val="fr-FR"/>
        </w:rPr>
        <w:t>;</w:t>
      </w:r>
      <w:r w:rsidR="00374DDB" w:rsidRPr="009063AB">
        <w:rPr>
          <w:lang w:val="fr-FR"/>
        </w:rPr>
        <w:t xml:space="preserve"> and Zhou</w:t>
      </w:r>
      <w:r w:rsidR="00374DDB" w:rsidRPr="009063AB">
        <w:rPr>
          <w:color w:val="000000"/>
          <w:lang w:val="fr-FR"/>
        </w:rPr>
        <w:t xml:space="preserve"> </w:t>
      </w:r>
      <w:r w:rsidR="00374DDB" w:rsidRPr="009063AB">
        <w:rPr>
          <w:i/>
          <w:color w:val="000000"/>
          <w:lang w:val="fr-FR"/>
        </w:rPr>
        <w:t>et al</w:t>
      </w:r>
      <w:r w:rsidR="00374DDB" w:rsidRPr="009063AB">
        <w:rPr>
          <w:color w:val="000000"/>
          <w:lang w:val="fr-FR"/>
        </w:rPr>
        <w:t xml:space="preserve">. </w:t>
      </w:r>
      <w:r w:rsidR="00374DDB" w:rsidRPr="007E1C2C">
        <w:rPr>
          <w:color w:val="000000"/>
        </w:rPr>
        <w:t>(2014)</w:t>
      </w:r>
      <w:r w:rsidR="004A16A9" w:rsidRPr="007E1C2C">
        <w:rPr>
          <w:color w:val="000000"/>
        </w:rPr>
        <w:t>)</w:t>
      </w:r>
      <w:r w:rsidR="00181DCE" w:rsidRPr="007E1C2C">
        <w:rPr>
          <w:color w:val="000000"/>
        </w:rPr>
        <w:t xml:space="preserve"> </w:t>
      </w:r>
      <w:r>
        <w:t xml:space="preserve">and these are briefly summarised in Appendix 1. </w:t>
      </w:r>
      <w:r w:rsidR="00157A97">
        <w:t>Studies involving humans are complicated by exposure in occupational and consumer settings. It is therefore difficult to interpret these data in terms of bioaccumulation assessment. Most of the studies are from China, and reflect local sources that presumably include exposure to Dechlorane Plus as vapour or in/on particulates at higher levels than might be expected under ‘normal’ environmental conditions (including exposure to contaminated indoor dust).</w:t>
      </w:r>
      <w:r w:rsidR="00873585">
        <w:t xml:space="preserve"> However, the substance has also been detected in breast milk samples from North America, and is present in blood serum in the European population.</w:t>
      </w:r>
      <w:r w:rsidR="00157A97">
        <w:t xml:space="preserve"> The distribution of concentrations in various tissues is often skewed, with some high values but many lower ones. However, the studies clearly show that Dechlorane Plus is bioavailable to humans and frequently detected in general populations (with higher levels in workers). The Zhang</w:t>
      </w:r>
      <w:r w:rsidR="00157A97">
        <w:rPr>
          <w:i/>
        </w:rPr>
        <w:t xml:space="preserve"> et al</w:t>
      </w:r>
      <w:r w:rsidR="00157A97">
        <w:t>. (2013) study is interesting because it showed an increase in blood levels with presumed exposure time (working life). Exposure to developing foetuses and new born children can occur due to its presence in placenta and breast milk. Concentrations in non-occupationally exposed people appear to be typically in the region of 1-10 µg/kg lw depending on the tissue. The highest reported concentration in human</w:t>
      </w:r>
      <w:r w:rsidR="00DB7126">
        <w:t xml:space="preserve"> blood is around 3 </w:t>
      </w:r>
      <w:r>
        <w:t>000 µg/kg [3 </w:t>
      </w:r>
      <w:r w:rsidR="00157A97">
        <w:t xml:space="preserve">mg/kg] lw (Zhang </w:t>
      </w:r>
      <w:r w:rsidR="00157A97">
        <w:rPr>
          <w:i/>
        </w:rPr>
        <w:t>et al</w:t>
      </w:r>
      <w:r w:rsidR="00157A97">
        <w:t>., 2013), although given the low lipid content of blood, the wet weight concentration would be much lower. Anti-DP-1Cl is also frequently detected at lower concentrations.</w:t>
      </w:r>
    </w:p>
    <w:p w14:paraId="1509AAC2" w14:textId="77777777" w:rsidR="00157A97" w:rsidRDefault="00157A97" w:rsidP="00157A97">
      <w:pPr>
        <w:pStyle w:val="NoSpacing"/>
        <w:jc w:val="both"/>
      </w:pPr>
    </w:p>
    <w:p w14:paraId="2EE89883" w14:textId="77777777" w:rsidR="00157A97" w:rsidRDefault="00157A97" w:rsidP="00157A97">
      <w:pPr>
        <w:pStyle w:val="NoSpacing"/>
        <w:jc w:val="both"/>
      </w:pPr>
      <w:r>
        <w:t xml:space="preserve">In addition, Dechlorane Plus has been detected in terrestrial plants. For example, </w:t>
      </w:r>
      <w:r>
        <w:rPr>
          <w:lang w:eastAsia="ar-SA"/>
        </w:rPr>
        <w:t xml:space="preserve">Wang </w:t>
      </w:r>
      <w:r>
        <w:rPr>
          <w:i/>
        </w:rPr>
        <w:t>et al</w:t>
      </w:r>
      <w:r>
        <w:t xml:space="preserve">. (2013a) detected mean total isomer concentrations of </w:t>
      </w:r>
      <w:r w:rsidR="000C797A">
        <w:rPr>
          <w:lang w:eastAsia="ar-SA"/>
        </w:rPr>
        <w:t xml:space="preserve">1 </w:t>
      </w:r>
      <w:r>
        <w:rPr>
          <w:lang w:eastAsia="ar-SA"/>
        </w:rPr>
        <w:t xml:space="preserve">038 </w:t>
      </w:r>
      <w:r>
        <w:t>µg/kg ww for</w:t>
      </w:r>
      <w:r>
        <w:rPr>
          <w:lang w:eastAsia="ar-SA"/>
        </w:rPr>
        <w:t xml:space="preserve"> vegetables and 877 </w:t>
      </w:r>
      <w:r>
        <w:t>µg/kg ww for</w:t>
      </w:r>
      <w:r>
        <w:rPr>
          <w:lang w:eastAsia="ar-SA"/>
        </w:rPr>
        <w:t xml:space="preserve"> grains collected at a site</w:t>
      </w:r>
      <w:r>
        <w:t xml:space="preserve"> close to the Chinese manufacturing facility</w:t>
      </w:r>
      <w:r w:rsidRPr="007A3365">
        <w:rPr>
          <w:rStyle w:val="FootnoteReference"/>
          <w:rFonts w:ascii="Verdana" w:hAnsi="Verdana"/>
          <w:sz w:val="20"/>
        </w:rPr>
        <w:footnoteReference w:id="33"/>
      </w:r>
      <w:r>
        <w:t xml:space="preserve">. The maximum (for one vegetable type) was </w:t>
      </w:r>
      <w:r>
        <w:rPr>
          <w:lang w:eastAsia="ar-SA"/>
        </w:rPr>
        <w:t>2</w:t>
      </w:r>
      <w:r w:rsidR="000C797A">
        <w:rPr>
          <w:lang w:eastAsia="ar-SA"/>
        </w:rPr>
        <w:t xml:space="preserve"> </w:t>
      </w:r>
      <w:r>
        <w:rPr>
          <w:lang w:eastAsia="ar-SA"/>
        </w:rPr>
        <w:t>720</w:t>
      </w:r>
      <w:r>
        <w:t> µg/kg [2.72 mg/kg] ww.</w:t>
      </w:r>
    </w:p>
    <w:p w14:paraId="2C2FB0BC" w14:textId="77777777" w:rsidR="00AF27C6" w:rsidRDefault="00AF27C6">
      <w:pPr>
        <w:pStyle w:val="NoSpacing"/>
        <w:spacing w:after="120"/>
        <w:jc w:val="both"/>
        <w:rPr>
          <w:color w:val="000000"/>
        </w:rPr>
      </w:pPr>
    </w:p>
    <w:p w14:paraId="3C9BD94A" w14:textId="77777777" w:rsidR="003905C6" w:rsidRPr="007A3365" w:rsidRDefault="003905C6" w:rsidP="00AF27C6">
      <w:pPr>
        <w:pStyle w:val="NoSpacing"/>
        <w:spacing w:after="120"/>
        <w:jc w:val="both"/>
        <w:rPr>
          <w:color w:val="000000"/>
        </w:rPr>
      </w:pPr>
    </w:p>
    <w:p w14:paraId="41EBC02D" w14:textId="77777777" w:rsidR="00AF27C6" w:rsidRDefault="00AF27C6" w:rsidP="00AF27C6">
      <w:pPr>
        <w:pStyle w:val="Heading3"/>
        <w:tabs>
          <w:tab w:val="clear" w:pos="360"/>
          <w:tab w:val="num" w:pos="284"/>
        </w:tabs>
      </w:pPr>
      <w:bookmarkStart w:id="606" w:name="_Toc491862237"/>
      <w:r>
        <w:t>3.4.4 Summary and discussion of bioaccumulation</w:t>
      </w:r>
      <w:bookmarkEnd w:id="606"/>
    </w:p>
    <w:p w14:paraId="0C386574" w14:textId="77777777" w:rsidR="00E54BC2" w:rsidRDefault="00E54BC2" w:rsidP="00E54BC2">
      <w:pPr>
        <w:pStyle w:val="EABodyText"/>
        <w:spacing w:after="120"/>
        <w:jc w:val="both"/>
        <w:rPr>
          <w:rFonts w:ascii="Verdana" w:hAnsi="Verdana"/>
          <w:sz w:val="20"/>
        </w:rPr>
      </w:pPr>
      <w:r>
        <w:rPr>
          <w:rFonts w:ascii="Verdana" w:hAnsi="Verdana"/>
          <w:sz w:val="20"/>
          <w:szCs w:val="20"/>
        </w:rPr>
        <w:t>Dechlorane Plus is very hydrophobic, but its molecular dimensions and relatively high n-octanol solubility indicate potential for bioaccumulation. Uncertainties in the physico-chemical data set make QSAR predictions based on log K</w:t>
      </w:r>
      <w:r>
        <w:rPr>
          <w:rFonts w:ascii="Verdana" w:hAnsi="Verdana"/>
          <w:sz w:val="20"/>
          <w:szCs w:val="20"/>
          <w:vertAlign w:val="subscript"/>
        </w:rPr>
        <w:t>OW</w:t>
      </w:r>
      <w:r>
        <w:rPr>
          <w:rFonts w:ascii="Verdana" w:hAnsi="Verdana"/>
          <w:sz w:val="20"/>
          <w:szCs w:val="20"/>
        </w:rPr>
        <w:t xml:space="preserve"> difficult to </w:t>
      </w:r>
      <w:r w:rsidR="00EB76E9">
        <w:rPr>
          <w:rFonts w:ascii="Verdana" w:hAnsi="Verdana"/>
          <w:sz w:val="20"/>
          <w:szCs w:val="20"/>
        </w:rPr>
        <w:t xml:space="preserve">interpret, but a fish BCF of ≤5 </w:t>
      </w:r>
      <w:r>
        <w:rPr>
          <w:rFonts w:ascii="Verdana" w:hAnsi="Verdana"/>
          <w:sz w:val="20"/>
          <w:szCs w:val="20"/>
        </w:rPr>
        <w:t>500 L/kg is suggested. Aqueous exposure is likely to be of limited</w:t>
      </w:r>
      <w:r>
        <w:rPr>
          <w:rFonts w:ascii="Verdana" w:hAnsi="Verdana"/>
          <w:sz w:val="20"/>
        </w:rPr>
        <w:t xml:space="preserve"> importance in terms of bioaccumulation potential. There are no reliable measured fish BCF data. Based on the apparent water solubility limit and reported concentrations in fish in the available aquatic exposure studies, BCFs above 10 000 L/kg can be estimated, but these are</w:t>
      </w:r>
      <w:r>
        <w:rPr>
          <w:rFonts w:ascii="Verdana" w:hAnsi="Verdana"/>
          <w:sz w:val="20"/>
          <w:lang w:eastAsia="en-GB"/>
        </w:rPr>
        <w:t xml:space="preserve"> confounded by</w:t>
      </w:r>
      <w:r>
        <w:rPr>
          <w:rFonts w:ascii="Verdana" w:hAnsi="Verdana"/>
          <w:sz w:val="20"/>
        </w:rPr>
        <w:t xml:space="preserve"> likely oral ingestion of the substance </w:t>
      </w:r>
      <w:r>
        <w:rPr>
          <w:rFonts w:ascii="Verdana" w:hAnsi="Verdana"/>
          <w:sz w:val="20"/>
        </w:rPr>
        <w:lastRenderedPageBreak/>
        <w:t xml:space="preserve">as a precipitate and/or adsorbed to food. The maximum wet weight fish concentrations measured in the aqueous BCF studies were 0.385 – 8.72 mg/kg after 30 days for Bluegill Sunfish </w:t>
      </w:r>
      <w:r>
        <w:rPr>
          <w:rFonts w:ascii="Verdana" w:hAnsi="Verdana"/>
          <w:i/>
          <w:sz w:val="20"/>
        </w:rPr>
        <w:t>L. macrochirus</w:t>
      </w:r>
      <w:r>
        <w:rPr>
          <w:rFonts w:ascii="Verdana" w:hAnsi="Verdana"/>
          <w:sz w:val="20"/>
        </w:rPr>
        <w:t xml:space="preserve"> and 0.327 mg/kg after 56 days for Common Carp </w:t>
      </w:r>
      <w:r>
        <w:rPr>
          <w:rFonts w:ascii="Verdana" w:hAnsi="Verdana"/>
          <w:i/>
          <w:sz w:val="20"/>
        </w:rPr>
        <w:t>C. carpio</w:t>
      </w:r>
      <w:r>
        <w:rPr>
          <w:rFonts w:ascii="Verdana" w:hAnsi="Verdana"/>
          <w:sz w:val="20"/>
        </w:rPr>
        <w:t>, although this does not necessarily represent the concentration at steady state (it might also include the substance adsorbed to skin or present in the gut).</w:t>
      </w:r>
    </w:p>
    <w:p w14:paraId="6A98C437" w14:textId="77777777" w:rsidR="00E54BC2" w:rsidRPr="002159AC" w:rsidRDefault="00E54BC2" w:rsidP="00E54BC2">
      <w:pPr>
        <w:pStyle w:val="BodyText"/>
        <w:jc w:val="both"/>
      </w:pPr>
      <w:r>
        <w:t xml:space="preserve">Dietary studies provide a more environmentally realistic exposure route for very hydrophobic substances. Whilst none of the available laboratory studies suggest a BMF &gt; 1, they indicate that that it takes a long time to reach steady-state conditions (beyond 50 days), </w:t>
      </w:r>
      <w:r w:rsidR="00EB76E9">
        <w:t>and that Dechlorane Plus has</w:t>
      </w:r>
      <w:r>
        <w:t xml:space="preserve"> a long depuration half-life (</w:t>
      </w:r>
      <w:r w:rsidR="00EB76E9">
        <w:t>around</w:t>
      </w:r>
      <w:r>
        <w:t xml:space="preserve"> 50 </w:t>
      </w:r>
      <w:r>
        <w:rPr>
          <w:rFonts w:cs="TimesNewRomanPSMT"/>
          <w:lang w:eastAsia="en-GB"/>
        </w:rPr>
        <w:t>days</w:t>
      </w:r>
      <w:r w:rsidR="00EB76E9">
        <w:rPr>
          <w:rFonts w:cs="TimesNewRomanPSMT"/>
          <w:lang w:eastAsia="en-GB"/>
        </w:rPr>
        <w:t xml:space="preserve"> or more in</w:t>
      </w:r>
      <w:r>
        <w:rPr>
          <w:rFonts w:cs="TimesNewRomanPSMT"/>
          <w:lang w:eastAsia="en-GB"/>
        </w:rPr>
        <w:t xml:space="preserve"> fish)</w:t>
      </w:r>
      <w:r>
        <w:t xml:space="preserve">. </w:t>
      </w:r>
      <w:r w:rsidR="00CF3A2D">
        <w:t>T</w:t>
      </w:r>
      <w:r>
        <w:t xml:space="preserve">omy </w:t>
      </w:r>
      <w:r>
        <w:rPr>
          <w:i/>
        </w:rPr>
        <w:t>et al</w:t>
      </w:r>
      <w:r>
        <w:t xml:space="preserve">. (2008) is the best dietary study available, but the raw data </w:t>
      </w:r>
      <w:r w:rsidR="009462B4">
        <w:t>are not available for</w:t>
      </w:r>
      <w:r>
        <w:t xml:space="preserve"> analys</w:t>
      </w:r>
      <w:r w:rsidR="009462B4">
        <w:t>is</w:t>
      </w:r>
      <w:r>
        <w:t xml:space="preserve">. Based on correlations and theoretical considerations, </w:t>
      </w:r>
      <w:r w:rsidR="002159AC">
        <w:t>t</w:t>
      </w:r>
      <w:r w:rsidR="002159AC" w:rsidRPr="002159AC">
        <w:t xml:space="preserve">he long depuration half-lives for Dechlorane Plus observed in fish </w:t>
      </w:r>
      <w:r w:rsidR="002159AC">
        <w:t>by</w:t>
      </w:r>
      <w:r w:rsidR="002159AC" w:rsidRPr="002159AC">
        <w:t xml:space="preserve"> Tomy </w:t>
      </w:r>
      <w:r w:rsidR="002159AC" w:rsidRPr="002159AC">
        <w:rPr>
          <w:i/>
        </w:rPr>
        <w:t>et al</w:t>
      </w:r>
      <w:r w:rsidR="002159AC" w:rsidRPr="002159AC">
        <w:t xml:space="preserve">. (2008) </w:t>
      </w:r>
      <w:r w:rsidR="002159AC">
        <w:t>(supported by the findings of</w:t>
      </w:r>
      <w:r w:rsidR="002159AC" w:rsidRPr="002159AC">
        <w:t xml:space="preserve"> Zeng </w:t>
      </w:r>
      <w:r w:rsidR="002159AC" w:rsidRPr="002159AC">
        <w:rPr>
          <w:i/>
        </w:rPr>
        <w:t>et al</w:t>
      </w:r>
      <w:r w:rsidR="002159AC" w:rsidRPr="002159AC">
        <w:t>.</w:t>
      </w:r>
      <w:r w:rsidR="002159AC">
        <w:t>,</w:t>
      </w:r>
      <w:r w:rsidR="002159AC" w:rsidRPr="002159AC">
        <w:t xml:space="preserve"> 2014a) are considered highly indicative that the fish BCF could exceed 5 000 L/kg.</w:t>
      </w:r>
      <w:r>
        <w:t xml:space="preserve"> Other dietary </w:t>
      </w:r>
      <w:r w:rsidRPr="002159AC">
        <w:t xml:space="preserve">studies show that juvenile </w:t>
      </w:r>
      <w:r w:rsidRPr="002159AC">
        <w:rPr>
          <w:i/>
        </w:rPr>
        <w:t>O. mykiss</w:t>
      </w:r>
      <w:r w:rsidRPr="002159AC">
        <w:t xml:space="preserve"> can absorb at least 16 % of the dose from a single feed, and the substance has been shown to distribute throughout the body in </w:t>
      </w:r>
      <w:r w:rsidRPr="002159AC">
        <w:rPr>
          <w:i/>
        </w:rPr>
        <w:t>C. carpio</w:t>
      </w:r>
      <w:r w:rsidRPr="002159AC">
        <w:t xml:space="preserve">, including gonadal tissue. </w:t>
      </w:r>
    </w:p>
    <w:p w14:paraId="01AC7136" w14:textId="034142E4" w:rsidR="00E54BC2" w:rsidRDefault="00E54BC2" w:rsidP="00E54BC2">
      <w:pPr>
        <w:pStyle w:val="BodyText"/>
        <w:jc w:val="both"/>
        <w:rPr>
          <w:color w:val="000000"/>
        </w:rPr>
      </w:pPr>
      <w:r>
        <w:t>Studies with mammals and birds show complex uptake, distribution and elimination kinetics</w:t>
      </w:r>
      <w:r>
        <w:rPr>
          <w:color w:val="000000"/>
        </w:rPr>
        <w:t xml:space="preserve"> with preferential accumulation in liver rather than muscle or blood in some species</w:t>
      </w:r>
      <w:r>
        <w:t>. The substance can be found in gonads and brain tissue, and can be transferred from mothers to eggs. There are similar findings in amphibians</w:t>
      </w:r>
      <w:r w:rsidR="0092167B">
        <w:t xml:space="preserve"> (Li </w:t>
      </w:r>
      <w:r w:rsidR="0092167B">
        <w:rPr>
          <w:i/>
        </w:rPr>
        <w:t>et al.</w:t>
      </w:r>
      <w:r w:rsidR="00181DCE">
        <w:t xml:space="preserve">, </w:t>
      </w:r>
      <w:r w:rsidR="0092167B">
        <w:t>2014b)</w:t>
      </w:r>
      <w:r>
        <w:t xml:space="preserve">. </w:t>
      </w:r>
      <w:r>
        <w:rPr>
          <w:lang w:eastAsia="en-GB"/>
        </w:rPr>
        <w:t xml:space="preserve">The comparable concentrations in most tissues suggests that lipid content may not be the only factor that influences tissue distribution; blood perfusion and sequestration by proteins could be additional factors. </w:t>
      </w:r>
      <w:r>
        <w:t>Like fish, r</w:t>
      </w:r>
      <w:r>
        <w:rPr>
          <w:color w:val="000000"/>
        </w:rPr>
        <w:t>esidues in birds and mammals appear to increase with longer exposure times and steady state was not achieved in the laboratory tests.</w:t>
      </w:r>
      <w:r>
        <w:t xml:space="preserve"> Also like fish, Dechlorane Plus has </w:t>
      </w:r>
      <w:r>
        <w:rPr>
          <w:color w:val="000000"/>
        </w:rPr>
        <w:t>a long elimination half-life from rat liver, in the region of 180 days or more</w:t>
      </w:r>
      <w:r w:rsidR="00981877">
        <w:rPr>
          <w:color w:val="000000"/>
        </w:rPr>
        <w:t xml:space="preserve"> (</w:t>
      </w:r>
      <w:r w:rsidR="00981877" w:rsidRPr="00516CAB">
        <w:t xml:space="preserve">Li </w:t>
      </w:r>
      <w:r w:rsidR="00981877" w:rsidRPr="00516CAB">
        <w:rPr>
          <w:i/>
        </w:rPr>
        <w:t>et al</w:t>
      </w:r>
      <w:r w:rsidR="00981877" w:rsidRPr="00516CAB">
        <w:t>. (2013b)</w:t>
      </w:r>
      <w:r w:rsidR="00981877">
        <w:t>,</w:t>
      </w:r>
      <w:r w:rsidR="0092167B">
        <w:t xml:space="preserve"> </w:t>
      </w:r>
      <w:r w:rsidR="00981877">
        <w:t xml:space="preserve">discussed in </w:t>
      </w:r>
      <w:r w:rsidR="00181DCE">
        <w:t>S</w:t>
      </w:r>
      <w:r w:rsidR="00981877">
        <w:t>ection 4.1)</w:t>
      </w:r>
      <w:r>
        <w:rPr>
          <w:color w:val="000000"/>
        </w:rPr>
        <w:t>.</w:t>
      </w:r>
    </w:p>
    <w:p w14:paraId="4F7FE86D" w14:textId="67D3B37C" w:rsidR="00F8208A" w:rsidRDefault="00F8208A" w:rsidP="00F8208A">
      <w:pPr>
        <w:pStyle w:val="BodyText"/>
        <w:jc w:val="both"/>
        <w:rPr>
          <w:rFonts w:eastAsiaTheme="minorHAnsi"/>
        </w:rPr>
      </w:pPr>
      <w:r>
        <w:rPr>
          <w:rFonts w:eastAsiaTheme="minorHAnsi"/>
        </w:rPr>
        <w:t xml:space="preserve">There is conflicting information available on BSAFs </w:t>
      </w:r>
      <w:r w:rsidR="00181DCE">
        <w:rPr>
          <w:rFonts w:eastAsiaTheme="minorHAnsi"/>
        </w:rPr>
        <w:t>although they can be difficult to interpret for highly hydrophobic substances. F</w:t>
      </w:r>
      <w:r>
        <w:rPr>
          <w:rFonts w:eastAsiaTheme="minorHAnsi"/>
        </w:rPr>
        <w:t xml:space="preserve">our studies suggest BSAFs below 1 </w:t>
      </w:r>
      <w:r>
        <w:rPr>
          <w:color w:val="000000"/>
          <w:lang w:eastAsia="en-GB"/>
        </w:rPr>
        <w:t xml:space="preserve">and one laboratory study also gave BSAF values below 1 for </w:t>
      </w:r>
      <w:r>
        <w:rPr>
          <w:i/>
          <w:color w:val="000000"/>
          <w:lang w:eastAsia="en-GB"/>
        </w:rPr>
        <w:t>Lumbriculus variegatus</w:t>
      </w:r>
      <w:r>
        <w:rPr>
          <w:color w:val="000000"/>
          <w:lang w:eastAsia="en-GB"/>
        </w:rPr>
        <w:t xml:space="preserve">. However, one field study reported </w:t>
      </w:r>
      <w:r>
        <w:rPr>
          <w:color w:val="000000"/>
        </w:rPr>
        <w:t>BSAFs above 1 for three fish species, with values up to 3.2 and 9.0 for the anti- and syn- isomers, respectively and another reported BSAFs above 2 for molluscs</w:t>
      </w:r>
      <w:r>
        <w:rPr>
          <w:lang w:val="en-US"/>
        </w:rPr>
        <w:t xml:space="preserve">. A BSAF above 2 suggests that </w:t>
      </w:r>
      <w:r>
        <w:rPr>
          <w:rFonts w:eastAsiaTheme="minorHAnsi"/>
        </w:rPr>
        <w:t xml:space="preserve">the substance can accumulate to a greater extent than by simple partitioning alone. For two studies where the BSAF was below 1, </w:t>
      </w:r>
      <w:r>
        <w:rPr>
          <w:color w:val="000000"/>
          <w:lang w:eastAsia="en-GB"/>
        </w:rPr>
        <w:t>the BSAF values for Dechlorane Plus</w:t>
      </w:r>
      <w:r>
        <w:rPr>
          <w:rFonts w:eastAsiaTheme="minorHAnsi"/>
        </w:rPr>
        <w:t xml:space="preserve"> </w:t>
      </w:r>
      <w:r>
        <w:rPr>
          <w:color w:val="000000"/>
          <w:lang w:eastAsia="en-GB"/>
        </w:rPr>
        <w:t xml:space="preserve">were similar to those for </w:t>
      </w:r>
      <w:r>
        <w:rPr>
          <w:rFonts w:eastAsiaTheme="minorHAnsi"/>
        </w:rPr>
        <w:t>BDE-183 (a hep</w:t>
      </w:r>
      <w:r>
        <w:t>tabromodiphenyl ether)</w:t>
      </w:r>
      <w:r>
        <w:rPr>
          <w:rFonts w:eastAsiaTheme="minorHAnsi"/>
        </w:rPr>
        <w:t xml:space="preserve"> in the same samples. </w:t>
      </w:r>
    </w:p>
    <w:p w14:paraId="79048632" w14:textId="77777777" w:rsidR="00E54BC2" w:rsidRDefault="00E54BC2" w:rsidP="00E54BC2">
      <w:pPr>
        <w:pStyle w:val="BodyText"/>
        <w:jc w:val="both"/>
      </w:pPr>
      <w:r>
        <w:t>Several field studies have attempted to measure biomagnification between trophic levels, in both aquatic and terrestrial environments. Some studies suggest trophic dilution, whereas others suggest trophic magnification. The lack of a standardised approach to the assessment of trophic magnification and other confounding factors (including variable exposure across concentration gradients in the sampled environment, small sample sizes, analysis of single tissues, and reliance on specific feeding relationships) mean that none of the studies is fully reliable.</w:t>
      </w:r>
    </w:p>
    <w:p w14:paraId="3D9D32E3" w14:textId="77777777" w:rsidR="00E54BC2" w:rsidRDefault="00E54BC2" w:rsidP="00E54BC2">
      <w:pPr>
        <w:pStyle w:val="BodyText"/>
        <w:spacing w:after="120"/>
        <w:jc w:val="both"/>
      </w:pPr>
      <w:r>
        <w:t xml:space="preserve">Monitoring studies show that the two isomers of Dechlorane Plus are widely dispersed in the European aquatic and terrestrial environment. Evidence from around the world shows that uptake occurs in a wide range of wildlife species throughout freshwater and marine aquatic food webs, from invertebrates and fish to piscivorous top predators such as Bald Eagle </w:t>
      </w:r>
      <w:r>
        <w:rPr>
          <w:i/>
        </w:rPr>
        <w:t>Haliaeetus leucocephalus</w:t>
      </w:r>
      <w:r>
        <w:t xml:space="preserve">, Double-crested Cormorant </w:t>
      </w:r>
      <w:r>
        <w:rPr>
          <w:rFonts w:eastAsia="BatangChe"/>
          <w:i/>
        </w:rPr>
        <w:t>Phalacrocorax auritus</w:t>
      </w:r>
      <w:r>
        <w:t xml:space="preserve">, Eurasian Otter </w:t>
      </w:r>
      <w:r>
        <w:rPr>
          <w:i/>
        </w:rPr>
        <w:t>Lutra lutra</w:t>
      </w:r>
      <w:r>
        <w:t xml:space="preserve"> and cetaceans (e.g. </w:t>
      </w:r>
      <w:r>
        <w:rPr>
          <w:i/>
          <w:iCs/>
        </w:rPr>
        <w:t>Delphinus delphis</w:t>
      </w:r>
      <w:r>
        <w:rPr>
          <w:iCs/>
        </w:rPr>
        <w:t>). Dechlorane Plus is also found in</w:t>
      </w:r>
      <w:r>
        <w:t xml:space="preserve"> bird- and mammal-eating predators associated with both aquatic and terrestrial environments (such as Peregrine Falcon </w:t>
      </w:r>
      <w:r>
        <w:rPr>
          <w:i/>
        </w:rPr>
        <w:t>Falco peregrinus</w:t>
      </w:r>
      <w:r>
        <w:t xml:space="preserve"> and Polar Bear </w:t>
      </w:r>
      <w:r>
        <w:rPr>
          <w:i/>
          <w:iCs/>
        </w:rPr>
        <w:t>Ursus maritimus</w:t>
      </w:r>
      <w:r>
        <w:rPr>
          <w:iCs/>
        </w:rPr>
        <w:t>)</w:t>
      </w:r>
      <w:r>
        <w:t>. From the small number of studies available, maximum levels in top predators in Europe are broadly in the range 0.1 – 1 µg/kg ww, although there are many non-detects.</w:t>
      </w:r>
    </w:p>
    <w:p w14:paraId="52B5F8B8" w14:textId="77777777" w:rsidR="00E54BC2" w:rsidRDefault="00E54BC2" w:rsidP="00E54BC2">
      <w:pPr>
        <w:pStyle w:val="BodyText"/>
        <w:spacing w:after="120"/>
        <w:jc w:val="both"/>
      </w:pPr>
      <w:r>
        <w:t xml:space="preserve">Many European samples have been collected from relatively unpolluted environments, where the substance is more likely to be present due to long range transport rather than (in)direct local releases. Such studies show that Dechlorane Plus can be present in wildlife (including top </w:t>
      </w:r>
      <w:r>
        <w:lastRenderedPageBreak/>
        <w:t>predators) in regions relatively remote from human activity, although the levels are typically very low (&lt;0.1 µg/kg ww). In contrast, studies in more polluted environments in China and North America show higher levels, indicating that organisms have the potential to accumulate in the region of 1 – 10 µg/kg ww. The highest concentrations have been observed in China, at up to 1 mg/kg ww [97 mg/kg lw] in fish muscle in the vicinity of point sources</w:t>
      </w:r>
      <w:r>
        <w:rPr>
          <w:lang w:eastAsia="en-GB"/>
        </w:rPr>
        <w:t xml:space="preserve"> </w:t>
      </w:r>
      <w:r>
        <w:t xml:space="preserve">(whole body concentrations are not available), and </w:t>
      </w:r>
      <w:r>
        <w:rPr>
          <w:lang w:eastAsia="en-GB"/>
        </w:rPr>
        <w:t>around 0.5 – 1 mg/kg ww</w:t>
      </w:r>
      <w:r>
        <w:t xml:space="preserve"> </w:t>
      </w:r>
      <w:r>
        <w:rPr>
          <w:lang w:eastAsia="en-GB"/>
        </w:rPr>
        <w:t>[</w:t>
      </w:r>
      <w:r>
        <w:t xml:space="preserve">3 – </w:t>
      </w:r>
      <w:r>
        <w:rPr>
          <w:lang w:eastAsia="en-GB"/>
        </w:rPr>
        <w:t xml:space="preserve">7 mg/kg lw] in </w:t>
      </w:r>
      <w:r>
        <w:t xml:space="preserve">terrestrial bird tissues, including </w:t>
      </w:r>
      <w:r>
        <w:rPr>
          <w:lang w:eastAsia="en-GB"/>
        </w:rPr>
        <w:t>up to around 7 mg/kg lw [~1 mg/kg ww] in birds’ eggs</w:t>
      </w:r>
      <w:r>
        <w:t xml:space="preserve">. This suggests that if exposure in the European environment were to increase, levels in wildlife might also increase. The higher levels that have been found in wildlife exceed those that are considered to be of concern within a bioaccumulation context (e.g. a “critical </w:t>
      </w:r>
      <w:r w:rsidR="00F8208A">
        <w:t>concentration” of 0.065 or 0.65 </w:t>
      </w:r>
      <w:r>
        <w:t>mg/kg ww [1.3 or 13 mg/kg lw] can be estimated for Dechlorane Plus based on a critical body burden of 0.001 mmol/kg ww recommended in the REACH PBT Guidance (ECHA, 201</w:t>
      </w:r>
      <w:r w:rsidR="00DD6E1D">
        <w:t>7</w:t>
      </w:r>
      <w:r>
        <w:t>a); see Appendix 7).</w:t>
      </w:r>
    </w:p>
    <w:p w14:paraId="2A1384E9" w14:textId="77777777" w:rsidR="00E54BC2" w:rsidRDefault="00E54BC2" w:rsidP="00E54BC2">
      <w:pPr>
        <w:pStyle w:val="BodyText"/>
        <w:spacing w:after="120"/>
        <w:jc w:val="both"/>
        <w:rPr>
          <w:lang w:eastAsia="en-US"/>
        </w:rPr>
      </w:pPr>
      <w:r>
        <w:t xml:space="preserve">Differences in bioaccumulation patterns in terrestrial environments compared to aquatic are difficult to distinguish based on the available information. The concentration of total Dechlorane Plus isomers in Peregrine Falcon </w:t>
      </w:r>
      <w:r>
        <w:rPr>
          <w:i/>
        </w:rPr>
        <w:t>Falco peregrinus</w:t>
      </w:r>
      <w:r>
        <w:t xml:space="preserve"> eggs from birds with a known terrestrial diet was slightly lower than those with an aquatic-based diet in Spain, but of a similar order of magnitude in Canada. Dechlorane Plus has also been detected in terrestrial plants at mean concentrations of </w:t>
      </w:r>
      <w:r>
        <w:rPr>
          <w:lang w:eastAsia="ar-SA"/>
        </w:rPr>
        <w:t>1 mg</w:t>
      </w:r>
      <w:r>
        <w:t>/kg ww for</w:t>
      </w:r>
      <w:r>
        <w:rPr>
          <w:lang w:eastAsia="ar-SA"/>
        </w:rPr>
        <w:t xml:space="preserve"> vegetables and 0.9 m</w:t>
      </w:r>
      <w:r>
        <w:t>g/kg ww for</w:t>
      </w:r>
      <w:r>
        <w:rPr>
          <w:lang w:eastAsia="ar-SA"/>
        </w:rPr>
        <w:t xml:space="preserve"> grains collected at a site</w:t>
      </w:r>
      <w:r>
        <w:t xml:space="preserve"> close to the Chinese manufacturing facility (with a maximum for one vegetable type of 2.72 mg/kg ww). Uptake and translocation in plants has also been shown in a laboratory study although the results may have been affected by toxicity caused by other substances.</w:t>
      </w:r>
    </w:p>
    <w:p w14:paraId="49DE9EDC" w14:textId="77777777" w:rsidR="00054D4F" w:rsidRPr="006565CC" w:rsidRDefault="00E54BC2" w:rsidP="00F156D9">
      <w:pPr>
        <w:pStyle w:val="BodyText"/>
        <w:spacing w:after="120"/>
        <w:jc w:val="both"/>
      </w:pPr>
      <w:r>
        <w:t xml:space="preserve">Although not easily interpretable in the context of bioaccumulation potential, studies of human exposure also suggest an increase in blood levels with presumed exposure time (working life). Concentrations in non-occupationally exposed people appear to be typically in the region of 1-10 µg/kg lw depending on the tissue. The highest reported concentration in human blood is around 3 000 µg/kg [3 mg/kg] lw, although given the low lipid content of blood, the wet weight concentration would be much lower. Detection in human cord serum indicates transfer across the placenta and exposure of human foetuses, and presence in human breast milk also means that exposure </w:t>
      </w:r>
      <w:r w:rsidR="00F156D9">
        <w:t xml:space="preserve">can continue prior to weaning. </w:t>
      </w:r>
    </w:p>
    <w:p w14:paraId="7C812AF2" w14:textId="77777777" w:rsidR="00054D4F" w:rsidRDefault="00054D4F" w:rsidP="00E54BC2">
      <w:pPr>
        <w:pStyle w:val="BodyText"/>
      </w:pPr>
    </w:p>
    <w:p w14:paraId="3DE890C0" w14:textId="3DD126BE" w:rsidR="004A16A9" w:rsidRDefault="000523A0" w:rsidP="007E1C2C">
      <w:pPr>
        <w:pStyle w:val="BodyText"/>
        <w:jc w:val="both"/>
      </w:pPr>
      <w:r>
        <w:t>The amount of information a</w:t>
      </w:r>
      <w:r w:rsidR="004A16A9">
        <w:t>vailable for the anti</w:t>
      </w:r>
      <w:r>
        <w:t>-</w:t>
      </w:r>
      <w:r w:rsidR="004A16A9">
        <w:t xml:space="preserve"> and syn</w:t>
      </w:r>
      <w:r>
        <w:t>-</w:t>
      </w:r>
      <w:r w:rsidR="004A16A9">
        <w:t xml:space="preserve"> isomers varies amongst the studies. Where the information is available, the syn</w:t>
      </w:r>
      <w:r>
        <w:t>-</w:t>
      </w:r>
      <w:r w:rsidR="004A16A9">
        <w:t xml:space="preserve"> isomer appears to be </w:t>
      </w:r>
      <w:r>
        <w:t xml:space="preserve">somewhat </w:t>
      </w:r>
      <w:r w:rsidR="004A16A9">
        <w:t xml:space="preserve">more bioaccumulative as it reaches slightly higher body concentrations or has a longer depuration half-life. </w:t>
      </w:r>
      <w:r w:rsidR="00DC7648">
        <w:t xml:space="preserve">However, the </w:t>
      </w:r>
      <w:r>
        <w:t>results</w:t>
      </w:r>
      <w:r w:rsidR="00DC7648">
        <w:t xml:space="preserve"> for the anti-</w:t>
      </w:r>
      <w:r>
        <w:t xml:space="preserve"> </w:t>
      </w:r>
      <w:r w:rsidR="00DC7648">
        <w:t>isomer remain of concern</w:t>
      </w:r>
      <w:r>
        <w:t>. F</w:t>
      </w:r>
      <w:r w:rsidR="00DC7648">
        <w:t>or instance</w:t>
      </w:r>
      <w:r>
        <w:t>,</w:t>
      </w:r>
      <w:r w:rsidR="00DC7648">
        <w:t xml:space="preserve"> the depuration half-life in the key fish </w:t>
      </w:r>
      <w:r>
        <w:t>bioaccumulation</w:t>
      </w:r>
      <w:r w:rsidR="00DC7648">
        <w:t xml:space="preserve"> study is </w:t>
      </w:r>
      <w:r>
        <w:t>around</w:t>
      </w:r>
      <w:r w:rsidR="00DC7648">
        <w:t xml:space="preserve"> three times the bench-marked value for other vB substances. W</w:t>
      </w:r>
      <w:r w:rsidR="004A16A9">
        <w:t>ithout a better understanding of what might affect</w:t>
      </w:r>
      <w:r>
        <w:t xml:space="preserve"> bioaccumulation behaviour of the two</w:t>
      </w:r>
      <w:r w:rsidR="004A16A9">
        <w:t xml:space="preserve"> isomers</w:t>
      </w:r>
      <w:r w:rsidR="00DC7648">
        <w:t xml:space="preserve"> (for example </w:t>
      </w:r>
      <w:r>
        <w:t xml:space="preserve">metabolic pathways and/or switches between isomers </w:t>
      </w:r>
      <w:r w:rsidRPr="007E1C2C">
        <w:rPr>
          <w:i/>
        </w:rPr>
        <w:t>in vivo</w:t>
      </w:r>
      <w:r w:rsidR="00DC7648">
        <w:t>)</w:t>
      </w:r>
      <w:r w:rsidR="004A16A9">
        <w:t xml:space="preserve">, </w:t>
      </w:r>
      <w:r>
        <w:t>the two isomers are assumed to have the same bioaccumulation potential in the absence of further information.</w:t>
      </w:r>
    </w:p>
    <w:p w14:paraId="1E05F79C" w14:textId="77777777" w:rsidR="00C318BE" w:rsidRPr="00E54BC2" w:rsidRDefault="00C318BE" w:rsidP="00E54BC2">
      <w:pPr>
        <w:pStyle w:val="BodyText"/>
      </w:pPr>
    </w:p>
    <w:p w14:paraId="65F8EEB1" w14:textId="77777777" w:rsidR="00B12C39" w:rsidRDefault="00B12C39" w:rsidP="00B12C39">
      <w:pPr>
        <w:pStyle w:val="Heading1"/>
      </w:pPr>
      <w:r>
        <w:br w:type="page"/>
      </w:r>
      <w:bookmarkStart w:id="607" w:name="_Toc341888534"/>
      <w:bookmarkStart w:id="608" w:name="_Toc342400387"/>
      <w:bookmarkStart w:id="609" w:name="_Toc354499589"/>
      <w:bookmarkStart w:id="610" w:name="_Toc357083664"/>
      <w:bookmarkStart w:id="611" w:name="_Toc357184213"/>
      <w:bookmarkStart w:id="612" w:name="_Toc357184449"/>
      <w:bookmarkStart w:id="613" w:name="_Toc357185251"/>
      <w:bookmarkStart w:id="614" w:name="_Toc357186099"/>
      <w:bookmarkStart w:id="615" w:name="_Toc357186248"/>
      <w:bookmarkStart w:id="616" w:name="_Toc357437534"/>
      <w:bookmarkStart w:id="617" w:name="_Toc357590807"/>
      <w:bookmarkStart w:id="618" w:name="_Toc357692839"/>
      <w:bookmarkStart w:id="619" w:name="_Toc365649668"/>
      <w:bookmarkStart w:id="620" w:name="_Toc365649817"/>
      <w:bookmarkStart w:id="621" w:name="_Toc366489869"/>
      <w:bookmarkStart w:id="622" w:name="_Toc418498574"/>
      <w:bookmarkStart w:id="623" w:name="_Toc418506017"/>
      <w:bookmarkStart w:id="624" w:name="_Toc491862238"/>
      <w:r>
        <w:lastRenderedPageBreak/>
        <w:t>Human health hazard assessment</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14:paraId="19E9E008" w14:textId="77777777" w:rsidR="00304028" w:rsidRDefault="00304028" w:rsidP="00304028">
      <w:pPr>
        <w:pStyle w:val="BodyText"/>
        <w:jc w:val="both"/>
      </w:pPr>
      <w:r>
        <w:t xml:space="preserve">Mammalian toxicity data are summarised in detail in Appendix 1. </w:t>
      </w:r>
      <w:r w:rsidR="00327FE7">
        <w:t xml:space="preserve">They are not included in the main part of this report because the proposal is to identify Dechlorane Plus as vPvB only. </w:t>
      </w:r>
      <w:r>
        <w:t>This section includes relevant information for the bioaccumulation assessment.</w:t>
      </w:r>
    </w:p>
    <w:p w14:paraId="3C4463AE" w14:textId="77777777" w:rsidR="00B12C39" w:rsidRDefault="003B1B52" w:rsidP="00C7124D">
      <w:pPr>
        <w:pStyle w:val="Heading2"/>
        <w:keepNext w:val="0"/>
      </w:pPr>
      <w:bookmarkStart w:id="625" w:name="_Toc341888535"/>
      <w:bookmarkStart w:id="626" w:name="_Toc342400388"/>
      <w:bookmarkStart w:id="627" w:name="_Toc354499590"/>
      <w:bookmarkStart w:id="628" w:name="_Toc357083665"/>
      <w:bookmarkStart w:id="629" w:name="_Toc357184214"/>
      <w:bookmarkStart w:id="630" w:name="_Toc357184450"/>
      <w:bookmarkStart w:id="631" w:name="_Toc357185252"/>
      <w:bookmarkStart w:id="632" w:name="_Toc357186100"/>
      <w:bookmarkStart w:id="633" w:name="_Toc357186249"/>
      <w:bookmarkStart w:id="634" w:name="_Toc357437535"/>
      <w:bookmarkStart w:id="635" w:name="_Toc357590808"/>
      <w:bookmarkStart w:id="636" w:name="_Toc357692840"/>
      <w:bookmarkStart w:id="637" w:name="_Toc365649669"/>
      <w:bookmarkStart w:id="638" w:name="_Toc365649818"/>
      <w:bookmarkStart w:id="639" w:name="_Toc366489870"/>
      <w:bookmarkStart w:id="640" w:name="_Toc418498575"/>
      <w:bookmarkStart w:id="641" w:name="_Toc418506018"/>
      <w:bookmarkStart w:id="642" w:name="_Toc491862239"/>
      <w:r>
        <w:t xml:space="preserve">4.1 </w:t>
      </w:r>
      <w:r w:rsidR="00B12C39">
        <w:t>Toxicokinetics (absorption, metabolism, distribution and elimination)</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14:paraId="26B0DCB5" w14:textId="77777777" w:rsidR="00304028" w:rsidRDefault="00304028" w:rsidP="007A5413">
      <w:pPr>
        <w:pStyle w:val="BodyText"/>
        <w:jc w:val="both"/>
      </w:pPr>
      <w:bookmarkStart w:id="643" w:name="_Toc341888536"/>
      <w:bookmarkStart w:id="644" w:name="_Toc342400389"/>
      <w:bookmarkStart w:id="645" w:name="_Toc354499591"/>
      <w:bookmarkStart w:id="646" w:name="_Toc357083666"/>
      <w:bookmarkStart w:id="647" w:name="_Toc357184215"/>
      <w:bookmarkStart w:id="648" w:name="_Toc357184451"/>
      <w:bookmarkStart w:id="649" w:name="_Toc357185253"/>
      <w:bookmarkStart w:id="650" w:name="_Toc357186101"/>
      <w:bookmarkStart w:id="651" w:name="_Toc357186250"/>
      <w:bookmarkStart w:id="652" w:name="_Toc357437536"/>
      <w:bookmarkStart w:id="653" w:name="_Toc357590809"/>
      <w:bookmarkStart w:id="654" w:name="_Toc357692841"/>
      <w:r>
        <w:t>A toxicokinetic study conforming to OECD TG 4</w:t>
      </w:r>
      <w:r w:rsidR="00937CDA">
        <w:t>17</w:t>
      </w:r>
      <w:r>
        <w:t xml:space="preserve"> is not available. </w:t>
      </w:r>
    </w:p>
    <w:p w14:paraId="6A0FE511" w14:textId="77777777" w:rsidR="00937CDA" w:rsidRPr="002C7E9E" w:rsidRDefault="00937CDA" w:rsidP="00937CDA">
      <w:pPr>
        <w:pStyle w:val="EABodyText"/>
        <w:spacing w:after="120"/>
        <w:jc w:val="both"/>
        <w:rPr>
          <w:rFonts w:ascii="Verdana" w:hAnsi="Verdana"/>
          <w:sz w:val="20"/>
          <w:szCs w:val="20"/>
        </w:rPr>
      </w:pPr>
      <w:r w:rsidRPr="002C7E9E">
        <w:rPr>
          <w:rFonts w:ascii="Verdana" w:hAnsi="Verdana"/>
          <w:sz w:val="20"/>
          <w:szCs w:val="20"/>
        </w:rPr>
        <w:t>The registration dossier includes two robust study summaries for toxicokinetics assessment:</w:t>
      </w:r>
    </w:p>
    <w:p w14:paraId="7ED3AACB" w14:textId="77777777" w:rsidR="00937CDA" w:rsidRPr="002C7E9E" w:rsidRDefault="00937CDA" w:rsidP="00686834">
      <w:pPr>
        <w:pStyle w:val="EABodyText"/>
        <w:numPr>
          <w:ilvl w:val="0"/>
          <w:numId w:val="9"/>
        </w:numPr>
        <w:spacing w:after="120"/>
        <w:ind w:left="284" w:right="232"/>
        <w:jc w:val="both"/>
        <w:rPr>
          <w:rFonts w:ascii="Verdana" w:hAnsi="Verdana"/>
          <w:sz w:val="20"/>
          <w:szCs w:val="20"/>
        </w:rPr>
      </w:pPr>
      <w:r w:rsidRPr="002C7E9E">
        <w:rPr>
          <w:rFonts w:ascii="Verdana" w:hAnsi="Verdana"/>
          <w:sz w:val="20"/>
          <w:szCs w:val="20"/>
        </w:rPr>
        <w:t xml:space="preserve">The first unreferenced study, considered reliable with restrictions by the Registrant (due to the small number of animals) was performed in 1983. No guideline was followed and the study was not subject to GLP. </w:t>
      </w:r>
      <w:r w:rsidRPr="002C7E9E">
        <w:rPr>
          <w:rFonts w:ascii="Verdana" w:hAnsi="Verdana"/>
          <w:sz w:val="20"/>
          <w:szCs w:val="20"/>
          <w:vertAlign w:val="superscript"/>
        </w:rPr>
        <w:t>14</w:t>
      </w:r>
      <w:r w:rsidRPr="002C7E9E">
        <w:rPr>
          <w:rFonts w:ascii="Verdana" w:hAnsi="Verdana"/>
          <w:sz w:val="20"/>
          <w:szCs w:val="20"/>
        </w:rPr>
        <w:t>C</w:t>
      </w:r>
      <w:r w:rsidRPr="002C7E9E">
        <w:rPr>
          <w:rFonts w:ascii="Verdana" w:hAnsi="Verdana"/>
          <w:sz w:val="20"/>
          <w:szCs w:val="20"/>
        </w:rPr>
        <w:noBreakHyphen/>
        <w:t>Radiolabelled Dechlorane Plus (31.5 mCi/mmol) was administered in corn oil once by oral gavage at a dose of 1 mg/kg bw (corresponding to 4.8 µCi) or 113 mg/kg bw (corresponding to 3.8 µCi) to Sprague-Dawley rats</w:t>
      </w:r>
      <w:r w:rsidR="00DD468E">
        <w:rPr>
          <w:rFonts w:ascii="Verdana" w:hAnsi="Verdana"/>
          <w:sz w:val="20"/>
          <w:szCs w:val="20"/>
        </w:rPr>
        <w:t xml:space="preserve"> </w:t>
      </w:r>
      <w:r w:rsidR="00DD468E" w:rsidRPr="00516CAB">
        <w:rPr>
          <w:rFonts w:ascii="Verdana" w:hAnsi="Verdana"/>
          <w:sz w:val="20"/>
          <w:szCs w:val="20"/>
        </w:rPr>
        <w:t>(</w:t>
      </w:r>
      <w:r w:rsidR="00DD468E" w:rsidRPr="00516CAB">
        <w:rPr>
          <w:rFonts w:ascii="Verdana" w:hAnsi="Verdana"/>
          <w:i/>
          <w:sz w:val="20"/>
          <w:szCs w:val="20"/>
        </w:rPr>
        <w:t>Rattus norvegicus</w:t>
      </w:r>
      <w:r w:rsidR="00DD468E" w:rsidRPr="00516CAB">
        <w:rPr>
          <w:rFonts w:ascii="Verdana" w:hAnsi="Verdana"/>
          <w:sz w:val="20"/>
          <w:szCs w:val="20"/>
        </w:rPr>
        <w:t>)</w:t>
      </w:r>
      <w:r w:rsidRPr="002C7E9E">
        <w:rPr>
          <w:rFonts w:ascii="Verdana" w:hAnsi="Verdana"/>
          <w:sz w:val="20"/>
          <w:szCs w:val="20"/>
        </w:rPr>
        <w:t>. The composition of the substance was stated to be the same as the commercial substance (the ratio of isomers was 5.4:1). The low dose group consisted of three females and two males, and the high dose group consisted of two females. Another group of two females was fed non-</w:t>
      </w:r>
      <w:r w:rsidR="002F7A7E" w:rsidRPr="002C7E9E">
        <w:rPr>
          <w:rFonts w:ascii="Verdana" w:hAnsi="Verdana"/>
          <w:sz w:val="20"/>
          <w:szCs w:val="20"/>
        </w:rPr>
        <w:t>labelled</w:t>
      </w:r>
      <w:r w:rsidRPr="002C7E9E">
        <w:rPr>
          <w:rFonts w:ascii="Verdana" w:hAnsi="Verdana"/>
          <w:sz w:val="20"/>
          <w:szCs w:val="20"/>
        </w:rPr>
        <w:t xml:space="preserve"> Dechlorane Plus at 1</w:t>
      </w:r>
      <w:r>
        <w:rPr>
          <w:rFonts w:ascii="Verdana" w:hAnsi="Verdana"/>
          <w:sz w:val="20"/>
          <w:szCs w:val="20"/>
        </w:rPr>
        <w:t xml:space="preserve"> %</w:t>
      </w:r>
      <w:r w:rsidRPr="002C7E9E">
        <w:rPr>
          <w:rFonts w:ascii="Verdana" w:hAnsi="Verdana"/>
          <w:sz w:val="20"/>
          <w:szCs w:val="20"/>
        </w:rPr>
        <w:t xml:space="preserve"> in the diet for 14 days before gavage administration. No control animals were used. Excretion via urine, faeces, and expired air and residual concentrations in organs and carcass were determined. </w:t>
      </w:r>
    </w:p>
    <w:p w14:paraId="194C23FC" w14:textId="77777777" w:rsidR="00937CDA" w:rsidRPr="002C7E9E" w:rsidRDefault="00937CDA" w:rsidP="00937CDA">
      <w:pPr>
        <w:pStyle w:val="EABodyText"/>
        <w:spacing w:after="120"/>
        <w:ind w:left="284" w:right="232"/>
        <w:jc w:val="both"/>
        <w:rPr>
          <w:rFonts w:ascii="Verdana" w:hAnsi="Verdana"/>
          <w:sz w:val="20"/>
          <w:szCs w:val="20"/>
        </w:rPr>
      </w:pPr>
      <w:r w:rsidRPr="002C7E9E">
        <w:rPr>
          <w:rFonts w:ascii="Verdana" w:hAnsi="Verdana"/>
          <w:sz w:val="20"/>
          <w:szCs w:val="20"/>
        </w:rPr>
        <w:t>One rat was used for monitoring radioactivity in expired air and one rat was used for monitoring the time course of blood levels for 48 hours after administration of 1 mg/kg bw. Urine and faeces were collected from all remaining rats for 4 days, then the animals were killed and radioactivity in 17 different organs/tissues and carcass were determined.</w:t>
      </w:r>
    </w:p>
    <w:p w14:paraId="190D464D" w14:textId="77777777" w:rsidR="00937CDA" w:rsidRPr="002C7E9E" w:rsidRDefault="00937CDA" w:rsidP="00937CDA">
      <w:pPr>
        <w:pStyle w:val="EABodyText"/>
        <w:spacing w:after="120"/>
        <w:ind w:left="284" w:right="232"/>
        <w:jc w:val="both"/>
        <w:rPr>
          <w:rFonts w:ascii="Verdana" w:hAnsi="Verdana"/>
          <w:sz w:val="20"/>
          <w:szCs w:val="20"/>
        </w:rPr>
      </w:pPr>
      <w:r w:rsidRPr="002C7E9E">
        <w:rPr>
          <w:rFonts w:ascii="Verdana" w:hAnsi="Verdana"/>
          <w:sz w:val="20"/>
          <w:szCs w:val="20"/>
        </w:rPr>
        <w:t>At four days after a single oral administration of 1 mg/kg bw, the percentage of the dose excreted in faeces was 83.5</w:t>
      </w:r>
      <w:r>
        <w:rPr>
          <w:rFonts w:ascii="Verdana" w:hAnsi="Verdana"/>
          <w:sz w:val="20"/>
          <w:szCs w:val="20"/>
        </w:rPr>
        <w:t xml:space="preserve"> %</w:t>
      </w:r>
      <w:r w:rsidRPr="002C7E9E">
        <w:rPr>
          <w:rFonts w:ascii="Verdana" w:hAnsi="Verdana"/>
          <w:sz w:val="20"/>
          <w:szCs w:val="20"/>
        </w:rPr>
        <w:t xml:space="preserve"> for females and 92.7</w:t>
      </w:r>
      <w:r>
        <w:rPr>
          <w:rFonts w:ascii="Verdana" w:hAnsi="Verdana"/>
          <w:sz w:val="20"/>
          <w:szCs w:val="20"/>
        </w:rPr>
        <w:t xml:space="preserve"> %</w:t>
      </w:r>
      <w:r w:rsidRPr="002C7E9E">
        <w:rPr>
          <w:rFonts w:ascii="Verdana" w:hAnsi="Verdana"/>
          <w:sz w:val="20"/>
          <w:szCs w:val="20"/>
        </w:rPr>
        <w:t xml:space="preserve"> for males (0.07</w:t>
      </w:r>
      <w:r>
        <w:rPr>
          <w:rFonts w:ascii="Verdana" w:hAnsi="Verdana"/>
          <w:sz w:val="20"/>
          <w:szCs w:val="20"/>
        </w:rPr>
        <w:t xml:space="preserve"> %</w:t>
      </w:r>
      <w:r w:rsidRPr="002C7E9E">
        <w:rPr>
          <w:rFonts w:ascii="Verdana" w:hAnsi="Verdana"/>
          <w:sz w:val="20"/>
          <w:szCs w:val="20"/>
        </w:rPr>
        <w:t xml:space="preserve"> and 0.01</w:t>
      </w:r>
      <w:r>
        <w:rPr>
          <w:rFonts w:ascii="Verdana" w:hAnsi="Verdana"/>
          <w:sz w:val="20"/>
          <w:szCs w:val="20"/>
        </w:rPr>
        <w:t xml:space="preserve"> %</w:t>
      </w:r>
      <w:r w:rsidRPr="002C7E9E">
        <w:rPr>
          <w:rFonts w:ascii="Verdana" w:hAnsi="Verdana"/>
          <w:sz w:val="20"/>
          <w:szCs w:val="20"/>
        </w:rPr>
        <w:t xml:space="preserve"> in urine, respectively). This indicates a maximum absorption of 16.5</w:t>
      </w:r>
      <w:r>
        <w:rPr>
          <w:rFonts w:ascii="Verdana" w:hAnsi="Verdana"/>
          <w:sz w:val="20"/>
          <w:szCs w:val="20"/>
        </w:rPr>
        <w:t xml:space="preserve"> %</w:t>
      </w:r>
      <w:r w:rsidRPr="002C7E9E">
        <w:rPr>
          <w:rFonts w:ascii="Verdana" w:hAnsi="Verdana"/>
          <w:sz w:val="20"/>
          <w:szCs w:val="20"/>
        </w:rPr>
        <w:t xml:space="preserve"> in females and 7.3</w:t>
      </w:r>
      <w:r>
        <w:rPr>
          <w:rFonts w:ascii="Verdana" w:hAnsi="Verdana"/>
          <w:sz w:val="20"/>
          <w:szCs w:val="20"/>
        </w:rPr>
        <w:t xml:space="preserve"> %</w:t>
      </w:r>
      <w:r w:rsidRPr="002C7E9E">
        <w:rPr>
          <w:rFonts w:ascii="Verdana" w:hAnsi="Verdana"/>
          <w:sz w:val="20"/>
          <w:szCs w:val="20"/>
        </w:rPr>
        <w:t xml:space="preserve"> in males. </w:t>
      </w:r>
    </w:p>
    <w:p w14:paraId="2D4EC3F4" w14:textId="77777777" w:rsidR="00937CDA" w:rsidRPr="002C7E9E" w:rsidRDefault="00937CDA" w:rsidP="00937CDA">
      <w:pPr>
        <w:pStyle w:val="EABodyText"/>
        <w:spacing w:after="120"/>
        <w:ind w:left="284" w:right="232"/>
        <w:jc w:val="both"/>
        <w:rPr>
          <w:rFonts w:ascii="Verdana" w:hAnsi="Verdana"/>
          <w:sz w:val="20"/>
          <w:szCs w:val="20"/>
        </w:rPr>
      </w:pPr>
      <w:r w:rsidRPr="002C7E9E">
        <w:rPr>
          <w:rFonts w:ascii="Verdana" w:hAnsi="Verdana"/>
          <w:sz w:val="20"/>
          <w:szCs w:val="20"/>
        </w:rPr>
        <w:t>The percentage of the dose excreted in faeces in the higher dose (113 mg/kg bw) group was 96.5</w:t>
      </w:r>
      <w:r>
        <w:rPr>
          <w:rFonts w:ascii="Verdana" w:hAnsi="Verdana"/>
          <w:sz w:val="20"/>
          <w:szCs w:val="20"/>
        </w:rPr>
        <w:t xml:space="preserve"> %</w:t>
      </w:r>
      <w:r w:rsidRPr="002C7E9E">
        <w:rPr>
          <w:rFonts w:ascii="Verdana" w:hAnsi="Verdana"/>
          <w:sz w:val="20"/>
          <w:szCs w:val="20"/>
        </w:rPr>
        <w:t xml:space="preserve"> for females (0.009</w:t>
      </w:r>
      <w:r>
        <w:rPr>
          <w:rFonts w:ascii="Verdana" w:hAnsi="Verdana"/>
          <w:sz w:val="20"/>
          <w:szCs w:val="20"/>
        </w:rPr>
        <w:t xml:space="preserve"> %</w:t>
      </w:r>
      <w:r w:rsidRPr="002C7E9E">
        <w:rPr>
          <w:rFonts w:ascii="Verdana" w:hAnsi="Verdana"/>
          <w:sz w:val="20"/>
          <w:szCs w:val="20"/>
        </w:rPr>
        <w:t xml:space="preserve"> in urine). This indicates a maximum absorption of 3.5</w:t>
      </w:r>
      <w:r>
        <w:rPr>
          <w:rFonts w:ascii="Verdana" w:hAnsi="Verdana"/>
          <w:sz w:val="20"/>
          <w:szCs w:val="20"/>
        </w:rPr>
        <w:t xml:space="preserve"> %</w:t>
      </w:r>
      <w:r w:rsidRPr="002C7E9E">
        <w:rPr>
          <w:rFonts w:ascii="Verdana" w:hAnsi="Verdana"/>
          <w:sz w:val="20"/>
          <w:szCs w:val="20"/>
        </w:rPr>
        <w:t xml:space="preserve"> in females. </w:t>
      </w:r>
    </w:p>
    <w:p w14:paraId="41C02229" w14:textId="77777777" w:rsidR="00937CDA" w:rsidRPr="002C7E9E" w:rsidRDefault="00937CDA" w:rsidP="00937CDA">
      <w:pPr>
        <w:pStyle w:val="EABodyText"/>
        <w:spacing w:after="120"/>
        <w:ind w:left="284" w:right="232"/>
        <w:jc w:val="both"/>
        <w:rPr>
          <w:rFonts w:ascii="Verdana" w:hAnsi="Verdana"/>
          <w:sz w:val="20"/>
          <w:szCs w:val="20"/>
        </w:rPr>
      </w:pPr>
      <w:r w:rsidRPr="002C7E9E">
        <w:rPr>
          <w:rFonts w:ascii="Verdana" w:hAnsi="Verdana"/>
          <w:sz w:val="20"/>
          <w:szCs w:val="20"/>
        </w:rPr>
        <w:t>Four days after single oral administration of 1 mg/kg bw to rats pre-treated with the non</w:t>
      </w:r>
      <w:r w:rsidR="00CA6B85">
        <w:rPr>
          <w:rFonts w:ascii="Verdana" w:hAnsi="Verdana"/>
          <w:sz w:val="20"/>
          <w:szCs w:val="20"/>
        </w:rPr>
        <w:t>-</w:t>
      </w:r>
      <w:r w:rsidRPr="002C7E9E">
        <w:rPr>
          <w:rFonts w:ascii="Verdana" w:hAnsi="Verdana"/>
          <w:sz w:val="20"/>
          <w:szCs w:val="20"/>
        </w:rPr>
        <w:t>labe</w:t>
      </w:r>
      <w:r w:rsidR="002F7A7E">
        <w:rPr>
          <w:rFonts w:ascii="Verdana" w:hAnsi="Verdana"/>
          <w:sz w:val="20"/>
          <w:szCs w:val="20"/>
        </w:rPr>
        <w:t>l</w:t>
      </w:r>
      <w:r w:rsidRPr="002C7E9E">
        <w:rPr>
          <w:rFonts w:ascii="Verdana" w:hAnsi="Verdana"/>
          <w:sz w:val="20"/>
          <w:szCs w:val="20"/>
        </w:rPr>
        <w:t>led substance at 1</w:t>
      </w:r>
      <w:r>
        <w:rPr>
          <w:rFonts w:ascii="Verdana" w:hAnsi="Verdana"/>
          <w:sz w:val="20"/>
          <w:szCs w:val="20"/>
        </w:rPr>
        <w:t xml:space="preserve"> %</w:t>
      </w:r>
      <w:r w:rsidRPr="002C7E9E">
        <w:rPr>
          <w:rFonts w:ascii="Verdana" w:hAnsi="Verdana"/>
          <w:sz w:val="20"/>
          <w:szCs w:val="20"/>
        </w:rPr>
        <w:t xml:space="preserve"> in diet for 14 days, 102</w:t>
      </w:r>
      <w:r>
        <w:rPr>
          <w:rFonts w:ascii="Verdana" w:hAnsi="Verdana"/>
          <w:sz w:val="20"/>
          <w:szCs w:val="20"/>
        </w:rPr>
        <w:t xml:space="preserve"> %</w:t>
      </w:r>
      <w:r w:rsidRPr="002C7E9E">
        <w:rPr>
          <w:rFonts w:ascii="Verdana" w:hAnsi="Verdana"/>
          <w:sz w:val="20"/>
          <w:szCs w:val="20"/>
        </w:rPr>
        <w:t xml:space="preserve"> of the dose was excreted in faeces (0.03</w:t>
      </w:r>
      <w:r>
        <w:rPr>
          <w:rFonts w:ascii="Verdana" w:hAnsi="Verdana"/>
          <w:sz w:val="20"/>
          <w:szCs w:val="20"/>
        </w:rPr>
        <w:t xml:space="preserve"> %</w:t>
      </w:r>
      <w:r w:rsidRPr="002C7E9E">
        <w:rPr>
          <w:rFonts w:ascii="Verdana" w:hAnsi="Verdana"/>
          <w:sz w:val="20"/>
          <w:szCs w:val="20"/>
        </w:rPr>
        <w:t xml:space="preserve"> in urine) indicating almost no absorption.</w:t>
      </w:r>
    </w:p>
    <w:p w14:paraId="02EB536B" w14:textId="77777777" w:rsidR="00937CDA" w:rsidRPr="002C7E9E" w:rsidRDefault="00937CDA" w:rsidP="00937CDA">
      <w:pPr>
        <w:pStyle w:val="EABodyText"/>
        <w:spacing w:after="120"/>
        <w:ind w:left="284" w:right="232"/>
        <w:jc w:val="both"/>
        <w:rPr>
          <w:rFonts w:ascii="Verdana" w:hAnsi="Verdana"/>
          <w:sz w:val="20"/>
          <w:szCs w:val="20"/>
        </w:rPr>
      </w:pPr>
      <w:r w:rsidRPr="002C7E9E">
        <w:rPr>
          <w:rFonts w:ascii="Verdana" w:hAnsi="Verdana"/>
          <w:sz w:val="20"/>
          <w:szCs w:val="20"/>
        </w:rPr>
        <w:t>Excretion in expired air amounted to 0.004</w:t>
      </w:r>
      <w:r>
        <w:rPr>
          <w:rFonts w:ascii="Verdana" w:hAnsi="Verdana"/>
          <w:sz w:val="20"/>
          <w:szCs w:val="20"/>
        </w:rPr>
        <w:t xml:space="preserve"> %</w:t>
      </w:r>
      <w:r w:rsidRPr="002C7E9E">
        <w:rPr>
          <w:rFonts w:ascii="Verdana" w:hAnsi="Verdana"/>
          <w:sz w:val="20"/>
          <w:szCs w:val="20"/>
        </w:rPr>
        <w:t xml:space="preserve"> of the administered dose within 4 days.</w:t>
      </w:r>
    </w:p>
    <w:p w14:paraId="18EBDF27" w14:textId="77777777" w:rsidR="00937CDA" w:rsidRPr="002C7E9E" w:rsidRDefault="00937CDA" w:rsidP="00937CDA">
      <w:pPr>
        <w:pStyle w:val="EABodyText"/>
        <w:spacing w:after="120"/>
        <w:ind w:left="284" w:right="232"/>
        <w:jc w:val="both"/>
        <w:rPr>
          <w:rFonts w:ascii="Verdana" w:hAnsi="Verdana"/>
          <w:sz w:val="20"/>
          <w:szCs w:val="20"/>
        </w:rPr>
      </w:pPr>
      <w:r w:rsidRPr="002C7E9E">
        <w:rPr>
          <w:rFonts w:ascii="Verdana" w:hAnsi="Verdana"/>
          <w:sz w:val="20"/>
          <w:szCs w:val="20"/>
        </w:rPr>
        <w:t>The concentrations in all organs and tissues investigated, besides liver and residual carcass, were below 1 ppm. At the high dose, the liver of females contained 1.66 ppm and the residual carcass contained 1.25 ppm. All organs and tissues besides liver and residual carcass contained well below 1</w:t>
      </w:r>
      <w:r>
        <w:rPr>
          <w:rFonts w:ascii="Verdana" w:hAnsi="Verdana"/>
          <w:sz w:val="20"/>
          <w:szCs w:val="20"/>
        </w:rPr>
        <w:t xml:space="preserve"> %</w:t>
      </w:r>
      <w:r w:rsidRPr="002C7E9E">
        <w:rPr>
          <w:rFonts w:ascii="Verdana" w:hAnsi="Verdana"/>
          <w:sz w:val="20"/>
          <w:szCs w:val="20"/>
        </w:rPr>
        <w:t xml:space="preserve"> of the dose. The livers of males and females at the low dose contained 1.60 and 2.29</w:t>
      </w:r>
      <w:r>
        <w:rPr>
          <w:rFonts w:ascii="Verdana" w:hAnsi="Verdana"/>
          <w:sz w:val="20"/>
          <w:szCs w:val="20"/>
        </w:rPr>
        <w:t xml:space="preserve"> %</w:t>
      </w:r>
      <w:r w:rsidRPr="002C7E9E">
        <w:rPr>
          <w:rFonts w:ascii="Verdana" w:hAnsi="Verdana"/>
          <w:sz w:val="20"/>
          <w:szCs w:val="20"/>
        </w:rPr>
        <w:t xml:space="preserve"> of the dose, respectively. The residual carcass of males and females at the low dose contained 5.09 and 5.05</w:t>
      </w:r>
      <w:r>
        <w:rPr>
          <w:rFonts w:ascii="Verdana" w:hAnsi="Verdana"/>
          <w:sz w:val="20"/>
          <w:szCs w:val="20"/>
        </w:rPr>
        <w:t xml:space="preserve"> %</w:t>
      </w:r>
      <w:r w:rsidRPr="002C7E9E">
        <w:rPr>
          <w:rFonts w:ascii="Verdana" w:hAnsi="Verdana"/>
          <w:sz w:val="20"/>
          <w:szCs w:val="20"/>
        </w:rPr>
        <w:t xml:space="preserve"> of the dose, respectively. The residual carcass of females at the high dose contained 0.90</w:t>
      </w:r>
      <w:r>
        <w:rPr>
          <w:rFonts w:ascii="Verdana" w:hAnsi="Verdana"/>
          <w:sz w:val="20"/>
          <w:szCs w:val="20"/>
        </w:rPr>
        <w:t xml:space="preserve"> %</w:t>
      </w:r>
      <w:r w:rsidRPr="002C7E9E">
        <w:rPr>
          <w:rFonts w:ascii="Verdana" w:hAnsi="Verdana"/>
          <w:sz w:val="20"/>
          <w:szCs w:val="20"/>
        </w:rPr>
        <w:t xml:space="preserve"> of the dose. The carcass of pre-treated females contained 4.44</w:t>
      </w:r>
      <w:r>
        <w:rPr>
          <w:rFonts w:ascii="Verdana" w:hAnsi="Verdana"/>
          <w:sz w:val="20"/>
          <w:szCs w:val="20"/>
        </w:rPr>
        <w:t xml:space="preserve"> %</w:t>
      </w:r>
      <w:r w:rsidRPr="002C7E9E">
        <w:rPr>
          <w:rFonts w:ascii="Verdana" w:hAnsi="Verdana"/>
          <w:sz w:val="20"/>
          <w:szCs w:val="20"/>
        </w:rPr>
        <w:t xml:space="preserve"> of the dose.</w:t>
      </w:r>
    </w:p>
    <w:p w14:paraId="2BDCA640" w14:textId="77777777" w:rsidR="00937CDA" w:rsidRPr="002C7E9E" w:rsidRDefault="00937CDA" w:rsidP="00937CDA">
      <w:pPr>
        <w:pStyle w:val="EABodyText"/>
        <w:spacing w:after="120"/>
        <w:ind w:left="284" w:right="232"/>
        <w:jc w:val="both"/>
        <w:rPr>
          <w:rFonts w:ascii="Verdana" w:hAnsi="Verdana"/>
          <w:sz w:val="20"/>
          <w:szCs w:val="20"/>
        </w:rPr>
      </w:pPr>
      <w:r w:rsidRPr="002C7E9E">
        <w:rPr>
          <w:rFonts w:ascii="Verdana" w:hAnsi="Verdana"/>
          <w:sz w:val="20"/>
          <w:szCs w:val="20"/>
        </w:rPr>
        <w:t>Metabolites were not investigated.</w:t>
      </w:r>
    </w:p>
    <w:p w14:paraId="4AE2AFE1" w14:textId="77777777" w:rsidR="00937CDA" w:rsidRPr="002C7E9E" w:rsidRDefault="00937CDA" w:rsidP="00937CDA">
      <w:pPr>
        <w:pStyle w:val="EABodyText"/>
        <w:spacing w:after="120"/>
        <w:ind w:left="284" w:right="232"/>
        <w:jc w:val="both"/>
        <w:rPr>
          <w:rFonts w:ascii="Verdana" w:hAnsi="Verdana"/>
          <w:sz w:val="20"/>
          <w:szCs w:val="20"/>
        </w:rPr>
      </w:pPr>
      <w:r w:rsidRPr="002C7E9E">
        <w:rPr>
          <w:rFonts w:ascii="Verdana" w:hAnsi="Verdana"/>
          <w:sz w:val="20"/>
          <w:szCs w:val="20"/>
        </w:rPr>
        <w:t xml:space="preserve">The Registrant concludes that “almost no” absorption occurs after oral administration to a single dose. </w:t>
      </w:r>
    </w:p>
    <w:p w14:paraId="75822147" w14:textId="77777777" w:rsidR="00937CDA" w:rsidRPr="002C7E9E" w:rsidRDefault="00937CDA" w:rsidP="00937CDA">
      <w:pPr>
        <w:pStyle w:val="EABodyText"/>
        <w:spacing w:after="120"/>
        <w:ind w:left="284" w:right="232"/>
        <w:jc w:val="both"/>
        <w:rPr>
          <w:rFonts w:ascii="Verdana" w:hAnsi="Verdana"/>
          <w:sz w:val="20"/>
          <w:szCs w:val="20"/>
        </w:rPr>
      </w:pPr>
    </w:p>
    <w:p w14:paraId="1C439921" w14:textId="77777777" w:rsidR="00937CDA" w:rsidRPr="002C7E9E" w:rsidRDefault="00937CDA" w:rsidP="00686834">
      <w:pPr>
        <w:pStyle w:val="EABodyText"/>
        <w:numPr>
          <w:ilvl w:val="0"/>
          <w:numId w:val="9"/>
        </w:numPr>
        <w:spacing w:after="120"/>
        <w:ind w:left="284" w:right="232"/>
        <w:jc w:val="both"/>
        <w:rPr>
          <w:rFonts w:ascii="Verdana" w:hAnsi="Verdana"/>
          <w:sz w:val="20"/>
          <w:szCs w:val="20"/>
        </w:rPr>
      </w:pPr>
      <w:r w:rsidRPr="002C7E9E">
        <w:rPr>
          <w:rFonts w:ascii="Verdana" w:hAnsi="Verdana"/>
          <w:sz w:val="20"/>
          <w:szCs w:val="20"/>
        </w:rPr>
        <w:lastRenderedPageBreak/>
        <w:t>The second unreferenced study, considered reliable with restrictions by the Registrant</w:t>
      </w:r>
      <w:r w:rsidRPr="002C7E9E" w:rsidDel="00A43C45">
        <w:rPr>
          <w:rFonts w:ascii="Verdana" w:hAnsi="Verdana"/>
          <w:sz w:val="20"/>
          <w:szCs w:val="20"/>
        </w:rPr>
        <w:t xml:space="preserve"> </w:t>
      </w:r>
      <w:r w:rsidRPr="002C7E9E">
        <w:rPr>
          <w:rFonts w:ascii="Verdana" w:hAnsi="Verdana"/>
          <w:sz w:val="20"/>
          <w:szCs w:val="20"/>
        </w:rPr>
        <w:t>(due to the small number of animals and detection of more than 100</w:t>
      </w:r>
      <w:r>
        <w:rPr>
          <w:rFonts w:ascii="Verdana" w:hAnsi="Verdana"/>
          <w:sz w:val="20"/>
          <w:szCs w:val="20"/>
        </w:rPr>
        <w:t xml:space="preserve"> %</w:t>
      </w:r>
      <w:r w:rsidRPr="002C7E9E">
        <w:rPr>
          <w:rFonts w:ascii="Verdana" w:hAnsi="Verdana"/>
          <w:sz w:val="20"/>
          <w:szCs w:val="20"/>
        </w:rPr>
        <w:t xml:space="preserve"> of the administered dose in the faeces) was performed in 1979. No guideline was followed and the study was not subject to GLP. Two groups of three Sprague-Dawley rats </w:t>
      </w:r>
      <w:r w:rsidR="00DD468E" w:rsidRPr="00516CAB">
        <w:rPr>
          <w:rFonts w:ascii="Verdana" w:hAnsi="Verdana"/>
          <w:sz w:val="20"/>
          <w:szCs w:val="20"/>
        </w:rPr>
        <w:t>(</w:t>
      </w:r>
      <w:r w:rsidR="00DD468E" w:rsidRPr="00516CAB">
        <w:rPr>
          <w:rFonts w:ascii="Verdana" w:hAnsi="Verdana"/>
          <w:i/>
          <w:sz w:val="20"/>
          <w:szCs w:val="20"/>
        </w:rPr>
        <w:t>R</w:t>
      </w:r>
      <w:r w:rsidR="00DD468E">
        <w:rPr>
          <w:rFonts w:ascii="Verdana" w:hAnsi="Verdana"/>
          <w:i/>
          <w:sz w:val="20"/>
          <w:szCs w:val="20"/>
        </w:rPr>
        <w:t>.</w:t>
      </w:r>
      <w:r w:rsidR="00DD468E" w:rsidRPr="00516CAB">
        <w:rPr>
          <w:rFonts w:ascii="Verdana" w:hAnsi="Verdana"/>
          <w:i/>
          <w:sz w:val="20"/>
          <w:szCs w:val="20"/>
        </w:rPr>
        <w:t xml:space="preserve"> norvegicus</w:t>
      </w:r>
      <w:r w:rsidR="00DD468E" w:rsidRPr="00516CAB">
        <w:rPr>
          <w:rFonts w:ascii="Verdana" w:hAnsi="Verdana"/>
          <w:sz w:val="20"/>
          <w:szCs w:val="20"/>
        </w:rPr>
        <w:t xml:space="preserve">) </w:t>
      </w:r>
      <w:r w:rsidRPr="002C7E9E">
        <w:rPr>
          <w:rFonts w:ascii="Verdana" w:hAnsi="Verdana"/>
          <w:sz w:val="20"/>
          <w:szCs w:val="20"/>
        </w:rPr>
        <w:t xml:space="preserve">each were given a single oral dose of 0.57 mg of </w:t>
      </w:r>
      <w:r w:rsidRPr="002C7E9E">
        <w:rPr>
          <w:rFonts w:ascii="Verdana" w:hAnsi="Verdana"/>
          <w:sz w:val="20"/>
          <w:szCs w:val="20"/>
          <w:vertAlign w:val="superscript"/>
        </w:rPr>
        <w:t>14</w:t>
      </w:r>
      <w:r w:rsidRPr="002C7E9E">
        <w:rPr>
          <w:rFonts w:ascii="Verdana" w:hAnsi="Verdana"/>
          <w:sz w:val="20"/>
          <w:szCs w:val="20"/>
        </w:rPr>
        <w:t>C-radiolabeled Dechlorane Plus (27.6 µCi in 0.5 mL) (purity stated to be the same as the commercial substance) suspended in water with 5</w:t>
      </w:r>
      <w:r>
        <w:rPr>
          <w:rFonts w:ascii="Verdana" w:hAnsi="Verdana"/>
          <w:sz w:val="20"/>
          <w:szCs w:val="20"/>
        </w:rPr>
        <w:t xml:space="preserve"> %</w:t>
      </w:r>
      <w:r w:rsidRPr="002C7E9E">
        <w:rPr>
          <w:rFonts w:ascii="Verdana" w:hAnsi="Verdana"/>
          <w:sz w:val="20"/>
          <w:szCs w:val="20"/>
        </w:rPr>
        <w:t xml:space="preserve"> Tween 80 and 5</w:t>
      </w:r>
      <w:r>
        <w:rPr>
          <w:rFonts w:ascii="Verdana" w:hAnsi="Verdana"/>
          <w:sz w:val="20"/>
          <w:szCs w:val="20"/>
        </w:rPr>
        <w:t xml:space="preserve"> %</w:t>
      </w:r>
      <w:r w:rsidRPr="002C7E9E">
        <w:rPr>
          <w:rFonts w:ascii="Verdana" w:hAnsi="Verdana"/>
          <w:sz w:val="20"/>
          <w:szCs w:val="20"/>
        </w:rPr>
        <w:t xml:space="preserve"> gum arabic. Three rats were killed 4 hours after administration and the remainder after 24 hours, and Dechlorane Plus was determined by liquid scintillation in blood, kidneys, liver, urine, and faeces.</w:t>
      </w:r>
    </w:p>
    <w:p w14:paraId="68565609" w14:textId="77777777" w:rsidR="00937CDA" w:rsidRPr="002C7E9E" w:rsidRDefault="00937CDA" w:rsidP="00937CDA">
      <w:pPr>
        <w:pStyle w:val="EABodyText"/>
        <w:spacing w:after="120"/>
        <w:ind w:left="284" w:right="232"/>
        <w:jc w:val="both"/>
        <w:rPr>
          <w:rFonts w:ascii="Verdana" w:hAnsi="Verdana"/>
          <w:sz w:val="20"/>
          <w:szCs w:val="20"/>
        </w:rPr>
      </w:pPr>
      <w:r w:rsidRPr="002C7E9E">
        <w:rPr>
          <w:rFonts w:ascii="Verdana" w:hAnsi="Verdana"/>
          <w:sz w:val="20"/>
          <w:szCs w:val="20"/>
        </w:rPr>
        <w:t>Within 4 hours after oral administration, less than 0.1</w:t>
      </w:r>
      <w:r>
        <w:rPr>
          <w:rFonts w:ascii="Verdana" w:hAnsi="Verdana"/>
          <w:sz w:val="20"/>
          <w:szCs w:val="20"/>
        </w:rPr>
        <w:t xml:space="preserve"> %</w:t>
      </w:r>
      <w:r w:rsidRPr="002C7E9E">
        <w:rPr>
          <w:rFonts w:ascii="Verdana" w:hAnsi="Verdana"/>
          <w:sz w:val="20"/>
          <w:szCs w:val="20"/>
        </w:rPr>
        <w:t xml:space="preserve"> was excreted in urine. At 24 hours, less than 1</w:t>
      </w:r>
      <w:r>
        <w:rPr>
          <w:rFonts w:ascii="Verdana" w:hAnsi="Verdana"/>
          <w:sz w:val="20"/>
          <w:szCs w:val="20"/>
        </w:rPr>
        <w:t xml:space="preserve"> %</w:t>
      </w:r>
      <w:r w:rsidRPr="002C7E9E">
        <w:rPr>
          <w:rFonts w:ascii="Verdana" w:hAnsi="Verdana"/>
          <w:sz w:val="20"/>
          <w:szCs w:val="20"/>
        </w:rPr>
        <w:t xml:space="preserve"> had been excreted in urine, and a mean of 94.6</w:t>
      </w:r>
      <w:r>
        <w:rPr>
          <w:rFonts w:ascii="Verdana" w:hAnsi="Verdana"/>
          <w:sz w:val="20"/>
          <w:szCs w:val="20"/>
        </w:rPr>
        <w:t xml:space="preserve"> %</w:t>
      </w:r>
      <w:r w:rsidRPr="002C7E9E">
        <w:rPr>
          <w:rFonts w:ascii="Verdana" w:hAnsi="Verdana"/>
          <w:sz w:val="20"/>
          <w:szCs w:val="20"/>
        </w:rPr>
        <w:t xml:space="preserve"> (</w:t>
      </w:r>
      <w:r>
        <w:rPr>
          <w:rFonts w:ascii="Verdana" w:hAnsi="Verdana"/>
          <w:sz w:val="20"/>
          <w:szCs w:val="20"/>
        </w:rPr>
        <w:t xml:space="preserve">range: </w:t>
      </w:r>
      <w:r w:rsidRPr="002C7E9E">
        <w:rPr>
          <w:rFonts w:ascii="Verdana" w:hAnsi="Verdana"/>
          <w:sz w:val="20"/>
          <w:szCs w:val="20"/>
        </w:rPr>
        <w:t>76.1</w:t>
      </w:r>
      <w:r>
        <w:rPr>
          <w:rFonts w:ascii="Verdana" w:hAnsi="Verdana"/>
          <w:sz w:val="20"/>
          <w:szCs w:val="20"/>
        </w:rPr>
        <w:t xml:space="preserve"> –</w:t>
      </w:r>
      <w:r w:rsidRPr="002C7E9E">
        <w:rPr>
          <w:rFonts w:ascii="Verdana" w:hAnsi="Verdana"/>
          <w:sz w:val="20"/>
          <w:szCs w:val="20"/>
        </w:rPr>
        <w:t xml:space="preserve"> 104.8</w:t>
      </w:r>
      <w:r>
        <w:rPr>
          <w:rFonts w:ascii="Verdana" w:hAnsi="Verdana"/>
          <w:sz w:val="20"/>
          <w:szCs w:val="20"/>
        </w:rPr>
        <w:t xml:space="preserve"> %</w:t>
      </w:r>
      <w:r w:rsidRPr="002C7E9E">
        <w:rPr>
          <w:rFonts w:ascii="Verdana" w:hAnsi="Verdana"/>
          <w:sz w:val="20"/>
          <w:szCs w:val="20"/>
        </w:rPr>
        <w:t>) of the administered dose was excreted in faeces, indicating a maximum absorption of around 5.4</w:t>
      </w:r>
      <w:r>
        <w:rPr>
          <w:rFonts w:ascii="Verdana" w:hAnsi="Verdana"/>
          <w:sz w:val="20"/>
          <w:szCs w:val="20"/>
        </w:rPr>
        <w:t xml:space="preserve"> %</w:t>
      </w:r>
      <w:r w:rsidRPr="002C7E9E">
        <w:rPr>
          <w:rFonts w:ascii="Verdana" w:hAnsi="Verdana"/>
          <w:sz w:val="20"/>
          <w:szCs w:val="20"/>
        </w:rPr>
        <w:t>. The sum of total radioactivity detected in blood, kidneys, liver, and urine was at or below 6</w:t>
      </w:r>
      <w:r>
        <w:rPr>
          <w:rFonts w:ascii="Verdana" w:hAnsi="Verdana"/>
          <w:sz w:val="20"/>
          <w:szCs w:val="20"/>
        </w:rPr>
        <w:t xml:space="preserve"> %</w:t>
      </w:r>
      <w:r w:rsidRPr="002C7E9E">
        <w:rPr>
          <w:rFonts w:ascii="Verdana" w:hAnsi="Verdana"/>
          <w:sz w:val="20"/>
          <w:szCs w:val="20"/>
        </w:rPr>
        <w:t xml:space="preserve"> of the total dose.</w:t>
      </w:r>
    </w:p>
    <w:p w14:paraId="532F894F" w14:textId="77777777" w:rsidR="00937CDA" w:rsidRPr="002C7E9E" w:rsidRDefault="00937CDA" w:rsidP="00937CDA">
      <w:pPr>
        <w:pStyle w:val="EABodyText"/>
        <w:spacing w:after="120"/>
        <w:ind w:left="284" w:right="232"/>
        <w:jc w:val="both"/>
        <w:rPr>
          <w:rFonts w:ascii="Verdana" w:hAnsi="Verdana"/>
          <w:sz w:val="20"/>
          <w:szCs w:val="20"/>
        </w:rPr>
      </w:pPr>
      <w:r w:rsidRPr="002C7E9E">
        <w:rPr>
          <w:rFonts w:ascii="Verdana" w:hAnsi="Verdana"/>
          <w:sz w:val="20"/>
          <w:szCs w:val="20"/>
        </w:rPr>
        <w:t>Blood (total blood volume) contained less than 2</w:t>
      </w:r>
      <w:r>
        <w:rPr>
          <w:rFonts w:ascii="Verdana" w:hAnsi="Verdana"/>
          <w:sz w:val="20"/>
          <w:szCs w:val="20"/>
        </w:rPr>
        <w:t xml:space="preserve"> %</w:t>
      </w:r>
      <w:r w:rsidRPr="002C7E9E">
        <w:rPr>
          <w:rFonts w:ascii="Verdana" w:hAnsi="Verdana"/>
          <w:sz w:val="20"/>
          <w:szCs w:val="20"/>
        </w:rPr>
        <w:t>, kidneys contained less than 1</w:t>
      </w:r>
      <w:r>
        <w:rPr>
          <w:rFonts w:ascii="Verdana" w:hAnsi="Verdana"/>
          <w:sz w:val="20"/>
          <w:szCs w:val="20"/>
        </w:rPr>
        <w:t xml:space="preserve"> %</w:t>
      </w:r>
      <w:r w:rsidRPr="002C7E9E">
        <w:rPr>
          <w:rFonts w:ascii="Verdana" w:hAnsi="Verdana"/>
          <w:sz w:val="20"/>
          <w:szCs w:val="20"/>
        </w:rPr>
        <w:t>, and liver contained less than 5</w:t>
      </w:r>
      <w:r>
        <w:rPr>
          <w:rFonts w:ascii="Verdana" w:hAnsi="Verdana"/>
          <w:sz w:val="20"/>
          <w:szCs w:val="20"/>
        </w:rPr>
        <w:t xml:space="preserve"> %</w:t>
      </w:r>
      <w:r w:rsidRPr="002C7E9E">
        <w:rPr>
          <w:rFonts w:ascii="Verdana" w:hAnsi="Verdana"/>
          <w:sz w:val="20"/>
          <w:szCs w:val="20"/>
        </w:rPr>
        <w:t xml:space="preserve"> of the administered dose.</w:t>
      </w:r>
    </w:p>
    <w:p w14:paraId="61B38712" w14:textId="77777777" w:rsidR="00937CDA" w:rsidRPr="002C7E9E" w:rsidRDefault="00937CDA" w:rsidP="00937CDA">
      <w:pPr>
        <w:pStyle w:val="EABodyText"/>
        <w:spacing w:after="120"/>
        <w:ind w:left="284" w:right="232"/>
        <w:jc w:val="both"/>
        <w:rPr>
          <w:rFonts w:ascii="Verdana" w:hAnsi="Verdana"/>
          <w:sz w:val="20"/>
          <w:szCs w:val="20"/>
        </w:rPr>
      </w:pPr>
      <w:r w:rsidRPr="002C7E9E">
        <w:rPr>
          <w:rFonts w:ascii="Verdana" w:hAnsi="Verdana"/>
          <w:sz w:val="20"/>
          <w:szCs w:val="20"/>
        </w:rPr>
        <w:t>One metabolite was found in the liver but its identity and concentration was not reported.</w:t>
      </w:r>
    </w:p>
    <w:p w14:paraId="3F51A28B" w14:textId="77777777" w:rsidR="00937CDA" w:rsidRPr="002C7E9E" w:rsidRDefault="00937CDA" w:rsidP="00937CDA">
      <w:pPr>
        <w:pStyle w:val="EABodyText"/>
        <w:spacing w:after="120"/>
        <w:ind w:left="284" w:right="232"/>
        <w:jc w:val="both"/>
        <w:rPr>
          <w:rFonts w:ascii="Verdana" w:hAnsi="Verdana"/>
          <w:sz w:val="20"/>
          <w:szCs w:val="20"/>
        </w:rPr>
      </w:pPr>
      <w:r w:rsidRPr="002C7E9E">
        <w:rPr>
          <w:rFonts w:ascii="Verdana" w:hAnsi="Verdana"/>
          <w:sz w:val="20"/>
          <w:szCs w:val="20"/>
        </w:rPr>
        <w:t>The Registrant concludes that Dechlorane Plus is poorly absorbed after oral administration, at a maximum of 6</w:t>
      </w:r>
      <w:r>
        <w:rPr>
          <w:rFonts w:ascii="Verdana" w:hAnsi="Verdana"/>
          <w:sz w:val="20"/>
          <w:szCs w:val="20"/>
        </w:rPr>
        <w:t xml:space="preserve"> %</w:t>
      </w:r>
      <w:r w:rsidRPr="002C7E9E">
        <w:rPr>
          <w:rFonts w:ascii="Verdana" w:hAnsi="Verdana"/>
          <w:sz w:val="20"/>
          <w:szCs w:val="20"/>
        </w:rPr>
        <w:t xml:space="preserve"> of the administered dose. Highest concentrations are found in the liver. </w:t>
      </w:r>
    </w:p>
    <w:p w14:paraId="39D582A4" w14:textId="77777777" w:rsidR="00516CAB" w:rsidRDefault="00516CAB" w:rsidP="00516CAB">
      <w:pPr>
        <w:pStyle w:val="NoSpacing"/>
        <w:autoSpaceDE w:val="0"/>
        <w:autoSpaceDN w:val="0"/>
        <w:adjustRightInd w:val="0"/>
        <w:spacing w:after="120"/>
        <w:ind w:left="426" w:right="374"/>
        <w:jc w:val="both"/>
        <w:rPr>
          <w:lang w:eastAsia="en-GB"/>
        </w:rPr>
      </w:pPr>
    </w:p>
    <w:p w14:paraId="4F01A6BE" w14:textId="77777777" w:rsidR="00516CAB" w:rsidRPr="00516CAB" w:rsidRDefault="00516CAB" w:rsidP="00686834">
      <w:pPr>
        <w:pStyle w:val="EABodyText"/>
        <w:numPr>
          <w:ilvl w:val="0"/>
          <w:numId w:val="9"/>
        </w:numPr>
        <w:spacing w:after="120"/>
        <w:ind w:left="284" w:right="232"/>
        <w:jc w:val="both"/>
        <w:rPr>
          <w:rFonts w:ascii="Verdana" w:hAnsi="Verdana"/>
          <w:sz w:val="20"/>
          <w:szCs w:val="20"/>
          <w:lang w:eastAsia="en-US"/>
        </w:rPr>
      </w:pPr>
      <w:r>
        <w:rPr>
          <w:rFonts w:ascii="Verdana" w:hAnsi="Verdana"/>
          <w:sz w:val="20"/>
          <w:szCs w:val="20"/>
        </w:rPr>
        <w:t xml:space="preserve">A third </w:t>
      </w:r>
      <w:r w:rsidRPr="00516CAB">
        <w:rPr>
          <w:rFonts w:ascii="Verdana" w:hAnsi="Verdana"/>
          <w:sz w:val="20"/>
          <w:szCs w:val="20"/>
        </w:rPr>
        <w:t xml:space="preserve">study missing from the </w:t>
      </w:r>
      <w:r w:rsidRPr="00516CAB">
        <w:rPr>
          <w:rFonts w:ascii="Verdana" w:hAnsi="Verdana"/>
          <w:color w:val="000000"/>
          <w:sz w:val="20"/>
          <w:szCs w:val="20"/>
        </w:rPr>
        <w:t xml:space="preserve">registration dossier is </w:t>
      </w:r>
      <w:r w:rsidRPr="00516CAB">
        <w:rPr>
          <w:rFonts w:ascii="Verdana" w:hAnsi="Verdana"/>
          <w:sz w:val="20"/>
          <w:szCs w:val="20"/>
        </w:rPr>
        <w:t xml:space="preserve">Li </w:t>
      </w:r>
      <w:r w:rsidRPr="00516CAB">
        <w:rPr>
          <w:rFonts w:ascii="Verdana" w:hAnsi="Verdana"/>
          <w:i/>
          <w:sz w:val="20"/>
          <w:szCs w:val="20"/>
        </w:rPr>
        <w:t>et al</w:t>
      </w:r>
      <w:r w:rsidRPr="00516CAB">
        <w:rPr>
          <w:rFonts w:ascii="Verdana" w:hAnsi="Verdana"/>
          <w:sz w:val="20"/>
          <w:szCs w:val="20"/>
        </w:rPr>
        <w:t>. (2013b)</w:t>
      </w:r>
      <w:r>
        <w:rPr>
          <w:rFonts w:ascii="Verdana" w:hAnsi="Verdana"/>
          <w:sz w:val="20"/>
          <w:szCs w:val="20"/>
        </w:rPr>
        <w:t>, who</w:t>
      </w:r>
      <w:r w:rsidRPr="00516CAB">
        <w:rPr>
          <w:rFonts w:ascii="Verdana" w:hAnsi="Verdana"/>
          <w:sz w:val="20"/>
          <w:szCs w:val="20"/>
        </w:rPr>
        <w:t xml:space="preserve"> exposed male Sprague–Dawley rats (</w:t>
      </w:r>
      <w:r w:rsidRPr="00516CAB">
        <w:rPr>
          <w:rFonts w:ascii="Verdana" w:hAnsi="Verdana"/>
          <w:i/>
          <w:sz w:val="20"/>
          <w:szCs w:val="20"/>
        </w:rPr>
        <w:t>R</w:t>
      </w:r>
      <w:r w:rsidR="00DD468E">
        <w:rPr>
          <w:rFonts w:ascii="Verdana" w:hAnsi="Verdana"/>
          <w:i/>
          <w:sz w:val="20"/>
          <w:szCs w:val="20"/>
        </w:rPr>
        <w:t>.</w:t>
      </w:r>
      <w:r w:rsidRPr="00516CAB">
        <w:rPr>
          <w:rFonts w:ascii="Verdana" w:hAnsi="Verdana"/>
          <w:i/>
          <w:sz w:val="20"/>
          <w:szCs w:val="20"/>
        </w:rPr>
        <w:t xml:space="preserve"> norvegicus</w:t>
      </w:r>
      <w:r w:rsidRPr="00516CAB">
        <w:rPr>
          <w:rFonts w:ascii="Verdana" w:hAnsi="Verdana"/>
          <w:sz w:val="20"/>
          <w:szCs w:val="20"/>
        </w:rPr>
        <w:t>) (35 days’ old with an average weight of 110 g) to commercial Dechlorane Plus mixed in corn oil by oral gavage for 90 days at different doses (0, 1, 10, and 100 mg/kg/d). Another group was exposed to 100 mg/kg/d of the substance for 45 days followed by 45 days’ depuration, together with a control group that was fed uncontaminated food. Forty-two animals were used in all. Liver, muscle and serum samples were analysed using GC-MS. The LoDs for the anti- and syn- isomers were 70.44 and 108.31 µg/kg lw in muscle/liver, and 0.054 and 0.20 ng/mL in serum, respectively.</w:t>
      </w:r>
    </w:p>
    <w:p w14:paraId="0D66A6B6" w14:textId="77777777" w:rsidR="00516CAB" w:rsidRPr="00516CAB" w:rsidRDefault="00516CAB" w:rsidP="00516CAB">
      <w:pPr>
        <w:pStyle w:val="EABodyText"/>
        <w:spacing w:after="120"/>
        <w:ind w:left="284" w:right="232"/>
        <w:jc w:val="both"/>
        <w:rPr>
          <w:rFonts w:ascii="Verdana" w:hAnsi="Verdana"/>
          <w:color w:val="000000"/>
          <w:sz w:val="20"/>
          <w:szCs w:val="20"/>
        </w:rPr>
      </w:pPr>
      <w:r w:rsidRPr="00516CAB">
        <w:rPr>
          <w:rFonts w:ascii="Verdana" w:hAnsi="Verdana"/>
          <w:color w:val="000000"/>
          <w:sz w:val="20"/>
          <w:szCs w:val="20"/>
        </w:rPr>
        <w:t xml:space="preserve">Both </w:t>
      </w:r>
      <w:r w:rsidRPr="00516CAB">
        <w:rPr>
          <w:rFonts w:ascii="Verdana" w:hAnsi="Verdana"/>
          <w:sz w:val="20"/>
          <w:szCs w:val="20"/>
        </w:rPr>
        <w:t>isomers</w:t>
      </w:r>
      <w:r w:rsidRPr="00516CAB">
        <w:rPr>
          <w:rFonts w:ascii="Verdana" w:hAnsi="Verdana"/>
          <w:color w:val="000000"/>
          <w:sz w:val="20"/>
          <w:szCs w:val="20"/>
        </w:rPr>
        <w:t xml:space="preserve"> were detected in all of the tissues measured in the control group at the end of the 90-day exposure period (average concentrations in liver were 2.8 ± 1.2 and 0.9 ± 0.4 mg/kg lw for the anti- and syn- isomer, respectively according to the paper, but the supplementary data give slightly different values), indicating a background level of exposure (e.g. from feed or air-borne dust). DP-1Cl and DP-2Cl were not detected in the control group (LoDs for anti-DP-1Cl were 0.98 µg/kg lw in muscle and liver, and 0.042 ng/mL in serum, respectively).</w:t>
      </w:r>
    </w:p>
    <w:p w14:paraId="361645DF" w14:textId="77777777" w:rsidR="00516CAB" w:rsidRPr="00516CAB" w:rsidRDefault="00516CAB" w:rsidP="00516CAB">
      <w:pPr>
        <w:pStyle w:val="EABodyText"/>
        <w:spacing w:after="120"/>
        <w:ind w:left="284" w:right="232"/>
        <w:jc w:val="both"/>
        <w:rPr>
          <w:rFonts w:ascii="Verdana" w:hAnsi="Verdana"/>
          <w:color w:val="000000"/>
          <w:sz w:val="20"/>
          <w:szCs w:val="20"/>
        </w:rPr>
      </w:pPr>
      <w:r w:rsidRPr="00516CAB">
        <w:rPr>
          <w:rFonts w:ascii="Verdana" w:hAnsi="Verdana"/>
          <w:color w:val="000000"/>
          <w:sz w:val="20"/>
          <w:szCs w:val="20"/>
        </w:rPr>
        <w:t>In the exposure groups, the highest concentrations of both isomers were detected in liver from the 100 mg/kg/d dose group, at 320 ± 49 mg/kg lw for the anti- isomer and 750 ± 120 mg/kg lw for the syn- isomer (i.e. total concentrat</w:t>
      </w:r>
      <w:r w:rsidR="00DB7126">
        <w:rPr>
          <w:rFonts w:ascii="Verdana" w:hAnsi="Verdana"/>
          <w:color w:val="000000"/>
          <w:sz w:val="20"/>
          <w:szCs w:val="20"/>
        </w:rPr>
        <w:t xml:space="preserve">ion ~1 </w:t>
      </w:r>
      <w:r w:rsidRPr="00516CAB">
        <w:rPr>
          <w:rFonts w:ascii="Verdana" w:hAnsi="Verdana"/>
          <w:color w:val="000000"/>
          <w:sz w:val="20"/>
          <w:szCs w:val="20"/>
        </w:rPr>
        <w:t xml:space="preserve">000 mg/kg lw). These levels were 12–15 times higher than in muscle and around 5 times higher than in serum from the same group. In liver, the concentration of both isomers increased with the dose. However, in muscle, the highest concentration of the syn- isomer occurred in the 10 mg/kg/d group (~85 mg/kg lw).  Some of the statements in the paper about highest concentrations of the anti- isomer and in other tissues do not seem to match the information provided in the supplementary data. </w:t>
      </w:r>
    </w:p>
    <w:p w14:paraId="0F8346DE" w14:textId="77777777" w:rsidR="00516CAB" w:rsidRPr="00516CAB" w:rsidRDefault="00516CAB" w:rsidP="00516CAB">
      <w:pPr>
        <w:pStyle w:val="EABodyText"/>
        <w:spacing w:after="120"/>
        <w:ind w:left="284" w:right="232"/>
        <w:jc w:val="both"/>
        <w:rPr>
          <w:rFonts w:ascii="Verdana" w:hAnsi="Verdana"/>
          <w:color w:val="000000"/>
          <w:sz w:val="20"/>
          <w:szCs w:val="20"/>
        </w:rPr>
      </w:pPr>
      <w:r w:rsidRPr="00516CAB">
        <w:rPr>
          <w:rFonts w:ascii="Verdana" w:hAnsi="Verdana"/>
          <w:color w:val="000000"/>
          <w:sz w:val="20"/>
          <w:szCs w:val="20"/>
        </w:rPr>
        <w:t xml:space="preserve">The concentration ratio of the anti- isomer to total isomers was similar to the commercial substance in the 1 mg/kg/d group, but significantly decreased in the two higher dose groups, suggesting enrichment of the syn- isomer with increasing dose. </w:t>
      </w:r>
    </w:p>
    <w:p w14:paraId="3A4277BC" w14:textId="77777777" w:rsidR="00516CAB" w:rsidRPr="00516CAB" w:rsidRDefault="00516CAB" w:rsidP="00516CAB">
      <w:pPr>
        <w:pStyle w:val="EABodyText"/>
        <w:spacing w:after="120"/>
        <w:ind w:left="284" w:right="232"/>
        <w:jc w:val="both"/>
        <w:rPr>
          <w:rFonts w:ascii="Verdana" w:hAnsi="Verdana"/>
          <w:color w:val="000000"/>
          <w:sz w:val="20"/>
          <w:szCs w:val="20"/>
        </w:rPr>
      </w:pPr>
      <w:r w:rsidRPr="00516CAB">
        <w:rPr>
          <w:rFonts w:ascii="Verdana" w:hAnsi="Verdana"/>
          <w:color w:val="000000"/>
          <w:sz w:val="20"/>
          <w:szCs w:val="20"/>
        </w:rPr>
        <w:t xml:space="preserve">The highest average concentration of syn-DP-1Cl and anti-DP-1Cl occurred in liver in the 100 mg/kg/d group, reaching 140 ± 51 and 480 ± 170 µg/kg lw, respectively. Average concentrations were 5-8 times lower in muscle in the same group, but whereas levels in </w:t>
      </w:r>
      <w:r w:rsidRPr="00516CAB">
        <w:rPr>
          <w:rFonts w:ascii="Verdana" w:hAnsi="Verdana"/>
          <w:color w:val="000000"/>
          <w:sz w:val="20"/>
          <w:szCs w:val="20"/>
        </w:rPr>
        <w:lastRenderedPageBreak/>
        <w:t>liver increased with dose, levels in muscle remained fairly constant. Two additional unidentified substances were detected in liver as well as in the commercial substance.</w:t>
      </w:r>
    </w:p>
    <w:p w14:paraId="22F82CE8" w14:textId="77777777" w:rsidR="00516CAB" w:rsidRPr="00516CAB" w:rsidRDefault="00516CAB" w:rsidP="00516CAB">
      <w:pPr>
        <w:pStyle w:val="EABodyText"/>
        <w:spacing w:after="120"/>
        <w:ind w:left="284" w:right="232"/>
        <w:jc w:val="both"/>
        <w:rPr>
          <w:rFonts w:ascii="Verdana" w:hAnsi="Verdana"/>
          <w:color w:val="000000"/>
          <w:sz w:val="20"/>
          <w:szCs w:val="20"/>
        </w:rPr>
      </w:pPr>
      <w:r w:rsidRPr="00516CAB">
        <w:rPr>
          <w:rFonts w:ascii="Verdana" w:hAnsi="Verdana"/>
          <w:color w:val="000000"/>
          <w:sz w:val="20"/>
          <w:szCs w:val="20"/>
        </w:rPr>
        <w:t xml:space="preserve">The treatment group that was exposed to 100 mg/kg/d for 45 days accumulated a lower amount of total isomers in the liver compared to the animals exposed for 90 days (achieving an average total liver concentration of ~310 mg/kg lw). This suggests that residues increase with longer exposure times. The amounts of both isomers in muscle and liver showed no statistically significant change during depuration, although levels in serum decreased significantly. The content ratio of syn- and anti- isomers in liver to those in liver plus muscle significantly increased after depuration compared with the end of the uptake phase. These data suggest that Dechlorane Plus is more prone to accumulate in liver or that the elimination rate in liver is lower than that in muscle. The content of both syn- and anti-DP-1Cl in the liver decreased significantly after depuration and neither was detected in serum after depuration. The elimination half-life of the syn- isomer was about 179 days in liver, 44 days in muscle and 24 days in serum. The elimination half-life of the anti- isomer was 54 days in muscle and 25 days in serum (the figure for liver is not provided as the concentration increased during the depuration phase, although not significantly). </w:t>
      </w:r>
    </w:p>
    <w:p w14:paraId="25DF904E" w14:textId="77777777" w:rsidR="00516CAB" w:rsidRPr="00516CAB" w:rsidRDefault="00516CAB" w:rsidP="00516CAB">
      <w:pPr>
        <w:pStyle w:val="EABodyText"/>
        <w:spacing w:after="120"/>
        <w:ind w:left="284" w:right="232"/>
        <w:jc w:val="both"/>
        <w:rPr>
          <w:rFonts w:ascii="Verdana" w:hAnsi="Verdana"/>
          <w:color w:val="000000"/>
          <w:sz w:val="20"/>
          <w:szCs w:val="20"/>
        </w:rPr>
      </w:pPr>
      <w:r w:rsidRPr="00516CAB">
        <w:rPr>
          <w:rFonts w:ascii="Verdana" w:hAnsi="Verdana"/>
          <w:color w:val="000000"/>
          <w:sz w:val="20"/>
          <w:szCs w:val="20"/>
        </w:rPr>
        <w:t xml:space="preserve">In conclusion, both isomers </w:t>
      </w:r>
      <w:r w:rsidRPr="00516CAB">
        <w:rPr>
          <w:rFonts w:ascii="Verdana" w:hAnsi="Verdana"/>
          <w:sz w:val="20"/>
          <w:szCs w:val="20"/>
        </w:rPr>
        <w:t xml:space="preserve">preferentially </w:t>
      </w:r>
      <w:r w:rsidRPr="00516CAB">
        <w:rPr>
          <w:rFonts w:ascii="Verdana" w:hAnsi="Verdana"/>
          <w:color w:val="000000"/>
          <w:sz w:val="20"/>
          <w:szCs w:val="20"/>
        </w:rPr>
        <w:t>accumulate in liver rather than muscle or blood, and have a long elimination half-life in rats. Residues appear to increase with longer exposure times – it is not known how long it would take to achieve a steady state.</w:t>
      </w:r>
    </w:p>
    <w:p w14:paraId="0CAFD9E1" w14:textId="77777777" w:rsidR="00937CDA" w:rsidRPr="002C7E9E" w:rsidRDefault="00937CDA" w:rsidP="00937CDA">
      <w:pPr>
        <w:pStyle w:val="BodyText"/>
        <w:spacing w:before="240"/>
        <w:rPr>
          <w:b/>
          <w:i/>
        </w:rPr>
      </w:pPr>
      <w:r w:rsidRPr="002C7E9E">
        <w:rPr>
          <w:b/>
          <w:i/>
        </w:rPr>
        <w:t xml:space="preserve">Discussion </w:t>
      </w:r>
    </w:p>
    <w:p w14:paraId="51464289" w14:textId="77777777" w:rsidR="00937CDA" w:rsidRPr="002C7E9E" w:rsidRDefault="00937CDA" w:rsidP="0018708A">
      <w:pPr>
        <w:pStyle w:val="NoSpacing"/>
        <w:autoSpaceDE w:val="0"/>
        <w:autoSpaceDN w:val="0"/>
        <w:adjustRightInd w:val="0"/>
        <w:spacing w:after="120"/>
        <w:ind w:right="-46"/>
        <w:jc w:val="both"/>
      </w:pPr>
      <w:r>
        <w:t xml:space="preserve">Based on the two studies summarised </w:t>
      </w:r>
      <w:r w:rsidR="00516CAB">
        <w:t>in the registration dossier</w:t>
      </w:r>
      <w:r>
        <w:t xml:space="preserve">, </w:t>
      </w:r>
      <w:r w:rsidRPr="002C7E9E">
        <w:t>a single oral dose of 1 mg/kg bw in rats may lead to a maximum absorption of between 5 and 20</w:t>
      </w:r>
      <w:r>
        <w:t xml:space="preserve"> </w:t>
      </w:r>
      <w:r w:rsidRPr="002C7E9E">
        <w:t>%. Higher doses, or dosing following 14 days’ prior exposure suggest a lower level of absorption, although if the substance was present as microcrystals in the vehicle, the nominal concentrations might not reflect actual exposure to dissolved substance. About 90</w:t>
      </w:r>
      <w:r>
        <w:t xml:space="preserve"> </w:t>
      </w:r>
      <w:r w:rsidRPr="002C7E9E">
        <w:t>% of the substance is excreted unchanged in faeces (excretion in urine and expired air is below 0.1</w:t>
      </w:r>
      <w:r>
        <w:t xml:space="preserve"> </w:t>
      </w:r>
      <w:r w:rsidRPr="002C7E9E">
        <w:t>%). The absorbed substance is widely distributed in the body, with the highest concentration in liver. Four days after administration, between 1</w:t>
      </w:r>
      <w:r>
        <w:t xml:space="preserve"> </w:t>
      </w:r>
      <w:r w:rsidRPr="002C7E9E">
        <w:t>% and 10</w:t>
      </w:r>
      <w:r>
        <w:t xml:space="preserve"> </w:t>
      </w:r>
      <w:r w:rsidRPr="002C7E9E">
        <w:t>% of the administered dose was found in the carcass. Levels of around 1 – 2 ppm [mg/kg] may be reached in both liver and the residual carcass.</w:t>
      </w:r>
    </w:p>
    <w:bookmarkEnd w:id="643"/>
    <w:bookmarkEnd w:id="644"/>
    <w:bookmarkEnd w:id="645"/>
    <w:bookmarkEnd w:id="646"/>
    <w:bookmarkEnd w:id="647"/>
    <w:bookmarkEnd w:id="648"/>
    <w:bookmarkEnd w:id="649"/>
    <w:bookmarkEnd w:id="650"/>
    <w:bookmarkEnd w:id="651"/>
    <w:bookmarkEnd w:id="652"/>
    <w:bookmarkEnd w:id="653"/>
    <w:bookmarkEnd w:id="654"/>
    <w:p w14:paraId="0F736BA6" w14:textId="77777777" w:rsidR="00516CAB" w:rsidRDefault="00327FE7" w:rsidP="00DD468E">
      <w:pPr>
        <w:pStyle w:val="NoSpacing"/>
        <w:autoSpaceDE w:val="0"/>
        <w:autoSpaceDN w:val="0"/>
        <w:adjustRightInd w:val="0"/>
        <w:spacing w:after="120"/>
        <w:ind w:right="-46"/>
        <w:jc w:val="both"/>
        <w:rPr>
          <w:color w:val="000000"/>
          <w:lang w:eastAsia="en-US"/>
        </w:rPr>
      </w:pPr>
      <w:r>
        <w:rPr>
          <w:color w:val="000000"/>
        </w:rPr>
        <w:t>The main conclusion</w:t>
      </w:r>
      <w:r w:rsidR="00516CAB">
        <w:rPr>
          <w:color w:val="000000"/>
        </w:rPr>
        <w:t xml:space="preserve"> that can be drawn from the</w:t>
      </w:r>
      <w:r w:rsidR="00DD468E">
        <w:rPr>
          <w:color w:val="000000"/>
        </w:rPr>
        <w:t xml:space="preserve"> </w:t>
      </w:r>
      <w:r w:rsidR="00DD468E">
        <w:t xml:space="preserve">Li </w:t>
      </w:r>
      <w:r w:rsidR="00DD468E">
        <w:rPr>
          <w:i/>
        </w:rPr>
        <w:t>et al</w:t>
      </w:r>
      <w:r w:rsidR="00DD468E">
        <w:t>. (2013b)</w:t>
      </w:r>
      <w:r w:rsidR="00516CAB">
        <w:rPr>
          <w:color w:val="000000"/>
        </w:rPr>
        <w:t xml:space="preserve"> stud</w:t>
      </w:r>
      <w:r w:rsidR="00DD468E">
        <w:rPr>
          <w:color w:val="000000"/>
        </w:rPr>
        <w:t xml:space="preserve">y </w:t>
      </w:r>
      <w:r w:rsidR="00516CAB">
        <w:t>is that uptake, distribution and elimination kinetics are complex,</w:t>
      </w:r>
      <w:r w:rsidR="00516CAB">
        <w:rPr>
          <w:color w:val="000000"/>
        </w:rPr>
        <w:t xml:space="preserve"> with preferential accumulation in liver rather than muscle or blood</w:t>
      </w:r>
      <w:r w:rsidR="00516CAB">
        <w:t xml:space="preserve">. Dechlorane Plus </w:t>
      </w:r>
      <w:r w:rsidR="00DD468E">
        <w:t xml:space="preserve">achieved levels of </w:t>
      </w:r>
      <w:r w:rsidR="00DB7126">
        <w:rPr>
          <w:color w:val="000000"/>
        </w:rPr>
        <w:t xml:space="preserve">~1 </w:t>
      </w:r>
      <w:r w:rsidR="00DD468E">
        <w:rPr>
          <w:color w:val="000000"/>
        </w:rPr>
        <w:t xml:space="preserve">000 mg/kg lw </w:t>
      </w:r>
      <w:r w:rsidR="00516CAB">
        <w:t xml:space="preserve">in </w:t>
      </w:r>
      <w:r w:rsidR="00DD468E">
        <w:t xml:space="preserve">rat </w:t>
      </w:r>
      <w:r>
        <w:t>liver when dosed at 100 </w:t>
      </w:r>
      <w:r w:rsidR="00516CAB">
        <w:t>mg/kg/d via oral gavage for 90 days (the paper does not provide the lipid content so a wet weight concentration cannot be estimated). Like fish, r</w:t>
      </w:r>
      <w:r w:rsidR="00516CAB">
        <w:rPr>
          <w:color w:val="000000"/>
        </w:rPr>
        <w:t>esidues increased with longer exposure times and a steady state was not achieved.</w:t>
      </w:r>
      <w:r w:rsidR="00516CAB">
        <w:t xml:space="preserve"> Also like fish, Dechlorane Plus has </w:t>
      </w:r>
      <w:r w:rsidR="00516CAB">
        <w:rPr>
          <w:color w:val="000000"/>
        </w:rPr>
        <w:t xml:space="preserve">a long elimination half-life from rat liver, in the region of 180 days or more. </w:t>
      </w:r>
    </w:p>
    <w:p w14:paraId="59F565AB" w14:textId="77777777" w:rsidR="00DD468E" w:rsidRPr="002C7E9E" w:rsidRDefault="00DD468E" w:rsidP="00DD468E">
      <w:pPr>
        <w:pStyle w:val="EABodyText"/>
        <w:spacing w:after="120"/>
        <w:jc w:val="both"/>
        <w:rPr>
          <w:rFonts w:ascii="Verdana" w:hAnsi="Verdana"/>
          <w:sz w:val="20"/>
          <w:szCs w:val="20"/>
        </w:rPr>
      </w:pPr>
      <w:r>
        <w:rPr>
          <w:rFonts w:ascii="Verdana" w:hAnsi="Verdana"/>
          <w:sz w:val="20"/>
          <w:szCs w:val="20"/>
        </w:rPr>
        <w:t>None of the</w:t>
      </w:r>
      <w:r w:rsidRPr="002C7E9E">
        <w:rPr>
          <w:rFonts w:ascii="Verdana" w:hAnsi="Verdana"/>
          <w:sz w:val="20"/>
          <w:szCs w:val="20"/>
        </w:rPr>
        <w:t xml:space="preserve"> studies permit </w:t>
      </w:r>
      <w:r>
        <w:rPr>
          <w:rFonts w:ascii="Verdana" w:hAnsi="Verdana"/>
          <w:sz w:val="20"/>
          <w:szCs w:val="20"/>
        </w:rPr>
        <w:t>firm</w:t>
      </w:r>
      <w:r w:rsidRPr="002C7E9E">
        <w:rPr>
          <w:rFonts w:ascii="Verdana" w:hAnsi="Verdana"/>
          <w:sz w:val="20"/>
          <w:szCs w:val="20"/>
        </w:rPr>
        <w:t xml:space="preserve"> conclusions to be drawn about the level of accumulation or tissue distribution following exposure to low concentrations over long</w:t>
      </w:r>
      <w:r w:rsidR="00327FE7">
        <w:rPr>
          <w:rFonts w:ascii="Verdana" w:hAnsi="Verdana"/>
          <w:sz w:val="20"/>
          <w:szCs w:val="20"/>
        </w:rPr>
        <w:t xml:space="preserve"> time</w:t>
      </w:r>
      <w:r w:rsidRPr="002C7E9E">
        <w:rPr>
          <w:rFonts w:ascii="Verdana" w:hAnsi="Verdana"/>
          <w:sz w:val="20"/>
          <w:szCs w:val="20"/>
        </w:rPr>
        <w:t xml:space="preserve"> periods.</w:t>
      </w:r>
      <w:r>
        <w:rPr>
          <w:rFonts w:ascii="Verdana" w:hAnsi="Verdana"/>
          <w:sz w:val="20"/>
          <w:szCs w:val="20"/>
        </w:rPr>
        <w:t xml:space="preserve"> </w:t>
      </w:r>
    </w:p>
    <w:p w14:paraId="364A2AF6" w14:textId="77777777" w:rsidR="00304028" w:rsidRPr="007A5413" w:rsidRDefault="00304028">
      <w:pPr>
        <w:pStyle w:val="EABodyText"/>
        <w:spacing w:after="120"/>
        <w:jc w:val="both"/>
        <w:rPr>
          <w:rFonts w:ascii="Verdana" w:hAnsi="Verdana"/>
          <w:sz w:val="20"/>
          <w:szCs w:val="20"/>
        </w:rPr>
      </w:pPr>
    </w:p>
    <w:p w14:paraId="565EF10A" w14:textId="77777777" w:rsidR="00B12C39" w:rsidRPr="00E45915" w:rsidRDefault="00B12C39" w:rsidP="00E45915">
      <w:pPr>
        <w:pStyle w:val="Heading1"/>
      </w:pPr>
      <w:bookmarkStart w:id="655" w:name="_Toc341888586"/>
      <w:bookmarkStart w:id="656" w:name="_Toc342400447"/>
      <w:bookmarkStart w:id="657" w:name="_Toc354499624"/>
      <w:bookmarkStart w:id="658" w:name="_Toc357083699"/>
      <w:bookmarkStart w:id="659" w:name="_Toc357184248"/>
      <w:bookmarkStart w:id="660" w:name="_Toc357184484"/>
      <w:bookmarkStart w:id="661" w:name="_Toc357185286"/>
      <w:bookmarkStart w:id="662" w:name="_Toc357186134"/>
      <w:bookmarkStart w:id="663" w:name="_Toc357186283"/>
      <w:bookmarkStart w:id="664" w:name="_Toc357437569"/>
      <w:bookmarkStart w:id="665" w:name="_Toc357590842"/>
      <w:bookmarkStart w:id="666" w:name="_Toc357692874"/>
      <w:bookmarkStart w:id="667" w:name="_Toc365649702"/>
      <w:bookmarkStart w:id="668" w:name="_Toc365649851"/>
      <w:bookmarkStart w:id="669" w:name="_Toc366489903"/>
      <w:bookmarkStart w:id="670" w:name="_Toc418506055"/>
      <w:bookmarkStart w:id="671" w:name="_Toc491862240"/>
      <w:r w:rsidRPr="00E45915">
        <w:rPr>
          <w:rStyle w:val="Heading1Char"/>
          <w:b/>
        </w:rPr>
        <w:t>Environmental hazard assessment</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14:paraId="1351E606" w14:textId="77777777" w:rsidR="007A5413" w:rsidRDefault="007A5413" w:rsidP="007A5413">
      <w:pPr>
        <w:pStyle w:val="BodyText"/>
        <w:jc w:val="both"/>
      </w:pPr>
      <w:r>
        <w:t>Aquatic and terrestrial organism toxicity data are summarised in detail in Appendix 1.</w:t>
      </w:r>
      <w:r w:rsidR="00327FE7">
        <w:t xml:space="preserve"> They are not included in the main part of this report because the proposal is to identify Dechlorane Plus as vPvB only.</w:t>
      </w:r>
    </w:p>
    <w:p w14:paraId="47F24268" w14:textId="77777777" w:rsidR="00937CDA" w:rsidRDefault="00937CDA" w:rsidP="007A5413">
      <w:pPr>
        <w:pStyle w:val="BodyText"/>
        <w:jc w:val="both"/>
      </w:pPr>
    </w:p>
    <w:p w14:paraId="33EA5B89" w14:textId="77777777" w:rsidR="0001332A" w:rsidRDefault="0001332A">
      <w:pPr>
        <w:widowControl/>
        <w:rPr>
          <w:b/>
          <w:color w:val="0046AD"/>
          <w:sz w:val="28"/>
          <w:szCs w:val="24"/>
        </w:rPr>
      </w:pPr>
      <w:bookmarkStart w:id="672" w:name="_Toc341888610"/>
      <w:bookmarkStart w:id="673" w:name="_Toc342400470"/>
      <w:bookmarkStart w:id="674" w:name="_Toc354499642"/>
      <w:bookmarkStart w:id="675" w:name="_Toc357083717"/>
      <w:bookmarkStart w:id="676" w:name="_Toc357184266"/>
      <w:bookmarkStart w:id="677" w:name="_Toc357184502"/>
      <w:bookmarkStart w:id="678" w:name="_Toc357185304"/>
      <w:bookmarkStart w:id="679" w:name="_Toc357186152"/>
      <w:bookmarkStart w:id="680" w:name="_Toc357186301"/>
      <w:bookmarkStart w:id="681" w:name="_Toc357437587"/>
      <w:bookmarkStart w:id="682" w:name="_Toc357590860"/>
      <w:bookmarkStart w:id="683" w:name="_Toc357692892"/>
      <w:bookmarkStart w:id="684" w:name="_Toc365649718"/>
      <w:bookmarkStart w:id="685" w:name="_Toc365649867"/>
      <w:bookmarkStart w:id="686" w:name="_Toc366489919"/>
      <w:bookmarkStart w:id="687" w:name="_Toc418498623"/>
      <w:bookmarkStart w:id="688" w:name="_Toc418506078"/>
      <w:r>
        <w:br w:type="page"/>
      </w:r>
    </w:p>
    <w:p w14:paraId="40C662BF" w14:textId="77777777" w:rsidR="00B12C39" w:rsidRDefault="00B12C39" w:rsidP="00E45915">
      <w:pPr>
        <w:pStyle w:val="Heading1"/>
      </w:pPr>
      <w:bookmarkStart w:id="689" w:name="_Toc491862241"/>
      <w:r>
        <w:lastRenderedPageBreak/>
        <w:t>Conclusions on the SVHC Properties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14:paraId="15C71A46" w14:textId="77777777" w:rsidR="00B12C39" w:rsidRPr="00E45915" w:rsidRDefault="00E45915" w:rsidP="00E45915">
      <w:pPr>
        <w:pStyle w:val="Heading2"/>
      </w:pPr>
      <w:bookmarkStart w:id="690" w:name="_Toc354499643"/>
      <w:bookmarkStart w:id="691" w:name="_Toc357083718"/>
      <w:bookmarkStart w:id="692" w:name="_Toc357184267"/>
      <w:bookmarkStart w:id="693" w:name="_Toc357184503"/>
      <w:bookmarkStart w:id="694" w:name="_Toc357185305"/>
      <w:bookmarkStart w:id="695" w:name="_Toc357186153"/>
      <w:bookmarkStart w:id="696" w:name="_Toc357186302"/>
      <w:bookmarkStart w:id="697" w:name="_Toc357437588"/>
      <w:bookmarkStart w:id="698" w:name="_Toc357590861"/>
      <w:bookmarkStart w:id="699" w:name="_Toc357692893"/>
      <w:bookmarkStart w:id="700" w:name="_Toc365649719"/>
      <w:bookmarkStart w:id="701" w:name="_Toc365649868"/>
      <w:bookmarkStart w:id="702" w:name="_Toc366489920"/>
      <w:bookmarkStart w:id="703" w:name="_Toc418498624"/>
      <w:bookmarkStart w:id="704" w:name="_Toc418506079"/>
      <w:bookmarkStart w:id="705" w:name="_Toc491862242"/>
      <w:r>
        <w:t xml:space="preserve">6.1 </w:t>
      </w:r>
      <w:r w:rsidR="00B12C39" w:rsidRPr="00E45915">
        <w:t>CMR assessment</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14:paraId="12479D97" w14:textId="77777777" w:rsidR="00B12C39" w:rsidRDefault="00B12C39" w:rsidP="007A5413">
      <w:pPr>
        <w:pStyle w:val="NormalItalic"/>
        <w:rPr>
          <w:i w:val="0"/>
        </w:rPr>
      </w:pPr>
      <w:r w:rsidRPr="00CC2632">
        <w:rPr>
          <w:i w:val="0"/>
        </w:rPr>
        <w:t>Not relevant for the identification of the substance as SVHC in accordance with Ar</w:t>
      </w:r>
      <w:r w:rsidR="00781D60">
        <w:rPr>
          <w:i w:val="0"/>
        </w:rPr>
        <w:t>ticle 57</w:t>
      </w:r>
      <w:r w:rsidR="00AA219A" w:rsidRPr="007A5413">
        <w:rPr>
          <w:i w:val="0"/>
        </w:rPr>
        <w:t>(</w:t>
      </w:r>
      <w:r w:rsidR="00CC0495" w:rsidRPr="007A5413">
        <w:rPr>
          <w:i w:val="0"/>
        </w:rPr>
        <w:t>e</w:t>
      </w:r>
      <w:r w:rsidR="00AA219A" w:rsidRPr="007A5413">
        <w:rPr>
          <w:i w:val="0"/>
        </w:rPr>
        <w:t>)</w:t>
      </w:r>
      <w:r w:rsidR="00781D60">
        <w:rPr>
          <w:i w:val="0"/>
        </w:rPr>
        <w:t xml:space="preserve"> of </w:t>
      </w:r>
      <w:r w:rsidR="00E644C4" w:rsidRPr="00CC2632">
        <w:rPr>
          <w:i w:val="0"/>
        </w:rPr>
        <w:t>REACH</w:t>
      </w:r>
      <w:r w:rsidR="007A5413">
        <w:rPr>
          <w:i w:val="0"/>
        </w:rPr>
        <w:t>.</w:t>
      </w:r>
    </w:p>
    <w:p w14:paraId="60755922" w14:textId="77777777" w:rsidR="007A5413" w:rsidRPr="007A5413" w:rsidRDefault="007A5413" w:rsidP="007A5413">
      <w:pPr>
        <w:pStyle w:val="NormalItalic"/>
        <w:rPr>
          <w:i w:val="0"/>
        </w:rPr>
      </w:pPr>
    </w:p>
    <w:p w14:paraId="10E95ECC" w14:textId="77777777" w:rsidR="00B12C39" w:rsidRPr="00E45915" w:rsidRDefault="00E45915" w:rsidP="00E45915">
      <w:pPr>
        <w:pStyle w:val="Heading2"/>
      </w:pPr>
      <w:bookmarkStart w:id="706" w:name="_Toc341888611"/>
      <w:bookmarkStart w:id="707" w:name="_Toc342400471"/>
      <w:bookmarkStart w:id="708" w:name="_Toc354499644"/>
      <w:bookmarkStart w:id="709" w:name="_Toc357083719"/>
      <w:bookmarkStart w:id="710" w:name="_Toc357184268"/>
      <w:bookmarkStart w:id="711" w:name="_Toc357184504"/>
      <w:bookmarkStart w:id="712" w:name="_Toc357185306"/>
      <w:bookmarkStart w:id="713" w:name="_Toc357186154"/>
      <w:bookmarkStart w:id="714" w:name="_Toc357186303"/>
      <w:bookmarkStart w:id="715" w:name="_Toc357437589"/>
      <w:bookmarkStart w:id="716" w:name="_Toc357590862"/>
      <w:bookmarkStart w:id="717" w:name="_Toc357692894"/>
      <w:bookmarkStart w:id="718" w:name="_Toc365649720"/>
      <w:bookmarkStart w:id="719" w:name="_Toc365649869"/>
      <w:bookmarkStart w:id="720" w:name="_Toc366489921"/>
      <w:bookmarkStart w:id="721" w:name="_Toc418498625"/>
      <w:bookmarkStart w:id="722" w:name="_Toc418506080"/>
      <w:bookmarkStart w:id="723" w:name="_Toc491862243"/>
      <w:r>
        <w:t xml:space="preserve">6.2 </w:t>
      </w:r>
      <w:r w:rsidR="00B12C39" w:rsidRPr="00E45915">
        <w:t>PBT and vPvB assessment</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14:paraId="63E66BBC" w14:textId="77777777" w:rsidR="00B12C39" w:rsidRDefault="00B12C39" w:rsidP="00B12C39">
      <w:pPr>
        <w:pStyle w:val="NormalItalic"/>
      </w:pPr>
    </w:p>
    <w:p w14:paraId="19BFEAE8" w14:textId="77777777" w:rsidR="002F25D9" w:rsidRPr="009A5369" w:rsidRDefault="009A5369" w:rsidP="00716967">
      <w:pPr>
        <w:pStyle w:val="Heading3"/>
        <w:numPr>
          <w:ilvl w:val="0"/>
          <w:numId w:val="0"/>
        </w:numPr>
        <w:tabs>
          <w:tab w:val="left" w:pos="0"/>
        </w:tabs>
      </w:pPr>
      <w:bookmarkStart w:id="724" w:name="_Toc342400472"/>
      <w:bookmarkStart w:id="725" w:name="_Toc354499645"/>
      <w:bookmarkStart w:id="726" w:name="_Toc357083720"/>
      <w:bookmarkStart w:id="727" w:name="_Toc357184269"/>
      <w:bookmarkStart w:id="728" w:name="_Toc357184505"/>
      <w:bookmarkStart w:id="729" w:name="_Toc357185307"/>
      <w:bookmarkStart w:id="730" w:name="_Toc357186155"/>
      <w:bookmarkStart w:id="731" w:name="_Toc357186304"/>
      <w:bookmarkStart w:id="732" w:name="_Toc357437590"/>
      <w:bookmarkStart w:id="733" w:name="_Toc357590863"/>
      <w:bookmarkStart w:id="734" w:name="_Toc357692895"/>
      <w:bookmarkStart w:id="735" w:name="_Toc365649721"/>
      <w:bookmarkStart w:id="736" w:name="_Toc365649870"/>
      <w:bookmarkStart w:id="737" w:name="_Toc366489922"/>
      <w:bookmarkStart w:id="738" w:name="_Toc418498626"/>
      <w:bookmarkStart w:id="739" w:name="_Toc418506081"/>
      <w:bookmarkStart w:id="740" w:name="_Toc491862244"/>
      <w:bookmarkStart w:id="741" w:name="_Toc341888612"/>
      <w:r>
        <w:t xml:space="preserve">6.2.1 </w:t>
      </w:r>
      <w:r w:rsidR="00B12C39" w:rsidRPr="009A5369">
        <w:t>Assessment of PBT/vPvB properties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14:paraId="72A3976D" w14:textId="77777777" w:rsidR="002F25D9" w:rsidRPr="009A0757" w:rsidRDefault="002F25D9" w:rsidP="002F25D9">
      <w:pPr>
        <w:widowControl/>
        <w:autoSpaceDE w:val="0"/>
        <w:autoSpaceDN w:val="0"/>
        <w:adjustRightInd w:val="0"/>
        <w:jc w:val="both"/>
        <w:rPr>
          <w:rFonts w:cs="Verdana"/>
          <w:lang w:eastAsia="en-GB"/>
        </w:rPr>
      </w:pPr>
      <w:r w:rsidRPr="009A0757">
        <w:rPr>
          <w:rFonts w:cs="Verdana"/>
          <w:lang w:eastAsia="en-GB"/>
        </w:rPr>
        <w:t xml:space="preserve">A </w:t>
      </w:r>
      <w:r>
        <w:rPr>
          <w:rFonts w:cs="Verdana"/>
          <w:lang w:eastAsia="en-GB"/>
        </w:rPr>
        <w:t>weight-of-evidence</w:t>
      </w:r>
      <w:r w:rsidRPr="009A0757">
        <w:rPr>
          <w:rFonts w:cs="Verdana"/>
          <w:lang w:eastAsia="en-GB"/>
        </w:rPr>
        <w:t xml:space="preserve"> determination according to the provisions of Annex XIII of REACH is used</w:t>
      </w:r>
      <w:r w:rsidR="00737B85">
        <w:rPr>
          <w:rFonts w:cs="Verdana"/>
          <w:lang w:eastAsia="en-GB"/>
        </w:rPr>
        <w:t xml:space="preserve"> </w:t>
      </w:r>
      <w:r w:rsidRPr="009A0757">
        <w:rPr>
          <w:rFonts w:cs="Verdana"/>
          <w:lang w:eastAsia="en-GB"/>
        </w:rPr>
        <w:t>to identify the substance as vPvB. All</w:t>
      </w:r>
      <w:r>
        <w:rPr>
          <w:rFonts w:cs="Verdana"/>
          <w:lang w:eastAsia="en-GB"/>
        </w:rPr>
        <w:t xml:space="preserve"> </w:t>
      </w:r>
      <w:r w:rsidRPr="009A0757">
        <w:rPr>
          <w:rFonts w:cs="Verdana"/>
          <w:lang w:eastAsia="en-GB"/>
        </w:rPr>
        <w:t>available information (such as the results of standard tests, monitoring and modelling, information from the application of the analog</w:t>
      </w:r>
      <w:r>
        <w:rPr>
          <w:rFonts w:cs="Verdana"/>
          <w:lang w:eastAsia="en-GB"/>
        </w:rPr>
        <w:t xml:space="preserve">ue </w:t>
      </w:r>
      <w:r w:rsidRPr="009A0757">
        <w:rPr>
          <w:rFonts w:cs="Verdana"/>
          <w:lang w:eastAsia="en-GB"/>
        </w:rPr>
        <w:t>approach (read-across) and (Q)SAR results) was con</w:t>
      </w:r>
      <w:r>
        <w:rPr>
          <w:rFonts w:cs="Verdana"/>
          <w:lang w:eastAsia="en-GB"/>
        </w:rPr>
        <w:t>sidered together in a weight-of-evidence</w:t>
      </w:r>
      <w:r w:rsidRPr="009A0757">
        <w:rPr>
          <w:rFonts w:cs="Verdana"/>
          <w:lang w:eastAsia="en-GB"/>
        </w:rPr>
        <w:t xml:space="preserve"> approach. </w:t>
      </w:r>
    </w:p>
    <w:p w14:paraId="08F525F0" w14:textId="77777777" w:rsidR="00775002" w:rsidRDefault="00775002" w:rsidP="00E42790">
      <w:bookmarkStart w:id="742" w:name="_Toc341888613"/>
      <w:bookmarkStart w:id="743" w:name="_Toc342400473"/>
      <w:bookmarkEnd w:id="741"/>
    </w:p>
    <w:p w14:paraId="3FBD2D0C" w14:textId="77777777" w:rsidR="00917B86" w:rsidRPr="00917B86" w:rsidRDefault="00917B86" w:rsidP="00917B86"/>
    <w:p w14:paraId="5775FC6D" w14:textId="77777777" w:rsidR="00775002" w:rsidRDefault="009A5369" w:rsidP="00E44388">
      <w:pPr>
        <w:pStyle w:val="Heading4"/>
        <w:numPr>
          <w:ilvl w:val="0"/>
          <w:numId w:val="0"/>
        </w:numPr>
        <w:ind w:left="284" w:hanging="142"/>
      </w:pPr>
      <w:bookmarkStart w:id="744" w:name="_Toc357083721"/>
      <w:r>
        <w:t xml:space="preserve">6.2.1.1 </w:t>
      </w:r>
      <w:r w:rsidR="00B12C39" w:rsidRPr="009A5369">
        <w:t>Persistence</w:t>
      </w:r>
      <w:bookmarkStart w:id="745" w:name="_Toc341888614"/>
      <w:bookmarkStart w:id="746" w:name="_Toc342400474"/>
      <w:bookmarkEnd w:id="742"/>
      <w:bookmarkEnd w:id="743"/>
      <w:bookmarkEnd w:id="744"/>
    </w:p>
    <w:p w14:paraId="6461BDFB" w14:textId="77777777" w:rsidR="00CC0495" w:rsidRDefault="00CC0495" w:rsidP="00781D60">
      <w:pPr>
        <w:pStyle w:val="BodyText"/>
        <w:jc w:val="both"/>
      </w:pPr>
      <w:r>
        <w:t>The available data on persistence have been considered in terms of unequivocal, equivocal and negative evidence that the substance is very persistent.</w:t>
      </w:r>
    </w:p>
    <w:p w14:paraId="14C244F7" w14:textId="77777777" w:rsidR="00CC0495" w:rsidRDefault="00CC0495" w:rsidP="00781D60">
      <w:pPr>
        <w:pStyle w:val="BodyText"/>
        <w:jc w:val="both"/>
        <w:rPr>
          <w:u w:val="single"/>
        </w:rPr>
      </w:pPr>
      <w:r>
        <w:rPr>
          <w:u w:val="single"/>
        </w:rPr>
        <w:t>Unequivocal evidence</w:t>
      </w:r>
    </w:p>
    <w:p w14:paraId="7BDC7817" w14:textId="77777777" w:rsidR="00CC0495" w:rsidRDefault="00CC0495" w:rsidP="00686834">
      <w:pPr>
        <w:pStyle w:val="BodyText"/>
        <w:widowControl/>
        <w:numPr>
          <w:ilvl w:val="0"/>
          <w:numId w:val="9"/>
        </w:numPr>
        <w:spacing w:after="180"/>
        <w:ind w:left="426" w:right="232"/>
        <w:jc w:val="both"/>
      </w:pPr>
      <w:r w:rsidRPr="00AA0F2B">
        <w:t xml:space="preserve">There </w:t>
      </w:r>
      <w:r>
        <w:t>are no measured half-life data for degradation of Dechlorane Plus in surface water, sediment or soil. Therefore there is no unequivocal evidence that the half-life of the substance in these media is sufficiently long to meet the Annex XIII criteria for P or vP.</w:t>
      </w:r>
    </w:p>
    <w:p w14:paraId="53F80BAE" w14:textId="77777777" w:rsidR="00CC0495" w:rsidRDefault="00CC0495" w:rsidP="00781D60">
      <w:pPr>
        <w:pStyle w:val="BodyText"/>
        <w:jc w:val="both"/>
        <w:rPr>
          <w:u w:val="single"/>
        </w:rPr>
      </w:pPr>
      <w:r w:rsidRPr="00AA0F2B">
        <w:rPr>
          <w:u w:val="single"/>
        </w:rPr>
        <w:t>Equivocal evidence</w:t>
      </w:r>
    </w:p>
    <w:p w14:paraId="6DE4FFD4" w14:textId="77777777" w:rsidR="00724938" w:rsidRDefault="00724938" w:rsidP="00DD6E1D">
      <w:pPr>
        <w:pStyle w:val="BodyText"/>
        <w:widowControl/>
        <w:numPr>
          <w:ilvl w:val="0"/>
          <w:numId w:val="9"/>
        </w:numPr>
        <w:spacing w:after="180"/>
        <w:ind w:left="426" w:right="232"/>
        <w:jc w:val="both"/>
      </w:pPr>
      <w:r>
        <w:t>Predictions using t</w:t>
      </w:r>
      <w:r w:rsidR="00CC0495" w:rsidRPr="00BA0ECA">
        <w:t>he</w:t>
      </w:r>
      <w:r w:rsidR="00CC0495">
        <w:t xml:space="preserve"> </w:t>
      </w:r>
      <w:r w:rsidR="00CC0495" w:rsidRPr="00BA0ECA">
        <w:t xml:space="preserve">BIOWIN </w:t>
      </w:r>
      <w:r w:rsidR="00CC0495">
        <w:t>model</w:t>
      </w:r>
      <w:r w:rsidR="00CC0495" w:rsidRPr="00BA0ECA">
        <w:t xml:space="preserve"> </w:t>
      </w:r>
      <w:r>
        <w:t>suggest</w:t>
      </w:r>
      <w:r w:rsidR="00CC0495" w:rsidRPr="00BA0ECA">
        <w:t xml:space="preserve"> that </w:t>
      </w:r>
      <w:r w:rsidR="002E288C">
        <w:t xml:space="preserve">biodegradation of </w:t>
      </w:r>
      <w:r w:rsidR="00CC0495" w:rsidRPr="00BA0ECA">
        <w:t>Dechlorane Plus</w:t>
      </w:r>
      <w:r w:rsidR="002E288C">
        <w:t xml:space="preserve"> will be very slow</w:t>
      </w:r>
      <w:r w:rsidR="00CC0495" w:rsidRPr="00BA0ECA">
        <w:t xml:space="preserve">. </w:t>
      </w:r>
      <w:r w:rsidR="00CC0495">
        <w:t xml:space="preserve">The BIOWIN results are the same as a number of hexachloro-norbornene-containing analogue chemicals that have been agreed to be </w:t>
      </w:r>
      <w:r w:rsidR="0063729A">
        <w:t>persistent organic pollutants (</w:t>
      </w:r>
      <w:r w:rsidR="00CC0495">
        <w:t>POPs</w:t>
      </w:r>
      <w:r w:rsidR="0063729A">
        <w:t>)</w:t>
      </w:r>
      <w:r w:rsidR="002E288C">
        <w:t xml:space="preserve"> under the Stockholm Convention</w:t>
      </w:r>
      <w:r w:rsidR="00CC0495">
        <w:t>.</w:t>
      </w:r>
      <w:r>
        <w:t xml:space="preserve"> </w:t>
      </w:r>
      <w:r w:rsidR="00766A05">
        <w:t>The</w:t>
      </w:r>
      <w:r>
        <w:t xml:space="preserve">se POPs </w:t>
      </w:r>
      <w:r w:rsidR="0063729A">
        <w:t xml:space="preserve">are considered to </w:t>
      </w:r>
      <w:r w:rsidR="00766A05">
        <w:t>have</w:t>
      </w:r>
      <w:r>
        <w:t xml:space="preserve"> long</w:t>
      </w:r>
      <w:r w:rsidR="00766A05">
        <w:t xml:space="preserve"> environmental</w:t>
      </w:r>
      <w:r>
        <w:t xml:space="preserve"> half-lives</w:t>
      </w:r>
      <w:r w:rsidR="0063729A">
        <w:t xml:space="preserve"> consistent with the vP criteria of Annex XIII. F</w:t>
      </w:r>
      <w:r>
        <w:t>or example</w:t>
      </w:r>
      <w:r w:rsidR="0063729A">
        <w:t>, h</w:t>
      </w:r>
      <w:r>
        <w:t>eptachlor</w:t>
      </w:r>
      <w:r w:rsidR="0063729A">
        <w:t xml:space="preserve"> has a half-life of up to two years in soil</w:t>
      </w:r>
      <w:r>
        <w:t xml:space="preserve">, </w:t>
      </w:r>
      <w:r w:rsidR="002E288C">
        <w:t>whereas the half-life of chlordane in soil is around one year. These two substances are the closest analogues to Dechlorane Plus with measured data. S</w:t>
      </w:r>
      <w:r>
        <w:t xml:space="preserve">oil and sediment simulation </w:t>
      </w:r>
      <w:r w:rsidR="002E288C">
        <w:t xml:space="preserve">studies </w:t>
      </w:r>
      <w:r>
        <w:t xml:space="preserve">for endosulfan </w:t>
      </w:r>
      <w:r w:rsidR="002E288C">
        <w:t xml:space="preserve">(a much more polar substance) </w:t>
      </w:r>
      <w:r>
        <w:t xml:space="preserve">indicate that the hexachloro-norbornene part of the molecule </w:t>
      </w:r>
      <w:r w:rsidR="002E288C">
        <w:t>is very</w:t>
      </w:r>
      <w:r>
        <w:t xml:space="preserve"> stable</w:t>
      </w:r>
      <w:r w:rsidR="002E288C">
        <w:t xml:space="preserve">: the </w:t>
      </w:r>
      <w:r>
        <w:t>water</w:t>
      </w:r>
      <w:r w:rsidR="00766A05">
        <w:t>-s</w:t>
      </w:r>
      <w:r>
        <w:t>ediment half-life</w:t>
      </w:r>
      <w:r w:rsidR="002E288C">
        <w:t xml:space="preserve"> was</w:t>
      </w:r>
      <w:r>
        <w:t xml:space="preserve"> &gt;120 days</w:t>
      </w:r>
      <w:r w:rsidR="002E288C">
        <w:t xml:space="preserve"> and the </w:t>
      </w:r>
      <w:r>
        <w:t>soil half-life of metabolites</w:t>
      </w:r>
      <w:r w:rsidR="002E288C">
        <w:t xml:space="preserve"> was</w:t>
      </w:r>
      <w:r>
        <w:t xml:space="preserve"> between </w:t>
      </w:r>
      <w:r w:rsidRPr="00DF4E18">
        <w:t xml:space="preserve">123 </w:t>
      </w:r>
      <w:r>
        <w:t>and</w:t>
      </w:r>
      <w:r w:rsidR="002E288C">
        <w:t xml:space="preserve"> 391 </w:t>
      </w:r>
      <w:r w:rsidRPr="00DF4E18">
        <w:t>days</w:t>
      </w:r>
      <w:r>
        <w:t>.</w:t>
      </w:r>
      <w:r w:rsidRPr="00A47FA6">
        <w:t xml:space="preserve"> </w:t>
      </w:r>
    </w:p>
    <w:p w14:paraId="05375E42" w14:textId="77777777" w:rsidR="00CC0495" w:rsidRDefault="00CC0495" w:rsidP="00781D60">
      <w:pPr>
        <w:pStyle w:val="BodyText"/>
        <w:ind w:left="426" w:right="232"/>
        <w:jc w:val="both"/>
      </w:pPr>
      <w:r>
        <w:t xml:space="preserve">In addition, the two possible microbial degradation pathways predicted for Dechlorane Plus are the same as the POP analogues. </w:t>
      </w:r>
      <w:r w:rsidR="002E288C">
        <w:t>I</w:t>
      </w:r>
      <w:r>
        <w:t xml:space="preserve">t is unlikely that </w:t>
      </w:r>
      <w:r w:rsidR="002E288C">
        <w:t xml:space="preserve">metabolic rates for </w:t>
      </w:r>
      <w:r>
        <w:t>the</w:t>
      </w:r>
      <w:r w:rsidR="002E288C">
        <w:t>se</w:t>
      </w:r>
      <w:r>
        <w:t xml:space="preserve"> pathways will be more rapid for Dechlorane Plus, which is significantly less water soluble than the POPs. </w:t>
      </w:r>
    </w:p>
    <w:p w14:paraId="3827AF5E" w14:textId="77777777" w:rsidR="00CC0495" w:rsidRDefault="00CC0495" w:rsidP="00781D60">
      <w:pPr>
        <w:pStyle w:val="BodyText"/>
        <w:ind w:left="426" w:right="232"/>
        <w:jc w:val="both"/>
      </w:pPr>
      <w:r>
        <w:t>Th</w:t>
      </w:r>
      <w:r w:rsidR="001560FE">
        <w:t>is information is assigned</w:t>
      </w:r>
      <w:r>
        <w:t xml:space="preserve"> a </w:t>
      </w:r>
      <w:r w:rsidRPr="002E288C">
        <w:t>high weighting</w:t>
      </w:r>
      <w:r w:rsidRPr="00D07B5C">
        <w:rPr>
          <w:u w:val="single"/>
        </w:rPr>
        <w:t xml:space="preserve"> </w:t>
      </w:r>
      <w:r>
        <w:t>in the persistence evaluation.</w:t>
      </w:r>
    </w:p>
    <w:p w14:paraId="657F7520" w14:textId="1BC81BEB" w:rsidR="00CC0495" w:rsidRDefault="00CC0495" w:rsidP="00686834">
      <w:pPr>
        <w:pStyle w:val="BodyText"/>
        <w:widowControl/>
        <w:numPr>
          <w:ilvl w:val="0"/>
          <w:numId w:val="9"/>
        </w:numPr>
        <w:spacing w:after="180"/>
        <w:ind w:left="426" w:right="232"/>
        <w:jc w:val="both"/>
      </w:pPr>
      <w:r>
        <w:t>The water solubility data for Dechlorane Plus (&lt;2 ng/L), together with a likely log K</w:t>
      </w:r>
      <w:r w:rsidRPr="006531D2">
        <w:rPr>
          <w:vertAlign w:val="subscript"/>
        </w:rPr>
        <w:t>OW</w:t>
      </w:r>
      <w:r>
        <w:t xml:space="preserve"> value above 9, suggests that </w:t>
      </w:r>
      <w:r w:rsidR="002E288C">
        <w:t>it</w:t>
      </w:r>
      <w:r>
        <w:t xml:space="preserve"> will be strongly bound to</w:t>
      </w:r>
      <w:r w:rsidR="002E288C">
        <w:t xml:space="preserve"> organic carbon in</w:t>
      </w:r>
      <w:r>
        <w:t xml:space="preserve"> sediment/soil particles and therefore likely to be of low bioavailability to micro-organisms for biodegradation.</w:t>
      </w:r>
      <w:r w:rsidR="001560FE">
        <w:t xml:space="preserve"> In addition, studies with fish do not suggest a high potential for </w:t>
      </w:r>
      <w:r w:rsidR="001560FE">
        <w:lastRenderedPageBreak/>
        <w:t xml:space="preserve">biotransformation (e.g. Tomy </w:t>
      </w:r>
      <w:r w:rsidR="001560FE" w:rsidRPr="001560FE">
        <w:rPr>
          <w:i/>
        </w:rPr>
        <w:t>et al.</w:t>
      </w:r>
      <w:r w:rsidR="001560FE">
        <w:t>, 2008).</w:t>
      </w:r>
      <w:r w:rsidR="00F10B3C">
        <w:t xml:space="preserve"> This supports the premise that the molecule is metabolically recalcitrant.</w:t>
      </w:r>
    </w:p>
    <w:p w14:paraId="65BD2D81" w14:textId="77777777" w:rsidR="00CC0495" w:rsidRDefault="00CC0495" w:rsidP="00686834">
      <w:pPr>
        <w:pStyle w:val="BodyText"/>
        <w:widowControl/>
        <w:numPr>
          <w:ilvl w:val="0"/>
          <w:numId w:val="9"/>
        </w:numPr>
        <w:spacing w:after="180"/>
        <w:ind w:left="426" w:right="232"/>
        <w:jc w:val="both"/>
      </w:pPr>
      <w:r>
        <w:t xml:space="preserve">Dechlorane Plus was detected in a lake sediment core layer corresponding to around 1980 (Qiu </w:t>
      </w:r>
      <w:r w:rsidRPr="00CB6872">
        <w:rPr>
          <w:i/>
        </w:rPr>
        <w:t>et al</w:t>
      </w:r>
      <w:r>
        <w:t>., 2007). Whilst this does not provide any information about half-life, it shows that the substance can persist in sediments for over 20 years</w:t>
      </w:r>
      <w:r w:rsidRPr="00CB6872">
        <w:t xml:space="preserve">. </w:t>
      </w:r>
    </w:p>
    <w:p w14:paraId="2587A8BF" w14:textId="77777777" w:rsidR="00CC0495" w:rsidRDefault="00CC0495" w:rsidP="00686834">
      <w:pPr>
        <w:pStyle w:val="BodyText"/>
        <w:widowControl/>
        <w:numPr>
          <w:ilvl w:val="0"/>
          <w:numId w:val="9"/>
        </w:numPr>
        <w:spacing w:after="180"/>
        <w:ind w:left="426" w:right="232"/>
        <w:jc w:val="both"/>
      </w:pPr>
      <w:r>
        <w:t xml:space="preserve">Dechlorane Plus </w:t>
      </w:r>
      <w:r w:rsidR="001560FE">
        <w:t xml:space="preserve">has been detected </w:t>
      </w:r>
      <w:r>
        <w:t>in remote locations such as the Arctic and Antarctic</w:t>
      </w:r>
      <w:r w:rsidR="00747EFF">
        <w:t xml:space="preserve"> in</w:t>
      </w:r>
      <w:r>
        <w:t xml:space="preserve"> air, sediment and in wildlife such as Arctic Char (</w:t>
      </w:r>
      <w:r w:rsidRPr="00B05320">
        <w:rPr>
          <w:i/>
        </w:rPr>
        <w:t>Salvelinus alpinus</w:t>
      </w:r>
      <w:r>
        <w:t>), Glaucous Gull (</w:t>
      </w:r>
      <w:r w:rsidRPr="00B05320">
        <w:rPr>
          <w:i/>
        </w:rPr>
        <w:t>Larus hyperboreus</w:t>
      </w:r>
      <w:r>
        <w:t>), Black Guillemot (</w:t>
      </w:r>
      <w:r w:rsidRPr="00B05320">
        <w:rPr>
          <w:i/>
        </w:rPr>
        <w:t>Cepphus grylle</w:t>
      </w:r>
      <w:r>
        <w:t>), Common Guillemot (</w:t>
      </w:r>
      <w:r w:rsidRPr="00B05320">
        <w:rPr>
          <w:i/>
        </w:rPr>
        <w:t>Uria aalge</w:t>
      </w:r>
      <w:r>
        <w:t>), Ringed Seal (</w:t>
      </w:r>
      <w:r w:rsidRPr="00B05320">
        <w:rPr>
          <w:i/>
        </w:rPr>
        <w:t>Phoca hispida</w:t>
      </w:r>
      <w:r>
        <w:t>)</w:t>
      </w:r>
      <w:r w:rsidR="001560FE">
        <w:t xml:space="preserve"> and</w:t>
      </w:r>
      <w:r>
        <w:t xml:space="preserve"> Polar Bear (</w:t>
      </w:r>
      <w:r w:rsidRPr="00B05320">
        <w:rPr>
          <w:i/>
        </w:rPr>
        <w:t>Ursus maritimus</w:t>
      </w:r>
      <w:r>
        <w:t>).  This indicates long range transport of Dechlorane Plus, probably as a result of adsorption to particulates</w:t>
      </w:r>
      <w:r w:rsidR="000523A0">
        <w:t xml:space="preserve"> in the atmosphere</w:t>
      </w:r>
      <w:r>
        <w:t xml:space="preserve">. </w:t>
      </w:r>
    </w:p>
    <w:p w14:paraId="60617D07" w14:textId="77777777" w:rsidR="00CC0495" w:rsidRDefault="00CC0495" w:rsidP="00781D60">
      <w:pPr>
        <w:pStyle w:val="BodyText"/>
        <w:jc w:val="both"/>
      </w:pPr>
      <w:r w:rsidRPr="00AA0F2B">
        <w:rPr>
          <w:u w:val="single"/>
        </w:rPr>
        <w:t>Negative evidence</w:t>
      </w:r>
    </w:p>
    <w:p w14:paraId="170666FD" w14:textId="77777777" w:rsidR="00CC0495" w:rsidRPr="000A6FDD" w:rsidRDefault="00CC0495" w:rsidP="00686834">
      <w:pPr>
        <w:pStyle w:val="BodyText"/>
        <w:widowControl/>
        <w:numPr>
          <w:ilvl w:val="0"/>
          <w:numId w:val="9"/>
        </w:numPr>
        <w:spacing w:after="180"/>
        <w:ind w:left="426" w:right="232"/>
        <w:jc w:val="both"/>
      </w:pPr>
      <w:r>
        <w:t xml:space="preserve">None of the available data clearly show that Dechlorane Plus is rapidly degraded in water, sediment or soil. One </w:t>
      </w:r>
      <w:r w:rsidRPr="00BA0ECA">
        <w:t xml:space="preserve">biodegradation screening </w:t>
      </w:r>
      <w:r>
        <w:t>study (</w:t>
      </w:r>
      <w:r w:rsidRPr="00BA0ECA">
        <w:t xml:space="preserve">Chou </w:t>
      </w:r>
      <w:r w:rsidRPr="007B25CA">
        <w:rPr>
          <w:i/>
        </w:rPr>
        <w:t>et al</w:t>
      </w:r>
      <w:r>
        <w:t xml:space="preserve">., </w:t>
      </w:r>
      <w:r w:rsidRPr="00BA0ECA">
        <w:t>1979)</w:t>
      </w:r>
      <w:r>
        <w:t xml:space="preserve"> reports low </w:t>
      </w:r>
      <w:r w:rsidRPr="000A6FDD">
        <w:t>recover</w:t>
      </w:r>
      <w:r>
        <w:t xml:space="preserve">ies </w:t>
      </w:r>
      <w:r w:rsidRPr="000A6FDD">
        <w:t xml:space="preserve">of radioactivity </w:t>
      </w:r>
      <w:r>
        <w:t>under</w:t>
      </w:r>
      <w:r w:rsidRPr="000A6FDD">
        <w:t xml:space="preserve"> aerobic conditions </w:t>
      </w:r>
      <w:r>
        <w:t>after six weeks’ incubation. However</w:t>
      </w:r>
      <w:r w:rsidRPr="00BA0ECA">
        <w:t>, as discussed in Section 3.1.2.1.2</w:t>
      </w:r>
      <w:r w:rsidR="00875087">
        <w:t xml:space="preserve"> of </w:t>
      </w:r>
      <w:r w:rsidR="001560FE">
        <w:t>Appendix 1</w:t>
      </w:r>
      <w:r>
        <w:t>,</w:t>
      </w:r>
      <w:r w:rsidRPr="007B25CA">
        <w:t xml:space="preserve"> </w:t>
      </w:r>
      <w:r w:rsidRPr="00BA0ECA">
        <w:t>there are significant deficiencies</w:t>
      </w:r>
      <w:r>
        <w:t xml:space="preserve"> in the methodology</w:t>
      </w:r>
      <w:r w:rsidRPr="00BA0ECA">
        <w:t xml:space="preserve">. </w:t>
      </w:r>
      <w:r w:rsidR="001560FE">
        <w:t>It</w:t>
      </w:r>
      <w:r w:rsidRPr="00BA0ECA">
        <w:t xml:space="preserve"> was</w:t>
      </w:r>
      <w:r w:rsidR="001560FE">
        <w:t xml:space="preserve"> not</w:t>
      </w:r>
      <w:r w:rsidRPr="00BA0ECA">
        <w:t xml:space="preserve"> performed according to a standard </w:t>
      </w:r>
      <w:r w:rsidR="001560FE">
        <w:t xml:space="preserve">test </w:t>
      </w:r>
      <w:r w:rsidRPr="00BA0ECA">
        <w:t>guideline</w:t>
      </w:r>
      <w:r w:rsidR="004B71AA">
        <w:t xml:space="preserve"> and</w:t>
      </w:r>
      <w:r w:rsidRPr="00BA0ECA">
        <w:t xml:space="preserve"> </w:t>
      </w:r>
      <w:r w:rsidR="001560FE">
        <w:t>the</w:t>
      </w:r>
      <w:r w:rsidRPr="00BA0ECA">
        <w:t xml:space="preserve"> </w:t>
      </w:r>
      <w:r w:rsidR="001560FE">
        <w:t>analytical method was ina</w:t>
      </w:r>
      <w:r w:rsidR="001560FE" w:rsidRPr="00BA0ECA">
        <w:t>ppropriate</w:t>
      </w:r>
      <w:r w:rsidR="001560FE">
        <w:t xml:space="preserve"> to assess the degradation of</w:t>
      </w:r>
      <w:r w:rsidRPr="00BA0ECA">
        <w:t xml:space="preserve"> </w:t>
      </w:r>
      <w:r w:rsidR="001560FE">
        <w:t xml:space="preserve">such a </w:t>
      </w:r>
      <w:r w:rsidRPr="00BA0ECA">
        <w:t>poorly water soluble substance</w:t>
      </w:r>
      <w:r w:rsidR="001560FE">
        <w:t xml:space="preserve"> </w:t>
      </w:r>
      <w:r w:rsidRPr="00BA0ECA">
        <w:t xml:space="preserve">as Dechlorane Plus. </w:t>
      </w:r>
      <w:r w:rsidR="001560FE">
        <w:t>It is</w:t>
      </w:r>
      <w:r w:rsidRPr="00BA0ECA">
        <w:t xml:space="preserve"> not considered to be valid.</w:t>
      </w:r>
    </w:p>
    <w:p w14:paraId="6BA9AB89" w14:textId="77777777" w:rsidR="00CC0495" w:rsidRDefault="00CC0495" w:rsidP="00781D60">
      <w:pPr>
        <w:pStyle w:val="BodyText"/>
        <w:jc w:val="both"/>
      </w:pPr>
      <w:r w:rsidRPr="00BA0ECA">
        <w:t>In summary,</w:t>
      </w:r>
      <w:r>
        <w:t xml:space="preserve"> although there are no environmental simulation studies available for Dechlorane Plus that provide an unequivocal measurement of the half-life in water, sediment or soil, several lines of evidence indicate that it meet</w:t>
      </w:r>
      <w:r w:rsidR="004B71AA">
        <w:t>s</w:t>
      </w:r>
      <w:r>
        <w:t xml:space="preserve"> the </w:t>
      </w:r>
      <w:r w:rsidRPr="00BA0ECA">
        <w:t>vP</w:t>
      </w:r>
      <w:r>
        <w:t xml:space="preserve"> criteria</w:t>
      </w:r>
      <w:r w:rsidRPr="001560FE">
        <w:rPr>
          <w:rStyle w:val="FootnoteReference"/>
          <w:rFonts w:ascii="Verdana" w:hAnsi="Verdana"/>
          <w:sz w:val="20"/>
        </w:rPr>
        <w:footnoteReference w:id="34"/>
      </w:r>
      <w:r w:rsidRPr="00BA0ECA">
        <w:t xml:space="preserve"> </w:t>
      </w:r>
      <w:r>
        <w:t>in Annex XIII of REACH.</w:t>
      </w:r>
      <w:r w:rsidRPr="00342C93">
        <w:t xml:space="preserve"> </w:t>
      </w:r>
      <w:r w:rsidR="001560FE">
        <w:t>In particular, the</w:t>
      </w:r>
      <w:r>
        <w:t xml:space="preserve"> predicted </w:t>
      </w:r>
      <w:r w:rsidR="00766A05">
        <w:t xml:space="preserve">low level of </w:t>
      </w:r>
      <w:r>
        <w:t>biodegradability</w:t>
      </w:r>
      <w:r w:rsidR="002E74C1">
        <w:t xml:space="preserve"> </w:t>
      </w:r>
      <w:r w:rsidR="002E288C">
        <w:t>and</w:t>
      </w:r>
      <w:r>
        <w:t xml:space="preserve"> structural similarity to chemicals</w:t>
      </w:r>
      <w:r w:rsidR="001560FE">
        <w:t xml:space="preserve"> that have been</w:t>
      </w:r>
      <w:r>
        <w:t xml:space="preserve"> agreed </w:t>
      </w:r>
      <w:r w:rsidR="001560FE">
        <w:t>to meet the Stockholm Convention definition of a</w:t>
      </w:r>
      <w:r>
        <w:t xml:space="preserve"> POP, </w:t>
      </w:r>
      <w:r w:rsidR="00766A05">
        <w:t xml:space="preserve">and </w:t>
      </w:r>
      <w:r>
        <w:t xml:space="preserve">lack of any predicted degradation pathways that are different to </w:t>
      </w:r>
      <w:r w:rsidR="001560FE">
        <w:t xml:space="preserve">the </w:t>
      </w:r>
      <w:r>
        <w:t>POPs</w:t>
      </w:r>
      <w:r w:rsidR="00766A05">
        <w:t xml:space="preserve"> </w:t>
      </w:r>
      <w:r w:rsidR="00FB5AF3">
        <w:t>strongly point to the high probability that it will not degrade any faster than them</w:t>
      </w:r>
      <w:r w:rsidR="001560FE">
        <w:t>. This</w:t>
      </w:r>
      <w:r w:rsidR="002E74C1">
        <w:t xml:space="preserve"> conclusion</w:t>
      </w:r>
      <w:r w:rsidR="001560FE">
        <w:t xml:space="preserve"> is supported by</w:t>
      </w:r>
      <w:r w:rsidR="002E74C1">
        <w:t xml:space="preserve"> its</w:t>
      </w:r>
      <w:r>
        <w:t xml:space="preserve"> </w:t>
      </w:r>
      <w:r w:rsidR="002E74C1">
        <w:t>very low</w:t>
      </w:r>
      <w:r>
        <w:t xml:space="preserve"> water solubility (</w:t>
      </w:r>
      <w:r w:rsidR="004B71AA">
        <w:t>suggesting</w:t>
      </w:r>
      <w:r w:rsidR="002E74C1">
        <w:t xml:space="preserve"> limited</w:t>
      </w:r>
      <w:r>
        <w:t xml:space="preserve"> bioavailability to micro-organisms once bound to solid matrices)</w:t>
      </w:r>
      <w:r w:rsidR="00766A05">
        <w:t xml:space="preserve">, </w:t>
      </w:r>
      <w:r w:rsidR="004B71AA">
        <w:t xml:space="preserve">lack of </w:t>
      </w:r>
      <w:r w:rsidR="00766A05">
        <w:t>evidence of biotransformation in fish</w:t>
      </w:r>
      <w:r w:rsidR="00BE2A0A">
        <w:t xml:space="preserve"> (supporting the premise that the molecule is metabolically recalcitrant)</w:t>
      </w:r>
      <w:r>
        <w:t xml:space="preserve"> and field </w:t>
      </w:r>
      <w:r w:rsidR="00766A05">
        <w:t>evidence suggesting</w:t>
      </w:r>
      <w:r>
        <w:t xml:space="preserve"> persistence in sediment a</w:t>
      </w:r>
      <w:r w:rsidR="00766A05">
        <w:t>s well as</w:t>
      </w:r>
      <w:r>
        <w:t xml:space="preserve"> widespread presence in remote </w:t>
      </w:r>
      <w:r w:rsidR="00766A05">
        <w:t>regions</w:t>
      </w:r>
      <w:r>
        <w:t xml:space="preserve">. </w:t>
      </w:r>
    </w:p>
    <w:p w14:paraId="67268660" w14:textId="77777777" w:rsidR="00CC0495" w:rsidRPr="00CC0495" w:rsidRDefault="00CC0495" w:rsidP="00A74FE9">
      <w:pPr>
        <w:pStyle w:val="BodyText"/>
        <w:jc w:val="both"/>
      </w:pPr>
    </w:p>
    <w:p w14:paraId="4BFE0863" w14:textId="77777777" w:rsidR="00775002" w:rsidRDefault="009A5369" w:rsidP="00781D60">
      <w:pPr>
        <w:pStyle w:val="Heading4"/>
        <w:numPr>
          <w:ilvl w:val="0"/>
          <w:numId w:val="0"/>
        </w:numPr>
        <w:ind w:left="284" w:hanging="142"/>
        <w:jc w:val="both"/>
      </w:pPr>
      <w:bookmarkStart w:id="747" w:name="_Toc357083722"/>
      <w:r>
        <w:t xml:space="preserve">6.2.1.2 </w:t>
      </w:r>
      <w:r w:rsidR="00B12C39" w:rsidRPr="009A5369">
        <w:t>Bioaccumulation</w:t>
      </w:r>
      <w:bookmarkStart w:id="748" w:name="_Toc341888615"/>
      <w:bookmarkStart w:id="749" w:name="_Toc342400475"/>
      <w:bookmarkEnd w:id="745"/>
      <w:bookmarkEnd w:id="746"/>
      <w:bookmarkEnd w:id="747"/>
    </w:p>
    <w:p w14:paraId="6B948CF0" w14:textId="77777777" w:rsidR="00CC0495" w:rsidRPr="00DF3BE4" w:rsidRDefault="00CC0495" w:rsidP="00A74FE9">
      <w:pPr>
        <w:pStyle w:val="BodyText"/>
        <w:jc w:val="both"/>
      </w:pPr>
      <w:r>
        <w:t xml:space="preserve">The available data on bioaccumulation have been considered in terms of unequivocal, equivocal and negative </w:t>
      </w:r>
      <w:r w:rsidRPr="00DF3BE4">
        <w:t>evidence that the substance is very bioaccumulative.</w:t>
      </w:r>
    </w:p>
    <w:p w14:paraId="3CEFBE43" w14:textId="77777777" w:rsidR="00CC0495" w:rsidRPr="00DF3BE4" w:rsidRDefault="00CC0495" w:rsidP="00DF3BE4">
      <w:pPr>
        <w:pStyle w:val="BodyText"/>
        <w:tabs>
          <w:tab w:val="center" w:pos="4819"/>
        </w:tabs>
        <w:jc w:val="both"/>
        <w:rPr>
          <w:u w:val="single"/>
        </w:rPr>
      </w:pPr>
      <w:r w:rsidRPr="00DF3BE4">
        <w:rPr>
          <w:u w:val="single"/>
        </w:rPr>
        <w:t>Unequivocal evidence</w:t>
      </w:r>
    </w:p>
    <w:p w14:paraId="5462D98B" w14:textId="77777777" w:rsidR="00CC0495" w:rsidRPr="00DF3BE4" w:rsidRDefault="00CC0495" w:rsidP="00686834">
      <w:pPr>
        <w:pStyle w:val="BodyText"/>
        <w:widowControl/>
        <w:numPr>
          <w:ilvl w:val="0"/>
          <w:numId w:val="9"/>
        </w:numPr>
        <w:spacing w:after="180"/>
        <w:ind w:left="426" w:right="232"/>
        <w:jc w:val="both"/>
      </w:pPr>
      <w:r w:rsidRPr="00DF3BE4">
        <w:t>None of the available BCF studies is valid, so it is not possible to unequivocally demonstrate that the substance has a BCF value above 2</w:t>
      </w:r>
      <w:r w:rsidR="00DB7126" w:rsidRPr="00DF3BE4">
        <w:t xml:space="preserve"> </w:t>
      </w:r>
      <w:r w:rsidRPr="00DF3BE4">
        <w:t>000 L/kg (B) or 5</w:t>
      </w:r>
      <w:r w:rsidR="00DB7126" w:rsidRPr="00DF3BE4">
        <w:t> </w:t>
      </w:r>
      <w:r w:rsidRPr="00DF3BE4">
        <w:t>000 L/kg (vB). Based on the apparent water solubility limit and reported fish concentrations in the available aquatic exposure studies, BCFs above 10</w:t>
      </w:r>
      <w:r w:rsidR="00DB7126" w:rsidRPr="00DF3BE4">
        <w:t xml:space="preserve"> </w:t>
      </w:r>
      <w:r w:rsidRPr="00DF3BE4">
        <w:t>000 L/kg can be estimated, but these are</w:t>
      </w:r>
      <w:r w:rsidRPr="00DF3BE4">
        <w:rPr>
          <w:lang w:eastAsia="en-GB"/>
        </w:rPr>
        <w:t xml:space="preserve"> confounded by</w:t>
      </w:r>
      <w:r w:rsidRPr="00DF3BE4">
        <w:t xml:space="preserve"> likely oral ingestion of the substance as a precipitate and/or adsorbed to food. The</w:t>
      </w:r>
      <w:r w:rsidR="0063729A" w:rsidRPr="00DF3BE4">
        <w:t>y are</w:t>
      </w:r>
      <w:r w:rsidR="00C22988" w:rsidRPr="00DF3BE4">
        <w:t xml:space="preserve"> </w:t>
      </w:r>
      <w:r w:rsidRPr="00DF3BE4">
        <w:t>therefore assign</w:t>
      </w:r>
      <w:r w:rsidR="0063729A" w:rsidRPr="00DF3BE4">
        <w:t xml:space="preserve">ed </w:t>
      </w:r>
      <w:r w:rsidRPr="00DF3BE4">
        <w:t>a low weighting</w:t>
      </w:r>
      <w:r w:rsidR="0063729A" w:rsidRPr="00DF3BE4">
        <w:t xml:space="preserve"> for the purposes of this analysis</w:t>
      </w:r>
      <w:r w:rsidRPr="00DF3BE4">
        <w:t xml:space="preserve">. </w:t>
      </w:r>
      <w:r w:rsidR="0063729A" w:rsidRPr="00DF3BE4">
        <w:lastRenderedPageBreak/>
        <w:t>D</w:t>
      </w:r>
      <w:r w:rsidRPr="00DF3BE4">
        <w:t>ietary exposure is more relevant, so the lack of a valid BCF study is not a hindrance for the evaluation of bioaccumulation.</w:t>
      </w:r>
    </w:p>
    <w:p w14:paraId="1BA48D44" w14:textId="77777777" w:rsidR="00CC0495" w:rsidRPr="00DF3BE4" w:rsidRDefault="00CC0495" w:rsidP="00781D60">
      <w:pPr>
        <w:pStyle w:val="BodyText"/>
        <w:jc w:val="both"/>
        <w:rPr>
          <w:u w:val="single"/>
        </w:rPr>
      </w:pPr>
      <w:r w:rsidRPr="00DF3BE4">
        <w:rPr>
          <w:u w:val="single"/>
        </w:rPr>
        <w:t>Equivocal evidence</w:t>
      </w:r>
    </w:p>
    <w:p w14:paraId="12CC3190" w14:textId="77777777" w:rsidR="00CC0495" w:rsidRPr="00DF3BE4" w:rsidRDefault="00CC0495" w:rsidP="00686834">
      <w:pPr>
        <w:pStyle w:val="BodyText"/>
        <w:widowControl/>
        <w:numPr>
          <w:ilvl w:val="0"/>
          <w:numId w:val="9"/>
        </w:numPr>
        <w:spacing w:after="180"/>
        <w:ind w:left="426" w:right="232"/>
        <w:jc w:val="both"/>
      </w:pPr>
      <w:r w:rsidRPr="00DF3BE4">
        <w:t>Dechlorane Plus is a very hydrophobic substance, with a measured solubility in pure water below 2 </w:t>
      </w:r>
      <w:r w:rsidRPr="00DF3BE4">
        <w:rPr>
          <w:lang w:eastAsia="en-GB"/>
        </w:rPr>
        <w:t>ng/L</w:t>
      </w:r>
      <w:r w:rsidRPr="00DF3BE4">
        <w:t xml:space="preserve"> (0.002 µg/L) at 20 °C and </w:t>
      </w:r>
      <w:r w:rsidR="001350F4" w:rsidRPr="00DF3BE4">
        <w:t>estimated</w:t>
      </w:r>
      <w:r w:rsidRPr="00DF3BE4">
        <w:t xml:space="preserve"> log K</w:t>
      </w:r>
      <w:r w:rsidRPr="00DF3BE4">
        <w:rPr>
          <w:vertAlign w:val="subscript"/>
        </w:rPr>
        <w:t>OW</w:t>
      </w:r>
      <w:r w:rsidRPr="00DF3BE4">
        <w:t xml:space="preserve"> value ≥9. This meets the screening vB criterion (log K</w:t>
      </w:r>
      <w:r w:rsidRPr="00DF3BE4">
        <w:rPr>
          <w:vertAlign w:val="subscript"/>
        </w:rPr>
        <w:t>OW</w:t>
      </w:r>
      <w:r w:rsidRPr="00DF3BE4">
        <w:t xml:space="preserve"> ≥5). </w:t>
      </w:r>
      <w:r w:rsidR="00917ACF" w:rsidRPr="00DF3BE4">
        <w:t>QSAR predictions based on log K</w:t>
      </w:r>
      <w:r w:rsidR="00917ACF" w:rsidRPr="00DF3BE4">
        <w:rPr>
          <w:vertAlign w:val="subscript"/>
        </w:rPr>
        <w:t>OW</w:t>
      </w:r>
      <w:r w:rsidR="00917ACF" w:rsidRPr="00DF3BE4">
        <w:t xml:space="preserve"> are uncertain</w:t>
      </w:r>
      <w:r w:rsidR="00BE6497" w:rsidRPr="00DF3BE4">
        <w:t xml:space="preserve">, but a fish BCF of up to </w:t>
      </w:r>
      <w:r w:rsidR="00917ACF" w:rsidRPr="00DF3BE4">
        <w:t>5 500 L/kg is suggested</w:t>
      </w:r>
      <w:r w:rsidR="00BE6497" w:rsidRPr="00DF3BE4">
        <w:t>, and one model predicts a BAF of 7.5 </w:t>
      </w:r>
      <w:r w:rsidR="00BE6497" w:rsidRPr="00DF3BE4">
        <w:rPr>
          <w:i/>
        </w:rPr>
        <w:t>×</w:t>
      </w:r>
      <w:r w:rsidR="00BE6497" w:rsidRPr="00DF3BE4">
        <w:t> 10</w:t>
      </w:r>
      <w:r w:rsidR="00BE6497" w:rsidRPr="00DF3BE4">
        <w:rPr>
          <w:vertAlign w:val="superscript"/>
        </w:rPr>
        <w:t>5 </w:t>
      </w:r>
      <w:r w:rsidR="00BE6497" w:rsidRPr="00DF3BE4">
        <w:t>L/kg ww</w:t>
      </w:r>
      <w:r w:rsidR="00917ACF" w:rsidRPr="00DF3BE4">
        <w:t xml:space="preserve">. </w:t>
      </w:r>
      <w:r w:rsidRPr="00DF3BE4">
        <w:t xml:space="preserve">Its molecular weight of 654 g/mole, estimated maximum diameter of </w:t>
      </w:r>
      <w:r w:rsidR="00152D24">
        <w:t>around</w:t>
      </w:r>
      <w:r w:rsidRPr="00DF3BE4">
        <w:t xml:space="preserve"> 1.4 nm and </w:t>
      </w:r>
      <w:r w:rsidR="00EF20C3" w:rsidRPr="00DF3BE4">
        <w:t>n-</w:t>
      </w:r>
      <w:r w:rsidRPr="00DF3BE4">
        <w:t xml:space="preserve">octanol solubility of 470 mg/L at 25 °C mean that significant uptake via passive transport cannot be ruled out if aquatic organisms are exposed. </w:t>
      </w:r>
      <w:r w:rsidR="001350F4" w:rsidRPr="00DF3BE4">
        <w:t>Indeed, t</w:t>
      </w:r>
      <w:r w:rsidRPr="00DF3BE4">
        <w:t xml:space="preserve">he </w:t>
      </w:r>
      <w:r w:rsidR="001350F4" w:rsidRPr="00DF3BE4">
        <w:t>n-</w:t>
      </w:r>
      <w:r w:rsidRPr="00DF3BE4">
        <w:t xml:space="preserve">octanol solubility suggests that lipid solubility might be relatively high, and </w:t>
      </w:r>
      <w:r w:rsidR="00EF20C3" w:rsidRPr="00DF3BE4">
        <w:t>fat tissue was the most important reservoir for the substance in a study involving Domestic Chickens (</w:t>
      </w:r>
      <w:r w:rsidRPr="00DF3BE4">
        <w:t xml:space="preserve">Zheng </w:t>
      </w:r>
      <w:r w:rsidRPr="00DF3BE4">
        <w:rPr>
          <w:i/>
        </w:rPr>
        <w:t>et al</w:t>
      </w:r>
      <w:r w:rsidRPr="00DF3BE4">
        <w:t>.</w:t>
      </w:r>
      <w:r w:rsidR="00EF20C3" w:rsidRPr="00DF3BE4">
        <w:t>,</w:t>
      </w:r>
      <w:r w:rsidRPr="00DF3BE4">
        <w:t xml:space="preserve"> 2011a). </w:t>
      </w:r>
      <w:r w:rsidR="00EF20C3" w:rsidRPr="00DF3BE4">
        <w:t>In addition</w:t>
      </w:r>
      <w:r w:rsidRPr="00DF3BE4">
        <w:t xml:space="preserve">, several studies suggest that factors other than lipid solubility (e.g. </w:t>
      </w:r>
      <w:r w:rsidRPr="00DF3BE4">
        <w:rPr>
          <w:lang w:eastAsia="en-GB"/>
        </w:rPr>
        <w:t>hepatic binding enzymes, blood perfusion and sequestration by proteins</w:t>
      </w:r>
      <w:r w:rsidRPr="00DF3BE4">
        <w:t>) could play important roles in determining tissue deposition</w:t>
      </w:r>
      <w:r w:rsidRPr="00DF3BE4">
        <w:rPr>
          <w:szCs w:val="24"/>
        </w:rPr>
        <w:t xml:space="preserve"> (e.g. Zeng </w:t>
      </w:r>
      <w:r w:rsidRPr="00DF3BE4">
        <w:rPr>
          <w:i/>
          <w:szCs w:val="24"/>
        </w:rPr>
        <w:t>et al</w:t>
      </w:r>
      <w:r w:rsidRPr="00DF3BE4">
        <w:rPr>
          <w:szCs w:val="24"/>
        </w:rPr>
        <w:t xml:space="preserve">. </w:t>
      </w:r>
      <w:r w:rsidRPr="00F0628F">
        <w:rPr>
          <w:szCs w:val="24"/>
          <w:lang w:val="fr-FR"/>
        </w:rPr>
        <w:t xml:space="preserve">(2014a), de la Torre </w:t>
      </w:r>
      <w:r w:rsidRPr="00F0628F">
        <w:rPr>
          <w:i/>
          <w:szCs w:val="24"/>
          <w:lang w:val="fr-FR"/>
        </w:rPr>
        <w:t>et al</w:t>
      </w:r>
      <w:r w:rsidRPr="00F0628F">
        <w:rPr>
          <w:szCs w:val="24"/>
          <w:lang w:val="fr-FR"/>
        </w:rPr>
        <w:t xml:space="preserve">. (2012), </w:t>
      </w:r>
      <w:r w:rsidRPr="00F0628F">
        <w:rPr>
          <w:lang w:val="fr-FR"/>
        </w:rPr>
        <w:t xml:space="preserve">Guerra </w:t>
      </w:r>
      <w:r w:rsidRPr="00F0628F">
        <w:rPr>
          <w:i/>
          <w:lang w:val="fr-FR"/>
        </w:rPr>
        <w:t>et al</w:t>
      </w:r>
      <w:r w:rsidRPr="00F0628F">
        <w:rPr>
          <w:lang w:val="fr-FR"/>
        </w:rPr>
        <w:t xml:space="preserve">. (2011), </w:t>
      </w:r>
      <w:r w:rsidRPr="00F0628F">
        <w:rPr>
          <w:szCs w:val="24"/>
          <w:lang w:val="fr-FR"/>
        </w:rPr>
        <w:t xml:space="preserve">Zhang </w:t>
      </w:r>
      <w:r w:rsidRPr="00F0628F">
        <w:rPr>
          <w:i/>
          <w:szCs w:val="24"/>
          <w:lang w:val="fr-FR"/>
        </w:rPr>
        <w:t>et al</w:t>
      </w:r>
      <w:r w:rsidRPr="00F0628F">
        <w:rPr>
          <w:szCs w:val="24"/>
          <w:lang w:val="fr-FR"/>
        </w:rPr>
        <w:t xml:space="preserve">. </w:t>
      </w:r>
      <w:r w:rsidRPr="00DF3BE4">
        <w:rPr>
          <w:szCs w:val="24"/>
        </w:rPr>
        <w:t xml:space="preserve">(2011a) and Li </w:t>
      </w:r>
      <w:r w:rsidRPr="00DF3BE4">
        <w:rPr>
          <w:i/>
          <w:szCs w:val="24"/>
        </w:rPr>
        <w:t>et al</w:t>
      </w:r>
      <w:r w:rsidRPr="00DF3BE4">
        <w:rPr>
          <w:szCs w:val="24"/>
        </w:rPr>
        <w:t xml:space="preserve">. (2013a&amp;b) and Chen </w:t>
      </w:r>
      <w:r w:rsidRPr="00DF3BE4">
        <w:rPr>
          <w:i/>
          <w:szCs w:val="24"/>
        </w:rPr>
        <w:t>et al</w:t>
      </w:r>
      <w:r w:rsidRPr="00DF3BE4">
        <w:rPr>
          <w:szCs w:val="24"/>
        </w:rPr>
        <w:t>. (2013b))</w:t>
      </w:r>
      <w:r w:rsidRPr="00DF3BE4">
        <w:t>. The log K</w:t>
      </w:r>
      <w:r w:rsidRPr="00DF3BE4">
        <w:rPr>
          <w:vertAlign w:val="subscript"/>
        </w:rPr>
        <w:t>OA</w:t>
      </w:r>
      <w:r w:rsidRPr="00DF3BE4">
        <w:t xml:space="preserve"> &gt;5 also </w:t>
      </w:r>
      <w:r w:rsidR="002159AC">
        <w:t>suggests</w:t>
      </w:r>
      <w:r w:rsidRPr="00DF3BE4">
        <w:t xml:space="preserve"> that it has a high biomagnification potential in terrestrial wildlife.</w:t>
      </w:r>
    </w:p>
    <w:p w14:paraId="3E961C35" w14:textId="77777777" w:rsidR="00CC0495" w:rsidRPr="00DF3BE4" w:rsidRDefault="00CC0495" w:rsidP="00686834">
      <w:pPr>
        <w:pStyle w:val="BodyText"/>
        <w:widowControl/>
        <w:numPr>
          <w:ilvl w:val="0"/>
          <w:numId w:val="9"/>
        </w:numPr>
        <w:spacing w:after="180"/>
        <w:ind w:left="426" w:right="232"/>
        <w:jc w:val="both"/>
      </w:pPr>
      <w:r w:rsidRPr="00DF3BE4">
        <w:t xml:space="preserve">The key </w:t>
      </w:r>
      <w:r w:rsidR="00BE6497" w:rsidRPr="00DF3BE4">
        <w:t xml:space="preserve">dietary bioaccumulation </w:t>
      </w:r>
      <w:r w:rsidRPr="00DF3BE4">
        <w:t xml:space="preserve">study of Tomy </w:t>
      </w:r>
      <w:r w:rsidRPr="00DF3BE4">
        <w:rPr>
          <w:i/>
        </w:rPr>
        <w:t>et al</w:t>
      </w:r>
      <w:r w:rsidRPr="00DF3BE4">
        <w:t xml:space="preserve">. (2008) with juvenile Rainbow Trout </w:t>
      </w:r>
      <w:r w:rsidRPr="00DF3BE4">
        <w:rPr>
          <w:i/>
        </w:rPr>
        <w:t>O. mykiss</w:t>
      </w:r>
      <w:r w:rsidRPr="00DF3BE4">
        <w:t xml:space="preserve"> is reliable with restrictions</w:t>
      </w:r>
      <w:r w:rsidRPr="00DF3BE4">
        <w:rPr>
          <w:b/>
        </w:rPr>
        <w:t>.</w:t>
      </w:r>
      <w:r w:rsidRPr="00DF3BE4">
        <w:t xml:space="preserve"> In the absence of the original raw data, a definitive conclusion about the BMF from this study</w:t>
      </w:r>
      <w:r w:rsidR="00EF20C3" w:rsidRPr="00DF3BE4">
        <w:t xml:space="preserve"> cannot be drawn</w:t>
      </w:r>
      <w:r w:rsidRPr="00DF3BE4">
        <w:t>.</w:t>
      </w:r>
      <w:r w:rsidR="00BE6497" w:rsidRPr="00DF3BE4">
        <w:t xml:space="preserve"> T</w:t>
      </w:r>
      <w:r w:rsidRPr="00DF3BE4">
        <w:rPr>
          <w:szCs w:val="24"/>
        </w:rPr>
        <w:t>he theoretical BMF could have been around 0.12 for the syn- isomer</w:t>
      </w:r>
      <w:r w:rsidR="001350F4" w:rsidRPr="00DF3BE4">
        <w:rPr>
          <w:szCs w:val="24"/>
        </w:rPr>
        <w:t>. A BMF of 0.1 or above</w:t>
      </w:r>
      <w:r w:rsidRPr="00DF3BE4">
        <w:rPr>
          <w:szCs w:val="24"/>
        </w:rPr>
        <w:t xml:space="preserve"> correlate</w:t>
      </w:r>
      <w:r w:rsidR="001350F4" w:rsidRPr="00DF3BE4">
        <w:rPr>
          <w:szCs w:val="24"/>
        </w:rPr>
        <w:t>s</w:t>
      </w:r>
      <w:r w:rsidRPr="00DF3BE4">
        <w:rPr>
          <w:szCs w:val="24"/>
        </w:rPr>
        <w:t xml:space="preserve"> with a lipid</w:t>
      </w:r>
      <w:r w:rsidR="001350F4" w:rsidRPr="00DF3BE4">
        <w:rPr>
          <w:szCs w:val="24"/>
        </w:rPr>
        <w:t>-</w:t>
      </w:r>
      <w:r w:rsidRPr="00DF3BE4">
        <w:rPr>
          <w:szCs w:val="24"/>
        </w:rPr>
        <w:t>normalised BCF of 2</w:t>
      </w:r>
      <w:r w:rsidR="00DB7126" w:rsidRPr="00DF3BE4">
        <w:rPr>
          <w:szCs w:val="24"/>
        </w:rPr>
        <w:t xml:space="preserve"> </w:t>
      </w:r>
      <w:r w:rsidRPr="00DF3BE4">
        <w:rPr>
          <w:szCs w:val="24"/>
        </w:rPr>
        <w:t>000 L/kg based on both theoretical arguments and empirical observations (</w:t>
      </w:r>
      <w:r w:rsidRPr="00DF3BE4">
        <w:t xml:space="preserve">MacKay </w:t>
      </w:r>
      <w:r w:rsidRPr="00DF3BE4">
        <w:rPr>
          <w:i/>
        </w:rPr>
        <w:t>et al</w:t>
      </w:r>
      <w:r w:rsidRPr="00DF3BE4">
        <w:t xml:space="preserve">., 2013 and </w:t>
      </w:r>
      <w:r w:rsidRPr="00DF3BE4">
        <w:rPr>
          <w:szCs w:val="24"/>
        </w:rPr>
        <w:t xml:space="preserve">Inoue </w:t>
      </w:r>
      <w:r w:rsidRPr="00DF3BE4">
        <w:rPr>
          <w:i/>
          <w:szCs w:val="24"/>
        </w:rPr>
        <w:t>et al.</w:t>
      </w:r>
      <w:r w:rsidRPr="00DF3BE4">
        <w:rPr>
          <w:szCs w:val="24"/>
        </w:rPr>
        <w:t xml:space="preserve">, 2012). </w:t>
      </w:r>
    </w:p>
    <w:p w14:paraId="1FC4EE41" w14:textId="77777777" w:rsidR="00F43BBC" w:rsidRPr="002159AC" w:rsidRDefault="00E53FCE" w:rsidP="00F43BBC">
      <w:pPr>
        <w:pStyle w:val="BodyText"/>
        <w:widowControl/>
        <w:numPr>
          <w:ilvl w:val="0"/>
          <w:numId w:val="9"/>
        </w:numPr>
        <w:spacing w:after="180"/>
        <w:ind w:left="426" w:right="232"/>
        <w:jc w:val="both"/>
        <w:rPr>
          <w:rFonts w:eastAsia="BatangChe"/>
          <w:szCs w:val="24"/>
        </w:rPr>
      </w:pPr>
      <w:r w:rsidRPr="00DF3BE4">
        <w:t xml:space="preserve">With one exception (musk xylene), substances already agreed to meet the vB criterion or identified </w:t>
      </w:r>
      <w:r w:rsidRPr="002159AC">
        <w:rPr>
          <w:rFonts w:eastAsia="BatangChe"/>
          <w:szCs w:val="24"/>
        </w:rPr>
        <w:t>as</w:t>
      </w:r>
      <w:r w:rsidRPr="00DF3BE4">
        <w:t xml:space="preserve"> POPs based on BCF values generally have relatively long depuration half-lives of 20 days or more in at least one fish species (see Appendix 6</w:t>
      </w:r>
      <w:r w:rsidR="002159AC">
        <w:t xml:space="preserve"> and 7</w:t>
      </w:r>
      <w:r w:rsidRPr="00DF3BE4">
        <w:t xml:space="preserve">). A depuration half-life above around 8-10 days is also suggestive of a lipid-normalised and growth-corrected BCF above 5 000 L/kg according to the analysis in EA (2012). The depuration half-life for Dechlorane Plus was around 30-40 days for the anti- isomer and 50-70 days for the syn- isomer in the dietary study of Tomy </w:t>
      </w:r>
      <w:r w:rsidRPr="002159AC">
        <w:rPr>
          <w:i/>
        </w:rPr>
        <w:t>et al</w:t>
      </w:r>
      <w:r w:rsidRPr="00DF3BE4">
        <w:t xml:space="preserve">. (2008) with juvenile Rainbow Trout </w:t>
      </w:r>
      <w:r w:rsidRPr="002159AC">
        <w:rPr>
          <w:i/>
        </w:rPr>
        <w:t>O. mykiss</w:t>
      </w:r>
      <w:r w:rsidRPr="00DF3BE4">
        <w:t>.</w:t>
      </w:r>
      <w:r w:rsidRPr="00DF3BE4">
        <w:rPr>
          <w:vertAlign w:val="superscript"/>
        </w:rPr>
        <w:footnoteReference w:id="35"/>
      </w:r>
      <w:r w:rsidRPr="00DF3BE4">
        <w:t xml:space="preserve"> Zeng </w:t>
      </w:r>
      <w:r w:rsidRPr="002159AC">
        <w:rPr>
          <w:i/>
        </w:rPr>
        <w:t>et al</w:t>
      </w:r>
      <w:r w:rsidRPr="00DF3BE4">
        <w:t xml:space="preserve">. (2014a) found that residues remained in all tissues in a study using Common Carp </w:t>
      </w:r>
      <w:r w:rsidRPr="002159AC">
        <w:rPr>
          <w:i/>
        </w:rPr>
        <w:t>C. carpio</w:t>
      </w:r>
      <w:r w:rsidRPr="00DF3BE4">
        <w:t xml:space="preserve"> after 45 days of depuration. The long depuration half-life for Dechlorane Plus in fish is therefore highly indicative of a very bioaccumulative substance.</w:t>
      </w:r>
      <w:r w:rsidR="00F43BBC" w:rsidRPr="00F43BBC">
        <w:t xml:space="preserve"> </w:t>
      </w:r>
      <w:r w:rsidR="00F43BBC" w:rsidRPr="00DF3BE4">
        <w:t>Dechlorane Plus</w:t>
      </w:r>
      <w:r w:rsidR="00F43BBC">
        <w:t xml:space="preserve"> also</w:t>
      </w:r>
      <w:r w:rsidR="00F43BBC" w:rsidRPr="00DF3BE4">
        <w:t xml:space="preserve"> has </w:t>
      </w:r>
      <w:r w:rsidR="00F43BBC" w:rsidRPr="002159AC">
        <w:rPr>
          <w:szCs w:val="24"/>
        </w:rPr>
        <w:t xml:space="preserve">an elimination half-life from liver in the region of 180 days or more in Brown Rats </w:t>
      </w:r>
      <w:r w:rsidR="00F43BBC" w:rsidRPr="002159AC">
        <w:rPr>
          <w:i/>
          <w:szCs w:val="24"/>
        </w:rPr>
        <w:t>Rattus norvegicus</w:t>
      </w:r>
      <w:r w:rsidR="00F43BBC" w:rsidRPr="002159AC">
        <w:rPr>
          <w:szCs w:val="24"/>
        </w:rPr>
        <w:t xml:space="preserve"> (Li </w:t>
      </w:r>
      <w:r w:rsidR="00F43BBC" w:rsidRPr="002159AC">
        <w:rPr>
          <w:i/>
          <w:szCs w:val="24"/>
        </w:rPr>
        <w:t>et al</w:t>
      </w:r>
      <w:r w:rsidR="00F43BBC" w:rsidRPr="002159AC">
        <w:rPr>
          <w:szCs w:val="24"/>
        </w:rPr>
        <w:t>., 2013b).</w:t>
      </w:r>
      <w:r w:rsidR="00F43BBC">
        <w:rPr>
          <w:szCs w:val="24"/>
        </w:rPr>
        <w:t xml:space="preserve"> These findings are assigned a high weight in the bioaccumulation assessment.</w:t>
      </w:r>
    </w:p>
    <w:p w14:paraId="60F4F4A6" w14:textId="4DC33671" w:rsidR="00EB76E9" w:rsidRPr="00DF3BE4" w:rsidRDefault="00EB76E9" w:rsidP="00EB76E9">
      <w:pPr>
        <w:pStyle w:val="BodyText"/>
        <w:widowControl/>
        <w:numPr>
          <w:ilvl w:val="0"/>
          <w:numId w:val="9"/>
        </w:numPr>
        <w:spacing w:after="180"/>
        <w:ind w:left="426" w:right="232"/>
        <w:jc w:val="both"/>
      </w:pPr>
      <w:r w:rsidRPr="00DF3BE4">
        <w:t xml:space="preserve">Dechlorane Plus is bioavailable in laboratory studies. For example, juvenile </w:t>
      </w:r>
      <w:r w:rsidRPr="00DF3BE4">
        <w:rPr>
          <w:i/>
        </w:rPr>
        <w:t>O. mykiss</w:t>
      </w:r>
      <w:r w:rsidRPr="00DF3BE4">
        <w:t xml:space="preserve"> can absorb at least 16</w:t>
      </w:r>
      <w:r w:rsidR="00BA580B" w:rsidRPr="00DF3BE4">
        <w:t xml:space="preserve"> </w:t>
      </w:r>
      <w:r w:rsidRPr="00DF3BE4">
        <w:t xml:space="preserve">% of the dose from a single feed (Xiao </w:t>
      </w:r>
      <w:r w:rsidRPr="00DF3BE4">
        <w:rPr>
          <w:i/>
        </w:rPr>
        <w:t>et al</w:t>
      </w:r>
      <w:r w:rsidRPr="00DF3BE4">
        <w:t xml:space="preserve">., 2013). All available dietary laboratory studies suggest that it takes a long time to reach steady-state. </w:t>
      </w:r>
      <w:r w:rsidR="00CC0495" w:rsidRPr="00DF3BE4">
        <w:t>Monitoring studies show that the two isomers of Dechlorane Plus are widely dispersed in aquatic and terrestrial food webs, including in areas relatively remote from human activity such as the Arctic</w:t>
      </w:r>
      <w:r w:rsidR="00E55F67" w:rsidRPr="00DF3BE4">
        <w:t xml:space="preserve"> and Antarctic</w:t>
      </w:r>
      <w:r w:rsidR="00CC0495" w:rsidRPr="00DF3BE4">
        <w:t xml:space="preserve">. This involves invertebrates and fish as well as predatory birds and mammals </w:t>
      </w:r>
      <w:r w:rsidR="00CC0495" w:rsidRPr="00DF3BE4">
        <w:rPr>
          <w:szCs w:val="24"/>
        </w:rPr>
        <w:t xml:space="preserve">such as Double-crested Cormorant </w:t>
      </w:r>
      <w:r w:rsidR="00CC0495" w:rsidRPr="00DF3BE4">
        <w:rPr>
          <w:rFonts w:eastAsia="BatangChe"/>
          <w:i/>
        </w:rPr>
        <w:t>Phalacrocorax auritus</w:t>
      </w:r>
      <w:r w:rsidR="00CC0495" w:rsidRPr="00DF3BE4">
        <w:rPr>
          <w:szCs w:val="24"/>
        </w:rPr>
        <w:t xml:space="preserve">, Bald Eagle </w:t>
      </w:r>
      <w:r w:rsidR="00CC0495" w:rsidRPr="00DF3BE4">
        <w:rPr>
          <w:i/>
          <w:szCs w:val="24"/>
        </w:rPr>
        <w:t>Haliaeetus leucocephalus</w:t>
      </w:r>
      <w:r w:rsidR="00CC0495" w:rsidRPr="00DF3BE4">
        <w:rPr>
          <w:szCs w:val="24"/>
        </w:rPr>
        <w:t xml:space="preserve">, Peregrine Falcon </w:t>
      </w:r>
      <w:r w:rsidR="00CC0495" w:rsidRPr="00DF3BE4">
        <w:rPr>
          <w:i/>
          <w:szCs w:val="24"/>
        </w:rPr>
        <w:t>Falco peregrinus</w:t>
      </w:r>
      <w:r w:rsidR="00CC0495" w:rsidRPr="00DF3BE4">
        <w:rPr>
          <w:szCs w:val="24"/>
        </w:rPr>
        <w:t xml:space="preserve">, Eurasian Otter </w:t>
      </w:r>
      <w:r w:rsidR="00CC0495" w:rsidRPr="00DF3BE4">
        <w:rPr>
          <w:i/>
          <w:szCs w:val="24"/>
        </w:rPr>
        <w:t>Lutra</w:t>
      </w:r>
      <w:r w:rsidR="00CC0495" w:rsidRPr="00DF3BE4">
        <w:rPr>
          <w:szCs w:val="24"/>
        </w:rPr>
        <w:t xml:space="preserve">, Wolf </w:t>
      </w:r>
      <w:r w:rsidR="00CC0495" w:rsidRPr="00DF3BE4">
        <w:rPr>
          <w:i/>
          <w:szCs w:val="24"/>
        </w:rPr>
        <w:t>Canis lupus</w:t>
      </w:r>
      <w:r w:rsidR="00CC0495" w:rsidRPr="00DF3BE4">
        <w:rPr>
          <w:szCs w:val="24"/>
        </w:rPr>
        <w:t xml:space="preserve">, </w:t>
      </w:r>
      <w:r w:rsidR="00CC0495" w:rsidRPr="00DF3BE4">
        <w:t xml:space="preserve">Polar </w:t>
      </w:r>
      <w:r w:rsidR="00CC0495" w:rsidRPr="00DF3BE4">
        <w:rPr>
          <w:szCs w:val="24"/>
        </w:rPr>
        <w:t xml:space="preserve">Bear </w:t>
      </w:r>
      <w:r w:rsidR="00CC0495" w:rsidRPr="00DF3BE4">
        <w:rPr>
          <w:i/>
          <w:iCs/>
          <w:szCs w:val="24"/>
        </w:rPr>
        <w:t>Ursus maritimus</w:t>
      </w:r>
      <w:r w:rsidR="00CC0495" w:rsidRPr="00DF3BE4">
        <w:rPr>
          <w:szCs w:val="24"/>
        </w:rPr>
        <w:t xml:space="preserve"> and cetaceans (e.g. </w:t>
      </w:r>
      <w:r w:rsidR="00CC0495" w:rsidRPr="00DF3BE4">
        <w:rPr>
          <w:i/>
          <w:iCs/>
          <w:szCs w:val="24"/>
        </w:rPr>
        <w:t>Delphinus delphis</w:t>
      </w:r>
      <w:r w:rsidR="00CC0495" w:rsidRPr="00DF3BE4">
        <w:rPr>
          <w:iCs/>
          <w:szCs w:val="24"/>
        </w:rPr>
        <w:t xml:space="preserve">). The highest levels are observed in </w:t>
      </w:r>
      <w:r w:rsidR="00CC0495" w:rsidRPr="00DF3BE4">
        <w:t>polluted environments in China and near the U.S. manufacturing facility</w:t>
      </w:r>
      <w:r w:rsidRPr="00DF3BE4">
        <w:t>.</w:t>
      </w:r>
    </w:p>
    <w:p w14:paraId="305A779F" w14:textId="77777777" w:rsidR="0097682F" w:rsidRPr="00DF3BE4" w:rsidRDefault="0097682F" w:rsidP="0097682F">
      <w:pPr>
        <w:pStyle w:val="BodyText"/>
        <w:widowControl/>
        <w:numPr>
          <w:ilvl w:val="0"/>
          <w:numId w:val="9"/>
        </w:numPr>
        <w:spacing w:after="180"/>
        <w:ind w:left="426" w:right="232"/>
        <w:jc w:val="both"/>
        <w:rPr>
          <w:rFonts w:eastAsiaTheme="minorHAnsi"/>
          <w:szCs w:val="24"/>
        </w:rPr>
      </w:pPr>
      <w:r w:rsidRPr="00DF3BE4">
        <w:rPr>
          <w:szCs w:val="24"/>
        </w:rPr>
        <w:lastRenderedPageBreak/>
        <w:t xml:space="preserve">Wang </w:t>
      </w:r>
      <w:r w:rsidRPr="00DF3BE4">
        <w:rPr>
          <w:i/>
          <w:szCs w:val="24"/>
        </w:rPr>
        <w:t>et al</w:t>
      </w:r>
      <w:r w:rsidRPr="00DF3BE4">
        <w:rPr>
          <w:szCs w:val="24"/>
        </w:rPr>
        <w:t xml:space="preserve">. (2015) </w:t>
      </w:r>
      <w:r w:rsidRPr="00DF3BE4">
        <w:rPr>
          <w:szCs w:val="24"/>
          <w:lang w:eastAsia="en-GB"/>
        </w:rPr>
        <w:t xml:space="preserve">reported field </w:t>
      </w:r>
      <w:r w:rsidRPr="00DF3BE4">
        <w:rPr>
          <w:szCs w:val="24"/>
        </w:rPr>
        <w:t xml:space="preserve">BSAFs above 1 for three fish species, with values up to 3.2 and 9.0 for the anti- and syn- isomers, respectively and Jia </w:t>
      </w:r>
      <w:r w:rsidRPr="00DF3BE4">
        <w:rPr>
          <w:i/>
          <w:szCs w:val="24"/>
        </w:rPr>
        <w:t>et al</w:t>
      </w:r>
      <w:r w:rsidRPr="00DF3BE4">
        <w:rPr>
          <w:szCs w:val="24"/>
        </w:rPr>
        <w:t>. (2011</w:t>
      </w:r>
      <w:r w:rsidRPr="00DF3BE4">
        <w:rPr>
          <w:szCs w:val="24"/>
          <w:lang w:val="en-US"/>
        </w:rPr>
        <w:t xml:space="preserve">) </w:t>
      </w:r>
      <w:r w:rsidRPr="00DF3BE4">
        <w:rPr>
          <w:szCs w:val="24"/>
        </w:rPr>
        <w:t>reported BSAFs above 2 for molluscs</w:t>
      </w:r>
      <w:r w:rsidRPr="00DF3BE4">
        <w:rPr>
          <w:szCs w:val="24"/>
          <w:lang w:val="en-US"/>
        </w:rPr>
        <w:t xml:space="preserve">. A BSAF above 2 suggests that </w:t>
      </w:r>
      <w:r w:rsidRPr="00DF3BE4">
        <w:rPr>
          <w:rFonts w:eastAsiaTheme="minorHAnsi"/>
        </w:rPr>
        <w:t xml:space="preserve">the substance can accumulate to a greater extent than by simple partitioning alone. </w:t>
      </w:r>
    </w:p>
    <w:p w14:paraId="19ABD725" w14:textId="77777777" w:rsidR="00CC0495" w:rsidRPr="00DF3BE4" w:rsidRDefault="00BE6497" w:rsidP="00686834">
      <w:pPr>
        <w:pStyle w:val="BodyText"/>
        <w:widowControl/>
        <w:numPr>
          <w:ilvl w:val="0"/>
          <w:numId w:val="9"/>
        </w:numPr>
        <w:spacing w:after="180"/>
        <w:ind w:left="426" w:right="232"/>
        <w:jc w:val="both"/>
      </w:pPr>
      <w:r w:rsidRPr="00DF3BE4">
        <w:t>There is some f</w:t>
      </w:r>
      <w:r w:rsidR="00CC0495" w:rsidRPr="00DF3BE4">
        <w:t>ield evidence of biomagnification between trophic levels:</w:t>
      </w:r>
    </w:p>
    <w:p w14:paraId="70696BBF" w14:textId="77777777" w:rsidR="00CC0495" w:rsidRPr="00DF3BE4" w:rsidRDefault="00CC0495" w:rsidP="00686834">
      <w:pPr>
        <w:pStyle w:val="BodyText"/>
        <w:widowControl/>
        <w:numPr>
          <w:ilvl w:val="0"/>
          <w:numId w:val="10"/>
        </w:numPr>
        <w:tabs>
          <w:tab w:val="left" w:pos="7371"/>
          <w:tab w:val="left" w:pos="7513"/>
        </w:tabs>
        <w:spacing w:after="120"/>
        <w:ind w:right="515"/>
        <w:jc w:val="both"/>
      </w:pPr>
      <w:r w:rsidRPr="00DF3BE4">
        <w:t xml:space="preserve">Wu </w:t>
      </w:r>
      <w:r w:rsidRPr="00DF3BE4">
        <w:rPr>
          <w:i/>
        </w:rPr>
        <w:t>et al</w:t>
      </w:r>
      <w:r w:rsidRPr="00DF3BE4">
        <w:t xml:space="preserve">. (2010) calculated a TMF above 1 for both Dechlorane Plus isomers (11.3 for the syn- isomer and 6.5 for the anti- isomer) in a freshwater food web from South China. The TMF depends on the assignment of one species (a water snake) to the highest trophic position. Inclusion of a top predatory fish (Northern Snakehead) results in a lack of biomagnification (and even biodilution for the anti- isomer). Levels in three benthic-feeding carp species were consistently higher than potential invertebrate prey, suggesting that biomagnification may occur for some feeding relationships although this might also be influenced by sediment ingestion. </w:t>
      </w:r>
    </w:p>
    <w:p w14:paraId="17577F44" w14:textId="77777777" w:rsidR="00CC0495" w:rsidRPr="00DF3BE4" w:rsidRDefault="00CC0495" w:rsidP="00686834">
      <w:pPr>
        <w:pStyle w:val="BodyText"/>
        <w:widowControl/>
        <w:numPr>
          <w:ilvl w:val="0"/>
          <w:numId w:val="10"/>
        </w:numPr>
        <w:tabs>
          <w:tab w:val="left" w:pos="7371"/>
          <w:tab w:val="left" w:pos="7513"/>
        </w:tabs>
        <w:spacing w:after="120"/>
        <w:ind w:right="515"/>
        <w:jc w:val="both"/>
        <w:rPr>
          <w:szCs w:val="24"/>
        </w:rPr>
      </w:pPr>
      <w:r w:rsidRPr="00DF3BE4">
        <w:t xml:space="preserve">Tomy </w:t>
      </w:r>
      <w:r w:rsidRPr="00DF3BE4">
        <w:rPr>
          <w:i/>
        </w:rPr>
        <w:t>et al</w:t>
      </w:r>
      <w:r w:rsidRPr="00DF3BE4">
        <w:t>. (2007) reported a lipid weight TMF value above 1 for the anti- isomer in Lake Winnipeg (TMF = 2.5, r</w:t>
      </w:r>
      <w:r w:rsidRPr="00DF3BE4">
        <w:rPr>
          <w:vertAlign w:val="superscript"/>
        </w:rPr>
        <w:t>2</w:t>
      </w:r>
      <w:r w:rsidRPr="00DF3BE4">
        <w:t xml:space="preserve"> = 0.12, p = 0.04), but not for the syn- isomer, or either isomer in Lake Ontario. In Lake Winnipeg, trophic level-adjusted BMFs (based on the ratio of lipid-corrected concentrations) for four feeding relationships were all below 1 for both syn- and anti- isomers, with the exception of the Walleye/Whitefish predator-prey relationship (BMF of 11, for the anti- isomer only). In Lake Ontario, trophic level-adjusted BMFs calculated for four feeding relationships were below 1 for both isomers, with the exception of the Lake Trout/Smelt predator-prey relationship (12 for the syn- isomer and 11 for the anti- isomer). </w:t>
      </w:r>
    </w:p>
    <w:p w14:paraId="12BA175E" w14:textId="77777777" w:rsidR="00CC0495" w:rsidRPr="00DF3BE4" w:rsidRDefault="00CC0495" w:rsidP="00686834">
      <w:pPr>
        <w:pStyle w:val="BodyText"/>
        <w:widowControl/>
        <w:numPr>
          <w:ilvl w:val="0"/>
          <w:numId w:val="10"/>
        </w:numPr>
        <w:tabs>
          <w:tab w:val="left" w:pos="7371"/>
          <w:tab w:val="left" w:pos="7513"/>
        </w:tabs>
        <w:spacing w:after="120"/>
        <w:ind w:right="515"/>
        <w:jc w:val="both"/>
        <w:rPr>
          <w:szCs w:val="24"/>
        </w:rPr>
      </w:pPr>
      <w:r w:rsidRPr="00DF3BE4">
        <w:rPr>
          <w:lang w:eastAsia="en-GB"/>
        </w:rPr>
        <w:t>Wang</w:t>
      </w:r>
      <w:r w:rsidRPr="00DF3BE4">
        <w:rPr>
          <w:rFonts w:eastAsia="BatangChe"/>
        </w:rPr>
        <w:t xml:space="preserve"> </w:t>
      </w:r>
      <w:r w:rsidRPr="00DF3BE4">
        <w:rPr>
          <w:rFonts w:eastAsia="BatangChe"/>
          <w:i/>
        </w:rPr>
        <w:t>et al</w:t>
      </w:r>
      <w:r w:rsidRPr="00DF3BE4">
        <w:rPr>
          <w:rFonts w:eastAsia="BatangChe"/>
        </w:rPr>
        <w:t>. (2015)</w:t>
      </w:r>
      <w:r w:rsidRPr="00DF3BE4">
        <w:rPr>
          <w:lang w:eastAsia="en-GB"/>
        </w:rPr>
        <w:t xml:space="preserve"> </w:t>
      </w:r>
      <w:r w:rsidRPr="00DF3BE4">
        <w:rPr>
          <w:rFonts w:eastAsia="BatangChe"/>
        </w:rPr>
        <w:t xml:space="preserve">reported </w:t>
      </w:r>
      <w:r w:rsidRPr="00DF3BE4">
        <w:t>a</w:t>
      </w:r>
      <w:r w:rsidRPr="00DF3BE4">
        <w:rPr>
          <w:lang w:eastAsia="en-GB"/>
        </w:rPr>
        <w:t xml:space="preserve"> </w:t>
      </w:r>
      <w:r w:rsidRPr="00DF3BE4">
        <w:rPr>
          <w:szCs w:val="24"/>
        </w:rPr>
        <w:t>statistically significant</w:t>
      </w:r>
      <w:r w:rsidRPr="00DF3BE4">
        <w:rPr>
          <w:lang w:eastAsia="en-GB"/>
        </w:rPr>
        <w:t xml:space="preserve"> TMF of 1.9 </w:t>
      </w:r>
      <w:r w:rsidRPr="00DF3BE4">
        <w:rPr>
          <w:szCs w:val="24"/>
        </w:rPr>
        <w:t>(95</w:t>
      </w:r>
      <w:r w:rsidR="00BA580B" w:rsidRPr="00DF3BE4">
        <w:rPr>
          <w:szCs w:val="24"/>
        </w:rPr>
        <w:t xml:space="preserve"> </w:t>
      </w:r>
      <w:r w:rsidRPr="00DF3BE4">
        <w:rPr>
          <w:szCs w:val="24"/>
        </w:rPr>
        <w:t xml:space="preserve">% CI: 1.1–3.4) </w:t>
      </w:r>
      <w:r w:rsidRPr="00DF3BE4">
        <w:rPr>
          <w:lang w:eastAsia="en-GB"/>
        </w:rPr>
        <w:t xml:space="preserve">for </w:t>
      </w:r>
      <w:r w:rsidRPr="00DF3BE4">
        <w:rPr>
          <w:szCs w:val="24"/>
        </w:rPr>
        <w:t>anti-Dechlorane Plus</w:t>
      </w:r>
      <w:r w:rsidRPr="00DF3BE4">
        <w:rPr>
          <w:lang w:eastAsia="en-GB"/>
        </w:rPr>
        <w:t xml:space="preserve"> in an aquatic food chain in China. Concentrations in fish were much higher than in the study of Tomy </w:t>
      </w:r>
      <w:r w:rsidRPr="00DF3BE4">
        <w:rPr>
          <w:i/>
          <w:lang w:eastAsia="en-GB"/>
        </w:rPr>
        <w:t>et al</w:t>
      </w:r>
      <w:r w:rsidRPr="00DF3BE4">
        <w:rPr>
          <w:lang w:eastAsia="en-GB"/>
        </w:rPr>
        <w:t>. (2007), although sample sizes were small.</w:t>
      </w:r>
    </w:p>
    <w:p w14:paraId="081F2574" w14:textId="77777777" w:rsidR="00CC0495" w:rsidRPr="00DF3BE4" w:rsidRDefault="00CC0495" w:rsidP="00686834">
      <w:pPr>
        <w:pStyle w:val="BodyText"/>
        <w:widowControl/>
        <w:numPr>
          <w:ilvl w:val="0"/>
          <w:numId w:val="10"/>
        </w:numPr>
        <w:tabs>
          <w:tab w:val="left" w:pos="7371"/>
          <w:tab w:val="left" w:pos="7513"/>
        </w:tabs>
        <w:spacing w:after="120"/>
        <w:ind w:right="515"/>
        <w:jc w:val="both"/>
      </w:pPr>
      <w:r w:rsidRPr="00DF3BE4">
        <w:t xml:space="preserve">Sun </w:t>
      </w:r>
      <w:r w:rsidRPr="00DF3BE4">
        <w:rPr>
          <w:i/>
          <w:iCs/>
        </w:rPr>
        <w:t>et al.</w:t>
      </w:r>
      <w:r w:rsidRPr="00DF3BE4">
        <w:t xml:space="preserve"> (2015) reported a TMF for total Dechlorane Plus of 2.31 in a Chinese aquatic food web, although the regression was not statistically significant (</w:t>
      </w:r>
      <w:r w:rsidRPr="00DF3BE4">
        <w:rPr>
          <w:i/>
        </w:rPr>
        <w:t xml:space="preserve">p </w:t>
      </w:r>
      <w:r w:rsidRPr="00DF3BE4">
        <w:t>= 0.07). Estimated BMFs for various predator-prey combinations were in the range 1.27 to 11.8. These calculations assume that a predator consumes one prey species only, and this is unlikely to be the case in reality.</w:t>
      </w:r>
    </w:p>
    <w:p w14:paraId="2DEC7E60" w14:textId="77777777" w:rsidR="00CC0495" w:rsidRPr="00DF3BE4" w:rsidRDefault="00CC0495" w:rsidP="00686834">
      <w:pPr>
        <w:pStyle w:val="BodyText"/>
        <w:widowControl/>
        <w:numPr>
          <w:ilvl w:val="0"/>
          <w:numId w:val="10"/>
        </w:numPr>
        <w:tabs>
          <w:tab w:val="left" w:pos="7371"/>
          <w:tab w:val="left" w:pos="7513"/>
        </w:tabs>
        <w:spacing w:after="120"/>
        <w:ind w:right="515"/>
        <w:jc w:val="both"/>
        <w:rPr>
          <w:szCs w:val="24"/>
        </w:rPr>
      </w:pPr>
      <w:r w:rsidRPr="00DF3BE4">
        <w:t xml:space="preserve">Several studies have attempted to investigate biomagnification potential in food chains involving birds, and some suggest BMFs above 1 for some feeding relationships or a positive trend with apparent </w:t>
      </w:r>
      <w:r w:rsidRPr="00DF3BE4">
        <w:rPr>
          <w:szCs w:val="24"/>
        </w:rPr>
        <w:t>trophic position</w:t>
      </w:r>
      <w:r w:rsidRPr="00DF3BE4">
        <w:t xml:space="preserve"> (e.g. </w:t>
      </w:r>
      <w:r w:rsidRPr="00DF3BE4">
        <w:rPr>
          <w:szCs w:val="24"/>
        </w:rPr>
        <w:t xml:space="preserve">Yu </w:t>
      </w:r>
      <w:r w:rsidRPr="00DF3BE4">
        <w:rPr>
          <w:i/>
          <w:szCs w:val="24"/>
        </w:rPr>
        <w:t>et al</w:t>
      </w:r>
      <w:r w:rsidRPr="00DF3BE4">
        <w:rPr>
          <w:szCs w:val="24"/>
        </w:rPr>
        <w:t>.</w:t>
      </w:r>
      <w:r w:rsidRPr="00DF3BE4">
        <w:t>,</w:t>
      </w:r>
      <w:r w:rsidRPr="00DF3BE4">
        <w:rPr>
          <w:szCs w:val="24"/>
        </w:rPr>
        <w:t xml:space="preserve"> 2013</w:t>
      </w:r>
      <w:r w:rsidRPr="00DF3BE4">
        <w:t xml:space="preserve">; </w:t>
      </w:r>
      <w:r w:rsidRPr="00DF3BE4">
        <w:rPr>
          <w:szCs w:val="24"/>
        </w:rPr>
        <w:t xml:space="preserve">Barón </w:t>
      </w:r>
      <w:r w:rsidRPr="00DF3BE4">
        <w:rPr>
          <w:i/>
          <w:szCs w:val="24"/>
        </w:rPr>
        <w:t>et al</w:t>
      </w:r>
      <w:r w:rsidRPr="00DF3BE4">
        <w:rPr>
          <w:szCs w:val="24"/>
        </w:rPr>
        <w:t>.</w:t>
      </w:r>
      <w:r w:rsidRPr="00DF3BE4">
        <w:t>,</w:t>
      </w:r>
      <w:r w:rsidRPr="00DF3BE4">
        <w:rPr>
          <w:szCs w:val="24"/>
        </w:rPr>
        <w:t xml:space="preserve"> 2014a</w:t>
      </w:r>
      <w:r w:rsidRPr="00DF3BE4">
        <w:t>;</w:t>
      </w:r>
      <w:r w:rsidRPr="00DF3BE4">
        <w:rPr>
          <w:szCs w:val="24"/>
        </w:rPr>
        <w:t xml:space="preserve"> Sun </w:t>
      </w:r>
      <w:r w:rsidRPr="00DF3BE4">
        <w:rPr>
          <w:i/>
          <w:szCs w:val="24"/>
        </w:rPr>
        <w:t>et al</w:t>
      </w:r>
      <w:r w:rsidRPr="00DF3BE4">
        <w:rPr>
          <w:szCs w:val="24"/>
        </w:rPr>
        <w:t>.</w:t>
      </w:r>
      <w:r w:rsidRPr="00DF3BE4">
        <w:t>,</w:t>
      </w:r>
      <w:r w:rsidRPr="00DF3BE4">
        <w:rPr>
          <w:szCs w:val="24"/>
        </w:rPr>
        <w:t xml:space="preserve"> 2012</w:t>
      </w:r>
      <w:r w:rsidRPr="00DF3BE4">
        <w:t xml:space="preserve">; </w:t>
      </w:r>
      <w:r w:rsidRPr="00DF3BE4">
        <w:rPr>
          <w:szCs w:val="24"/>
        </w:rPr>
        <w:t xml:space="preserve">Peng </w:t>
      </w:r>
      <w:r w:rsidRPr="00DF3BE4">
        <w:rPr>
          <w:i/>
          <w:szCs w:val="24"/>
        </w:rPr>
        <w:t>et al.</w:t>
      </w:r>
      <w:r w:rsidRPr="00DF3BE4">
        <w:t xml:space="preserve">, </w:t>
      </w:r>
      <w:r w:rsidRPr="00DF3BE4">
        <w:rPr>
          <w:szCs w:val="24"/>
        </w:rPr>
        <w:t>2015)</w:t>
      </w:r>
      <w:r w:rsidRPr="00DF3BE4">
        <w:t>. As well as the usual interpretational issues surrounding field studies, uncertainties about the relevance of lipid normalisation and trophic positioning of the sampled species mean that firm conclusions about trophic transfer in birds cannot be drawn from the available data. These studies therefore only provide</w:t>
      </w:r>
      <w:r w:rsidRPr="00DF3BE4">
        <w:rPr>
          <w:szCs w:val="24"/>
        </w:rPr>
        <w:t xml:space="preserve"> equivocal evidence that contamination levels increase with trophic position in </w:t>
      </w:r>
      <w:r w:rsidRPr="00DF3BE4">
        <w:t>birds</w:t>
      </w:r>
      <w:r w:rsidRPr="00DF3BE4">
        <w:rPr>
          <w:szCs w:val="24"/>
        </w:rPr>
        <w:t>.</w:t>
      </w:r>
    </w:p>
    <w:p w14:paraId="64B8FB4B" w14:textId="77777777" w:rsidR="00CC0495" w:rsidRPr="00DF3BE4" w:rsidRDefault="00CC0495" w:rsidP="00781D60">
      <w:pPr>
        <w:pStyle w:val="BodyText"/>
        <w:ind w:left="426" w:right="232"/>
        <w:jc w:val="both"/>
      </w:pPr>
      <w:r w:rsidRPr="00DF3BE4">
        <w:t xml:space="preserve">Field studies are difficult to interpret because there are many confounding factors, including variable exposure across concentration gradients in the sampled environment, small sample size and a limited choice of tissues that might not actually be representative of whole body concentrations. TMF values obtained for polluted environments close to point sources are also subject to uncertainty because organisms higher in the food chain may be receiving the substance directly via water or sediment in addition to exposure via food. </w:t>
      </w:r>
      <w:r w:rsidRPr="00DF3BE4">
        <w:rPr>
          <w:lang w:eastAsia="en-GB"/>
        </w:rPr>
        <w:t xml:space="preserve">Because of the confounding factors, all of these studies </w:t>
      </w:r>
      <w:r w:rsidR="00E55F67" w:rsidRPr="00DF3BE4">
        <w:rPr>
          <w:lang w:eastAsia="en-GB"/>
        </w:rPr>
        <w:t>are assigned</w:t>
      </w:r>
      <w:r w:rsidRPr="00DF3BE4">
        <w:rPr>
          <w:lang w:eastAsia="en-GB"/>
        </w:rPr>
        <w:t xml:space="preserve"> a low weighting in the bioaccumulation assessment.</w:t>
      </w:r>
      <w:r w:rsidRPr="00DF3BE4">
        <w:t xml:space="preserve"> </w:t>
      </w:r>
    </w:p>
    <w:p w14:paraId="7666D661" w14:textId="4C76C341" w:rsidR="00604834" w:rsidRPr="00822BE8" w:rsidRDefault="00374DDB" w:rsidP="007E1C2C">
      <w:pPr>
        <w:pStyle w:val="BodyText"/>
        <w:widowControl/>
        <w:spacing w:after="180"/>
        <w:ind w:left="426" w:right="232"/>
        <w:jc w:val="both"/>
        <w:rPr>
          <w:szCs w:val="24"/>
        </w:rPr>
      </w:pPr>
      <w:r>
        <w:rPr>
          <w:szCs w:val="24"/>
        </w:rPr>
        <w:t>Dechlorane Plus has been detected</w:t>
      </w:r>
      <w:r w:rsidR="00604834" w:rsidRPr="00604834">
        <w:rPr>
          <w:szCs w:val="24"/>
        </w:rPr>
        <w:t xml:space="preserve"> in human cord serum</w:t>
      </w:r>
      <w:r w:rsidR="000A300D">
        <w:rPr>
          <w:szCs w:val="24"/>
        </w:rPr>
        <w:t>,</w:t>
      </w:r>
      <w:r w:rsidR="00604834" w:rsidRPr="00604834">
        <w:rPr>
          <w:szCs w:val="24"/>
        </w:rPr>
        <w:t xml:space="preserve"> </w:t>
      </w:r>
      <w:r w:rsidR="000A300D">
        <w:rPr>
          <w:szCs w:val="24"/>
        </w:rPr>
        <w:t xml:space="preserve">which </w:t>
      </w:r>
      <w:r w:rsidR="00604834" w:rsidRPr="00604834">
        <w:rPr>
          <w:szCs w:val="24"/>
        </w:rPr>
        <w:t>indicates transfer across the placenta</w:t>
      </w:r>
      <w:r w:rsidR="000A300D">
        <w:rPr>
          <w:szCs w:val="24"/>
        </w:rPr>
        <w:t xml:space="preserve"> and exposure of human foetuses. The </w:t>
      </w:r>
      <w:r w:rsidR="00604834" w:rsidRPr="00604834">
        <w:rPr>
          <w:szCs w:val="24"/>
        </w:rPr>
        <w:t xml:space="preserve">presence </w:t>
      </w:r>
      <w:r w:rsidR="000A300D">
        <w:rPr>
          <w:szCs w:val="24"/>
        </w:rPr>
        <w:t xml:space="preserve">of the substance </w:t>
      </w:r>
      <w:r w:rsidR="00604834" w:rsidRPr="00604834">
        <w:rPr>
          <w:szCs w:val="24"/>
        </w:rPr>
        <w:t xml:space="preserve">in human breast milk also means that exposure </w:t>
      </w:r>
      <w:r w:rsidR="00604834" w:rsidRPr="002743D2">
        <w:rPr>
          <w:szCs w:val="24"/>
        </w:rPr>
        <w:t>can continue prior to weaning.</w:t>
      </w:r>
      <w:r w:rsidR="000A300D">
        <w:rPr>
          <w:szCs w:val="24"/>
        </w:rPr>
        <w:t xml:space="preserve"> These data have generally been obtained in areas where high exposure to the chemical occurs (</w:t>
      </w:r>
      <w:r w:rsidR="000523A0">
        <w:rPr>
          <w:szCs w:val="24"/>
        </w:rPr>
        <w:t>e.g.</w:t>
      </w:r>
      <w:r w:rsidR="000A300D">
        <w:rPr>
          <w:szCs w:val="24"/>
        </w:rPr>
        <w:t xml:space="preserve"> </w:t>
      </w:r>
      <w:r w:rsidR="000A300D">
        <w:rPr>
          <w:szCs w:val="24"/>
        </w:rPr>
        <w:lastRenderedPageBreak/>
        <w:t>e</w:t>
      </w:r>
      <w:r w:rsidR="000523A0">
        <w:rPr>
          <w:szCs w:val="24"/>
        </w:rPr>
        <w:noBreakHyphen/>
      </w:r>
      <w:r w:rsidR="000A300D">
        <w:rPr>
          <w:szCs w:val="24"/>
        </w:rPr>
        <w:t>waste recycling</w:t>
      </w:r>
      <w:r w:rsidR="000523A0">
        <w:rPr>
          <w:szCs w:val="24"/>
        </w:rPr>
        <w:t xml:space="preserve"> sites in Asia</w:t>
      </w:r>
      <w:r w:rsidR="000A300D">
        <w:rPr>
          <w:szCs w:val="24"/>
        </w:rPr>
        <w:t>).</w:t>
      </w:r>
      <w:r w:rsidR="008F5DC4">
        <w:rPr>
          <w:szCs w:val="24"/>
        </w:rPr>
        <w:t xml:space="preserve"> </w:t>
      </w:r>
      <w:r w:rsidR="00822BE8">
        <w:rPr>
          <w:szCs w:val="24"/>
        </w:rPr>
        <w:t>It</w:t>
      </w:r>
      <w:r w:rsidR="000A300D">
        <w:rPr>
          <w:szCs w:val="24"/>
        </w:rPr>
        <w:t xml:space="preserve"> cannot be stated</w:t>
      </w:r>
      <w:r w:rsidR="000523A0">
        <w:rPr>
          <w:szCs w:val="24"/>
        </w:rPr>
        <w:t xml:space="preserve"> with certainty</w:t>
      </w:r>
      <w:r w:rsidR="000A300D">
        <w:rPr>
          <w:szCs w:val="24"/>
        </w:rPr>
        <w:t xml:space="preserve"> whether the</w:t>
      </w:r>
      <w:r w:rsidR="008F5DC4">
        <w:rPr>
          <w:szCs w:val="24"/>
        </w:rPr>
        <w:t xml:space="preserve"> </w:t>
      </w:r>
      <w:r w:rsidR="000523A0">
        <w:rPr>
          <w:szCs w:val="24"/>
        </w:rPr>
        <w:t>presence of a substance in human tissues</w:t>
      </w:r>
      <w:r w:rsidR="008F5DC4">
        <w:rPr>
          <w:szCs w:val="24"/>
        </w:rPr>
        <w:t xml:space="preserve"> alone is</w:t>
      </w:r>
      <w:r w:rsidR="000A300D" w:rsidRPr="008F5DC4">
        <w:rPr>
          <w:szCs w:val="24"/>
        </w:rPr>
        <w:t xml:space="preserve"> indicative of </w:t>
      </w:r>
      <w:r w:rsidR="008F5DC4">
        <w:rPr>
          <w:szCs w:val="24"/>
        </w:rPr>
        <w:t xml:space="preserve">a </w:t>
      </w:r>
      <w:r w:rsidR="000A300D" w:rsidRPr="008F5DC4">
        <w:rPr>
          <w:szCs w:val="24"/>
        </w:rPr>
        <w:t>B or vB</w:t>
      </w:r>
      <w:r w:rsidR="008F5DC4">
        <w:rPr>
          <w:szCs w:val="24"/>
        </w:rPr>
        <w:t xml:space="preserve"> substance</w:t>
      </w:r>
      <w:r w:rsidR="00A80958">
        <w:rPr>
          <w:szCs w:val="24"/>
        </w:rPr>
        <w:t xml:space="preserve">, </w:t>
      </w:r>
      <w:r w:rsidR="00822BE8">
        <w:rPr>
          <w:szCs w:val="24"/>
        </w:rPr>
        <w:t xml:space="preserve">so this information is assigned a moderate weighting for the </w:t>
      </w:r>
      <w:r w:rsidR="000523A0">
        <w:rPr>
          <w:szCs w:val="24"/>
        </w:rPr>
        <w:t xml:space="preserve">bioaccumulation </w:t>
      </w:r>
      <w:r w:rsidR="00A80958">
        <w:rPr>
          <w:szCs w:val="24"/>
        </w:rPr>
        <w:t>assessment</w:t>
      </w:r>
      <w:r w:rsidR="000A300D" w:rsidRPr="008F5DC4">
        <w:rPr>
          <w:szCs w:val="24"/>
        </w:rPr>
        <w:t>.</w:t>
      </w:r>
    </w:p>
    <w:p w14:paraId="623B3D19" w14:textId="77777777" w:rsidR="00CC0495" w:rsidRPr="00DF3BE4" w:rsidRDefault="00CC0495" w:rsidP="00686834">
      <w:pPr>
        <w:pStyle w:val="BodyText"/>
        <w:widowControl/>
        <w:numPr>
          <w:ilvl w:val="0"/>
          <w:numId w:val="9"/>
        </w:numPr>
        <w:spacing w:after="180"/>
        <w:ind w:left="426" w:right="232"/>
        <w:jc w:val="both"/>
        <w:rPr>
          <w:szCs w:val="24"/>
        </w:rPr>
      </w:pPr>
      <w:r w:rsidRPr="00DF3BE4">
        <w:rPr>
          <w:szCs w:val="24"/>
        </w:rPr>
        <w:t>Th</w:t>
      </w:r>
      <w:r w:rsidR="00DD6E1D" w:rsidRPr="00DF3BE4">
        <w:rPr>
          <w:szCs w:val="24"/>
        </w:rPr>
        <w:t>e REACH PBT Guidance (ECHA, 2017</w:t>
      </w:r>
      <w:r w:rsidRPr="00DF3BE4">
        <w:rPr>
          <w:szCs w:val="24"/>
        </w:rPr>
        <w:t>a) suggests a value of 0.001 mmol/kg ww [0.02</w:t>
      </w:r>
      <w:r w:rsidR="00EB76E9" w:rsidRPr="00DF3BE4">
        <w:rPr>
          <w:szCs w:val="24"/>
        </w:rPr>
        <w:t> </w:t>
      </w:r>
      <w:r w:rsidRPr="00DF3BE4">
        <w:rPr>
          <w:szCs w:val="24"/>
        </w:rPr>
        <w:t>mmol/kg lipid (normalised to a lipid content of 5</w:t>
      </w:r>
      <w:r w:rsidR="00BA580B" w:rsidRPr="00DF3BE4">
        <w:rPr>
          <w:szCs w:val="24"/>
        </w:rPr>
        <w:t xml:space="preserve"> </w:t>
      </w:r>
      <w:r w:rsidRPr="00DF3BE4">
        <w:rPr>
          <w:szCs w:val="24"/>
        </w:rPr>
        <w:t xml:space="preserve">%)] as a level of accumulation that is unlikely to lead to high body burdens. This is divided by a factor of 10 to account for species differences and organ versus body differences. In the case of Dechlorane Plus (with a molecular weight of 653.73 g/mol), this “critical concentration” is equivalent to 0.65 mg/kg ww [13 mg/kg lw] (without the additional factor of 10), or 0.065 mg/kg ww [1.3 mg/kg lw] (with the additional factor of 10) (see Appendix 7). </w:t>
      </w:r>
    </w:p>
    <w:p w14:paraId="15A3DDA6" w14:textId="77777777" w:rsidR="00CC0495" w:rsidRPr="00DF3BE4" w:rsidRDefault="00917ACF" w:rsidP="00781D60">
      <w:pPr>
        <w:pStyle w:val="BodyText"/>
        <w:ind w:left="426" w:right="232"/>
        <w:jc w:val="both"/>
        <w:rPr>
          <w:rFonts w:eastAsia="BatangChe"/>
          <w:szCs w:val="24"/>
        </w:rPr>
      </w:pPr>
      <w:r w:rsidRPr="00DF3BE4">
        <w:rPr>
          <w:szCs w:val="24"/>
        </w:rPr>
        <w:t>T</w:t>
      </w:r>
      <w:r w:rsidR="00CC0495" w:rsidRPr="00DF3BE4">
        <w:rPr>
          <w:rFonts w:eastAsia="BatangChe"/>
          <w:szCs w:val="24"/>
        </w:rPr>
        <w:t>he following maximum concentrations have been reported for environmental biota samples:</w:t>
      </w:r>
    </w:p>
    <w:p w14:paraId="4A7ADC8E" w14:textId="77777777" w:rsidR="00CC0495" w:rsidRPr="00DF3BE4" w:rsidRDefault="00BE6497" w:rsidP="00781D60">
      <w:pPr>
        <w:tabs>
          <w:tab w:val="left" w:pos="567"/>
        </w:tabs>
        <w:ind w:left="993" w:hanging="426"/>
        <w:jc w:val="both"/>
      </w:pPr>
      <w:r w:rsidRPr="00DF3BE4">
        <w:t xml:space="preserve">ca. </w:t>
      </w:r>
      <w:r w:rsidR="00CC0495" w:rsidRPr="00DF3BE4">
        <w:t xml:space="preserve">1 </w:t>
      </w:r>
      <w:r w:rsidR="00CC0495" w:rsidRPr="00DF3BE4">
        <w:rPr>
          <w:lang w:eastAsia="en-GB"/>
        </w:rPr>
        <w:t>mg</w:t>
      </w:r>
      <w:r w:rsidR="00CC0495" w:rsidRPr="00DF3BE4">
        <w:t xml:space="preserve">/kg ww [~95 mg/kg lw] in fish muscle (Wang </w:t>
      </w:r>
      <w:r w:rsidR="00CC0495" w:rsidRPr="00DF3BE4">
        <w:rPr>
          <w:i/>
        </w:rPr>
        <w:t>et al</w:t>
      </w:r>
      <w:r w:rsidR="00CC0495" w:rsidRPr="00DF3BE4">
        <w:t>., 2015);</w:t>
      </w:r>
    </w:p>
    <w:p w14:paraId="666C16B7" w14:textId="77777777" w:rsidR="00CC0495" w:rsidRPr="00DF3BE4" w:rsidRDefault="00BE6497" w:rsidP="00781D60">
      <w:pPr>
        <w:tabs>
          <w:tab w:val="left" w:pos="567"/>
        </w:tabs>
        <w:ind w:left="993" w:hanging="426"/>
        <w:jc w:val="both"/>
      </w:pPr>
      <w:r w:rsidRPr="00DF3BE4">
        <w:t xml:space="preserve">ca. </w:t>
      </w:r>
      <w:r w:rsidR="00CC0495" w:rsidRPr="00DF3BE4">
        <w:rPr>
          <w:lang w:eastAsia="en-GB"/>
        </w:rPr>
        <w:t xml:space="preserve">1 mg/kg ww [~7 mg/kg lw] in terrestrial bird eggs (Zheng </w:t>
      </w:r>
      <w:r w:rsidR="00CC0495" w:rsidRPr="00DF3BE4">
        <w:rPr>
          <w:i/>
          <w:lang w:eastAsia="en-GB"/>
        </w:rPr>
        <w:t>et al</w:t>
      </w:r>
      <w:r w:rsidR="00CC0495" w:rsidRPr="00DF3BE4">
        <w:rPr>
          <w:lang w:eastAsia="en-GB"/>
        </w:rPr>
        <w:t>., 2014b);</w:t>
      </w:r>
    </w:p>
    <w:p w14:paraId="5BB0503B" w14:textId="77777777" w:rsidR="00CC0495" w:rsidRPr="00DF3BE4" w:rsidRDefault="00BE6497" w:rsidP="00781D60">
      <w:pPr>
        <w:tabs>
          <w:tab w:val="left" w:pos="567"/>
        </w:tabs>
        <w:ind w:left="993" w:hanging="426"/>
        <w:jc w:val="both"/>
      </w:pPr>
      <w:r w:rsidRPr="00DF3BE4">
        <w:t xml:space="preserve">ca. </w:t>
      </w:r>
      <w:r w:rsidR="00CC0495" w:rsidRPr="00DF3BE4">
        <w:t xml:space="preserve">0.5 mg/kg ww [~3.8 mg/kg lw] in terrestrial bird liver and muscle (Sun </w:t>
      </w:r>
      <w:r w:rsidR="00CC0495" w:rsidRPr="00DF3BE4">
        <w:rPr>
          <w:i/>
        </w:rPr>
        <w:t>et al</w:t>
      </w:r>
      <w:r w:rsidR="00CC0495" w:rsidRPr="00DF3BE4">
        <w:t xml:space="preserve">., 2012; Chen </w:t>
      </w:r>
      <w:r w:rsidR="00CC0495" w:rsidRPr="00DF3BE4">
        <w:rPr>
          <w:i/>
        </w:rPr>
        <w:t>et al</w:t>
      </w:r>
      <w:r w:rsidR="00CC0495" w:rsidRPr="00DF3BE4">
        <w:t>., 2013b);</w:t>
      </w:r>
    </w:p>
    <w:p w14:paraId="1602DAE7" w14:textId="77777777" w:rsidR="00CC0495" w:rsidRPr="00DF3BE4" w:rsidRDefault="00BE6497" w:rsidP="00781D60">
      <w:pPr>
        <w:tabs>
          <w:tab w:val="left" w:pos="567"/>
        </w:tabs>
        <w:ind w:left="993" w:hanging="426"/>
        <w:jc w:val="both"/>
        <w:rPr>
          <w:rFonts w:eastAsia="BatangChe"/>
        </w:rPr>
      </w:pPr>
      <w:r w:rsidRPr="00DF3BE4">
        <w:t xml:space="preserve">ca. </w:t>
      </w:r>
      <w:r w:rsidR="00CC0495" w:rsidRPr="00DF3BE4">
        <w:rPr>
          <w:lang w:val="en-CA" w:eastAsia="en-GB"/>
        </w:rPr>
        <w:t xml:space="preserve">3 mg/kg lw in human blood (Zhang </w:t>
      </w:r>
      <w:r w:rsidR="00CC0495" w:rsidRPr="00DF3BE4">
        <w:rPr>
          <w:i/>
          <w:lang w:val="en-CA" w:eastAsia="en-GB"/>
        </w:rPr>
        <w:t>et al</w:t>
      </w:r>
      <w:r w:rsidR="00CC0495" w:rsidRPr="00DF3BE4">
        <w:rPr>
          <w:lang w:val="en-CA" w:eastAsia="en-GB"/>
        </w:rPr>
        <w:t>., 2013);</w:t>
      </w:r>
    </w:p>
    <w:p w14:paraId="06947FE0" w14:textId="77777777" w:rsidR="00CC0495" w:rsidRPr="00DF3BE4" w:rsidRDefault="00CC0495" w:rsidP="00781D60">
      <w:pPr>
        <w:tabs>
          <w:tab w:val="left" w:pos="567"/>
        </w:tabs>
        <w:ind w:left="993" w:hanging="426"/>
        <w:jc w:val="both"/>
      </w:pPr>
      <w:r w:rsidRPr="00DF3BE4">
        <w:rPr>
          <w:lang w:eastAsia="ar-SA"/>
        </w:rPr>
        <w:t>1 mg</w:t>
      </w:r>
      <w:r w:rsidRPr="00DF3BE4">
        <w:t>/kg ww for</w:t>
      </w:r>
      <w:r w:rsidRPr="00DF3BE4">
        <w:rPr>
          <w:lang w:eastAsia="ar-SA"/>
        </w:rPr>
        <w:t xml:space="preserve"> vegetables and 0.9 m</w:t>
      </w:r>
      <w:r w:rsidRPr="00DF3BE4">
        <w:t>g/kg ww for</w:t>
      </w:r>
      <w:r w:rsidRPr="00DF3BE4">
        <w:rPr>
          <w:lang w:eastAsia="ar-SA"/>
        </w:rPr>
        <w:t xml:space="preserve"> grains</w:t>
      </w:r>
      <w:r w:rsidRPr="00DF3BE4">
        <w:t xml:space="preserve"> (with a maximum for one vegetable type of 2.72 mg/kg ww) (</w:t>
      </w:r>
      <w:r w:rsidRPr="00DF3BE4">
        <w:rPr>
          <w:lang w:eastAsia="ar-SA"/>
        </w:rPr>
        <w:t xml:space="preserve">Wang </w:t>
      </w:r>
      <w:r w:rsidRPr="00DF3BE4">
        <w:rPr>
          <w:i/>
        </w:rPr>
        <w:t>et al</w:t>
      </w:r>
      <w:r w:rsidRPr="00DF3BE4">
        <w:t>., 2013a).</w:t>
      </w:r>
    </w:p>
    <w:p w14:paraId="09FA7172" w14:textId="77777777" w:rsidR="00CC0495" w:rsidRPr="00DF3BE4" w:rsidRDefault="00CC0495" w:rsidP="00781D60">
      <w:pPr>
        <w:pStyle w:val="BodyText"/>
        <w:spacing w:after="0"/>
        <w:ind w:left="720"/>
        <w:jc w:val="both"/>
        <w:rPr>
          <w:szCs w:val="24"/>
        </w:rPr>
      </w:pPr>
    </w:p>
    <w:p w14:paraId="67DED750" w14:textId="77777777" w:rsidR="00CC0495" w:rsidRPr="00DF3BE4" w:rsidRDefault="00CC0495" w:rsidP="00781D60">
      <w:pPr>
        <w:pStyle w:val="BodyText"/>
        <w:ind w:left="426" w:right="232"/>
        <w:jc w:val="both"/>
      </w:pPr>
      <w:r w:rsidRPr="00DF3BE4">
        <w:rPr>
          <w:szCs w:val="24"/>
        </w:rPr>
        <w:t xml:space="preserve">In addition, a concentration of </w:t>
      </w:r>
      <w:r w:rsidR="00BE6497" w:rsidRPr="00DF3BE4">
        <w:rPr>
          <w:szCs w:val="24"/>
        </w:rPr>
        <w:t xml:space="preserve">ca. </w:t>
      </w:r>
      <w:r w:rsidRPr="00DF3BE4">
        <w:rPr>
          <w:szCs w:val="24"/>
        </w:rPr>
        <w:t>1</w:t>
      </w:r>
      <w:r w:rsidR="00DB7126" w:rsidRPr="00DF3BE4">
        <w:rPr>
          <w:szCs w:val="24"/>
        </w:rPr>
        <w:t xml:space="preserve"> </w:t>
      </w:r>
      <w:r w:rsidRPr="00DF3BE4">
        <w:rPr>
          <w:szCs w:val="24"/>
        </w:rPr>
        <w:t>000 mg/kg [</w:t>
      </w:r>
      <w:r w:rsidR="00BE6497" w:rsidRPr="00DF3BE4">
        <w:t xml:space="preserve">ca. </w:t>
      </w:r>
      <w:r w:rsidRPr="00DF3BE4">
        <w:rPr>
          <w:szCs w:val="24"/>
        </w:rPr>
        <w:t xml:space="preserve">1 g/kg] lw in liver in Brown Rats </w:t>
      </w:r>
      <w:r w:rsidRPr="00DF3BE4">
        <w:rPr>
          <w:i/>
          <w:szCs w:val="24"/>
        </w:rPr>
        <w:t>Rattus norvegicus</w:t>
      </w:r>
      <w:r w:rsidRPr="00DF3BE4">
        <w:rPr>
          <w:szCs w:val="24"/>
        </w:rPr>
        <w:t xml:space="preserve"> was achieved under laboratory conditions when dosed at 100 mg/kg/d via oral gavage for 90 days (Li </w:t>
      </w:r>
      <w:r w:rsidRPr="00DF3BE4">
        <w:rPr>
          <w:i/>
          <w:szCs w:val="24"/>
        </w:rPr>
        <w:t>et al</w:t>
      </w:r>
      <w:r w:rsidRPr="00DF3BE4">
        <w:rPr>
          <w:szCs w:val="24"/>
        </w:rPr>
        <w:t xml:space="preserve">., 2013b). </w:t>
      </w:r>
      <w:r w:rsidRPr="00DF3BE4">
        <w:t xml:space="preserve">Similar findings were made in </w:t>
      </w:r>
      <w:r w:rsidRPr="00DF3BE4">
        <w:rPr>
          <w:szCs w:val="24"/>
        </w:rPr>
        <w:t xml:space="preserve">Common Quail </w:t>
      </w:r>
      <w:r w:rsidR="00917ACF" w:rsidRPr="00DF3BE4">
        <w:rPr>
          <w:i/>
          <w:iCs/>
        </w:rPr>
        <w:t>Coturnix coturnix</w:t>
      </w:r>
      <w:r w:rsidR="00917ACF" w:rsidRPr="00DF3BE4">
        <w:rPr>
          <w:szCs w:val="24"/>
        </w:rPr>
        <w:t xml:space="preserve"> </w:t>
      </w:r>
      <w:r w:rsidRPr="00DF3BE4">
        <w:rPr>
          <w:szCs w:val="24"/>
        </w:rPr>
        <w:t>(</w:t>
      </w:r>
      <w:r w:rsidRPr="00DF3BE4">
        <w:t xml:space="preserve">Li </w:t>
      </w:r>
      <w:r w:rsidRPr="00DF3BE4">
        <w:rPr>
          <w:i/>
        </w:rPr>
        <w:t>et al</w:t>
      </w:r>
      <w:r w:rsidRPr="00DF3BE4">
        <w:t>., 2013a), with the</w:t>
      </w:r>
      <w:r w:rsidRPr="00DF3BE4">
        <w:rPr>
          <w:szCs w:val="24"/>
        </w:rPr>
        <w:t xml:space="preserve"> highest concentrations (</w:t>
      </w:r>
      <w:r w:rsidR="00BE6497" w:rsidRPr="00DF3BE4">
        <w:t>ca. </w:t>
      </w:r>
      <w:r w:rsidRPr="00DF3BE4">
        <w:rPr>
          <w:szCs w:val="24"/>
        </w:rPr>
        <w:t>1</w:t>
      </w:r>
      <w:r w:rsidR="00BE6497" w:rsidRPr="00DF3BE4">
        <w:rPr>
          <w:szCs w:val="24"/>
        </w:rPr>
        <w:t> </w:t>
      </w:r>
      <w:r w:rsidRPr="00DF3BE4">
        <w:rPr>
          <w:szCs w:val="24"/>
        </w:rPr>
        <w:t>750</w:t>
      </w:r>
      <w:r w:rsidR="00BE6497" w:rsidRPr="00DF3BE4">
        <w:rPr>
          <w:szCs w:val="24"/>
        </w:rPr>
        <w:t> </w:t>
      </w:r>
      <w:r w:rsidRPr="00DF3BE4">
        <w:rPr>
          <w:szCs w:val="24"/>
        </w:rPr>
        <w:t>mg/kg lw) detected in livers of the 10 mg/kg/d dose group after 90 days. None of the available laboratory fish studies using aqueous exposure are valid and they are confounded by variable exposure concentrations and potential ingestion of particulates and the substance adsorbed to food. Nevertheless, (non-steady state) concentrations</w:t>
      </w:r>
      <w:r w:rsidRPr="00DF3BE4">
        <w:rPr>
          <w:rFonts w:eastAsiaTheme="minorHAnsi"/>
          <w:szCs w:val="24"/>
        </w:rPr>
        <w:t xml:space="preserve"> up to </w:t>
      </w:r>
      <w:r w:rsidRPr="00DF3BE4">
        <w:t xml:space="preserve">8.78 mg/kg ww were observed in Bluegill Sunfish </w:t>
      </w:r>
      <w:r w:rsidRPr="00DF3BE4">
        <w:rPr>
          <w:i/>
        </w:rPr>
        <w:t>Lepomis macrochirus</w:t>
      </w:r>
      <w:r w:rsidRPr="00DF3BE4">
        <w:t xml:space="preserve"> (Boudreau and Rausina, 1973).</w:t>
      </w:r>
    </w:p>
    <w:p w14:paraId="6AF6FB0A" w14:textId="77777777" w:rsidR="00CC0495" w:rsidRDefault="00CC0495" w:rsidP="00781D60">
      <w:pPr>
        <w:pStyle w:val="BodyText"/>
        <w:ind w:left="426" w:right="232"/>
        <w:jc w:val="both"/>
      </w:pPr>
      <w:r w:rsidRPr="00DF3BE4">
        <w:t>Some of these concentrations exceed the critical concentration without the factor of 10, and all exceed the critical concentration with the factor of 10. The accumulation in rat liver exceeds the highest critical concentration by a factor of around 75. On this basis, Dechlorane Plus can clearly achieve concentrations in biota that are of concern in a bioaccumulation context. Th</w:t>
      </w:r>
      <w:r w:rsidR="00BE6497" w:rsidRPr="00DF3BE4">
        <w:t>is fi</w:t>
      </w:r>
      <w:r w:rsidRPr="00DF3BE4">
        <w:t xml:space="preserve">nding </w:t>
      </w:r>
      <w:r w:rsidR="00BE6497" w:rsidRPr="00DF3BE4">
        <w:t>is</w:t>
      </w:r>
      <w:r w:rsidRPr="00DF3BE4">
        <w:t xml:space="preserve"> assigned a high weighting in the bioaccumulation assessment.</w:t>
      </w:r>
    </w:p>
    <w:p w14:paraId="2009ACD0" w14:textId="77777777" w:rsidR="00CC0495" w:rsidRPr="00DF3BE4" w:rsidRDefault="00CC0495" w:rsidP="00781D60">
      <w:pPr>
        <w:pStyle w:val="BodyText"/>
        <w:jc w:val="both"/>
      </w:pPr>
      <w:r w:rsidRPr="00DF3BE4">
        <w:rPr>
          <w:u w:val="single"/>
        </w:rPr>
        <w:t>Negative evidence</w:t>
      </w:r>
    </w:p>
    <w:p w14:paraId="2E377CE8" w14:textId="77777777" w:rsidR="00BE6497" w:rsidRPr="00DF3BE4" w:rsidRDefault="00BE6497" w:rsidP="00BE6497">
      <w:pPr>
        <w:pStyle w:val="BodyText"/>
        <w:widowControl/>
        <w:numPr>
          <w:ilvl w:val="0"/>
          <w:numId w:val="9"/>
        </w:numPr>
        <w:spacing w:after="180"/>
        <w:ind w:left="426" w:right="232"/>
        <w:jc w:val="both"/>
      </w:pPr>
      <w:r w:rsidRPr="00DF3BE4">
        <w:t xml:space="preserve">Some field studies do not indicate biomagnification (e.g. Klosterhaus </w:t>
      </w:r>
      <w:r w:rsidRPr="00DF3BE4">
        <w:rPr>
          <w:i/>
        </w:rPr>
        <w:t>et al</w:t>
      </w:r>
      <w:r w:rsidRPr="00DF3BE4">
        <w:t xml:space="preserve">., 2012; </w:t>
      </w:r>
      <w:r w:rsidRPr="00DF3BE4">
        <w:rPr>
          <w:szCs w:val="24"/>
        </w:rPr>
        <w:t xml:space="preserve">Barón </w:t>
      </w:r>
      <w:r w:rsidRPr="00DF3BE4">
        <w:rPr>
          <w:i/>
          <w:szCs w:val="24"/>
        </w:rPr>
        <w:t>et al</w:t>
      </w:r>
      <w:r w:rsidRPr="00DF3BE4">
        <w:rPr>
          <w:szCs w:val="24"/>
        </w:rPr>
        <w:t xml:space="preserve">., 2013; </w:t>
      </w:r>
      <w:r w:rsidRPr="00DF3BE4">
        <w:t xml:space="preserve">Peng </w:t>
      </w:r>
      <w:r w:rsidRPr="00DF3BE4">
        <w:rPr>
          <w:i/>
        </w:rPr>
        <w:t>et al</w:t>
      </w:r>
      <w:r w:rsidRPr="00DF3BE4">
        <w:t>., 2014), or</w:t>
      </w:r>
      <w:r w:rsidRPr="00DF3BE4">
        <w:rPr>
          <w:rFonts w:eastAsiaTheme="minorHAnsi"/>
        </w:rPr>
        <w:t xml:space="preserve"> suggest BSAFs below 1 </w:t>
      </w:r>
      <w:r w:rsidRPr="00DF3BE4">
        <w:rPr>
          <w:szCs w:val="24"/>
        </w:rPr>
        <w:t>(</w:t>
      </w:r>
      <w:r w:rsidRPr="00DF3BE4">
        <w:rPr>
          <w:szCs w:val="24"/>
          <w:lang w:eastAsia="en-GB"/>
        </w:rPr>
        <w:t>Zhang</w:t>
      </w:r>
      <w:r w:rsidRPr="00DF3BE4">
        <w:rPr>
          <w:i/>
          <w:szCs w:val="24"/>
          <w:lang w:eastAsia="en-GB"/>
        </w:rPr>
        <w:t xml:space="preserve"> et al</w:t>
      </w:r>
      <w:r w:rsidRPr="00DF3BE4">
        <w:rPr>
          <w:szCs w:val="24"/>
          <w:lang w:eastAsia="en-GB"/>
        </w:rPr>
        <w:t>., 2011c;</w:t>
      </w:r>
      <w:r w:rsidRPr="00DF3BE4">
        <w:rPr>
          <w:szCs w:val="24"/>
        </w:rPr>
        <w:t xml:space="preserve"> Shen </w:t>
      </w:r>
      <w:r w:rsidRPr="00DF3BE4">
        <w:rPr>
          <w:i/>
          <w:szCs w:val="24"/>
        </w:rPr>
        <w:t>et al</w:t>
      </w:r>
      <w:r w:rsidRPr="00DF3BE4">
        <w:rPr>
          <w:szCs w:val="24"/>
        </w:rPr>
        <w:t xml:space="preserve">., 2011a; Wang </w:t>
      </w:r>
      <w:r w:rsidRPr="00DF3BE4">
        <w:rPr>
          <w:i/>
          <w:szCs w:val="24"/>
        </w:rPr>
        <w:t>et al.</w:t>
      </w:r>
      <w:r w:rsidRPr="00DF3BE4">
        <w:rPr>
          <w:szCs w:val="24"/>
        </w:rPr>
        <w:t xml:space="preserve">, 2012; He </w:t>
      </w:r>
      <w:r w:rsidRPr="00DF3BE4">
        <w:rPr>
          <w:i/>
          <w:szCs w:val="24"/>
        </w:rPr>
        <w:t>et al</w:t>
      </w:r>
      <w:r w:rsidRPr="00DF3BE4">
        <w:rPr>
          <w:szCs w:val="24"/>
        </w:rPr>
        <w:t>., 2014</w:t>
      </w:r>
      <w:r w:rsidRPr="00DF3BE4">
        <w:rPr>
          <w:szCs w:val="24"/>
          <w:lang w:eastAsia="en-GB"/>
        </w:rPr>
        <w:t>)</w:t>
      </w:r>
      <w:r w:rsidR="0097682F" w:rsidRPr="00DF3BE4">
        <w:rPr>
          <w:szCs w:val="24"/>
          <w:lang w:eastAsia="en-GB"/>
        </w:rPr>
        <w:t>. O</w:t>
      </w:r>
      <w:r w:rsidRPr="00DF3BE4">
        <w:rPr>
          <w:szCs w:val="24"/>
          <w:lang w:eastAsia="en-GB"/>
        </w:rPr>
        <w:t xml:space="preserve">ne </w:t>
      </w:r>
      <w:r w:rsidR="00F43BBC">
        <w:rPr>
          <w:szCs w:val="24"/>
          <w:lang w:eastAsia="en-GB"/>
        </w:rPr>
        <w:t xml:space="preserve">non-standard </w:t>
      </w:r>
      <w:r w:rsidRPr="00DF3BE4">
        <w:rPr>
          <w:szCs w:val="24"/>
          <w:lang w:eastAsia="en-GB"/>
        </w:rPr>
        <w:t xml:space="preserve">laboratory study also gave BSAF values below 1 for </w:t>
      </w:r>
      <w:r w:rsidRPr="00DF3BE4">
        <w:rPr>
          <w:i/>
          <w:szCs w:val="24"/>
          <w:lang w:eastAsia="en-GB"/>
        </w:rPr>
        <w:t>Lumbriculus variegatus</w:t>
      </w:r>
      <w:r w:rsidRPr="00DF3BE4">
        <w:rPr>
          <w:szCs w:val="24"/>
          <w:lang w:eastAsia="en-GB"/>
        </w:rPr>
        <w:t xml:space="preserve"> (Li </w:t>
      </w:r>
      <w:r w:rsidRPr="00DF3BE4">
        <w:rPr>
          <w:i/>
          <w:szCs w:val="24"/>
          <w:lang w:eastAsia="en-GB"/>
        </w:rPr>
        <w:t>et al.</w:t>
      </w:r>
      <w:r w:rsidRPr="00DF3BE4">
        <w:rPr>
          <w:szCs w:val="24"/>
          <w:lang w:eastAsia="en-GB"/>
        </w:rPr>
        <w:t xml:space="preserve">, 2014a). </w:t>
      </w:r>
      <w:r w:rsidR="0097682F" w:rsidRPr="00DF3BE4">
        <w:t>However, the use of field evidence is given a low weighting in this analysis</w:t>
      </w:r>
      <w:r w:rsidR="00822BE8">
        <w:t>, and there are complications in the interpretation of BSAF data for highly hydrophobic substances</w:t>
      </w:r>
      <w:r w:rsidR="0097682F" w:rsidRPr="00DF3BE4">
        <w:t>. It may also be noted that f</w:t>
      </w:r>
      <w:r w:rsidRPr="00DF3BE4">
        <w:rPr>
          <w:rFonts w:eastAsiaTheme="minorHAnsi"/>
        </w:rPr>
        <w:t xml:space="preserve">or two studies where the BSAF was below 1, </w:t>
      </w:r>
      <w:r w:rsidRPr="00DF3BE4">
        <w:rPr>
          <w:szCs w:val="24"/>
          <w:lang w:eastAsia="en-GB"/>
        </w:rPr>
        <w:t>the BSAF values for Dechlorane Plus</w:t>
      </w:r>
      <w:r w:rsidRPr="00DF3BE4">
        <w:rPr>
          <w:rFonts w:eastAsiaTheme="minorHAnsi"/>
          <w:szCs w:val="24"/>
        </w:rPr>
        <w:t xml:space="preserve"> </w:t>
      </w:r>
      <w:r w:rsidRPr="00DF3BE4">
        <w:rPr>
          <w:szCs w:val="24"/>
          <w:lang w:eastAsia="en-GB"/>
        </w:rPr>
        <w:t xml:space="preserve">were similar to those for </w:t>
      </w:r>
      <w:r w:rsidRPr="00DF3BE4">
        <w:rPr>
          <w:rFonts w:eastAsiaTheme="minorHAnsi"/>
          <w:szCs w:val="24"/>
        </w:rPr>
        <w:t>BDE-183 (a hep</w:t>
      </w:r>
      <w:r w:rsidRPr="00DF3BE4">
        <w:rPr>
          <w:szCs w:val="24"/>
        </w:rPr>
        <w:t>tabromodiphenyl ether)</w:t>
      </w:r>
      <w:r w:rsidRPr="00DF3BE4">
        <w:rPr>
          <w:rFonts w:eastAsiaTheme="minorHAnsi"/>
          <w:szCs w:val="24"/>
        </w:rPr>
        <w:t xml:space="preserve"> in the same samples.</w:t>
      </w:r>
    </w:p>
    <w:p w14:paraId="21BFA5DA" w14:textId="77777777" w:rsidR="0097682F" w:rsidRPr="00DF3BE4" w:rsidRDefault="0097682F" w:rsidP="00F43BBC">
      <w:pPr>
        <w:pStyle w:val="BodyText"/>
        <w:spacing w:after="0"/>
        <w:jc w:val="both"/>
      </w:pPr>
    </w:p>
    <w:p w14:paraId="504A604E" w14:textId="77777777" w:rsidR="0097682F" w:rsidRPr="00DF3BE4" w:rsidRDefault="00C61C75" w:rsidP="00781D60">
      <w:pPr>
        <w:pStyle w:val="BodyText"/>
        <w:jc w:val="both"/>
      </w:pPr>
      <w:r>
        <w:t>S</w:t>
      </w:r>
      <w:r w:rsidRPr="00DF3BE4">
        <w:t xml:space="preserve">ignificant limitations </w:t>
      </w:r>
      <w:r>
        <w:t>in</w:t>
      </w:r>
      <w:r w:rsidRPr="00DF3BE4">
        <w:t xml:space="preserve"> the available regulatory data set</w:t>
      </w:r>
      <w:r>
        <w:t xml:space="preserve"> </w:t>
      </w:r>
      <w:r w:rsidR="002768E3">
        <w:t>create</w:t>
      </w:r>
      <w:r>
        <w:t xml:space="preserve"> uncertainty in the bioaccumulation assessment</w:t>
      </w:r>
      <w:r w:rsidRPr="00DF3BE4">
        <w:t>.</w:t>
      </w:r>
      <w:r>
        <w:t xml:space="preserve"> A high level of bioaccumulation can be expected based on simple screening data related to physico-chemical properties and molecular parameters. </w:t>
      </w:r>
      <w:r w:rsidR="0097682F" w:rsidRPr="00DF3BE4">
        <w:t xml:space="preserve">There are no definitive data from fully valid studies showing that </w:t>
      </w:r>
      <w:r w:rsidR="00CC0495" w:rsidRPr="00DF3BE4">
        <w:t>Dechlorane Plus</w:t>
      </w:r>
      <w:r w:rsidR="0097682F" w:rsidRPr="00DF3BE4">
        <w:t xml:space="preserve"> has a fish BCF</w:t>
      </w:r>
      <w:r w:rsidR="00CC0495" w:rsidRPr="00DF3BE4">
        <w:t xml:space="preserve"> </w:t>
      </w:r>
      <w:r w:rsidR="0097682F" w:rsidRPr="00DF3BE4">
        <w:t>above 5 000</w:t>
      </w:r>
      <w:r>
        <w:t> </w:t>
      </w:r>
      <w:r w:rsidR="0097682F" w:rsidRPr="00DF3BE4">
        <w:t xml:space="preserve">L/kg, a fish BMF &gt; 1 or BSAF &gt; 1 in the laboratory. </w:t>
      </w:r>
      <w:r w:rsidR="00BC07D4" w:rsidRPr="00DF3BE4">
        <w:t xml:space="preserve">Evidence from field studies is </w:t>
      </w:r>
      <w:r w:rsidR="00BC07D4" w:rsidRPr="00DF3BE4">
        <w:lastRenderedPageBreak/>
        <w:t>conflicting</w:t>
      </w:r>
      <w:r w:rsidR="00003293" w:rsidRPr="00DF3BE4">
        <w:t xml:space="preserve">; whilst some </w:t>
      </w:r>
      <w:r>
        <w:t>suggest</w:t>
      </w:r>
      <w:r w:rsidR="00003293" w:rsidRPr="00DF3BE4">
        <w:t xml:space="preserve"> TMF/BMF</w:t>
      </w:r>
      <w:r w:rsidR="002768E3">
        <w:t>/BSAF</w:t>
      </w:r>
      <w:r w:rsidR="00003293" w:rsidRPr="00DF3BE4">
        <w:t>s above 1,</w:t>
      </w:r>
      <w:r w:rsidR="00BC07D4" w:rsidRPr="00DF3BE4">
        <w:t xml:space="preserve"> none</w:t>
      </w:r>
      <w:r w:rsidR="00F43BBC">
        <w:t xml:space="preserve"> of the studies</w:t>
      </w:r>
      <w:r w:rsidR="00BC07D4" w:rsidRPr="00DF3BE4">
        <w:t xml:space="preserve"> is considered to be particularly reliable.</w:t>
      </w:r>
      <w:r w:rsidR="00F43BBC">
        <w:t xml:space="preserve"> </w:t>
      </w:r>
      <w:r>
        <w:t xml:space="preserve">Nevertheless, </w:t>
      </w:r>
      <w:r w:rsidRPr="00DF3BE4">
        <w:t>the substance is widely dispersed in both aquatic and terrestrial food chains</w:t>
      </w:r>
      <w:r w:rsidR="004F0C11">
        <w:t>, including top predators</w:t>
      </w:r>
      <w:r w:rsidRPr="00DF3BE4">
        <w:t>.</w:t>
      </w:r>
      <w:r>
        <w:t xml:space="preserve"> </w:t>
      </w:r>
      <w:r w:rsidR="002768E3">
        <w:t>I</w:t>
      </w:r>
      <w:r w:rsidR="002768E3" w:rsidRPr="006D4A59">
        <w:t xml:space="preserve">n terms of the aim of protecting organisms from unpredictable adverse effects, a long depuration half-life is a </w:t>
      </w:r>
      <w:r w:rsidR="002768E3" w:rsidRPr="00B75C66">
        <w:t xml:space="preserve">key </w:t>
      </w:r>
      <w:r w:rsidR="002768E3">
        <w:t>factor</w:t>
      </w:r>
      <w:r w:rsidR="002768E3" w:rsidRPr="00B75C66">
        <w:t xml:space="preserve"> </w:t>
      </w:r>
      <w:r w:rsidR="002768E3">
        <w:t xml:space="preserve">since </w:t>
      </w:r>
      <w:r w:rsidR="002768E3" w:rsidRPr="00B75C66">
        <w:t>substance concentrations may take a long time to decline once emissions cease</w:t>
      </w:r>
      <w:r w:rsidR="002768E3">
        <w:t xml:space="preserve">. </w:t>
      </w:r>
      <w:r w:rsidR="002768E3" w:rsidRPr="00DF3BE4">
        <w:t xml:space="preserve">Dechlorane Plus </w:t>
      </w:r>
      <w:r w:rsidR="0097682F" w:rsidRPr="00DF3BE4">
        <w:t xml:space="preserve">has a long depuration half-life </w:t>
      </w:r>
      <w:r w:rsidR="00BC07D4" w:rsidRPr="00DF3BE4">
        <w:t xml:space="preserve">in fish </w:t>
      </w:r>
      <w:r w:rsidR="0097682F" w:rsidRPr="00DF3BE4">
        <w:t>consistent with other substances that have a fish BCF above 5 000 L/kg</w:t>
      </w:r>
      <w:r w:rsidR="00F43BBC" w:rsidRPr="00DF3BE4">
        <w:t xml:space="preserve"> </w:t>
      </w:r>
      <w:r w:rsidR="00F43BBC">
        <w:t xml:space="preserve">(supported by a long depuration half-life in </w:t>
      </w:r>
      <w:r w:rsidR="00F43BBC" w:rsidRPr="00DF3BE4">
        <w:t>mammal</w:t>
      </w:r>
      <w:r w:rsidR="00F43BBC">
        <w:t>ian liver)</w:t>
      </w:r>
      <w:r w:rsidR="00BC07D4" w:rsidRPr="00DF3BE4">
        <w:t xml:space="preserve">. </w:t>
      </w:r>
      <w:r w:rsidR="002768E3" w:rsidRPr="00DF3BE4">
        <w:t>Levels achieved in laboratory exposures and detected in a variety of wildlife species</w:t>
      </w:r>
      <w:r w:rsidR="002768E3">
        <w:t xml:space="preserve"> indicate</w:t>
      </w:r>
      <w:r w:rsidR="002768E3" w:rsidRPr="00B75C66">
        <w:t xml:space="preserve"> that Dechlorane Plus can achieve a relatively high body burden in some cases</w:t>
      </w:r>
      <w:r w:rsidR="002768E3">
        <w:t xml:space="preserve">, consistent with levels that </w:t>
      </w:r>
      <w:r w:rsidR="002768E3" w:rsidRPr="00B75C66">
        <w:t>may be associated with toxic effects due to baseline narcosis (see Appendix 3</w:t>
      </w:r>
      <w:r w:rsidR="002768E3">
        <w:t>, 4</w:t>
      </w:r>
      <w:r w:rsidR="002768E3" w:rsidRPr="00B75C66">
        <w:t xml:space="preserve"> and </w:t>
      </w:r>
      <w:r w:rsidR="002768E3">
        <w:t>6</w:t>
      </w:r>
      <w:r w:rsidR="002768E3" w:rsidRPr="00B75C66">
        <w:t xml:space="preserve">). </w:t>
      </w:r>
      <w:r w:rsidR="005F2172" w:rsidRPr="00DF3BE4">
        <w:t>Th</w:t>
      </w:r>
      <w:r w:rsidR="00F43BBC">
        <w:t xml:space="preserve">ese are </w:t>
      </w:r>
      <w:r w:rsidR="005F2172" w:rsidRPr="00DF3BE4">
        <w:t>the principle reason</w:t>
      </w:r>
      <w:r w:rsidR="00F43BBC">
        <w:t>s why</w:t>
      </w:r>
      <w:r w:rsidR="005F2172" w:rsidRPr="00DF3BE4">
        <w:t xml:space="preserve"> the substance is </w:t>
      </w:r>
      <w:r>
        <w:t xml:space="preserve">concluded to </w:t>
      </w:r>
      <w:r w:rsidRPr="00DF3BE4">
        <w:t xml:space="preserve">meet </w:t>
      </w:r>
      <w:r>
        <w:t>the</w:t>
      </w:r>
      <w:r w:rsidR="00F43BBC">
        <w:t xml:space="preserve"> very bioaccumulative (</w:t>
      </w:r>
      <w:r w:rsidR="005F2172" w:rsidRPr="00DF3BE4">
        <w:t>vB</w:t>
      </w:r>
      <w:r w:rsidR="00F43BBC">
        <w:t>)</w:t>
      </w:r>
      <w:r w:rsidR="005F2172" w:rsidRPr="00DF3BE4">
        <w:t xml:space="preserve"> </w:t>
      </w:r>
      <w:r w:rsidRPr="00DF3BE4">
        <w:t>criteria</w:t>
      </w:r>
      <w:r w:rsidRPr="00DF3BE4">
        <w:rPr>
          <w:rStyle w:val="FootnoteReference"/>
          <w:rFonts w:ascii="Verdana" w:hAnsi="Verdana"/>
          <w:sz w:val="20"/>
        </w:rPr>
        <w:footnoteReference w:id="36"/>
      </w:r>
      <w:r w:rsidRPr="00DF3BE4">
        <w:t xml:space="preserve"> in Annex XIII of REACH</w:t>
      </w:r>
      <w:r>
        <w:t>.</w:t>
      </w:r>
    </w:p>
    <w:p w14:paraId="505D6E72" w14:textId="77777777" w:rsidR="00CC0495" w:rsidRPr="00DF3BE4" w:rsidRDefault="00CC0495" w:rsidP="0097682F">
      <w:pPr>
        <w:pStyle w:val="BodyText"/>
        <w:jc w:val="both"/>
      </w:pPr>
    </w:p>
    <w:p w14:paraId="2B62EAA6" w14:textId="77777777" w:rsidR="00B12C39" w:rsidRPr="00DF3BE4" w:rsidRDefault="00B12C39" w:rsidP="00686834">
      <w:pPr>
        <w:pStyle w:val="Heading4"/>
        <w:numPr>
          <w:ilvl w:val="3"/>
          <w:numId w:val="14"/>
        </w:numPr>
        <w:jc w:val="both"/>
        <w:rPr>
          <w:color w:val="auto"/>
        </w:rPr>
      </w:pPr>
      <w:bookmarkStart w:id="750" w:name="_Toc357083723"/>
      <w:r w:rsidRPr="00DF3BE4">
        <w:rPr>
          <w:color w:val="auto"/>
        </w:rPr>
        <w:t>Toxicity</w:t>
      </w:r>
      <w:bookmarkEnd w:id="748"/>
      <w:bookmarkEnd w:id="749"/>
      <w:bookmarkEnd w:id="750"/>
    </w:p>
    <w:p w14:paraId="0CD0B6FA" w14:textId="77777777" w:rsidR="00CC0495" w:rsidRPr="00DF3BE4" w:rsidRDefault="00DA46BC" w:rsidP="00DB7126">
      <w:pPr>
        <w:pStyle w:val="Heading3"/>
        <w:keepLines w:val="0"/>
        <w:widowControl/>
        <w:numPr>
          <w:ilvl w:val="0"/>
          <w:numId w:val="0"/>
        </w:numPr>
        <w:tabs>
          <w:tab w:val="left" w:pos="839"/>
        </w:tabs>
        <w:spacing w:before="360" w:after="200"/>
        <w:jc w:val="both"/>
        <w:rPr>
          <w:color w:val="auto"/>
        </w:rPr>
      </w:pPr>
      <w:bookmarkStart w:id="751" w:name="_Toc485112539"/>
      <w:bookmarkStart w:id="752" w:name="_Toc491862245"/>
      <w:r w:rsidRPr="00DF3BE4">
        <w:rPr>
          <w:color w:val="auto"/>
        </w:rPr>
        <w:t xml:space="preserve">6.2.1.3.1 </w:t>
      </w:r>
      <w:r w:rsidR="00CC0495" w:rsidRPr="00DF3BE4">
        <w:rPr>
          <w:color w:val="auto"/>
        </w:rPr>
        <w:t>Fulfilment of the T criterion based on human health classification</w:t>
      </w:r>
      <w:bookmarkEnd w:id="751"/>
      <w:bookmarkEnd w:id="752"/>
    </w:p>
    <w:p w14:paraId="3E08520A" w14:textId="77777777" w:rsidR="00DE5A88" w:rsidRPr="00DF3BE4" w:rsidRDefault="00DE5A88" w:rsidP="00DE5A88">
      <w:pPr>
        <w:pStyle w:val="BodyText"/>
        <w:jc w:val="both"/>
      </w:pPr>
      <w:r w:rsidRPr="00DF3BE4">
        <w:t>The substance does not appear to cause relevant adverse effects</w:t>
      </w:r>
      <w:r w:rsidR="002768E3">
        <w:t xml:space="preserve"> in mammals</w:t>
      </w:r>
      <w:r w:rsidRPr="00DF3BE4">
        <w:t xml:space="preserve"> via oral or dietary exposure at concentrations above 1 000 mg/kg bw/d, although there are some data gaps (e.g. there are no long-term studies exceeding 90 days, which might be important given the apparently slow uptake of the substance). The dosing vehicles might also limit exposure (e.g. due to the presence of undissolved micro-crystals), such that the high “doses” might not truly reflect the degree of exposure of the organisms.</w:t>
      </w:r>
    </w:p>
    <w:p w14:paraId="60400C78" w14:textId="77777777" w:rsidR="00DE5A88" w:rsidRPr="00DF3BE4" w:rsidRDefault="00DE5A88" w:rsidP="00DE5A88">
      <w:pPr>
        <w:pStyle w:val="BodyText"/>
        <w:jc w:val="both"/>
        <w:rPr>
          <w:szCs w:val="24"/>
          <w:lang w:val="en-US"/>
        </w:rPr>
      </w:pPr>
      <w:r w:rsidRPr="00DF3BE4">
        <w:rPr>
          <w:szCs w:val="24"/>
          <w:lang w:val="en-US"/>
        </w:rPr>
        <w:t xml:space="preserve">Nevertheless, based on the available data, Dechlorane Plus does not meet the classification criteria for mutagenicity, toxicity to reproduction or specific target organ toxicity. The data are considered to be conclusive but not sufficient for classification for these endpoints. Carcinogenicity data are lacking (and are not required at the registration tonnage). There is some evidence for potential </w:t>
      </w:r>
      <w:r w:rsidRPr="00DF3BE4">
        <w:t xml:space="preserve">liver impairment in mice (Wu </w:t>
      </w:r>
      <w:r w:rsidRPr="00DF3BE4">
        <w:rPr>
          <w:i/>
        </w:rPr>
        <w:t>et al</w:t>
      </w:r>
      <w:r w:rsidRPr="00DF3BE4">
        <w:t>., 2012), but the significance of these findings is unclear.</w:t>
      </w:r>
    </w:p>
    <w:p w14:paraId="142B3256" w14:textId="77777777" w:rsidR="00CC0495" w:rsidRPr="00DF3BE4" w:rsidRDefault="00CC0495" w:rsidP="00781D60">
      <w:pPr>
        <w:pStyle w:val="BodyText"/>
        <w:jc w:val="both"/>
        <w:rPr>
          <w:szCs w:val="24"/>
        </w:rPr>
      </w:pPr>
      <w:r w:rsidRPr="00DF3BE4">
        <w:rPr>
          <w:szCs w:val="24"/>
        </w:rPr>
        <w:t xml:space="preserve">Based on this information, the T criterion is not fulfilled at present. </w:t>
      </w:r>
    </w:p>
    <w:p w14:paraId="5836BF71" w14:textId="77777777" w:rsidR="00CC0495" w:rsidRPr="00DF3BE4" w:rsidRDefault="00CC0495" w:rsidP="00686834">
      <w:pPr>
        <w:pStyle w:val="Heading3"/>
        <w:keepLines w:val="0"/>
        <w:widowControl/>
        <w:numPr>
          <w:ilvl w:val="4"/>
          <w:numId w:val="15"/>
        </w:numPr>
        <w:tabs>
          <w:tab w:val="left" w:pos="839"/>
        </w:tabs>
        <w:spacing w:before="360" w:after="200"/>
        <w:jc w:val="both"/>
        <w:rPr>
          <w:color w:val="auto"/>
        </w:rPr>
      </w:pPr>
      <w:bookmarkStart w:id="753" w:name="_Toc485112540"/>
      <w:bookmarkStart w:id="754" w:name="_Toc491862246"/>
      <w:r w:rsidRPr="00DF3BE4">
        <w:rPr>
          <w:color w:val="auto"/>
        </w:rPr>
        <w:t>Fulfilment of the T criterion based on ecotoxicity data</w:t>
      </w:r>
      <w:bookmarkEnd w:id="753"/>
      <w:bookmarkEnd w:id="754"/>
    </w:p>
    <w:p w14:paraId="475B46B7" w14:textId="77777777" w:rsidR="00CC0495" w:rsidRPr="004C4FC5" w:rsidRDefault="00CC0495" w:rsidP="004C4FC5">
      <w:pPr>
        <w:pStyle w:val="NormalWeb"/>
        <w:shd w:val="clear" w:color="auto" w:fill="FFFFFF"/>
        <w:jc w:val="both"/>
        <w:rPr>
          <w:rFonts w:ascii="Verdana" w:hAnsi="Verdana"/>
          <w:sz w:val="20"/>
          <w:szCs w:val="20"/>
        </w:rPr>
      </w:pPr>
      <w:r w:rsidRPr="00DF3BE4">
        <w:rPr>
          <w:rFonts w:ascii="Verdana" w:hAnsi="Verdana"/>
          <w:sz w:val="20"/>
          <w:szCs w:val="20"/>
        </w:rPr>
        <w:t xml:space="preserve">The very limited available </w:t>
      </w:r>
      <w:r w:rsidRPr="004C4FC5">
        <w:rPr>
          <w:rFonts w:ascii="Verdana" w:hAnsi="Verdana"/>
          <w:sz w:val="20"/>
          <w:szCs w:val="20"/>
        </w:rPr>
        <w:t xml:space="preserve">data do not indicate that Dechlorane Plus fulfils the T criterion for the environment. All the available aquatic toxicity studies were conducted at concentrations significantly above the solubility limit of the substance in pure water (2 ng/L), and studies using dietary and gavage exposure also used relatively high concentrations that may not be environmentally relevant. The study of Liang </w:t>
      </w:r>
      <w:r w:rsidRPr="004C4FC5">
        <w:rPr>
          <w:rFonts w:ascii="Verdana" w:hAnsi="Verdana"/>
          <w:i/>
          <w:sz w:val="20"/>
          <w:szCs w:val="20"/>
        </w:rPr>
        <w:t>et al</w:t>
      </w:r>
      <w:r w:rsidRPr="004C4FC5">
        <w:rPr>
          <w:rFonts w:ascii="Verdana" w:hAnsi="Verdana"/>
          <w:sz w:val="20"/>
          <w:szCs w:val="20"/>
        </w:rPr>
        <w:t xml:space="preserve">. (2014) suggests that the substance might induce potentially toxic effects in fish liver, but is inconclusive.  However, similar findings were also observed in a study with mice via oral exposure (see Wu </w:t>
      </w:r>
      <w:r w:rsidRPr="004C4FC5">
        <w:rPr>
          <w:rFonts w:ascii="Verdana" w:hAnsi="Verdana"/>
          <w:i/>
          <w:sz w:val="20"/>
          <w:szCs w:val="20"/>
        </w:rPr>
        <w:t>et al</w:t>
      </w:r>
      <w:r w:rsidRPr="004C4FC5">
        <w:rPr>
          <w:rFonts w:ascii="Verdana" w:hAnsi="Verdana"/>
          <w:sz w:val="20"/>
          <w:szCs w:val="20"/>
        </w:rPr>
        <w:t>. (2012) in Section 4.2.1</w:t>
      </w:r>
      <w:r w:rsidR="00D21686" w:rsidRPr="004C4FC5">
        <w:rPr>
          <w:rFonts w:ascii="Verdana" w:hAnsi="Verdana"/>
          <w:sz w:val="20"/>
          <w:szCs w:val="20"/>
        </w:rPr>
        <w:t xml:space="preserve"> of </w:t>
      </w:r>
      <w:r w:rsidR="00DB7126" w:rsidRPr="004C4FC5">
        <w:rPr>
          <w:rFonts w:ascii="Verdana" w:hAnsi="Verdana"/>
          <w:sz w:val="20"/>
          <w:szCs w:val="20"/>
        </w:rPr>
        <w:t>Appendix 1</w:t>
      </w:r>
      <w:r w:rsidRPr="004C4FC5">
        <w:rPr>
          <w:rFonts w:ascii="Verdana" w:hAnsi="Verdana"/>
          <w:sz w:val="20"/>
          <w:szCs w:val="20"/>
        </w:rPr>
        <w:t xml:space="preserve">). Recent non-standard studies with adult and embryo/larval Zebrafish suggest that </w:t>
      </w:r>
      <w:r w:rsidRPr="004C4FC5">
        <w:rPr>
          <w:rFonts w:ascii="Verdana" w:hAnsi="Verdana"/>
          <w:sz w:val="20"/>
          <w:szCs w:val="20"/>
        </w:rPr>
        <w:lastRenderedPageBreak/>
        <w:t xml:space="preserve">Dechlorane Plus has biological activity and can induce effects such as oxidative stress, thyroid hormone-related gene up-regulation and neurobehavioural changes (Hang </w:t>
      </w:r>
      <w:r w:rsidRPr="004C4FC5">
        <w:rPr>
          <w:rFonts w:ascii="Verdana" w:hAnsi="Verdana"/>
          <w:i/>
          <w:sz w:val="20"/>
          <w:szCs w:val="20"/>
        </w:rPr>
        <w:t>et al</w:t>
      </w:r>
      <w:r w:rsidRPr="004C4FC5">
        <w:rPr>
          <w:rFonts w:ascii="Verdana" w:hAnsi="Verdana"/>
          <w:sz w:val="20"/>
          <w:szCs w:val="20"/>
        </w:rPr>
        <w:t xml:space="preserve">., 2013 [ABST]; Noyes </w:t>
      </w:r>
      <w:r w:rsidRPr="004C4FC5">
        <w:rPr>
          <w:rFonts w:ascii="Verdana" w:hAnsi="Verdana"/>
          <w:i/>
          <w:sz w:val="20"/>
          <w:szCs w:val="20"/>
        </w:rPr>
        <w:t>et al</w:t>
      </w:r>
      <w:r w:rsidRPr="004C4FC5">
        <w:rPr>
          <w:rFonts w:ascii="Verdana" w:hAnsi="Verdana"/>
          <w:sz w:val="20"/>
          <w:szCs w:val="20"/>
        </w:rPr>
        <w:t xml:space="preserve">., 2015; Kang </w:t>
      </w:r>
      <w:r w:rsidRPr="004C4FC5">
        <w:rPr>
          <w:rFonts w:ascii="Verdana" w:hAnsi="Verdana"/>
          <w:i/>
          <w:sz w:val="20"/>
          <w:szCs w:val="20"/>
        </w:rPr>
        <w:t>et al</w:t>
      </w:r>
      <w:r w:rsidRPr="004C4FC5">
        <w:rPr>
          <w:rFonts w:ascii="Verdana" w:hAnsi="Verdana"/>
          <w:sz w:val="20"/>
          <w:szCs w:val="20"/>
        </w:rPr>
        <w:t xml:space="preserve">., 2016; Chen </w:t>
      </w:r>
      <w:r w:rsidRPr="004C4FC5">
        <w:rPr>
          <w:rFonts w:ascii="Verdana" w:hAnsi="Verdana"/>
          <w:i/>
          <w:sz w:val="20"/>
          <w:szCs w:val="20"/>
        </w:rPr>
        <w:t>et al</w:t>
      </w:r>
      <w:r w:rsidRPr="004C4FC5">
        <w:rPr>
          <w:rFonts w:ascii="Verdana" w:hAnsi="Verdana"/>
          <w:sz w:val="20"/>
          <w:szCs w:val="20"/>
        </w:rPr>
        <w:t>., 2017). However, the reliability of the findings is uncertain, their links to population-relevant adverse apical effects is unknown, and benchmarking with other substances would be beneficial (where this has been done, the level of response seems lower for Dechlorane Plus than (chlorinated) phosphate esters). In general, the NOEC from these studies appears to be above 0.01 mg/L (for aqueous exposures)</w:t>
      </w:r>
      <w:r w:rsidR="00FB5AF3" w:rsidRPr="004C4FC5">
        <w:rPr>
          <w:rFonts w:ascii="Verdana" w:hAnsi="Verdana"/>
          <w:sz w:val="20"/>
          <w:szCs w:val="20"/>
        </w:rPr>
        <w:t>, i.e. above the T criterion</w:t>
      </w:r>
      <w:r w:rsidR="004C4FC5" w:rsidRPr="004C4FC5">
        <w:rPr>
          <w:rFonts w:ascii="Verdana" w:hAnsi="Verdana"/>
          <w:sz w:val="20"/>
          <w:szCs w:val="20"/>
        </w:rPr>
        <w:t xml:space="preserve"> (and also significantly above the solubility limit in pure water)</w:t>
      </w:r>
      <w:r w:rsidRPr="004C4FC5">
        <w:rPr>
          <w:rFonts w:ascii="Verdana" w:hAnsi="Verdana"/>
          <w:sz w:val="20"/>
          <w:szCs w:val="20"/>
        </w:rPr>
        <w:t>.</w:t>
      </w:r>
    </w:p>
    <w:p w14:paraId="13B4AD34" w14:textId="77777777" w:rsidR="00CC0495" w:rsidRPr="00AB1BB3" w:rsidRDefault="00AB1BB3" w:rsidP="00781D60">
      <w:pPr>
        <w:pStyle w:val="NormalWeb"/>
        <w:shd w:val="clear" w:color="auto" w:fill="FFFFFF"/>
        <w:jc w:val="both"/>
        <w:rPr>
          <w:rFonts w:ascii="Verdana" w:hAnsi="Verdana"/>
          <w:sz w:val="20"/>
          <w:szCs w:val="20"/>
        </w:rPr>
      </w:pPr>
      <w:r>
        <w:rPr>
          <w:rFonts w:ascii="Verdana" w:hAnsi="Verdana"/>
          <w:sz w:val="20"/>
          <w:szCs w:val="20"/>
        </w:rPr>
        <w:t>I</w:t>
      </w:r>
      <w:r w:rsidR="00CC0495" w:rsidRPr="00AB1BB3">
        <w:rPr>
          <w:rFonts w:ascii="Verdana" w:hAnsi="Verdana"/>
          <w:sz w:val="20"/>
          <w:szCs w:val="20"/>
        </w:rPr>
        <w:t>t</w:t>
      </w:r>
      <w:r>
        <w:rPr>
          <w:rFonts w:ascii="Verdana" w:hAnsi="Verdana"/>
          <w:sz w:val="20"/>
          <w:szCs w:val="20"/>
        </w:rPr>
        <w:t xml:space="preserve"> is</w:t>
      </w:r>
      <w:r w:rsidR="00CC0495" w:rsidRPr="00AB1BB3">
        <w:rPr>
          <w:rFonts w:ascii="Verdana" w:hAnsi="Verdana"/>
          <w:sz w:val="20"/>
          <w:szCs w:val="20"/>
        </w:rPr>
        <w:t xml:space="preserve"> highly unlikely that effects would be observed in short- or long-term toxicity tests involving </w:t>
      </w:r>
      <w:r>
        <w:rPr>
          <w:rFonts w:ascii="Verdana" w:hAnsi="Verdana"/>
          <w:sz w:val="20"/>
          <w:szCs w:val="20"/>
        </w:rPr>
        <w:t>aqueous</w:t>
      </w:r>
      <w:r w:rsidR="00CC0495" w:rsidRPr="00AB1BB3">
        <w:rPr>
          <w:rFonts w:ascii="Verdana" w:hAnsi="Verdana"/>
          <w:sz w:val="20"/>
          <w:szCs w:val="20"/>
        </w:rPr>
        <w:t xml:space="preserve"> </w:t>
      </w:r>
      <w:r w:rsidR="00CC0495" w:rsidRPr="004C4FC5">
        <w:rPr>
          <w:rFonts w:ascii="Verdana" w:hAnsi="Verdana"/>
          <w:sz w:val="20"/>
          <w:szCs w:val="20"/>
        </w:rPr>
        <w:t>exposure</w:t>
      </w:r>
      <w:r w:rsidR="00CC0495" w:rsidRPr="00AB1BB3">
        <w:rPr>
          <w:rFonts w:ascii="Verdana" w:hAnsi="Verdana"/>
          <w:sz w:val="20"/>
          <w:szCs w:val="20"/>
        </w:rPr>
        <w:t>, as there would be difficulties in maintaining test concentrations given the very low water solubility and high hydrophobicity</w:t>
      </w:r>
      <w:r w:rsidR="00CC0495" w:rsidRPr="00AB1BB3">
        <w:rPr>
          <w:rStyle w:val="FootnoteReference"/>
          <w:rFonts w:ascii="Verdana" w:hAnsi="Verdana"/>
          <w:sz w:val="20"/>
          <w:szCs w:val="20"/>
        </w:rPr>
        <w:footnoteReference w:id="37"/>
      </w:r>
      <w:r w:rsidR="00CC0495" w:rsidRPr="00AB1BB3">
        <w:rPr>
          <w:rFonts w:ascii="Verdana" w:hAnsi="Verdana"/>
          <w:sz w:val="20"/>
          <w:szCs w:val="20"/>
        </w:rPr>
        <w:t xml:space="preserve">.  A more appropriate test might be a long-term fish toxicity study with relevant life stages using dietary exposure, although a standard test guideline does not exist. </w:t>
      </w:r>
    </w:p>
    <w:p w14:paraId="15656BC0" w14:textId="77777777" w:rsidR="00CC0495" w:rsidRPr="00AB1BB3" w:rsidRDefault="00CC0495" w:rsidP="00781D60">
      <w:pPr>
        <w:pStyle w:val="NormalWeb"/>
        <w:shd w:val="clear" w:color="auto" w:fill="FFFFFF"/>
        <w:jc w:val="both"/>
        <w:rPr>
          <w:rFonts w:ascii="Verdana" w:hAnsi="Verdana"/>
          <w:sz w:val="20"/>
          <w:szCs w:val="20"/>
        </w:rPr>
      </w:pPr>
      <w:r w:rsidRPr="00AB1BB3">
        <w:rPr>
          <w:rFonts w:ascii="Verdana" w:hAnsi="Verdana"/>
          <w:sz w:val="20"/>
          <w:szCs w:val="20"/>
        </w:rPr>
        <w:t xml:space="preserve">Several studies show that maternal uptake and transfer to eggs can occur in birds (e.g. Guerra </w:t>
      </w:r>
      <w:r w:rsidRPr="00AB1BB3">
        <w:rPr>
          <w:rFonts w:ascii="Verdana" w:hAnsi="Verdana"/>
          <w:i/>
          <w:sz w:val="20"/>
          <w:szCs w:val="20"/>
        </w:rPr>
        <w:t>et al</w:t>
      </w:r>
      <w:r w:rsidRPr="00AB1BB3">
        <w:rPr>
          <w:rFonts w:ascii="Verdana" w:hAnsi="Verdana"/>
          <w:sz w:val="20"/>
          <w:szCs w:val="20"/>
        </w:rPr>
        <w:t xml:space="preserve">., 2011; Munoz-Arnanz </w:t>
      </w:r>
      <w:r w:rsidRPr="00AB1BB3">
        <w:rPr>
          <w:rFonts w:ascii="Verdana" w:hAnsi="Verdana"/>
          <w:i/>
          <w:sz w:val="20"/>
          <w:szCs w:val="20"/>
        </w:rPr>
        <w:t>et al</w:t>
      </w:r>
      <w:r w:rsidRPr="00AB1BB3">
        <w:rPr>
          <w:rFonts w:ascii="Verdana" w:hAnsi="Verdana"/>
          <w:sz w:val="20"/>
          <w:szCs w:val="20"/>
        </w:rPr>
        <w:t xml:space="preserve">., 2011; Gauthier </w:t>
      </w:r>
      <w:r w:rsidRPr="00AB1BB3">
        <w:rPr>
          <w:rFonts w:ascii="Verdana" w:hAnsi="Verdana"/>
          <w:i/>
          <w:sz w:val="20"/>
          <w:szCs w:val="20"/>
        </w:rPr>
        <w:t>et al.</w:t>
      </w:r>
      <w:r w:rsidRPr="00AB1BB3">
        <w:rPr>
          <w:rFonts w:ascii="Verdana" w:hAnsi="Verdana"/>
          <w:sz w:val="20"/>
          <w:szCs w:val="20"/>
        </w:rPr>
        <w:t xml:space="preserve">, 2007; </w:t>
      </w:r>
      <w:r w:rsidRPr="00AB1BB3">
        <w:rPr>
          <w:rFonts w:ascii="Verdana" w:hAnsi="Verdana"/>
          <w:color w:val="000000"/>
          <w:sz w:val="20"/>
          <w:szCs w:val="20"/>
        </w:rPr>
        <w:t xml:space="preserve">Barón </w:t>
      </w:r>
      <w:r w:rsidRPr="00AB1BB3">
        <w:rPr>
          <w:rFonts w:ascii="Verdana" w:hAnsi="Verdana"/>
          <w:i/>
          <w:color w:val="000000"/>
          <w:sz w:val="20"/>
          <w:szCs w:val="20"/>
        </w:rPr>
        <w:t>et al</w:t>
      </w:r>
      <w:r w:rsidRPr="00AB1BB3">
        <w:rPr>
          <w:rFonts w:ascii="Verdana" w:hAnsi="Verdana"/>
          <w:color w:val="000000"/>
          <w:sz w:val="20"/>
          <w:szCs w:val="20"/>
        </w:rPr>
        <w:t xml:space="preserve">., 2014a; and </w:t>
      </w:r>
      <w:r w:rsidRPr="00AB1BB3">
        <w:rPr>
          <w:rFonts w:ascii="Verdana" w:hAnsi="Verdana"/>
          <w:sz w:val="20"/>
          <w:szCs w:val="20"/>
        </w:rPr>
        <w:t xml:space="preserve">Zheng </w:t>
      </w:r>
      <w:r w:rsidRPr="00AB1BB3">
        <w:rPr>
          <w:rFonts w:ascii="Verdana" w:hAnsi="Verdana"/>
          <w:i/>
          <w:sz w:val="20"/>
          <w:szCs w:val="20"/>
        </w:rPr>
        <w:t>et al</w:t>
      </w:r>
      <w:r w:rsidRPr="00AB1BB3">
        <w:rPr>
          <w:rFonts w:ascii="Verdana" w:hAnsi="Verdana"/>
          <w:sz w:val="20"/>
          <w:szCs w:val="20"/>
        </w:rPr>
        <w:t xml:space="preserve">., 2014b) and fish (e.g. Wu </w:t>
      </w:r>
      <w:r w:rsidRPr="00AB1BB3">
        <w:rPr>
          <w:rFonts w:ascii="Verdana" w:hAnsi="Verdana"/>
          <w:i/>
          <w:sz w:val="20"/>
          <w:szCs w:val="20"/>
        </w:rPr>
        <w:t>et al</w:t>
      </w:r>
      <w:r w:rsidRPr="00AB1BB3">
        <w:rPr>
          <w:rFonts w:ascii="Verdana" w:hAnsi="Verdana"/>
          <w:sz w:val="20"/>
          <w:szCs w:val="20"/>
        </w:rPr>
        <w:t xml:space="preserve">., 2013; Sühring </w:t>
      </w:r>
      <w:r w:rsidRPr="00AB1BB3">
        <w:rPr>
          <w:rFonts w:ascii="Verdana" w:hAnsi="Verdana"/>
          <w:i/>
          <w:sz w:val="20"/>
          <w:szCs w:val="20"/>
        </w:rPr>
        <w:t>et al</w:t>
      </w:r>
      <w:r w:rsidRPr="00AB1BB3">
        <w:rPr>
          <w:rFonts w:ascii="Verdana" w:hAnsi="Verdana"/>
          <w:sz w:val="20"/>
          <w:szCs w:val="20"/>
        </w:rPr>
        <w:t xml:space="preserve">., 2015).  The studies of Zhang </w:t>
      </w:r>
      <w:r w:rsidRPr="00AB1BB3">
        <w:rPr>
          <w:rFonts w:ascii="Verdana" w:hAnsi="Verdana"/>
          <w:i/>
          <w:sz w:val="20"/>
          <w:szCs w:val="20"/>
        </w:rPr>
        <w:t>et al</w:t>
      </w:r>
      <w:r w:rsidRPr="00AB1BB3">
        <w:rPr>
          <w:rFonts w:ascii="Verdana" w:hAnsi="Verdana"/>
          <w:sz w:val="20"/>
          <w:szCs w:val="20"/>
        </w:rPr>
        <w:t xml:space="preserve">. (2011a) and Zeng </w:t>
      </w:r>
      <w:r w:rsidRPr="00AB1BB3">
        <w:rPr>
          <w:rFonts w:ascii="Verdana" w:hAnsi="Verdana"/>
          <w:i/>
          <w:sz w:val="20"/>
          <w:szCs w:val="20"/>
        </w:rPr>
        <w:t>et al</w:t>
      </w:r>
      <w:r w:rsidRPr="00AB1BB3">
        <w:rPr>
          <w:rFonts w:ascii="Verdana" w:hAnsi="Verdana"/>
          <w:sz w:val="20"/>
          <w:szCs w:val="20"/>
        </w:rPr>
        <w:t xml:space="preserve">. (2014a) also show that the substance can cross the blood-brain barrier, is present in gonads and can be passed from females to eggs in fish. Li </w:t>
      </w:r>
      <w:r w:rsidRPr="00AB1BB3">
        <w:rPr>
          <w:rFonts w:ascii="Verdana" w:hAnsi="Verdana"/>
          <w:i/>
          <w:sz w:val="20"/>
          <w:szCs w:val="20"/>
        </w:rPr>
        <w:t>et al</w:t>
      </w:r>
      <w:r w:rsidRPr="00AB1BB3">
        <w:rPr>
          <w:rFonts w:ascii="Verdana" w:hAnsi="Verdana"/>
          <w:sz w:val="20"/>
          <w:szCs w:val="20"/>
        </w:rPr>
        <w:t xml:space="preserve">. (2014b) found that the substance can cross the blood-brain barrier in frogs. Similarly, detection of these substances in human cord serum indicates transfer across the placenta and exposure of foetuses, and presence in human breast milk also means that exposure can continue prior to weaning (e.g. Ben </w:t>
      </w:r>
      <w:r w:rsidRPr="00AB1BB3">
        <w:rPr>
          <w:rFonts w:ascii="Verdana" w:hAnsi="Verdana"/>
          <w:i/>
          <w:sz w:val="20"/>
          <w:szCs w:val="20"/>
        </w:rPr>
        <w:t>et al</w:t>
      </w:r>
      <w:r w:rsidRPr="00AB1BB3">
        <w:rPr>
          <w:rFonts w:ascii="Verdana" w:hAnsi="Verdana"/>
          <w:sz w:val="20"/>
          <w:szCs w:val="20"/>
        </w:rPr>
        <w:t xml:space="preserve">. (2014) and Zhou </w:t>
      </w:r>
      <w:r w:rsidRPr="00AB1BB3">
        <w:rPr>
          <w:rFonts w:ascii="Verdana" w:hAnsi="Verdana"/>
          <w:i/>
          <w:sz w:val="20"/>
          <w:szCs w:val="20"/>
        </w:rPr>
        <w:t>et al</w:t>
      </w:r>
      <w:r w:rsidRPr="00AB1BB3">
        <w:rPr>
          <w:rFonts w:ascii="Verdana" w:hAnsi="Verdana"/>
          <w:sz w:val="20"/>
          <w:szCs w:val="20"/>
        </w:rPr>
        <w:t>. (2014)). Sensitive life stages and tissues are therefore exposed to the substance following prolonged exposure, and there is a possibility that they might experience subtle but important adverse effects that are not detectable in the studies currently available (e.g. because of their short duration).</w:t>
      </w:r>
    </w:p>
    <w:p w14:paraId="6EE35FA4" w14:textId="77777777" w:rsidR="00CC0495" w:rsidRDefault="00AB1BB3" w:rsidP="00781D60">
      <w:pPr>
        <w:pStyle w:val="BodyText"/>
        <w:jc w:val="both"/>
      </w:pPr>
      <w:r>
        <w:t>No s</w:t>
      </w:r>
      <w:r w:rsidR="00CC0495" w:rsidRPr="000A6FDD">
        <w:t xml:space="preserve">ediment toxicity studies are available. </w:t>
      </w:r>
    </w:p>
    <w:p w14:paraId="23D90DF1" w14:textId="77777777" w:rsidR="00CC0495" w:rsidRDefault="00CC0495" w:rsidP="00781D60">
      <w:pPr>
        <w:pStyle w:val="BodyText"/>
        <w:jc w:val="both"/>
      </w:pPr>
      <w:r w:rsidRPr="00BA0ECA">
        <w:t>S</w:t>
      </w:r>
      <w:r>
        <w:t>uitable long-term s</w:t>
      </w:r>
      <w:r w:rsidRPr="00BA0ECA">
        <w:t xml:space="preserve">oil </w:t>
      </w:r>
      <w:r w:rsidR="00AB1BB3">
        <w:t xml:space="preserve">organism </w:t>
      </w:r>
      <w:r w:rsidRPr="00BA0ECA">
        <w:t xml:space="preserve">toxicity data are also </w:t>
      </w:r>
      <w:r>
        <w:t>un</w:t>
      </w:r>
      <w:r w:rsidRPr="00BA0ECA">
        <w:t>available</w:t>
      </w:r>
      <w:r>
        <w:t>, although</w:t>
      </w:r>
      <w:r w:rsidR="004C4FC5">
        <w:t xml:space="preserve"> two studies investigating </w:t>
      </w:r>
      <w:r w:rsidR="004C4FC5" w:rsidRPr="002C7E9E">
        <w:t>molecular</w:t>
      </w:r>
      <w:r w:rsidR="004C4FC5">
        <w:t xml:space="preserve"> and biomarker</w:t>
      </w:r>
      <w:r w:rsidR="004C4FC5" w:rsidRPr="002C7E9E">
        <w:t xml:space="preserve"> end points </w:t>
      </w:r>
      <w:r w:rsidR="004C4FC5">
        <w:t>have</w:t>
      </w:r>
      <w:r>
        <w:t xml:space="preserve"> </w:t>
      </w:r>
      <w:r w:rsidR="004C4FC5" w:rsidRPr="00BA0ECA">
        <w:rPr>
          <w:color w:val="000000"/>
          <w:szCs w:val="24"/>
        </w:rPr>
        <w:t>detected signs of</w:t>
      </w:r>
      <w:r w:rsidR="004C4FC5" w:rsidRPr="004C4FC5">
        <w:rPr>
          <w:color w:val="000000"/>
          <w:szCs w:val="24"/>
        </w:rPr>
        <w:t xml:space="preserve"> </w:t>
      </w:r>
      <w:r w:rsidR="004C4FC5" w:rsidRPr="00BA0ECA">
        <w:rPr>
          <w:color w:val="000000"/>
          <w:szCs w:val="24"/>
        </w:rPr>
        <w:t>oxidative stress and other damage</w:t>
      </w:r>
      <w:r w:rsidR="004C4FC5">
        <w:rPr>
          <w:color w:val="000000"/>
          <w:szCs w:val="24"/>
        </w:rPr>
        <w:t xml:space="preserve"> (including on DNA) in the</w:t>
      </w:r>
      <w:r w:rsidR="004C4FC5" w:rsidRPr="00BA0ECA">
        <w:rPr>
          <w:color w:val="000000"/>
          <w:szCs w:val="24"/>
        </w:rPr>
        <w:t xml:space="preserve"> earthworm </w:t>
      </w:r>
      <w:r w:rsidR="004C4FC5" w:rsidRPr="00BA0ECA">
        <w:rPr>
          <w:i/>
          <w:color w:val="000000"/>
          <w:szCs w:val="24"/>
        </w:rPr>
        <w:t>Eisenia fetida</w:t>
      </w:r>
      <w:r w:rsidR="004C4FC5" w:rsidRPr="00BA0ECA">
        <w:rPr>
          <w:color w:val="000000"/>
          <w:szCs w:val="24"/>
        </w:rPr>
        <w:t xml:space="preserve"> following exposures up to 14 days</w:t>
      </w:r>
      <w:r w:rsidR="004C4FC5">
        <w:rPr>
          <w:color w:val="000000"/>
          <w:szCs w:val="24"/>
        </w:rPr>
        <w:t xml:space="preserve"> (</w:t>
      </w:r>
      <w:r w:rsidRPr="00BA0ECA">
        <w:rPr>
          <w:color w:val="000000"/>
          <w:szCs w:val="24"/>
        </w:rPr>
        <w:t xml:space="preserve">Zhang </w:t>
      </w:r>
      <w:r w:rsidRPr="00BA0ECA">
        <w:rPr>
          <w:i/>
          <w:color w:val="000000"/>
          <w:szCs w:val="24"/>
        </w:rPr>
        <w:t>et al</w:t>
      </w:r>
      <w:r w:rsidRPr="00BA0ECA">
        <w:rPr>
          <w:color w:val="000000"/>
          <w:szCs w:val="24"/>
        </w:rPr>
        <w:t>.</w:t>
      </w:r>
      <w:r w:rsidR="004C4FC5">
        <w:rPr>
          <w:color w:val="000000"/>
          <w:szCs w:val="24"/>
        </w:rPr>
        <w:t>,</w:t>
      </w:r>
      <w:r w:rsidRPr="00BA0ECA">
        <w:rPr>
          <w:color w:val="000000"/>
          <w:szCs w:val="24"/>
        </w:rPr>
        <w:t xml:space="preserve"> 2014) </w:t>
      </w:r>
      <w:r w:rsidR="004C4FC5">
        <w:rPr>
          <w:color w:val="000000"/>
          <w:szCs w:val="24"/>
        </w:rPr>
        <w:t xml:space="preserve">and </w:t>
      </w:r>
      <w:r w:rsidR="004C4FC5" w:rsidRPr="002C7E9E">
        <w:rPr>
          <w:color w:val="000000"/>
        </w:rPr>
        <w:t>28 days</w:t>
      </w:r>
      <w:r w:rsidR="004C4FC5">
        <w:rPr>
          <w:color w:val="000000"/>
        </w:rPr>
        <w:t xml:space="preserve"> (</w:t>
      </w:r>
      <w:r w:rsidR="004C4FC5" w:rsidRPr="00831D87">
        <w:rPr>
          <w:color w:val="000000"/>
        </w:rPr>
        <w:t xml:space="preserve">Yang </w:t>
      </w:r>
      <w:r w:rsidR="004C4FC5" w:rsidRPr="00831D87">
        <w:rPr>
          <w:i/>
          <w:color w:val="000000"/>
        </w:rPr>
        <w:t>et al</w:t>
      </w:r>
      <w:r w:rsidR="004C4FC5" w:rsidRPr="00831D87">
        <w:rPr>
          <w:color w:val="000000"/>
        </w:rPr>
        <w:t>.</w:t>
      </w:r>
      <w:r w:rsidR="004C4FC5">
        <w:rPr>
          <w:color w:val="000000"/>
        </w:rPr>
        <w:t>,</w:t>
      </w:r>
      <w:r w:rsidR="004C4FC5" w:rsidRPr="00831D87">
        <w:rPr>
          <w:color w:val="000000"/>
        </w:rPr>
        <w:t xml:space="preserve"> 2014)</w:t>
      </w:r>
      <w:r w:rsidR="004C4FC5">
        <w:rPr>
          <w:color w:val="000000"/>
        </w:rPr>
        <w:t>, with a 28-d NOEC below 0.1 mg/kg dw. Although these findings cannot be related directly to adverse population-relevant apical effects, they</w:t>
      </w:r>
      <w:r w:rsidR="004C4FC5" w:rsidRPr="002C7E9E">
        <w:rPr>
          <w:color w:val="000000"/>
        </w:rPr>
        <w:t xml:space="preserve"> imply that effects </w:t>
      </w:r>
      <w:r w:rsidR="004C4FC5">
        <w:rPr>
          <w:color w:val="000000"/>
        </w:rPr>
        <w:t xml:space="preserve">(e.g. on behaviour and reproduction) </w:t>
      </w:r>
      <w:r w:rsidR="004C4FC5" w:rsidRPr="002C7E9E">
        <w:rPr>
          <w:color w:val="000000"/>
        </w:rPr>
        <w:t>cannot be excluded in earthworms</w:t>
      </w:r>
      <w:r w:rsidR="004C4FC5" w:rsidRPr="004C4FC5">
        <w:rPr>
          <w:color w:val="000000"/>
        </w:rPr>
        <w:t xml:space="preserve"> </w:t>
      </w:r>
      <w:r w:rsidR="004C4FC5" w:rsidRPr="002C7E9E">
        <w:rPr>
          <w:color w:val="000000"/>
        </w:rPr>
        <w:t>over the longer term.</w:t>
      </w:r>
    </w:p>
    <w:p w14:paraId="58F897AA" w14:textId="77777777" w:rsidR="00CC0495" w:rsidRPr="000A6FDD" w:rsidRDefault="00CC0495" w:rsidP="00781D60">
      <w:pPr>
        <w:pStyle w:val="BodyText"/>
        <w:jc w:val="both"/>
      </w:pPr>
      <w:r w:rsidRPr="00BA0ECA">
        <w:t xml:space="preserve">Results from long-term or reproductive avian toxicity studies may also be used assess the T criterion. </w:t>
      </w:r>
      <w:r>
        <w:t>No</w:t>
      </w:r>
      <w:r w:rsidRPr="00BA0ECA">
        <w:t xml:space="preserve"> mortalities</w:t>
      </w:r>
      <w:r>
        <w:t xml:space="preserve"> occurred</w:t>
      </w:r>
      <w:r w:rsidRPr="00BA0ECA">
        <w:t xml:space="preserve"> in male Common Quail (</w:t>
      </w:r>
      <w:r w:rsidRPr="00BA0ECA">
        <w:rPr>
          <w:i/>
        </w:rPr>
        <w:t>Coturnix coturnix</w:t>
      </w:r>
      <w:r w:rsidRPr="00BA0ECA">
        <w:t>) exposed up to 1</w:t>
      </w:r>
      <w:r w:rsidR="00DB7126">
        <w:t> </w:t>
      </w:r>
      <w:r w:rsidRPr="00BA0ECA">
        <w:t>000</w:t>
      </w:r>
      <w:r w:rsidR="00AB1BB3">
        <w:t> </w:t>
      </w:r>
      <w:r w:rsidRPr="00BA0ECA">
        <w:t xml:space="preserve">mg/kg bw/d for 90 days (Li </w:t>
      </w:r>
      <w:r w:rsidRPr="00BA0ECA">
        <w:rPr>
          <w:i/>
        </w:rPr>
        <w:t>et al.</w:t>
      </w:r>
      <w:r w:rsidRPr="00BA0ECA">
        <w:t>, 2013a).</w:t>
      </w:r>
      <w:r>
        <w:t xml:space="preserve"> No effects were observed in D</w:t>
      </w:r>
      <w:r w:rsidRPr="00475F34">
        <w:rPr>
          <w:szCs w:val="24"/>
        </w:rPr>
        <w:t xml:space="preserve">omestic </w:t>
      </w:r>
      <w:r>
        <w:rPr>
          <w:szCs w:val="24"/>
        </w:rPr>
        <w:t>C</w:t>
      </w:r>
      <w:r w:rsidRPr="00475F34">
        <w:rPr>
          <w:szCs w:val="24"/>
        </w:rPr>
        <w:t>hicken (</w:t>
      </w:r>
      <w:r w:rsidRPr="00475F34">
        <w:rPr>
          <w:i/>
          <w:szCs w:val="24"/>
        </w:rPr>
        <w:t>Gallus gallus domesticus</w:t>
      </w:r>
      <w:r w:rsidRPr="00475F34">
        <w:rPr>
          <w:szCs w:val="24"/>
        </w:rPr>
        <w:t xml:space="preserve">) </w:t>
      </w:r>
      <w:r w:rsidRPr="00AC420D">
        <w:rPr>
          <w:szCs w:val="24"/>
        </w:rPr>
        <w:t xml:space="preserve">embryonic hepatocytes </w:t>
      </w:r>
      <w:r w:rsidRPr="00AC420D">
        <w:rPr>
          <w:i/>
          <w:szCs w:val="24"/>
        </w:rPr>
        <w:t>in vitro</w:t>
      </w:r>
      <w:r w:rsidRPr="00AC420D">
        <w:rPr>
          <w:szCs w:val="24"/>
        </w:rPr>
        <w:t xml:space="preserve"> </w:t>
      </w:r>
      <w:r>
        <w:rPr>
          <w:szCs w:val="24"/>
        </w:rPr>
        <w:t>or</w:t>
      </w:r>
      <w:r w:rsidRPr="00AC420D">
        <w:rPr>
          <w:szCs w:val="24"/>
        </w:rPr>
        <w:t xml:space="preserve"> embryos following </w:t>
      </w:r>
      <w:r>
        <w:rPr>
          <w:szCs w:val="24"/>
        </w:rPr>
        <w:t xml:space="preserve">egg </w:t>
      </w:r>
      <w:r w:rsidRPr="00AC420D">
        <w:rPr>
          <w:szCs w:val="24"/>
        </w:rPr>
        <w:t>injection</w:t>
      </w:r>
      <w:r>
        <w:rPr>
          <w:szCs w:val="24"/>
        </w:rPr>
        <w:t xml:space="preserve"> (although there was a possible dose-dependent decrease in p</w:t>
      </w:r>
      <w:r w:rsidRPr="00B70860">
        <w:rPr>
          <w:szCs w:val="24"/>
        </w:rPr>
        <w:t>ipping success</w:t>
      </w:r>
      <w:r>
        <w:t xml:space="preserve">, the results were within the </w:t>
      </w:r>
      <w:r>
        <w:rPr>
          <w:szCs w:val="24"/>
        </w:rPr>
        <w:t>historical control range</w:t>
      </w:r>
      <w:r w:rsidRPr="008E0C51">
        <w:rPr>
          <w:szCs w:val="24"/>
        </w:rPr>
        <w:t xml:space="preserve"> </w:t>
      </w:r>
      <w:r>
        <w:rPr>
          <w:szCs w:val="24"/>
        </w:rPr>
        <w:t>so cannot be considered significant)</w:t>
      </w:r>
      <w:r w:rsidRPr="00AC420D">
        <w:rPr>
          <w:szCs w:val="24"/>
        </w:rPr>
        <w:t>.</w:t>
      </w:r>
      <w:r>
        <w:rPr>
          <w:szCs w:val="24"/>
        </w:rPr>
        <w:t xml:space="preserve"> </w:t>
      </w:r>
      <w:r w:rsidRPr="00BA0ECA">
        <w:t xml:space="preserve">The </w:t>
      </w:r>
      <w:r>
        <w:t>available data do not suggest significant toxicity in birds, but a standard test guideline study is not available so the findings cannot be considered conclusive</w:t>
      </w:r>
      <w:r w:rsidRPr="00BA0ECA">
        <w:t>.</w:t>
      </w:r>
      <w:r>
        <w:rPr>
          <w:szCs w:val="24"/>
        </w:rPr>
        <w:t xml:space="preserve"> </w:t>
      </w:r>
    </w:p>
    <w:p w14:paraId="53DF28AD" w14:textId="77777777" w:rsidR="00CC0495" w:rsidRPr="000A6FDD" w:rsidRDefault="00CC0495" w:rsidP="00781D60">
      <w:pPr>
        <w:pStyle w:val="BodyText"/>
        <w:jc w:val="both"/>
      </w:pPr>
      <w:r w:rsidRPr="00BA0ECA">
        <w:t xml:space="preserve">Dechlorane Plus is structurally related to known pesticides such as heptachlor (CAS </w:t>
      </w:r>
      <w:r>
        <w:t xml:space="preserve">no. </w:t>
      </w:r>
      <w:r w:rsidRPr="00BA0ECA">
        <w:t xml:space="preserve">76-44-8) and chlordane (CAS </w:t>
      </w:r>
      <w:r>
        <w:t xml:space="preserve">no. </w:t>
      </w:r>
      <w:r w:rsidRPr="00BA0ECA">
        <w:t xml:space="preserve">57-74-9) (see Section 1.4). </w:t>
      </w:r>
      <w:r w:rsidR="00C35BE4">
        <w:t>However, t</w:t>
      </w:r>
      <w:r w:rsidRPr="00BA0ECA">
        <w:t>he structures and physico-chemical properties of the analogues and Dechlorane Plus are not similar enough to conclude that Dechlorane Plus would have</w:t>
      </w:r>
      <w:r>
        <w:t xml:space="preserve"> similar toxic properties. </w:t>
      </w:r>
    </w:p>
    <w:p w14:paraId="33285F79" w14:textId="77777777" w:rsidR="00CC0495" w:rsidRDefault="00CC0495" w:rsidP="00781D60">
      <w:pPr>
        <w:pStyle w:val="BodyText"/>
        <w:jc w:val="both"/>
      </w:pPr>
      <w:r w:rsidRPr="000A6FDD">
        <w:t>In summary, the available information is insufficient to make a full assessment of the T criterion</w:t>
      </w:r>
      <w:r w:rsidRPr="00BA0ECA">
        <w:t xml:space="preserve"> </w:t>
      </w:r>
      <w:r w:rsidRPr="00BA0ECA">
        <w:lastRenderedPageBreak/>
        <w:t xml:space="preserve">based on ecotoxicity data. </w:t>
      </w:r>
    </w:p>
    <w:p w14:paraId="2EE36AA4" w14:textId="77777777" w:rsidR="000C1678" w:rsidRDefault="000C1678" w:rsidP="00781D60">
      <w:pPr>
        <w:pStyle w:val="BodyText"/>
        <w:jc w:val="both"/>
      </w:pPr>
    </w:p>
    <w:p w14:paraId="657EEC91" w14:textId="77777777" w:rsidR="000C1678" w:rsidRDefault="000C1678" w:rsidP="000C1678">
      <w:pPr>
        <w:pStyle w:val="Heading4"/>
        <w:numPr>
          <w:ilvl w:val="3"/>
          <w:numId w:val="14"/>
        </w:numPr>
        <w:jc w:val="both"/>
      </w:pPr>
      <w:r>
        <w:t>Additional considerations</w:t>
      </w:r>
    </w:p>
    <w:p w14:paraId="51467275" w14:textId="77777777" w:rsidR="00DA09B5" w:rsidRDefault="00DA09B5" w:rsidP="00DA09B5">
      <w:pPr>
        <w:pStyle w:val="BodyText"/>
        <w:jc w:val="both"/>
      </w:pPr>
      <w:r>
        <w:t xml:space="preserve">As </w:t>
      </w:r>
      <w:r w:rsidRPr="00DA09B5">
        <w:rPr>
          <w:szCs w:val="24"/>
        </w:rPr>
        <w:t>summarised</w:t>
      </w:r>
      <w:r>
        <w:t xml:space="preserve"> in Appendix 2, several studies have detected 1,3- or 1,5-Dechlorane Plus monoadduct (DPMA) in environmental samples such as sediment and fish (e.g. </w:t>
      </w:r>
      <w:r w:rsidRPr="00C66397">
        <w:t xml:space="preserve">Sverko </w:t>
      </w:r>
      <w:r w:rsidRPr="00DA09B5">
        <w:rPr>
          <w:i/>
        </w:rPr>
        <w:t>et al</w:t>
      </w:r>
      <w:r w:rsidRPr="00C66397">
        <w:t>.</w:t>
      </w:r>
      <w:r>
        <w:t>,</w:t>
      </w:r>
      <w:r w:rsidRPr="00C66397">
        <w:t xml:space="preserve"> 2010b</w:t>
      </w:r>
      <w:r>
        <w:t xml:space="preserve">; </w:t>
      </w:r>
      <w:r w:rsidRPr="00C66397">
        <w:rPr>
          <w:lang w:eastAsia="en-GB"/>
        </w:rPr>
        <w:t>Guerra</w:t>
      </w:r>
      <w:r w:rsidRPr="00C66397">
        <w:t xml:space="preserve"> </w:t>
      </w:r>
      <w:r w:rsidRPr="00DA09B5">
        <w:rPr>
          <w:i/>
        </w:rPr>
        <w:t>et al</w:t>
      </w:r>
      <w:r w:rsidRPr="00C66397">
        <w:t>.</w:t>
      </w:r>
      <w:r>
        <w:t>,</w:t>
      </w:r>
      <w:r w:rsidRPr="00C66397">
        <w:t xml:space="preserve"> 2011</w:t>
      </w:r>
      <w:r>
        <w:t xml:space="preserve">; </w:t>
      </w:r>
      <w:r w:rsidRPr="00C66397">
        <w:t xml:space="preserve">Tomy </w:t>
      </w:r>
      <w:r w:rsidRPr="00DA09B5">
        <w:rPr>
          <w:i/>
        </w:rPr>
        <w:t>et al</w:t>
      </w:r>
      <w:r w:rsidRPr="00C66397">
        <w:t>.</w:t>
      </w:r>
      <w:r>
        <w:t>,</w:t>
      </w:r>
      <w:r w:rsidRPr="00C66397">
        <w:t xml:space="preserve"> 2013</w:t>
      </w:r>
      <w:r>
        <w:t>;</w:t>
      </w:r>
      <w:r w:rsidRPr="00DA09B5">
        <w:rPr>
          <w:color w:val="000000"/>
          <w:lang w:eastAsia="en-GB"/>
        </w:rPr>
        <w:t xml:space="preserve"> Sühring </w:t>
      </w:r>
      <w:r w:rsidRPr="00DA09B5">
        <w:rPr>
          <w:i/>
          <w:color w:val="000000"/>
          <w:lang w:eastAsia="en-GB"/>
        </w:rPr>
        <w:t>et al</w:t>
      </w:r>
      <w:r w:rsidRPr="00DA09B5">
        <w:rPr>
          <w:color w:val="000000"/>
          <w:lang w:eastAsia="en-GB"/>
        </w:rPr>
        <w:t>., 2014;</w:t>
      </w:r>
      <w:r w:rsidRPr="00C86E72">
        <w:t xml:space="preserve"> </w:t>
      </w:r>
      <w:r w:rsidRPr="00C66397">
        <w:t xml:space="preserve">Wang </w:t>
      </w:r>
      <w:r w:rsidRPr="00DA09B5">
        <w:rPr>
          <w:i/>
        </w:rPr>
        <w:t>et al</w:t>
      </w:r>
      <w:r>
        <w:t xml:space="preserve">., </w:t>
      </w:r>
      <w:r w:rsidRPr="00C66397">
        <w:t>2015</w:t>
      </w:r>
      <w:r>
        <w:t xml:space="preserve">; </w:t>
      </w:r>
      <w:r w:rsidRPr="00C66397">
        <w:t>Wolschke</w:t>
      </w:r>
      <w:r w:rsidRPr="00DA09B5">
        <w:rPr>
          <w:rFonts w:cs="TimesNewRoman"/>
        </w:rPr>
        <w:t xml:space="preserve"> </w:t>
      </w:r>
      <w:r w:rsidRPr="00DA09B5">
        <w:rPr>
          <w:rFonts w:cs="TimesNewRoman"/>
          <w:i/>
        </w:rPr>
        <w:t>et al</w:t>
      </w:r>
      <w:r w:rsidRPr="00DA09B5">
        <w:rPr>
          <w:rFonts w:cs="TimesNewRoman"/>
        </w:rPr>
        <w:t>., 2015;</w:t>
      </w:r>
      <w:r w:rsidRPr="00DA09B5">
        <w:rPr>
          <w:rFonts w:cs="AdvOT863180fb"/>
          <w:lang w:eastAsia="en-GB"/>
        </w:rPr>
        <w:t xml:space="preserve"> Rjabova </w:t>
      </w:r>
      <w:r w:rsidRPr="00DA09B5">
        <w:rPr>
          <w:rFonts w:cs="AdvOT863180fb"/>
          <w:i/>
          <w:lang w:eastAsia="en-GB"/>
        </w:rPr>
        <w:t>et al</w:t>
      </w:r>
      <w:r w:rsidRPr="00DA09B5">
        <w:rPr>
          <w:rFonts w:cs="AdvOT863180fb"/>
          <w:lang w:eastAsia="en-GB"/>
        </w:rPr>
        <w:t>., 2016</w:t>
      </w:r>
      <w:r>
        <w:t>). In some cases, t</w:t>
      </w:r>
      <w:r w:rsidRPr="00C66397">
        <w:t xml:space="preserve">he concentrations of DPMA isomers </w:t>
      </w:r>
      <w:r>
        <w:t>a</w:t>
      </w:r>
      <w:r w:rsidRPr="00C66397">
        <w:t>re greater than the total Dechlorane Plus concentration</w:t>
      </w:r>
      <w:r>
        <w:t xml:space="preserve"> in the same samples. In addition, it is possible that</w:t>
      </w:r>
      <w:r w:rsidRPr="00C66397">
        <w:t xml:space="preserve"> </w:t>
      </w:r>
      <w:r>
        <w:t>f</w:t>
      </w:r>
      <w:r w:rsidRPr="00C66397">
        <w:t>ailure to use a non-destructive clean-up procedure for sample preparation could lead to under-reporting</w:t>
      </w:r>
      <w:r w:rsidR="00CA6B85">
        <w:t xml:space="preserve"> of this substance</w:t>
      </w:r>
      <w:r>
        <w:t xml:space="preserve"> (</w:t>
      </w:r>
      <w:r w:rsidRPr="00C66397">
        <w:t>Rjabova</w:t>
      </w:r>
      <w:r w:rsidRPr="00DA09B5">
        <w:rPr>
          <w:rFonts w:cs="AdvOT863180fb"/>
          <w:lang w:eastAsia="en-GB"/>
        </w:rPr>
        <w:t xml:space="preserve"> </w:t>
      </w:r>
      <w:r w:rsidRPr="00DA09B5">
        <w:rPr>
          <w:rFonts w:cs="AdvOT863180fb"/>
          <w:i/>
          <w:lang w:eastAsia="en-GB"/>
        </w:rPr>
        <w:t>et al</w:t>
      </w:r>
      <w:r w:rsidRPr="00DA09B5">
        <w:rPr>
          <w:rFonts w:cs="AdvOT863180fb"/>
          <w:lang w:eastAsia="en-GB"/>
        </w:rPr>
        <w:t>., 2016)</w:t>
      </w:r>
      <w:r w:rsidRPr="00C66397">
        <w:t xml:space="preserve">. </w:t>
      </w:r>
      <w:r>
        <w:t xml:space="preserve"> </w:t>
      </w:r>
    </w:p>
    <w:p w14:paraId="16A1CF0B" w14:textId="77777777" w:rsidR="00DA09B5" w:rsidRDefault="00DA09B5" w:rsidP="00DA09B5">
      <w:pPr>
        <w:pStyle w:val="BodyText"/>
        <w:jc w:val="both"/>
      </w:pPr>
      <w:r>
        <w:t xml:space="preserve">Whilst there is uncertainty in the QSAR predictions, </w:t>
      </w:r>
      <w:r w:rsidRPr="00C66397">
        <w:t>1,3-/1,5-DPMA screens as being</w:t>
      </w:r>
      <w:r w:rsidRPr="00637887">
        <w:t xml:space="preserve"> </w:t>
      </w:r>
      <w:r w:rsidRPr="00C66397">
        <w:t xml:space="preserve">potentially PBT and/or vPvB. No information is available on mammalian toxicity, but if it reacts like aldrin </w:t>
      </w:r>
      <w:r w:rsidR="00552243">
        <w:t xml:space="preserve">or heptachlor via epoxidation </w:t>
      </w:r>
      <w:r w:rsidRPr="00C66397">
        <w:t>in the environment, it could be neurotoxic and/or cause hepatotoxicity.</w:t>
      </w:r>
    </w:p>
    <w:p w14:paraId="589098FC" w14:textId="77777777" w:rsidR="00DA09B5" w:rsidRDefault="00DA09B5" w:rsidP="00DA09B5">
      <w:pPr>
        <w:pStyle w:val="BodyText"/>
        <w:jc w:val="both"/>
      </w:pPr>
      <w:r>
        <w:t xml:space="preserve">Given its structure, Dechlorane Plus </w:t>
      </w:r>
      <w:r w:rsidR="00A436EB">
        <w:t>is the only likely source of DPMA in the environment</w:t>
      </w:r>
      <w:r>
        <w:t xml:space="preserve">. </w:t>
      </w:r>
      <w:r w:rsidRPr="005B4DAE">
        <w:t xml:space="preserve">There is no information on reaction rates or amounts that can be formed under relevant environmental conditions. </w:t>
      </w:r>
      <w:r>
        <w:t>Some o</w:t>
      </w:r>
      <w:r w:rsidRPr="005B4DAE">
        <w:t xml:space="preserve">ther possible </w:t>
      </w:r>
      <w:r>
        <w:t xml:space="preserve">transformation </w:t>
      </w:r>
      <w:r w:rsidRPr="005B4DAE">
        <w:t xml:space="preserve">products (e.g. hexachloronorbornadiene) also screen as potentially </w:t>
      </w:r>
      <w:r w:rsidRPr="00C66397">
        <w:t>PBT and/or vPvB</w:t>
      </w:r>
      <w:r w:rsidRPr="005B4DAE">
        <w:t xml:space="preserve">. </w:t>
      </w:r>
    </w:p>
    <w:p w14:paraId="3E49DA08" w14:textId="77777777" w:rsidR="00DA09B5" w:rsidRPr="00C66397" w:rsidRDefault="00DA09B5" w:rsidP="00DA09B5">
      <w:pPr>
        <w:pStyle w:val="BodyText"/>
        <w:jc w:val="both"/>
      </w:pPr>
      <w:r w:rsidRPr="00C66397">
        <w:t>A definitive conclusion would require experimental data</w:t>
      </w:r>
      <w:r>
        <w:t xml:space="preserve"> to confirm that these degradants are formed in relevant amounts in standard transformation studies, and also to</w:t>
      </w:r>
      <w:r w:rsidRPr="00C66397">
        <w:t xml:space="preserve"> confirm</w:t>
      </w:r>
      <w:r>
        <w:t xml:space="preserve"> their</w:t>
      </w:r>
      <w:r w:rsidRPr="00C66397">
        <w:t xml:space="preserve"> properties.</w:t>
      </w:r>
      <w:r w:rsidRPr="005B4DAE">
        <w:t xml:space="preserve"> However, DPMA in particular flags an additional relevant concern</w:t>
      </w:r>
      <w:r>
        <w:t xml:space="preserve"> as it is has been detected in </w:t>
      </w:r>
      <w:r w:rsidR="00786908">
        <w:t>biota</w:t>
      </w:r>
      <w:r>
        <w:t xml:space="preserve"> (including in the Antarctic)</w:t>
      </w:r>
      <w:r w:rsidRPr="005B4DAE">
        <w:t>.</w:t>
      </w:r>
    </w:p>
    <w:p w14:paraId="323E409F" w14:textId="77777777" w:rsidR="00FB1D0A" w:rsidRPr="00FB1D0A" w:rsidRDefault="00FB1D0A" w:rsidP="00781D60">
      <w:pPr>
        <w:pStyle w:val="BodyText"/>
        <w:jc w:val="both"/>
      </w:pPr>
    </w:p>
    <w:p w14:paraId="1941D3D4" w14:textId="77777777" w:rsidR="00B12C39" w:rsidRPr="009A5369" w:rsidRDefault="009A5369" w:rsidP="00781D60">
      <w:pPr>
        <w:pStyle w:val="Heading3"/>
        <w:tabs>
          <w:tab w:val="clear" w:pos="360"/>
          <w:tab w:val="num" w:pos="0"/>
        </w:tabs>
        <w:jc w:val="both"/>
      </w:pPr>
      <w:bookmarkStart w:id="755" w:name="_Toc341888616"/>
      <w:bookmarkStart w:id="756" w:name="_Toc342400476"/>
      <w:bookmarkStart w:id="757" w:name="_Toc354499646"/>
      <w:bookmarkStart w:id="758" w:name="_Toc357083724"/>
      <w:bookmarkStart w:id="759" w:name="_Toc357184270"/>
      <w:bookmarkStart w:id="760" w:name="_Toc357184506"/>
      <w:bookmarkStart w:id="761" w:name="_Toc357185308"/>
      <w:bookmarkStart w:id="762" w:name="_Toc357186156"/>
      <w:bookmarkStart w:id="763" w:name="_Toc357186305"/>
      <w:bookmarkStart w:id="764" w:name="_Toc357437591"/>
      <w:bookmarkStart w:id="765" w:name="_Toc357590864"/>
      <w:bookmarkStart w:id="766" w:name="_Toc357692896"/>
      <w:bookmarkStart w:id="767" w:name="_Toc365649722"/>
      <w:bookmarkStart w:id="768" w:name="_Toc365649871"/>
      <w:bookmarkStart w:id="769" w:name="_Toc366489923"/>
      <w:bookmarkStart w:id="770" w:name="_Toc418498627"/>
      <w:bookmarkStart w:id="771" w:name="_Toc418506082"/>
      <w:bookmarkStart w:id="772" w:name="_Toc491862247"/>
      <w:r>
        <w:t xml:space="preserve">6.2.2 </w:t>
      </w:r>
      <w:r w:rsidR="00B12C39" w:rsidRPr="009A5369">
        <w:t>Summary and overall conclusions on the PBT and vPvB properties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14:paraId="0D682B1C" w14:textId="77777777" w:rsidR="00CC0495" w:rsidRPr="000A6FDD" w:rsidRDefault="00CC0495" w:rsidP="00781D60">
      <w:pPr>
        <w:pStyle w:val="BodyText"/>
        <w:jc w:val="both"/>
        <w:rPr>
          <w:i/>
        </w:rPr>
      </w:pPr>
      <w:r w:rsidRPr="00BA0ECA">
        <w:rPr>
          <w:i/>
        </w:rPr>
        <w:t>Persistence</w:t>
      </w:r>
    </w:p>
    <w:p w14:paraId="704A8266" w14:textId="020FBD03" w:rsidR="00CE34D2" w:rsidRDefault="00CC0495" w:rsidP="00781D60">
      <w:pPr>
        <w:pStyle w:val="BodyText"/>
        <w:jc w:val="both"/>
      </w:pPr>
      <w:r w:rsidRPr="00BA0ECA">
        <w:t>Based on the</w:t>
      </w:r>
      <w:r w:rsidRPr="00F11137">
        <w:t xml:space="preserve"> </w:t>
      </w:r>
      <w:r>
        <w:t>weight of evidence of the</w:t>
      </w:r>
      <w:r w:rsidRPr="00BA0ECA">
        <w:t xml:space="preserve"> data available, it is concluded that Dechlorane Plus meets the criteria for vP </w:t>
      </w:r>
      <w:r>
        <w:t>in Annex XIII of REACH</w:t>
      </w:r>
      <w:r w:rsidRPr="00BA0ECA">
        <w:t>.</w:t>
      </w:r>
      <w:r>
        <w:t xml:space="preserve"> This is</w:t>
      </w:r>
      <w:r w:rsidR="002E74C1">
        <w:t xml:space="preserve"> </w:t>
      </w:r>
      <w:r>
        <w:t>based on</w:t>
      </w:r>
      <w:r w:rsidR="00CE34D2">
        <w:t>:</w:t>
      </w:r>
    </w:p>
    <w:p w14:paraId="757969DA" w14:textId="77777777" w:rsidR="00CE34D2" w:rsidRDefault="00CE34D2" w:rsidP="00CE34D2">
      <w:pPr>
        <w:pStyle w:val="BodyText"/>
        <w:numPr>
          <w:ilvl w:val="0"/>
          <w:numId w:val="17"/>
        </w:numPr>
        <w:jc w:val="both"/>
      </w:pPr>
      <w:r>
        <w:t>modelling of degradation potential and microbial metabolic pathways which suggests that biodegradation is likely to be very slow; and</w:t>
      </w:r>
    </w:p>
    <w:p w14:paraId="4DDED87D" w14:textId="30D2DD22" w:rsidR="00CE34D2" w:rsidRDefault="00CE34D2" w:rsidP="00CE34D2">
      <w:pPr>
        <w:pStyle w:val="BodyText"/>
        <w:numPr>
          <w:ilvl w:val="0"/>
          <w:numId w:val="17"/>
        </w:numPr>
        <w:jc w:val="both"/>
      </w:pPr>
      <w:r>
        <w:t xml:space="preserve">a low probability that it will degrade any faster than structural analogues that are </w:t>
      </w:r>
      <w:r w:rsidR="00B87B25">
        <w:t xml:space="preserve">considered </w:t>
      </w:r>
      <w:r>
        <w:t>to be very persistent under the Stockholm Convention</w:t>
      </w:r>
      <w:r w:rsidR="00C42CB2">
        <w:t>.</w:t>
      </w:r>
    </w:p>
    <w:p w14:paraId="79730705" w14:textId="77777777" w:rsidR="00CE34D2" w:rsidRDefault="00CE34D2" w:rsidP="00781D60">
      <w:pPr>
        <w:pStyle w:val="BodyText"/>
        <w:jc w:val="both"/>
      </w:pPr>
      <w:r>
        <w:t>This conclusion is also supported by the very low water solubility (suggesting limited bioavailability to micro-organisms once bound to solid matrices), monitoring data indicating that the substance can persist in sediments (a major sink) for many years, lack of evidence of biotransformation in fish (supporting the premise that the molecule is metabolically recalcitrant) and widespread occurrence in remote regions.</w:t>
      </w:r>
    </w:p>
    <w:p w14:paraId="780267D7" w14:textId="77777777" w:rsidR="00CC0495" w:rsidRPr="000A6FDD" w:rsidRDefault="00CC0495" w:rsidP="00781D60">
      <w:pPr>
        <w:pStyle w:val="BodyText"/>
        <w:jc w:val="both"/>
        <w:rPr>
          <w:i/>
        </w:rPr>
      </w:pPr>
      <w:r w:rsidRPr="00BA0ECA">
        <w:rPr>
          <w:i/>
        </w:rPr>
        <w:t>Bioaccumulation</w:t>
      </w:r>
    </w:p>
    <w:p w14:paraId="0F56905B" w14:textId="77777777" w:rsidR="00CE34D2" w:rsidRDefault="00CE34D2" w:rsidP="00CE34D2">
      <w:pPr>
        <w:pStyle w:val="BodyText"/>
        <w:jc w:val="both"/>
      </w:pPr>
      <w:r>
        <w:t>Using a</w:t>
      </w:r>
      <w:r w:rsidRPr="00F11137">
        <w:t xml:space="preserve"> </w:t>
      </w:r>
      <w:r>
        <w:t>weight of evidence assessment of the</w:t>
      </w:r>
      <w:r w:rsidRPr="00BA0ECA">
        <w:t xml:space="preserve"> data available, Dechlorane Plus meets the </w:t>
      </w:r>
      <w:r>
        <w:t xml:space="preserve">vB </w:t>
      </w:r>
      <w:r w:rsidRPr="00BA0ECA">
        <w:t xml:space="preserve">criteria </w:t>
      </w:r>
      <w:r>
        <w:t>in Annex XIII of REACH</w:t>
      </w:r>
      <w:r w:rsidRPr="00BA0ECA">
        <w:t>.</w:t>
      </w:r>
      <w:r>
        <w:t xml:space="preserve"> This is based on:</w:t>
      </w:r>
    </w:p>
    <w:p w14:paraId="06ECA03F" w14:textId="0BB5AC9B" w:rsidR="00CE34D2" w:rsidRDefault="00CC0495" w:rsidP="007B2C47">
      <w:pPr>
        <w:pStyle w:val="BodyText"/>
        <w:numPr>
          <w:ilvl w:val="0"/>
          <w:numId w:val="42"/>
        </w:numPr>
        <w:jc w:val="both"/>
      </w:pPr>
      <w:r>
        <w:t xml:space="preserve">the long-depuration half-life determined in </w:t>
      </w:r>
      <w:r w:rsidRPr="00BA0ECA">
        <w:t>fish feeding stud</w:t>
      </w:r>
      <w:r>
        <w:t>ies</w:t>
      </w:r>
      <w:r w:rsidR="00CE34D2">
        <w:t xml:space="preserve"> which is</w:t>
      </w:r>
      <w:r w:rsidRPr="00F11137">
        <w:t xml:space="preserve"> </w:t>
      </w:r>
      <w:r>
        <w:t>indicative of a BCF</w:t>
      </w:r>
      <w:r w:rsidR="00CE34D2">
        <w:t xml:space="preserve"> above </w:t>
      </w:r>
      <w:r>
        <w:t>5</w:t>
      </w:r>
      <w:r w:rsidR="00DB7126">
        <w:t> </w:t>
      </w:r>
      <w:r>
        <w:t>000 L/kg</w:t>
      </w:r>
      <w:r w:rsidR="004F0C11">
        <w:t xml:space="preserve">, </w:t>
      </w:r>
      <w:r w:rsidR="00CE34D2">
        <w:t>by comparison with other substances</w:t>
      </w:r>
      <w:r w:rsidR="00CE34D2" w:rsidRPr="00DF3BE4">
        <w:t xml:space="preserve"> </w:t>
      </w:r>
      <w:r w:rsidR="00CE34D2">
        <w:t xml:space="preserve">(supported by a long </w:t>
      </w:r>
      <w:r w:rsidR="00CE34D2">
        <w:lastRenderedPageBreak/>
        <w:t xml:space="preserve">depuration half-life in </w:t>
      </w:r>
      <w:r w:rsidR="00CE34D2" w:rsidRPr="00DF3BE4">
        <w:t>mammal</w:t>
      </w:r>
      <w:r w:rsidR="00CE34D2">
        <w:t>ian liver);</w:t>
      </w:r>
    </w:p>
    <w:p w14:paraId="3ECC324E" w14:textId="71DDD780" w:rsidR="00CE34D2" w:rsidRDefault="00CC0495" w:rsidP="007B2C47">
      <w:pPr>
        <w:pStyle w:val="BodyText"/>
        <w:numPr>
          <w:ilvl w:val="0"/>
          <w:numId w:val="42"/>
        </w:numPr>
        <w:jc w:val="both"/>
      </w:pPr>
      <w:r>
        <w:t xml:space="preserve">numerous studies that show that the substance is </w:t>
      </w:r>
      <w:r w:rsidR="004F0C11">
        <w:t xml:space="preserve">widely dispersed in </w:t>
      </w:r>
      <w:r w:rsidR="00CE34D2">
        <w:rPr>
          <w:rStyle w:val="Strong"/>
          <w:b w:val="0"/>
          <w:bCs/>
          <w:color w:val="000000" w:themeColor="text1"/>
        </w:rPr>
        <w:t xml:space="preserve">freshwater, marine </w:t>
      </w:r>
      <w:r w:rsidR="00CE34D2">
        <w:t>and terrestrial food chains, including top predators;</w:t>
      </w:r>
      <w:r w:rsidR="00C42CB2">
        <w:t xml:space="preserve"> and</w:t>
      </w:r>
    </w:p>
    <w:p w14:paraId="3AB2B4A0" w14:textId="66A13638" w:rsidR="00CE34D2" w:rsidRDefault="00CC0495" w:rsidP="007B2C47">
      <w:pPr>
        <w:pStyle w:val="BodyText"/>
        <w:numPr>
          <w:ilvl w:val="0"/>
          <w:numId w:val="42"/>
        </w:numPr>
        <w:jc w:val="both"/>
      </w:pPr>
      <w:r>
        <w:t>evidence that the substance can exceed levels in biota that are of concern based on critical body burden considerations</w:t>
      </w:r>
      <w:r w:rsidR="00CE34D2">
        <w:t xml:space="preserve"> related</w:t>
      </w:r>
      <w:r w:rsidR="00CE34D2" w:rsidRPr="00D30CBA">
        <w:t xml:space="preserve"> </w:t>
      </w:r>
      <w:r w:rsidR="00CE34D2" w:rsidRPr="00B75C66">
        <w:t>to baseline narcosis</w:t>
      </w:r>
      <w:r w:rsidR="00C42CB2">
        <w:t>.</w:t>
      </w:r>
    </w:p>
    <w:p w14:paraId="74C8333E" w14:textId="1DED2436" w:rsidR="00CC0495" w:rsidRPr="000A6FDD" w:rsidRDefault="00A80958" w:rsidP="00781D60">
      <w:pPr>
        <w:pStyle w:val="BodyText"/>
        <w:jc w:val="both"/>
      </w:pPr>
      <w:r>
        <w:t xml:space="preserve">This </w:t>
      </w:r>
      <w:r w:rsidR="00CE34D2">
        <w:t xml:space="preserve">conclusion </w:t>
      </w:r>
      <w:r>
        <w:t>is supported by the detection of the substance in human blood, placenta and breast milk.</w:t>
      </w:r>
    </w:p>
    <w:p w14:paraId="3F62B88D" w14:textId="77777777" w:rsidR="00CC0495" w:rsidRPr="000A6FDD" w:rsidRDefault="00CC0495" w:rsidP="00781D60">
      <w:pPr>
        <w:pStyle w:val="BodyText"/>
        <w:jc w:val="both"/>
        <w:rPr>
          <w:i/>
        </w:rPr>
      </w:pPr>
      <w:r w:rsidRPr="000A6FDD">
        <w:rPr>
          <w:i/>
        </w:rPr>
        <w:t>Toxicity</w:t>
      </w:r>
    </w:p>
    <w:p w14:paraId="494EC9C5" w14:textId="77777777" w:rsidR="00CC0495" w:rsidRPr="000A6FDD" w:rsidRDefault="00CC0495" w:rsidP="00781D60">
      <w:pPr>
        <w:pStyle w:val="BodyText"/>
        <w:jc w:val="both"/>
      </w:pPr>
      <w:r w:rsidRPr="000A6FDD">
        <w:t xml:space="preserve">Based on the available </w:t>
      </w:r>
      <w:r w:rsidR="00782976">
        <w:t xml:space="preserve">ecotoxicity and mammalian </w:t>
      </w:r>
      <w:r w:rsidRPr="000A6FDD">
        <w:t xml:space="preserve">data, Dechlorane Plus </w:t>
      </w:r>
      <w:r>
        <w:t xml:space="preserve">does not currently </w:t>
      </w:r>
      <w:r w:rsidRPr="000A6FDD">
        <w:t>meet the T criterion</w:t>
      </w:r>
      <w:r w:rsidR="00B74A6C">
        <w:t>. L</w:t>
      </w:r>
      <w:r>
        <w:t xml:space="preserve">ong-term toxicity studies </w:t>
      </w:r>
      <w:r w:rsidR="00DB7126">
        <w:t>using relevant life stages of</w:t>
      </w:r>
      <w:r>
        <w:t xml:space="preserve"> fish (via diet), sediment or soil organisms</w:t>
      </w:r>
      <w:r w:rsidR="00AB1BB3">
        <w:t>, and/or birds</w:t>
      </w:r>
      <w:r>
        <w:t xml:space="preserve"> could be performed</w:t>
      </w:r>
      <w:r w:rsidR="00782976">
        <w:t xml:space="preserve"> to</w:t>
      </w:r>
      <w:r w:rsidR="00DB7126">
        <w:t xml:space="preserve"> clarify whether adverse effects can occur via these exposure routes.</w:t>
      </w:r>
      <w:r w:rsidR="00786908">
        <w:t xml:space="preserve"> However, as the substance meets both the vP and vB criteria, these are not scientifically necessary for </w:t>
      </w:r>
      <w:r w:rsidR="002768E3">
        <w:t xml:space="preserve">environmental </w:t>
      </w:r>
      <w:r w:rsidR="00786908">
        <w:t>risk management purposes.</w:t>
      </w:r>
    </w:p>
    <w:p w14:paraId="6E9F6E85" w14:textId="77777777" w:rsidR="00CC0495" w:rsidRDefault="00CC0495" w:rsidP="00781D60">
      <w:pPr>
        <w:autoSpaceDE w:val="0"/>
        <w:autoSpaceDN w:val="0"/>
        <w:adjustRightInd w:val="0"/>
        <w:jc w:val="both"/>
      </w:pPr>
    </w:p>
    <w:p w14:paraId="755FC9FE" w14:textId="77777777" w:rsidR="00FB5AF3" w:rsidRPr="00FB5AF3" w:rsidRDefault="00FB5AF3" w:rsidP="00781D60">
      <w:pPr>
        <w:autoSpaceDE w:val="0"/>
        <w:autoSpaceDN w:val="0"/>
        <w:adjustRightInd w:val="0"/>
        <w:jc w:val="both"/>
        <w:rPr>
          <w:i/>
        </w:rPr>
      </w:pPr>
      <w:r w:rsidRPr="00FB5AF3">
        <w:rPr>
          <w:i/>
        </w:rPr>
        <w:t>Other concerns</w:t>
      </w:r>
    </w:p>
    <w:p w14:paraId="76D501D7" w14:textId="77777777" w:rsidR="00FB5AF3" w:rsidRDefault="00FB5AF3" w:rsidP="00781D60">
      <w:pPr>
        <w:autoSpaceDE w:val="0"/>
        <w:autoSpaceDN w:val="0"/>
        <w:adjustRightInd w:val="0"/>
        <w:jc w:val="both"/>
      </w:pPr>
    </w:p>
    <w:p w14:paraId="64B49CF3" w14:textId="24116D61" w:rsidR="00CE34D2" w:rsidRDefault="00C42CB2" w:rsidP="00CE34D2">
      <w:pPr>
        <w:jc w:val="both"/>
        <w:rPr>
          <w:lang w:eastAsia="en-US"/>
        </w:rPr>
      </w:pPr>
      <w:r>
        <w:t>T</w:t>
      </w:r>
      <w:r w:rsidR="00CE34D2">
        <w:t xml:space="preserve">he substances 1,3- and 1,5-Dechlorane Plus monoadduct (DPMA) have been detected in the environment, sometimes at higher concentrations than Dechlorane Plus in the same samples. </w:t>
      </w:r>
      <w:r w:rsidR="00873585">
        <w:t>DPMA</w:t>
      </w:r>
      <w:r w:rsidR="003B7E0C" w:rsidRPr="005B0F12">
        <w:t xml:space="preserve"> might be under-reported</w:t>
      </w:r>
      <w:r w:rsidR="003B7E0C" w:rsidRPr="00DF5C91">
        <w:t xml:space="preserve"> </w:t>
      </w:r>
      <w:r w:rsidR="003B7E0C">
        <w:t xml:space="preserve">because destructive </w:t>
      </w:r>
      <w:r w:rsidR="003B7E0C" w:rsidRPr="000D43A8">
        <w:t>sample preparation methods</w:t>
      </w:r>
      <w:r w:rsidR="003B7E0C">
        <w:t xml:space="preserve"> may</w:t>
      </w:r>
      <w:r w:rsidR="003B7E0C" w:rsidRPr="000D43A8">
        <w:t xml:space="preserve"> degrade it.</w:t>
      </w:r>
      <w:r w:rsidR="002714C6">
        <w:t xml:space="preserve"> </w:t>
      </w:r>
      <w:r w:rsidR="00CE34D2">
        <w:t xml:space="preserve">Dechlorane Plus is the only likely source </w:t>
      </w:r>
      <w:r w:rsidR="00CE34D2" w:rsidRPr="00A03429">
        <w:t>of these two substances</w:t>
      </w:r>
      <w:r w:rsidR="00CE34D2">
        <w:t>, although there is no information on reaction rates or amounts that can be formed under relevant environmental conditions. Based on predictive models, DPMA screens as being potentially PBT and vPvB</w:t>
      </w:r>
      <w:r w:rsidR="003B7E0C" w:rsidRPr="003B7E0C">
        <w:t xml:space="preserve"> </w:t>
      </w:r>
      <w:r w:rsidR="003B7E0C">
        <w:t>on the basis of QSAR (although some of the predictions are uncertain)</w:t>
      </w:r>
      <w:r w:rsidR="00CE34D2">
        <w:t xml:space="preserve">. No information is available on its mammalian toxicity, but due to </w:t>
      </w:r>
      <w:r w:rsidR="00CE34D2" w:rsidRPr="00C66397">
        <w:t>structural similar</w:t>
      </w:r>
      <w:r w:rsidR="00CE34D2">
        <w:t xml:space="preserve">ities </w:t>
      </w:r>
      <w:r w:rsidR="002714C6">
        <w:t>to</w:t>
      </w:r>
      <w:r w:rsidR="00CE34D2">
        <w:t xml:space="preserve"> aldrin or heptachlor </w:t>
      </w:r>
      <w:r w:rsidR="002714C6">
        <w:t xml:space="preserve">it might be </w:t>
      </w:r>
      <w:r w:rsidR="00CE34D2">
        <w:t>epoxid</w:t>
      </w:r>
      <w:r w:rsidR="002714C6">
        <w:t xml:space="preserve">ised </w:t>
      </w:r>
      <w:r w:rsidR="00CE34D2">
        <w:t>in the environment</w:t>
      </w:r>
      <w:r w:rsidR="002714C6">
        <w:t xml:space="preserve"> to form a substance that</w:t>
      </w:r>
      <w:r w:rsidR="00CE34D2">
        <w:t xml:space="preserve"> could be neurotoxic and/or cause hepatotoxicity. Experimental data would be needed to confirm these properties. </w:t>
      </w:r>
      <w:r w:rsidR="002714C6">
        <w:t xml:space="preserve">However, as a degradation product of Dechlorane Plus, any concerns about DPMA would be alleviated by the identification of Dechlorane Plus as a substance of very high concern. </w:t>
      </w:r>
    </w:p>
    <w:p w14:paraId="7FF5FC40" w14:textId="77777777" w:rsidR="00CE34D2" w:rsidRDefault="00CE34D2" w:rsidP="00781D60">
      <w:pPr>
        <w:autoSpaceDE w:val="0"/>
        <w:autoSpaceDN w:val="0"/>
        <w:adjustRightInd w:val="0"/>
        <w:jc w:val="both"/>
      </w:pPr>
    </w:p>
    <w:p w14:paraId="1ADB2B9F" w14:textId="77777777" w:rsidR="00CE34D2" w:rsidRDefault="00CE34D2" w:rsidP="00781D60">
      <w:pPr>
        <w:autoSpaceDE w:val="0"/>
        <w:autoSpaceDN w:val="0"/>
        <w:adjustRightInd w:val="0"/>
        <w:jc w:val="both"/>
      </w:pPr>
    </w:p>
    <w:p w14:paraId="60971D08" w14:textId="77777777" w:rsidR="00CC0495" w:rsidRDefault="00CC0495" w:rsidP="00CC0495">
      <w:pPr>
        <w:autoSpaceDE w:val="0"/>
        <w:autoSpaceDN w:val="0"/>
        <w:adjustRightInd w:val="0"/>
        <w:jc w:val="both"/>
      </w:pPr>
    </w:p>
    <w:p w14:paraId="2041B2F8" w14:textId="77777777" w:rsidR="00327FE7" w:rsidRDefault="00327FE7" w:rsidP="00E42790">
      <w:pPr>
        <w:widowControl/>
        <w:autoSpaceDE w:val="0"/>
        <w:autoSpaceDN w:val="0"/>
        <w:adjustRightInd w:val="0"/>
        <w:jc w:val="both"/>
        <w:rPr>
          <w:lang w:eastAsia="en-US"/>
        </w:rPr>
      </w:pPr>
    </w:p>
    <w:p w14:paraId="137B9FA0" w14:textId="6AFEBE60" w:rsidR="00915B7A" w:rsidRDefault="00B12C39" w:rsidP="00E42790">
      <w:pPr>
        <w:widowControl/>
        <w:autoSpaceDE w:val="0"/>
        <w:autoSpaceDN w:val="0"/>
        <w:adjustRightInd w:val="0"/>
        <w:jc w:val="both"/>
        <w:rPr>
          <w:lang w:eastAsia="en-US"/>
        </w:rPr>
      </w:pPr>
      <w:r>
        <w:rPr>
          <w:lang w:eastAsia="en-US"/>
        </w:rPr>
        <w:t>In conclusion</w:t>
      </w:r>
      <w:r w:rsidR="004D5610">
        <w:rPr>
          <w:lang w:eastAsia="en-US"/>
        </w:rPr>
        <w:t>,</w:t>
      </w:r>
      <w:r>
        <w:rPr>
          <w:lang w:eastAsia="en-US"/>
        </w:rPr>
        <w:t xml:space="preserve"> </w:t>
      </w:r>
      <w:r w:rsidR="00AB1BB3">
        <w:t xml:space="preserve">despite the lack of definitive data, Dechlorane Plus </w:t>
      </w:r>
      <w:r>
        <w:rPr>
          <w:lang w:eastAsia="en-US"/>
        </w:rPr>
        <w:t xml:space="preserve">is </w:t>
      </w:r>
      <w:r w:rsidR="00B329D1">
        <w:rPr>
          <w:lang w:eastAsia="en-US"/>
        </w:rPr>
        <w:t xml:space="preserve">proposed to be </w:t>
      </w:r>
      <w:bookmarkStart w:id="773" w:name="_GoBack"/>
      <w:bookmarkEnd w:id="773"/>
      <w:r w:rsidR="00915B7A">
        <w:rPr>
          <w:lang w:eastAsia="en-US"/>
        </w:rPr>
        <w:t xml:space="preserve">identified as a vPvB </w:t>
      </w:r>
      <w:r>
        <w:rPr>
          <w:lang w:eastAsia="en-US"/>
        </w:rPr>
        <w:t>su</w:t>
      </w:r>
      <w:r w:rsidR="002768E3">
        <w:rPr>
          <w:lang w:eastAsia="en-US"/>
        </w:rPr>
        <w:t>bstance according to Art. 57</w:t>
      </w:r>
      <w:r>
        <w:rPr>
          <w:lang w:eastAsia="en-US"/>
        </w:rPr>
        <w:t>(e) of REACH</w:t>
      </w:r>
      <w:r w:rsidR="00915B7A">
        <w:rPr>
          <w:lang w:eastAsia="en-US"/>
        </w:rPr>
        <w:t xml:space="preserve"> by comparing all </w:t>
      </w:r>
      <w:r w:rsidR="00915B7A">
        <w:rPr>
          <w:rFonts w:cs="Verdana"/>
          <w:lang w:eastAsia="en-GB"/>
        </w:rPr>
        <w:t xml:space="preserve">relevant and available information listed in Annex XIII of REACH with the criteria set out in the same Annex, </w:t>
      </w:r>
      <w:r w:rsidR="008F3123">
        <w:rPr>
          <w:rFonts w:cs="Verdana"/>
          <w:lang w:eastAsia="en-GB"/>
        </w:rPr>
        <w:t xml:space="preserve">in </w:t>
      </w:r>
      <w:r w:rsidR="00915B7A">
        <w:rPr>
          <w:rFonts w:cs="Verdana"/>
          <w:lang w:eastAsia="en-GB"/>
        </w:rPr>
        <w:t>a weight-of-evidence determination</w:t>
      </w:r>
      <w:r>
        <w:rPr>
          <w:lang w:eastAsia="en-US"/>
        </w:rPr>
        <w:t>.</w:t>
      </w:r>
    </w:p>
    <w:p w14:paraId="08A77433" w14:textId="77777777" w:rsidR="00DA46BC" w:rsidRDefault="00DA46BC">
      <w:pPr>
        <w:widowControl/>
        <w:rPr>
          <w:rFonts w:cs="Arial"/>
          <w:b/>
          <w:bCs/>
          <w:color w:val="0046AD"/>
          <w:sz w:val="32"/>
          <w:szCs w:val="32"/>
        </w:rPr>
      </w:pPr>
      <w:bookmarkStart w:id="774" w:name="_Toc316637392"/>
      <w:bookmarkStart w:id="775" w:name="_Toc341888619"/>
      <w:bookmarkStart w:id="776" w:name="_Toc342400479"/>
      <w:bookmarkStart w:id="777" w:name="_Toc357184272"/>
      <w:bookmarkStart w:id="778" w:name="_Toc357184508"/>
      <w:bookmarkStart w:id="779" w:name="_Toc357185310"/>
      <w:bookmarkStart w:id="780" w:name="_Toc357186158"/>
      <w:bookmarkStart w:id="781" w:name="_Toc357186307"/>
      <w:bookmarkStart w:id="782" w:name="_Toc357437596"/>
      <w:bookmarkStart w:id="783" w:name="_Toc357590869"/>
      <w:bookmarkStart w:id="784" w:name="_Toc357692901"/>
      <w:bookmarkStart w:id="785" w:name="_Toc365649727"/>
      <w:bookmarkStart w:id="786" w:name="_Toc365649876"/>
      <w:bookmarkStart w:id="787" w:name="_Toc366489928"/>
      <w:bookmarkStart w:id="788" w:name="_Toc418498632"/>
      <w:bookmarkStart w:id="789" w:name="_Toc418506087"/>
      <w:r>
        <w:rPr>
          <w:sz w:val="32"/>
        </w:rPr>
        <w:br w:type="page"/>
      </w:r>
    </w:p>
    <w:p w14:paraId="1B218F69" w14:textId="77777777" w:rsidR="00B12C39" w:rsidRPr="00CD2F3D" w:rsidRDefault="00B12C39" w:rsidP="00CD2F3D">
      <w:pPr>
        <w:pStyle w:val="Title"/>
        <w:numPr>
          <w:ilvl w:val="0"/>
          <w:numId w:val="0"/>
        </w:numPr>
        <w:jc w:val="center"/>
        <w:rPr>
          <w:sz w:val="32"/>
        </w:rPr>
      </w:pPr>
      <w:bookmarkStart w:id="790" w:name="_Toc491862248"/>
      <w:r w:rsidRPr="00CD2F3D">
        <w:rPr>
          <w:sz w:val="32"/>
        </w:rPr>
        <w:lastRenderedPageBreak/>
        <w:t>Part II</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14:paraId="71878289" w14:textId="77777777" w:rsidR="00683CE9" w:rsidRPr="00683CE9" w:rsidRDefault="00683CE9" w:rsidP="00683CE9">
      <w:pPr>
        <w:rPr>
          <w:lang w:eastAsia="en-US"/>
        </w:rPr>
      </w:pPr>
      <w:bookmarkStart w:id="791" w:name="_Toc316637393"/>
      <w:bookmarkStart w:id="792" w:name="_Toc341888620"/>
      <w:bookmarkStart w:id="793" w:name="_Toc342400480"/>
    </w:p>
    <w:p w14:paraId="76A7C856" w14:textId="77777777" w:rsidR="0089087B" w:rsidRDefault="0089087B" w:rsidP="0089087B">
      <w:pPr>
        <w:pStyle w:val="Heading1"/>
      </w:pPr>
      <w:bookmarkStart w:id="794" w:name="_Toc422996193"/>
      <w:bookmarkStart w:id="795" w:name="_Toc491862249"/>
      <w:bookmarkEnd w:id="791"/>
      <w:bookmarkEnd w:id="792"/>
      <w:bookmarkEnd w:id="793"/>
      <w:r>
        <w:t>Registration and C&amp;L notification status</w:t>
      </w:r>
      <w:bookmarkEnd w:id="794"/>
      <w:bookmarkEnd w:id="795"/>
      <w:r>
        <w:t xml:space="preserve"> </w:t>
      </w:r>
    </w:p>
    <w:p w14:paraId="1DBD9423" w14:textId="77777777" w:rsidR="0089087B" w:rsidRDefault="00B467B2" w:rsidP="00686834">
      <w:pPr>
        <w:pStyle w:val="Heading2"/>
        <w:numPr>
          <w:ilvl w:val="1"/>
          <w:numId w:val="7"/>
        </w:numPr>
        <w:tabs>
          <w:tab w:val="clear" w:pos="360"/>
          <w:tab w:val="num" w:pos="284"/>
        </w:tabs>
      </w:pPr>
      <w:bookmarkStart w:id="796" w:name="_Toc422996194"/>
      <w:bookmarkStart w:id="797" w:name="_Toc491862250"/>
      <w:r>
        <w:t>R</w:t>
      </w:r>
      <w:r w:rsidR="0089087B">
        <w:t>egistration status</w:t>
      </w:r>
      <w:bookmarkEnd w:id="796"/>
      <w:bookmarkEnd w:id="797"/>
      <w:r w:rsidR="0089087B">
        <w:t xml:space="preserve"> </w:t>
      </w:r>
    </w:p>
    <w:p w14:paraId="0CE8D72A" w14:textId="77777777" w:rsidR="003215DB" w:rsidRPr="00F558AF" w:rsidRDefault="003215DB" w:rsidP="00F558AF">
      <w:pPr>
        <w:pStyle w:val="Caption"/>
      </w:pPr>
      <w:bookmarkStart w:id="798" w:name="_Toc491778960"/>
      <w:r w:rsidRPr="00F558AF">
        <w:t xml:space="preserve">Table </w:t>
      </w:r>
      <w:fldSimple w:instr=" SEQ Table \* ARABIC ">
        <w:r w:rsidR="00F0628F">
          <w:rPr>
            <w:noProof/>
          </w:rPr>
          <w:t>10</w:t>
        </w:r>
      </w:fldSimple>
      <w:r w:rsidR="009029EF">
        <w:t>:</w:t>
      </w:r>
      <w:r w:rsidRPr="00F558AF">
        <w:t xml:space="preserve"> </w:t>
      </w:r>
      <w:r w:rsidR="00B467B2" w:rsidRPr="00F558AF">
        <w:t>R</w:t>
      </w:r>
      <w:r w:rsidRPr="00F558AF">
        <w:t>egistration status</w:t>
      </w:r>
      <w:bookmarkEnd w:id="798"/>
    </w:p>
    <w:tbl>
      <w:tblPr>
        <w:tblW w:w="8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4825"/>
      </w:tblGrid>
      <w:tr w:rsidR="0089087B" w:rsidRPr="00336750" w14:paraId="33A2C63D" w14:textId="77777777" w:rsidTr="00550964">
        <w:trPr>
          <w:trHeight w:val="375"/>
          <w:jc w:val="center"/>
        </w:trPr>
        <w:tc>
          <w:tcPr>
            <w:tcW w:w="8270" w:type="dxa"/>
            <w:gridSpan w:val="2"/>
            <w:shd w:val="clear" w:color="auto" w:fill="auto"/>
            <w:vAlign w:val="center"/>
          </w:tcPr>
          <w:p w14:paraId="5B930E91" w14:textId="77777777" w:rsidR="0089087B" w:rsidRPr="0001332A" w:rsidRDefault="0089087B" w:rsidP="0089087B">
            <w:pPr>
              <w:pStyle w:val="Caption"/>
              <w:rPr>
                <w:b/>
                <w:sz w:val="18"/>
                <w:szCs w:val="18"/>
              </w:rPr>
            </w:pPr>
            <w:r w:rsidRPr="0001332A">
              <w:rPr>
                <w:b/>
                <w:sz w:val="18"/>
                <w:szCs w:val="18"/>
              </w:rPr>
              <w:t>From the ECHA dissemination site</w:t>
            </w:r>
            <w:r w:rsidRPr="0001332A">
              <w:rPr>
                <w:rStyle w:val="FootnoteReference"/>
                <w:rFonts w:ascii="Verdana" w:hAnsi="Verdana"/>
                <w:b/>
                <w:sz w:val="18"/>
                <w:szCs w:val="18"/>
              </w:rPr>
              <w:footnoteReference w:id="38"/>
            </w:r>
          </w:p>
        </w:tc>
      </w:tr>
      <w:tr w:rsidR="0089087B" w:rsidRPr="00336750" w14:paraId="41B3E6FE" w14:textId="77777777" w:rsidTr="006852C0">
        <w:trPr>
          <w:trHeight w:val="363"/>
          <w:jc w:val="center"/>
        </w:trPr>
        <w:tc>
          <w:tcPr>
            <w:tcW w:w="3445" w:type="dxa"/>
            <w:shd w:val="clear" w:color="auto" w:fill="auto"/>
          </w:tcPr>
          <w:p w14:paraId="069BEBC7" w14:textId="77777777" w:rsidR="0089087B" w:rsidRPr="0001332A" w:rsidRDefault="0089087B" w:rsidP="006852C0">
            <w:pPr>
              <w:pStyle w:val="Caption"/>
              <w:spacing w:after="120"/>
              <w:ind w:left="0"/>
              <w:jc w:val="center"/>
              <w:rPr>
                <w:sz w:val="18"/>
                <w:szCs w:val="18"/>
              </w:rPr>
            </w:pPr>
            <w:r w:rsidRPr="0001332A">
              <w:rPr>
                <w:sz w:val="18"/>
                <w:szCs w:val="18"/>
              </w:rPr>
              <w:t>Registrations</w:t>
            </w:r>
          </w:p>
        </w:tc>
        <w:tc>
          <w:tcPr>
            <w:tcW w:w="4825" w:type="dxa"/>
            <w:shd w:val="clear" w:color="auto" w:fill="auto"/>
          </w:tcPr>
          <w:p w14:paraId="26B0EE10" w14:textId="77777777" w:rsidR="0089087B" w:rsidRPr="0001332A" w:rsidRDefault="00DA46BC" w:rsidP="006852C0">
            <w:pPr>
              <w:pStyle w:val="Caption"/>
              <w:spacing w:after="120"/>
              <w:ind w:left="0"/>
              <w:jc w:val="center"/>
              <w:rPr>
                <w:sz w:val="18"/>
                <w:szCs w:val="18"/>
              </w:rPr>
            </w:pPr>
            <w:r w:rsidRPr="0001332A">
              <w:rPr>
                <w:rFonts w:eastAsia="MS Gothic"/>
                <w:sz w:val="18"/>
                <w:szCs w:val="18"/>
              </w:rPr>
              <w:t>2</w:t>
            </w:r>
            <w:r w:rsidRPr="0001332A">
              <w:rPr>
                <w:sz w:val="18"/>
                <w:szCs w:val="18"/>
              </w:rPr>
              <w:t xml:space="preserve"> </w:t>
            </w:r>
            <w:r w:rsidR="0089087B" w:rsidRPr="0001332A">
              <w:rPr>
                <w:sz w:val="18"/>
                <w:szCs w:val="18"/>
              </w:rPr>
              <w:t>Full registration(s)</w:t>
            </w:r>
          </w:p>
          <w:p w14:paraId="6CA99B33" w14:textId="77777777" w:rsidR="0089087B" w:rsidRPr="0001332A" w:rsidRDefault="006852C0" w:rsidP="006852C0">
            <w:pPr>
              <w:pStyle w:val="Caption"/>
              <w:spacing w:after="120"/>
              <w:ind w:left="0"/>
              <w:jc w:val="center"/>
              <w:rPr>
                <w:sz w:val="18"/>
                <w:szCs w:val="18"/>
              </w:rPr>
            </w:pPr>
            <w:r>
              <w:rPr>
                <w:sz w:val="18"/>
                <w:szCs w:val="18"/>
              </w:rPr>
              <w:t>(Art. 10)</w:t>
            </w:r>
          </w:p>
        </w:tc>
      </w:tr>
    </w:tbl>
    <w:p w14:paraId="2DB174AB" w14:textId="77777777" w:rsidR="0089087B" w:rsidRDefault="0089087B" w:rsidP="0089087B">
      <w:pPr>
        <w:pStyle w:val="BodyText"/>
        <w:rPr>
          <w:bCs/>
        </w:rPr>
      </w:pPr>
    </w:p>
    <w:p w14:paraId="0BD58829" w14:textId="77777777" w:rsidR="001340DF" w:rsidRDefault="001340DF" w:rsidP="001340DF">
      <w:pPr>
        <w:pStyle w:val="Heading2"/>
      </w:pPr>
      <w:bookmarkStart w:id="799" w:name="_Toc422996196"/>
      <w:bookmarkStart w:id="800" w:name="_Toc491862251"/>
      <w:r>
        <w:t>7.</w:t>
      </w:r>
      <w:r w:rsidR="001A3B94">
        <w:t>2</w:t>
      </w:r>
      <w:r>
        <w:t xml:space="preserve"> </w:t>
      </w:r>
      <w:r w:rsidRPr="00793703">
        <w:t xml:space="preserve">CLP </w:t>
      </w:r>
      <w:r>
        <w:t>n</w:t>
      </w:r>
      <w:r w:rsidRPr="00793703">
        <w:t xml:space="preserve">otification </w:t>
      </w:r>
      <w:r>
        <w:t>s</w:t>
      </w:r>
      <w:r w:rsidRPr="00793703">
        <w:t>tatus</w:t>
      </w:r>
      <w:bookmarkEnd w:id="799"/>
      <w:bookmarkEnd w:id="800"/>
    </w:p>
    <w:p w14:paraId="19D53DAD" w14:textId="77777777" w:rsidR="003215DB" w:rsidRPr="00F558AF" w:rsidRDefault="003215DB" w:rsidP="00F558AF">
      <w:pPr>
        <w:pStyle w:val="Caption"/>
      </w:pPr>
      <w:bookmarkStart w:id="801" w:name="_Toc491778961"/>
      <w:r w:rsidRPr="00F558AF">
        <w:t xml:space="preserve">Table </w:t>
      </w:r>
      <w:fldSimple w:instr=" SEQ Table \* ARABIC ">
        <w:r w:rsidR="00F0628F">
          <w:rPr>
            <w:noProof/>
          </w:rPr>
          <w:t>11</w:t>
        </w:r>
      </w:fldSimple>
      <w:r w:rsidRPr="00F558AF">
        <w:t>: CLP notifications</w:t>
      </w:r>
      <w:bookmarkEnd w:id="801"/>
    </w:p>
    <w:tbl>
      <w:tblPr>
        <w:tblW w:w="4904" w:type="pct"/>
        <w:tblInd w:w="107" w:type="dxa"/>
        <w:tblLayout w:type="fixed"/>
        <w:tblLook w:val="0000" w:firstRow="0" w:lastRow="0" w:firstColumn="0" w:lastColumn="0" w:noHBand="0" w:noVBand="0"/>
      </w:tblPr>
      <w:tblGrid>
        <w:gridCol w:w="6565"/>
        <w:gridCol w:w="2881"/>
      </w:tblGrid>
      <w:tr w:rsidR="001340DF" w:rsidRPr="00A53620" w14:paraId="7D336E27" w14:textId="77777777" w:rsidTr="00550964">
        <w:trPr>
          <w:cantSplit/>
          <w:trHeight w:val="98"/>
        </w:trPr>
        <w:tc>
          <w:tcPr>
            <w:tcW w:w="3475" w:type="pct"/>
            <w:tcBorders>
              <w:top w:val="single" w:sz="2" w:space="0" w:color="auto"/>
              <w:left w:val="single" w:sz="4" w:space="0" w:color="auto"/>
              <w:bottom w:val="single" w:sz="4" w:space="0" w:color="auto"/>
              <w:right w:val="single" w:sz="4" w:space="0" w:color="auto"/>
            </w:tcBorders>
          </w:tcPr>
          <w:p w14:paraId="24ABD2D7" w14:textId="77777777" w:rsidR="001340DF" w:rsidRPr="00554DC9" w:rsidRDefault="001340DF" w:rsidP="00550964">
            <w:pPr>
              <w:spacing w:before="60" w:after="60"/>
              <w:jc w:val="center"/>
              <w:rPr>
                <w:b/>
                <w:sz w:val="18"/>
                <w:szCs w:val="16"/>
              </w:rPr>
            </w:pPr>
          </w:p>
        </w:tc>
        <w:tc>
          <w:tcPr>
            <w:tcW w:w="1525" w:type="pct"/>
            <w:tcBorders>
              <w:top w:val="single" w:sz="2" w:space="0" w:color="auto"/>
              <w:left w:val="single" w:sz="4" w:space="0" w:color="auto"/>
              <w:bottom w:val="single" w:sz="4" w:space="0" w:color="auto"/>
              <w:right w:val="single" w:sz="2" w:space="0" w:color="auto"/>
            </w:tcBorders>
          </w:tcPr>
          <w:p w14:paraId="6EC45666" w14:textId="77777777" w:rsidR="001340DF" w:rsidRPr="00554DC9" w:rsidRDefault="001340DF" w:rsidP="00550964">
            <w:pPr>
              <w:spacing w:before="60" w:after="60"/>
              <w:jc w:val="center"/>
              <w:rPr>
                <w:b/>
                <w:sz w:val="18"/>
                <w:szCs w:val="16"/>
              </w:rPr>
            </w:pPr>
            <w:r w:rsidRPr="00554DC9">
              <w:rPr>
                <w:b/>
                <w:sz w:val="18"/>
                <w:szCs w:val="16"/>
              </w:rPr>
              <w:t>CLP Notifications</w:t>
            </w:r>
            <w:r w:rsidRPr="00554DC9">
              <w:rPr>
                <w:rStyle w:val="FootnoteReference"/>
                <w:rFonts w:ascii="Verdana" w:hAnsi="Verdana"/>
                <w:b/>
                <w:sz w:val="18"/>
              </w:rPr>
              <w:footnoteReference w:id="39"/>
            </w:r>
          </w:p>
        </w:tc>
      </w:tr>
      <w:tr w:rsidR="001340DF" w:rsidRPr="00A53620" w14:paraId="4C665BD5" w14:textId="77777777" w:rsidTr="00550964">
        <w:trPr>
          <w:cantSplit/>
          <w:trHeight w:val="168"/>
        </w:trPr>
        <w:tc>
          <w:tcPr>
            <w:tcW w:w="3475" w:type="pct"/>
            <w:tcBorders>
              <w:top w:val="single" w:sz="2" w:space="0" w:color="auto"/>
              <w:left w:val="single" w:sz="4" w:space="0" w:color="auto"/>
              <w:bottom w:val="single" w:sz="2" w:space="0" w:color="auto"/>
              <w:right w:val="single" w:sz="4" w:space="0" w:color="auto"/>
            </w:tcBorders>
          </w:tcPr>
          <w:p w14:paraId="3915CBF9" w14:textId="77777777" w:rsidR="001340DF" w:rsidRPr="00A22024" w:rsidRDefault="001340DF" w:rsidP="00550964">
            <w:pPr>
              <w:spacing w:before="60" w:after="60"/>
              <w:ind w:right="-108"/>
              <w:rPr>
                <w:sz w:val="18"/>
                <w:szCs w:val="16"/>
              </w:rPr>
            </w:pPr>
            <w:r w:rsidRPr="00A22024">
              <w:rPr>
                <w:sz w:val="18"/>
                <w:szCs w:val="16"/>
              </w:rPr>
              <w:t>Number of aggregated notifications</w:t>
            </w:r>
          </w:p>
        </w:tc>
        <w:tc>
          <w:tcPr>
            <w:tcW w:w="1525" w:type="pct"/>
            <w:tcBorders>
              <w:top w:val="single" w:sz="2" w:space="0" w:color="auto"/>
              <w:left w:val="single" w:sz="4" w:space="0" w:color="auto"/>
              <w:bottom w:val="single" w:sz="2" w:space="0" w:color="auto"/>
              <w:right w:val="single" w:sz="2" w:space="0" w:color="auto"/>
            </w:tcBorders>
          </w:tcPr>
          <w:p w14:paraId="143EE866" w14:textId="77777777" w:rsidR="001340DF" w:rsidRPr="00554DC9" w:rsidRDefault="000C281D" w:rsidP="00550964">
            <w:pPr>
              <w:spacing w:before="60" w:after="60"/>
              <w:jc w:val="center"/>
              <w:rPr>
                <w:sz w:val="18"/>
                <w:szCs w:val="16"/>
              </w:rPr>
            </w:pPr>
            <w:r>
              <w:rPr>
                <w:sz w:val="18"/>
                <w:szCs w:val="16"/>
              </w:rPr>
              <w:t>2</w:t>
            </w:r>
          </w:p>
        </w:tc>
      </w:tr>
      <w:tr w:rsidR="001340DF" w:rsidRPr="00A53620" w14:paraId="17844152" w14:textId="77777777" w:rsidTr="00550964">
        <w:trPr>
          <w:cantSplit/>
          <w:trHeight w:val="168"/>
        </w:trPr>
        <w:tc>
          <w:tcPr>
            <w:tcW w:w="3475" w:type="pct"/>
            <w:tcBorders>
              <w:top w:val="single" w:sz="2" w:space="0" w:color="auto"/>
              <w:left w:val="single" w:sz="4" w:space="0" w:color="auto"/>
              <w:bottom w:val="single" w:sz="2" w:space="0" w:color="auto"/>
              <w:right w:val="single" w:sz="4" w:space="0" w:color="auto"/>
            </w:tcBorders>
          </w:tcPr>
          <w:p w14:paraId="0DDDDEDC" w14:textId="77777777" w:rsidR="001340DF" w:rsidRPr="00A22024" w:rsidRDefault="001340DF" w:rsidP="00550964">
            <w:pPr>
              <w:spacing w:before="60" w:after="60"/>
              <w:ind w:right="-108"/>
              <w:rPr>
                <w:color w:val="000000"/>
                <w:sz w:val="18"/>
                <w:szCs w:val="16"/>
              </w:rPr>
            </w:pPr>
            <w:r w:rsidRPr="00A22024">
              <w:rPr>
                <w:sz w:val="18"/>
                <w:szCs w:val="16"/>
              </w:rPr>
              <w:t xml:space="preserve">Total number of notifiers </w:t>
            </w:r>
          </w:p>
        </w:tc>
        <w:tc>
          <w:tcPr>
            <w:tcW w:w="1525" w:type="pct"/>
            <w:tcBorders>
              <w:top w:val="single" w:sz="2" w:space="0" w:color="auto"/>
              <w:left w:val="single" w:sz="4" w:space="0" w:color="auto"/>
              <w:bottom w:val="single" w:sz="2" w:space="0" w:color="auto"/>
              <w:right w:val="single" w:sz="2" w:space="0" w:color="auto"/>
            </w:tcBorders>
          </w:tcPr>
          <w:p w14:paraId="13BB67A8" w14:textId="77777777" w:rsidR="001340DF" w:rsidRPr="00554DC9" w:rsidRDefault="0083153F" w:rsidP="00550964">
            <w:pPr>
              <w:spacing w:before="60" w:after="60"/>
              <w:jc w:val="center"/>
              <w:rPr>
                <w:sz w:val="18"/>
                <w:szCs w:val="16"/>
              </w:rPr>
            </w:pPr>
            <w:r>
              <w:rPr>
                <w:sz w:val="18"/>
                <w:szCs w:val="16"/>
              </w:rPr>
              <w:t>170</w:t>
            </w:r>
          </w:p>
        </w:tc>
      </w:tr>
    </w:tbl>
    <w:p w14:paraId="47CA9D7D" w14:textId="77777777" w:rsidR="00554DC9" w:rsidRDefault="00554DC9" w:rsidP="00554DC9">
      <w:pPr>
        <w:rPr>
          <w:color w:val="0046AD"/>
        </w:rPr>
      </w:pPr>
    </w:p>
    <w:p w14:paraId="43088ED0" w14:textId="77777777" w:rsidR="00683CE9" w:rsidRDefault="00683CE9" w:rsidP="00554DC9">
      <w:pPr>
        <w:rPr>
          <w:color w:val="0046AD"/>
        </w:rPr>
      </w:pPr>
    </w:p>
    <w:p w14:paraId="3A5BA990" w14:textId="77777777" w:rsidR="00577AFB" w:rsidRDefault="00577AFB" w:rsidP="00554DC9">
      <w:pPr>
        <w:rPr>
          <w:color w:val="0046AD"/>
        </w:rPr>
      </w:pPr>
    </w:p>
    <w:p w14:paraId="6984D7A5" w14:textId="77777777" w:rsidR="00CD0831" w:rsidRPr="00CD0831" w:rsidRDefault="00CD0831" w:rsidP="00CD0831">
      <w:pPr>
        <w:pStyle w:val="Heading1"/>
      </w:pPr>
      <w:bookmarkStart w:id="802" w:name="_Toc491862252"/>
      <w:bookmarkStart w:id="803" w:name="_Toc422996197"/>
      <w:r>
        <w:t>Total tonnage of the substance</w:t>
      </w:r>
      <w:bookmarkEnd w:id="802"/>
      <w:r>
        <w:t xml:space="preserve"> </w:t>
      </w:r>
    </w:p>
    <w:p w14:paraId="2851C915" w14:textId="02A38D91" w:rsidR="00B71EAA" w:rsidRPr="00F558AF" w:rsidRDefault="00B71EAA" w:rsidP="00F558AF">
      <w:pPr>
        <w:pStyle w:val="Caption"/>
      </w:pPr>
      <w:bookmarkStart w:id="804" w:name="_Toc491778962"/>
      <w:r w:rsidRPr="00F558AF">
        <w:t xml:space="preserve">Table </w:t>
      </w:r>
      <w:fldSimple w:instr=" SEQ Table \* ARABIC ">
        <w:r w:rsidR="00F0628F">
          <w:rPr>
            <w:noProof/>
          </w:rPr>
          <w:t>12</w:t>
        </w:r>
      </w:fldSimple>
      <w:r w:rsidRPr="00F558AF">
        <w:t xml:space="preserve">: </w:t>
      </w:r>
      <w:r w:rsidR="00C929E3">
        <w:t>EU and global t</w:t>
      </w:r>
      <w:r w:rsidRPr="00F558AF">
        <w:t>onnage status</w:t>
      </w:r>
      <w:bookmarkEnd w:id="804"/>
    </w:p>
    <w:p w14:paraId="649BF2EF" w14:textId="77777777" w:rsidR="00577AFB" w:rsidRDefault="00577AFB" w:rsidP="00577AFB">
      <w:pPr>
        <w:rPr>
          <w:lang w:eastAsia="en-US"/>
        </w:rPr>
      </w:pPr>
    </w:p>
    <w:tbl>
      <w:tblPr>
        <w:tblStyle w:val="TableGrid"/>
        <w:tblW w:w="0" w:type="auto"/>
        <w:tblInd w:w="534" w:type="dxa"/>
        <w:tblLook w:val="04A0" w:firstRow="1" w:lastRow="0" w:firstColumn="1" w:lastColumn="0" w:noHBand="0" w:noVBand="1"/>
      </w:tblPr>
      <w:tblGrid>
        <w:gridCol w:w="4393"/>
        <w:gridCol w:w="4112"/>
      </w:tblGrid>
      <w:tr w:rsidR="00577AFB" w14:paraId="692B1010" w14:textId="77777777" w:rsidTr="00577AFB">
        <w:tc>
          <w:tcPr>
            <w:tcW w:w="4393" w:type="dxa"/>
            <w:vAlign w:val="center"/>
          </w:tcPr>
          <w:p w14:paraId="4DC39F87" w14:textId="77777777" w:rsidR="00577AFB" w:rsidRPr="0001332A" w:rsidRDefault="00577AFB" w:rsidP="006852C0">
            <w:pPr>
              <w:spacing w:before="120" w:after="120"/>
              <w:rPr>
                <w:sz w:val="18"/>
                <w:szCs w:val="18"/>
                <w:lang w:eastAsia="en-US"/>
              </w:rPr>
            </w:pPr>
            <w:r w:rsidRPr="0001332A">
              <w:rPr>
                <w:sz w:val="18"/>
                <w:szCs w:val="18"/>
              </w:rPr>
              <w:t xml:space="preserve">Total tonnage band for the </w:t>
            </w:r>
            <w:r w:rsidR="00C929E3">
              <w:rPr>
                <w:sz w:val="18"/>
                <w:szCs w:val="18"/>
              </w:rPr>
              <w:t xml:space="preserve">REACH </w:t>
            </w:r>
            <w:r w:rsidR="00815240" w:rsidRPr="0001332A">
              <w:rPr>
                <w:sz w:val="18"/>
                <w:szCs w:val="18"/>
              </w:rPr>
              <w:t xml:space="preserve">registered </w:t>
            </w:r>
            <w:r w:rsidRPr="0001332A">
              <w:rPr>
                <w:sz w:val="18"/>
                <w:szCs w:val="18"/>
              </w:rPr>
              <w:t>substance (excluding the volume registered under Art 17 or Art 18)</w:t>
            </w:r>
            <w:r w:rsidRPr="0001332A">
              <w:rPr>
                <w:rStyle w:val="FootnoteReference"/>
                <w:rFonts w:ascii="Verdana" w:hAnsi="Verdana"/>
                <w:sz w:val="18"/>
                <w:szCs w:val="18"/>
              </w:rPr>
              <w:footnoteReference w:id="40"/>
            </w:r>
          </w:p>
        </w:tc>
        <w:tc>
          <w:tcPr>
            <w:tcW w:w="4112" w:type="dxa"/>
            <w:vAlign w:val="center"/>
          </w:tcPr>
          <w:p w14:paraId="64CBDCAD" w14:textId="77777777" w:rsidR="00577AFB" w:rsidRPr="0001332A" w:rsidRDefault="00577AFB" w:rsidP="006852C0">
            <w:pPr>
              <w:pStyle w:val="Caption"/>
              <w:spacing w:after="120"/>
              <w:rPr>
                <w:sz w:val="18"/>
                <w:szCs w:val="18"/>
              </w:rPr>
            </w:pPr>
          </w:p>
          <w:p w14:paraId="7BDDC27E" w14:textId="77777777" w:rsidR="00577AFB" w:rsidRPr="0001332A" w:rsidRDefault="00B16C8B" w:rsidP="006852C0">
            <w:pPr>
              <w:pStyle w:val="BodyText"/>
              <w:spacing w:before="120" w:after="120"/>
              <w:jc w:val="center"/>
              <w:rPr>
                <w:sz w:val="18"/>
                <w:szCs w:val="18"/>
              </w:rPr>
            </w:pPr>
            <w:r w:rsidRPr="0001332A">
              <w:rPr>
                <w:sz w:val="18"/>
                <w:szCs w:val="18"/>
              </w:rPr>
              <w:t>100-1</w:t>
            </w:r>
            <w:r w:rsidR="0001332A" w:rsidRPr="0001332A">
              <w:rPr>
                <w:sz w:val="18"/>
                <w:szCs w:val="18"/>
              </w:rPr>
              <w:t xml:space="preserve"> </w:t>
            </w:r>
            <w:r w:rsidRPr="0001332A">
              <w:rPr>
                <w:sz w:val="18"/>
                <w:szCs w:val="18"/>
              </w:rPr>
              <w:t>000</w:t>
            </w:r>
            <w:r w:rsidR="0001332A" w:rsidRPr="0001332A">
              <w:rPr>
                <w:sz w:val="18"/>
                <w:szCs w:val="18"/>
              </w:rPr>
              <w:t xml:space="preserve"> tonnes/year</w:t>
            </w:r>
          </w:p>
          <w:p w14:paraId="057B6053" w14:textId="77777777" w:rsidR="00577AFB" w:rsidRPr="0001332A" w:rsidRDefault="00577AFB" w:rsidP="006852C0">
            <w:pPr>
              <w:spacing w:before="120" w:after="120"/>
              <w:rPr>
                <w:sz w:val="18"/>
                <w:szCs w:val="18"/>
                <w:lang w:eastAsia="en-US"/>
              </w:rPr>
            </w:pPr>
          </w:p>
        </w:tc>
      </w:tr>
      <w:tr w:rsidR="00577AFB" w14:paraId="1B95EF87" w14:textId="77777777" w:rsidTr="00577AFB">
        <w:tc>
          <w:tcPr>
            <w:tcW w:w="4393" w:type="dxa"/>
            <w:vAlign w:val="center"/>
          </w:tcPr>
          <w:p w14:paraId="341433B1" w14:textId="77777777" w:rsidR="00577AFB" w:rsidRPr="0001332A" w:rsidRDefault="00577AFB" w:rsidP="006852C0">
            <w:pPr>
              <w:spacing w:before="120" w:after="120"/>
              <w:rPr>
                <w:sz w:val="18"/>
                <w:szCs w:val="18"/>
                <w:lang w:eastAsia="en-US"/>
              </w:rPr>
            </w:pPr>
            <w:r w:rsidRPr="0001332A">
              <w:rPr>
                <w:sz w:val="18"/>
                <w:szCs w:val="18"/>
              </w:rPr>
              <w:t>Tonnage information from public sources other than registration dossiers</w:t>
            </w:r>
            <w:r w:rsidR="00734FD9" w:rsidRPr="0001332A">
              <w:rPr>
                <w:sz w:val="18"/>
                <w:szCs w:val="18"/>
              </w:rPr>
              <w:t>, global volume</w:t>
            </w:r>
            <w:r w:rsidRPr="0001332A">
              <w:rPr>
                <w:rStyle w:val="FootnoteReference"/>
                <w:rFonts w:ascii="Verdana" w:hAnsi="Verdana"/>
                <w:sz w:val="18"/>
                <w:szCs w:val="18"/>
              </w:rPr>
              <w:footnoteReference w:id="41"/>
            </w:r>
          </w:p>
        </w:tc>
        <w:tc>
          <w:tcPr>
            <w:tcW w:w="4112" w:type="dxa"/>
            <w:vAlign w:val="center"/>
          </w:tcPr>
          <w:p w14:paraId="060FED23" w14:textId="77777777" w:rsidR="00577AFB" w:rsidRPr="0001332A" w:rsidRDefault="00577AFB" w:rsidP="006852C0">
            <w:pPr>
              <w:pStyle w:val="Caption"/>
              <w:spacing w:after="120"/>
              <w:rPr>
                <w:sz w:val="18"/>
                <w:szCs w:val="18"/>
              </w:rPr>
            </w:pPr>
          </w:p>
          <w:p w14:paraId="2C091768" w14:textId="77777777" w:rsidR="00577AFB" w:rsidRPr="0001332A" w:rsidRDefault="00146738" w:rsidP="006852C0">
            <w:pPr>
              <w:pStyle w:val="BodyText"/>
              <w:spacing w:before="120" w:after="120"/>
              <w:jc w:val="center"/>
              <w:rPr>
                <w:sz w:val="18"/>
                <w:szCs w:val="18"/>
              </w:rPr>
            </w:pPr>
            <w:r w:rsidRPr="0001332A">
              <w:rPr>
                <w:sz w:val="18"/>
                <w:szCs w:val="18"/>
              </w:rPr>
              <w:t>5</w:t>
            </w:r>
            <w:r w:rsidR="0001332A" w:rsidRPr="0001332A">
              <w:rPr>
                <w:sz w:val="18"/>
                <w:szCs w:val="18"/>
              </w:rPr>
              <w:t xml:space="preserve"> </w:t>
            </w:r>
            <w:r w:rsidRPr="0001332A">
              <w:rPr>
                <w:sz w:val="18"/>
                <w:szCs w:val="18"/>
              </w:rPr>
              <w:t>000</w:t>
            </w:r>
            <w:r w:rsidR="00577AFB" w:rsidRPr="0001332A">
              <w:rPr>
                <w:sz w:val="18"/>
                <w:szCs w:val="18"/>
              </w:rPr>
              <w:t xml:space="preserve"> </w:t>
            </w:r>
            <w:r w:rsidR="0001332A" w:rsidRPr="0001332A">
              <w:rPr>
                <w:sz w:val="18"/>
                <w:szCs w:val="18"/>
              </w:rPr>
              <w:t>tonnes/year</w:t>
            </w:r>
          </w:p>
          <w:p w14:paraId="73D3B364" w14:textId="77777777" w:rsidR="00577AFB" w:rsidRPr="0001332A" w:rsidRDefault="00577AFB" w:rsidP="006852C0">
            <w:pPr>
              <w:spacing w:before="120" w:after="120"/>
              <w:rPr>
                <w:sz w:val="18"/>
                <w:szCs w:val="18"/>
                <w:lang w:eastAsia="en-US"/>
              </w:rPr>
            </w:pPr>
          </w:p>
        </w:tc>
      </w:tr>
    </w:tbl>
    <w:p w14:paraId="6212CC9B" w14:textId="77777777" w:rsidR="000C22AB" w:rsidRDefault="000C22AB" w:rsidP="000C22AB">
      <w:pPr>
        <w:pStyle w:val="Heading1"/>
        <w:numPr>
          <w:ilvl w:val="0"/>
          <w:numId w:val="0"/>
        </w:numPr>
        <w:rPr>
          <w:b w:val="0"/>
          <w:color w:val="auto"/>
          <w:sz w:val="20"/>
          <w:szCs w:val="20"/>
          <w:lang w:eastAsia="en-US"/>
        </w:rPr>
      </w:pPr>
    </w:p>
    <w:p w14:paraId="064049DA" w14:textId="77777777" w:rsidR="000C22AB" w:rsidRPr="000C22AB" w:rsidRDefault="000C22AB" w:rsidP="000C22AB">
      <w:pPr>
        <w:pStyle w:val="BodyText"/>
        <w:rPr>
          <w:lang w:eastAsia="en-US"/>
        </w:rPr>
      </w:pPr>
    </w:p>
    <w:p w14:paraId="6B5DE71E" w14:textId="77777777" w:rsidR="000C22AB" w:rsidRDefault="000C22AB">
      <w:pPr>
        <w:widowControl/>
        <w:rPr>
          <w:b/>
          <w:color w:val="0046AD"/>
          <w:sz w:val="28"/>
          <w:szCs w:val="24"/>
        </w:rPr>
      </w:pPr>
      <w:r>
        <w:br w:type="page"/>
      </w:r>
    </w:p>
    <w:p w14:paraId="0C784936" w14:textId="77777777" w:rsidR="00554DC9" w:rsidRPr="0077059D" w:rsidRDefault="00554DC9" w:rsidP="00554DC9">
      <w:pPr>
        <w:pStyle w:val="Heading1"/>
      </w:pPr>
      <w:bookmarkStart w:id="805" w:name="_Toc491862253"/>
      <w:r w:rsidRPr="0077059D">
        <w:lastRenderedPageBreak/>
        <w:t>Information on uses of the substance</w:t>
      </w:r>
      <w:bookmarkEnd w:id="803"/>
      <w:bookmarkEnd w:id="805"/>
    </w:p>
    <w:p w14:paraId="7D9D51E3" w14:textId="77777777" w:rsidR="006852C0" w:rsidRDefault="00610A2C" w:rsidP="006852C0">
      <w:pPr>
        <w:pStyle w:val="BodyText"/>
        <w:jc w:val="both"/>
      </w:pPr>
      <w:r w:rsidRPr="00842B6B">
        <w:rPr>
          <w:lang w:eastAsia="en-GB"/>
        </w:rPr>
        <w:t>Dechlorane Plus is an additive chlorinated flame retardant</w:t>
      </w:r>
      <w:r w:rsidR="00842B6B">
        <w:rPr>
          <w:lang w:eastAsia="en-GB"/>
        </w:rPr>
        <w:t xml:space="preserve">, </w:t>
      </w:r>
      <w:r w:rsidRPr="00842B6B">
        <w:rPr>
          <w:lang w:eastAsia="en-GB"/>
        </w:rPr>
        <w:t>introduced in the 1960s as a substitute for Dechlorane (Mirex)</w:t>
      </w:r>
      <w:r w:rsidR="00842B6B" w:rsidRPr="00842B6B">
        <w:t xml:space="preserve"> </w:t>
      </w:r>
      <w:r w:rsidR="00842B6B" w:rsidRPr="000A6FDD">
        <w:t>(CECBP, 2008)</w:t>
      </w:r>
      <w:r w:rsidRPr="00842B6B">
        <w:rPr>
          <w:lang w:eastAsia="en-GB"/>
        </w:rPr>
        <w:t>.</w:t>
      </w:r>
      <w:r w:rsidR="006852C0" w:rsidRPr="006852C0">
        <w:t xml:space="preserve"> </w:t>
      </w:r>
      <w:r w:rsidR="006852C0">
        <w:t>I</w:t>
      </w:r>
      <w:r w:rsidR="006852C0" w:rsidRPr="00213B20">
        <w:t xml:space="preserve">ts market is </w:t>
      </w:r>
      <w:r w:rsidR="006852C0">
        <w:t xml:space="preserve">therefore </w:t>
      </w:r>
      <w:r w:rsidR="006852C0" w:rsidRPr="00213B20">
        <w:t>presumably mature.</w:t>
      </w:r>
      <w:r w:rsidR="006852C0">
        <w:t xml:space="preserve"> </w:t>
      </w:r>
    </w:p>
    <w:p w14:paraId="175B774A" w14:textId="77777777" w:rsidR="006852C0" w:rsidRPr="00213B20" w:rsidRDefault="006852C0" w:rsidP="006852C0">
      <w:pPr>
        <w:pStyle w:val="Default"/>
        <w:jc w:val="both"/>
        <w:rPr>
          <w:rFonts w:ascii="Verdana" w:hAnsi="Verdana"/>
          <w:sz w:val="20"/>
          <w:szCs w:val="20"/>
        </w:rPr>
      </w:pPr>
      <w:r w:rsidRPr="00213B20">
        <w:rPr>
          <w:rFonts w:ascii="Verdana" w:hAnsi="Verdana"/>
          <w:sz w:val="20"/>
          <w:szCs w:val="20"/>
        </w:rPr>
        <w:t xml:space="preserve">According to the website of one of the </w:t>
      </w:r>
      <w:r w:rsidR="000C22AB">
        <w:rPr>
          <w:rFonts w:ascii="Verdana" w:hAnsi="Verdana"/>
          <w:sz w:val="20"/>
          <w:szCs w:val="20"/>
        </w:rPr>
        <w:t>few known</w:t>
      </w:r>
      <w:r w:rsidRPr="00213B20">
        <w:rPr>
          <w:rFonts w:ascii="Verdana" w:hAnsi="Verdana"/>
          <w:sz w:val="20"/>
          <w:szCs w:val="20"/>
        </w:rPr>
        <w:t xml:space="preserve"> global producers (Oxychem Corp, USA)</w:t>
      </w:r>
      <w:r w:rsidRPr="00213B20">
        <w:rPr>
          <w:rFonts w:ascii="Verdana" w:hAnsi="Verdana"/>
          <w:sz w:val="20"/>
          <w:szCs w:val="20"/>
          <w:vertAlign w:val="superscript"/>
        </w:rPr>
        <w:footnoteReference w:id="42"/>
      </w:r>
      <w:r w:rsidRPr="00213B20">
        <w:rPr>
          <w:rFonts w:ascii="Verdana" w:hAnsi="Verdana"/>
          <w:sz w:val="20"/>
          <w:szCs w:val="20"/>
        </w:rPr>
        <w:t>, Dechlorane Plus is used as a non-plasticizing flame retardant in a wide variety of polymeric systems, with applications in moulded or extruded electrical/electronic applications and ‘wire and cable’, including nuclear power plant control cable. A submission to the U.S.</w:t>
      </w:r>
      <w:r>
        <w:rPr>
          <w:rFonts w:ascii="Verdana" w:hAnsi="Verdana"/>
          <w:sz w:val="20"/>
          <w:szCs w:val="20"/>
        </w:rPr>
        <w:t xml:space="preserve"> </w:t>
      </w:r>
      <w:r w:rsidRPr="00213B20">
        <w:rPr>
          <w:rFonts w:ascii="Verdana" w:hAnsi="Verdana"/>
          <w:sz w:val="20"/>
          <w:szCs w:val="20"/>
        </w:rPr>
        <w:t>EPA in 2004</w:t>
      </w:r>
      <w:r w:rsidRPr="00213B20">
        <w:rPr>
          <w:rStyle w:val="FootnoteReference"/>
          <w:rFonts w:ascii="Verdana" w:hAnsi="Verdana"/>
          <w:sz w:val="20"/>
          <w:szCs w:val="20"/>
        </w:rPr>
        <w:footnoteReference w:id="43"/>
      </w:r>
      <w:r w:rsidRPr="00213B20">
        <w:rPr>
          <w:rFonts w:ascii="Verdana" w:hAnsi="Verdana"/>
          <w:sz w:val="20"/>
          <w:szCs w:val="20"/>
        </w:rPr>
        <w:t xml:space="preserve"> mentioned uses of the polymers in coatings for commercial electrical wires and cables, in connectors used in computers, and in plastic roofing material used for commercial buildings. Claimed benefits include maintaining electrical and physical properties, excellent UV stability, an increase in heat distortion temperature, and no blooming. It is claimed to be a more efficient flame retardant than brominated additives in some polymers. It also produces less smoke in polyolefin compositions than decabromodiphenyl ether. </w:t>
      </w:r>
    </w:p>
    <w:p w14:paraId="2AFC153F" w14:textId="77777777" w:rsidR="00842B6B" w:rsidRDefault="00842B6B" w:rsidP="00842B6B">
      <w:pPr>
        <w:autoSpaceDE w:val="0"/>
        <w:autoSpaceDN w:val="0"/>
        <w:adjustRightInd w:val="0"/>
        <w:jc w:val="both"/>
        <w:rPr>
          <w:lang w:eastAsia="en-GB"/>
        </w:rPr>
      </w:pPr>
    </w:p>
    <w:p w14:paraId="23C7D0AE" w14:textId="77777777" w:rsidR="00734FD9" w:rsidRDefault="006852C0" w:rsidP="006852C0">
      <w:pPr>
        <w:pStyle w:val="BodyText"/>
        <w:jc w:val="both"/>
      </w:pPr>
      <w:r w:rsidRPr="00213B20">
        <w:t>Dechlorane Plus is not manufactured in the EU by Registrants to date</w:t>
      </w:r>
      <w:r w:rsidRPr="006852C0">
        <w:rPr>
          <w:rStyle w:val="FootnoteReference"/>
          <w:rFonts w:ascii="Verdana" w:hAnsi="Verdana"/>
          <w:sz w:val="20"/>
        </w:rPr>
        <w:footnoteReference w:id="44"/>
      </w:r>
      <w:r w:rsidRPr="00213B20">
        <w:t>.</w:t>
      </w:r>
      <w:r>
        <w:t xml:space="preserve"> </w:t>
      </w:r>
      <w:r w:rsidRPr="00213B20">
        <w:t>It is noted that at the time of writing, only manufacturers and importers of quantities in excess of 100 tonnes per year are obliged to have registered.</w:t>
      </w:r>
      <w:r>
        <w:t xml:space="preserve"> </w:t>
      </w:r>
      <w:r w:rsidR="00734FD9" w:rsidRPr="00BA0ECA">
        <w:t xml:space="preserve">Non-confidential uses are </w:t>
      </w:r>
      <w:r w:rsidR="00CE6ECE">
        <w:t>listed below</w:t>
      </w:r>
      <w:r w:rsidR="00734FD9" w:rsidRPr="00BA0ECA">
        <w:t xml:space="preserve"> (taken from the </w:t>
      </w:r>
      <w:r w:rsidR="004D5F5E">
        <w:t xml:space="preserve">ECHA public </w:t>
      </w:r>
      <w:r w:rsidR="00734FD9" w:rsidRPr="00BA0ECA">
        <w:t>disseminat</w:t>
      </w:r>
      <w:r w:rsidR="004D5F5E">
        <w:t>ion site</w:t>
      </w:r>
      <w:r w:rsidR="00734FD9" w:rsidRPr="00BA0ECA">
        <w:t xml:space="preserve">, unless otherwise stated), and confidential </w:t>
      </w:r>
      <w:r w:rsidR="00CE6ECE">
        <w:t>information is provided</w:t>
      </w:r>
      <w:r w:rsidR="00734FD9" w:rsidRPr="00BA0ECA">
        <w:t xml:space="preserve"> in the confidential annex. </w:t>
      </w:r>
      <w:r w:rsidR="00842B6B">
        <w:t>A broad range of uses and applications are indicated, but it is not clear how many are currently relevant.</w:t>
      </w:r>
      <w:r w:rsidR="00842B6B" w:rsidRPr="00842B6B">
        <w:t xml:space="preserve"> </w:t>
      </w:r>
      <w:r w:rsidR="00842B6B" w:rsidRPr="00BA0ECA">
        <w:t xml:space="preserve">Descriptor codes defined by the </w:t>
      </w:r>
      <w:r w:rsidR="00842B6B">
        <w:t>Registrant</w:t>
      </w:r>
      <w:r w:rsidR="00842B6B" w:rsidRPr="00BA0ECA">
        <w:t xml:space="preserve"> (taken from the </w:t>
      </w:r>
      <w:r w:rsidR="00CE6ECE">
        <w:t xml:space="preserve">ECHA public </w:t>
      </w:r>
      <w:r w:rsidR="00CE6ECE" w:rsidRPr="00BA0ECA">
        <w:t>disseminat</w:t>
      </w:r>
      <w:r w:rsidR="00CE6ECE">
        <w:t>ion site</w:t>
      </w:r>
      <w:r w:rsidR="00842B6B" w:rsidRPr="00BA0ECA">
        <w:t xml:space="preserve">) are presented in </w:t>
      </w:r>
      <w:r w:rsidR="00842B6B">
        <w:fldChar w:fldCharType="begin"/>
      </w:r>
      <w:r w:rsidR="00842B6B">
        <w:instrText xml:space="preserve"> REF _Ref427767466 \h </w:instrText>
      </w:r>
      <w:r w:rsidR="00842B6B">
        <w:fldChar w:fldCharType="separate"/>
      </w:r>
      <w:r w:rsidR="00F0628F" w:rsidRPr="00F558AF">
        <w:t xml:space="preserve">Table </w:t>
      </w:r>
      <w:r w:rsidR="00F0628F">
        <w:rPr>
          <w:noProof/>
        </w:rPr>
        <w:t>15</w:t>
      </w:r>
      <w:r w:rsidR="00842B6B">
        <w:fldChar w:fldCharType="end"/>
      </w:r>
      <w:r w:rsidR="00842B6B" w:rsidRPr="00BA0ECA">
        <w:t>.</w:t>
      </w:r>
    </w:p>
    <w:p w14:paraId="439D5EEE" w14:textId="77777777" w:rsidR="00734FD9" w:rsidRPr="00CE6ECE" w:rsidRDefault="00734FD9" w:rsidP="00734FD9">
      <w:pPr>
        <w:pStyle w:val="BodyText"/>
        <w:rPr>
          <w:i/>
        </w:rPr>
      </w:pPr>
      <w:r w:rsidRPr="00CE6ECE">
        <w:rPr>
          <w:i/>
        </w:rPr>
        <w:t>Use in an industrial setting (use of substance as such):</w:t>
      </w:r>
    </w:p>
    <w:p w14:paraId="074FA163" w14:textId="77777777" w:rsidR="00734FD9" w:rsidRDefault="00734FD9" w:rsidP="00686834">
      <w:pPr>
        <w:pStyle w:val="BodyText"/>
        <w:widowControl/>
        <w:numPr>
          <w:ilvl w:val="0"/>
          <w:numId w:val="12"/>
        </w:numPr>
        <w:spacing w:after="0"/>
        <w:jc w:val="both"/>
      </w:pPr>
      <w:r w:rsidRPr="00BA0ECA">
        <w:t>Formulation (types of formulated products identified as adhesives, sealants; explosives; metal surface treatment products; polymer preparations and compounds).</w:t>
      </w:r>
    </w:p>
    <w:p w14:paraId="14EF0D0A" w14:textId="77777777" w:rsidR="00734FD9" w:rsidRDefault="00734FD9" w:rsidP="00686834">
      <w:pPr>
        <w:pStyle w:val="BodyText"/>
        <w:widowControl/>
        <w:numPr>
          <w:ilvl w:val="0"/>
          <w:numId w:val="12"/>
        </w:numPr>
        <w:spacing w:after="0"/>
        <w:jc w:val="both"/>
      </w:pPr>
      <w:r w:rsidRPr="00BA0ECA">
        <w:t xml:space="preserve">Formulation [mixing] of preparations and/or re-packaging (excluding alloys). </w:t>
      </w:r>
    </w:p>
    <w:p w14:paraId="31D3E358" w14:textId="77777777" w:rsidR="00734FD9" w:rsidRDefault="00734FD9" w:rsidP="00686834">
      <w:pPr>
        <w:pStyle w:val="BodyText"/>
        <w:widowControl/>
        <w:numPr>
          <w:ilvl w:val="0"/>
          <w:numId w:val="12"/>
        </w:numPr>
        <w:spacing w:after="0"/>
        <w:jc w:val="both"/>
      </w:pPr>
      <w:r w:rsidRPr="00BA0ECA">
        <w:t xml:space="preserve">Manufacture of plastics products, including compounding and conversion. </w:t>
      </w:r>
    </w:p>
    <w:p w14:paraId="28C56EFA" w14:textId="77777777" w:rsidR="00734FD9" w:rsidRDefault="00734FD9" w:rsidP="00686834">
      <w:pPr>
        <w:pStyle w:val="BodyText"/>
        <w:widowControl/>
        <w:numPr>
          <w:ilvl w:val="0"/>
          <w:numId w:val="12"/>
        </w:numPr>
        <w:spacing w:after="0"/>
        <w:jc w:val="both"/>
      </w:pPr>
      <w:r w:rsidRPr="00BA0ECA">
        <w:t xml:space="preserve">Manufacture of other non-metallic mineral products, e.g. plasters, cement. </w:t>
      </w:r>
    </w:p>
    <w:p w14:paraId="393F35A7" w14:textId="77777777" w:rsidR="00734FD9" w:rsidRDefault="00734FD9" w:rsidP="00686834">
      <w:pPr>
        <w:pStyle w:val="BodyText"/>
        <w:widowControl/>
        <w:numPr>
          <w:ilvl w:val="0"/>
          <w:numId w:val="12"/>
        </w:numPr>
        <w:spacing w:after="0"/>
        <w:jc w:val="both"/>
      </w:pPr>
      <w:r w:rsidRPr="00BA0ECA">
        <w:t xml:space="preserve">Manufacture of computer, electronic and optical products, electrical equipment. </w:t>
      </w:r>
    </w:p>
    <w:p w14:paraId="48FA106C" w14:textId="77777777" w:rsidR="00734FD9" w:rsidRDefault="00734FD9" w:rsidP="00686834">
      <w:pPr>
        <w:pStyle w:val="BodyText"/>
        <w:widowControl/>
        <w:numPr>
          <w:ilvl w:val="0"/>
          <w:numId w:val="12"/>
        </w:numPr>
        <w:spacing w:after="0"/>
        <w:jc w:val="both"/>
      </w:pPr>
      <w:r w:rsidRPr="00BA0ECA">
        <w:t xml:space="preserve">General manufacturing, e.g. machinery, equipment, vehicles, other transport equipment. </w:t>
      </w:r>
    </w:p>
    <w:p w14:paraId="3C54E763" w14:textId="77777777" w:rsidR="00734FD9" w:rsidRDefault="00734FD9" w:rsidP="00686834">
      <w:pPr>
        <w:pStyle w:val="BodyText"/>
        <w:widowControl/>
        <w:numPr>
          <w:ilvl w:val="0"/>
          <w:numId w:val="12"/>
        </w:numPr>
        <w:spacing w:after="0"/>
        <w:jc w:val="both"/>
      </w:pPr>
      <w:r w:rsidRPr="00BA0ECA">
        <w:t xml:space="preserve">Manufacture of food products. </w:t>
      </w:r>
    </w:p>
    <w:p w14:paraId="203D86E0" w14:textId="77777777" w:rsidR="00734FD9" w:rsidRDefault="00734FD9" w:rsidP="00686834">
      <w:pPr>
        <w:pStyle w:val="BodyText"/>
        <w:widowControl/>
        <w:numPr>
          <w:ilvl w:val="0"/>
          <w:numId w:val="12"/>
        </w:numPr>
        <w:spacing w:after="0"/>
        <w:jc w:val="both"/>
      </w:pPr>
      <w:r w:rsidRPr="00BA0ECA">
        <w:t>Manufacture of fine chemicals.</w:t>
      </w:r>
    </w:p>
    <w:p w14:paraId="736C04E8" w14:textId="77777777" w:rsidR="00CE6ECE" w:rsidRDefault="00CE6ECE" w:rsidP="00CE6ECE">
      <w:pPr>
        <w:pStyle w:val="BodyText"/>
        <w:spacing w:after="0"/>
        <w:jc w:val="both"/>
      </w:pPr>
    </w:p>
    <w:p w14:paraId="120527B4" w14:textId="77777777" w:rsidR="00734FD9" w:rsidRPr="00CA6B85" w:rsidRDefault="00734FD9" w:rsidP="00CE6ECE">
      <w:pPr>
        <w:pStyle w:val="BodyText"/>
        <w:jc w:val="both"/>
      </w:pPr>
      <w:r w:rsidRPr="00CA6B85">
        <w:t>The SPIN database confirms the use of Dechlorane Plus in adhesives and binding agents in the air transport sector over the past eight years, but does not present the volumes in use in this sector</w:t>
      </w:r>
      <w:r w:rsidR="002F1DA3" w:rsidRPr="00CA6B85">
        <w:rPr>
          <w:rStyle w:val="FootnoteReference"/>
          <w:rFonts w:ascii="Verdana" w:hAnsi="Verdana"/>
          <w:sz w:val="20"/>
        </w:rPr>
        <w:footnoteReference w:id="45"/>
      </w:r>
      <w:r w:rsidRPr="00CA6B85">
        <w:t>.</w:t>
      </w:r>
    </w:p>
    <w:p w14:paraId="6AD0DBC3" w14:textId="77777777" w:rsidR="00777E56" w:rsidRDefault="00777E56" w:rsidP="00777E56">
      <w:pPr>
        <w:jc w:val="both"/>
        <w:rPr>
          <w:lang w:eastAsia="en-US"/>
        </w:rPr>
      </w:pPr>
      <w:r>
        <w:t xml:space="preserve">Dechlorane Plus is listed in the SPIN database. The annual use of Dechlorane Plus in Sweden from 1999 to 2006 was reported by Kaj </w:t>
      </w:r>
      <w:r>
        <w:rPr>
          <w:i/>
        </w:rPr>
        <w:t>et al</w:t>
      </w:r>
      <w:r>
        <w:t xml:space="preserve"> (2010</w:t>
      </w:r>
      <w:r w:rsidR="00CA6B85">
        <w:t>) and is listed below in Table 1</w:t>
      </w:r>
      <w:r w:rsidR="00A86884">
        <w:t>3</w:t>
      </w:r>
      <w:r>
        <w:t xml:space="preserve">. No use was reported for Finland, Norway and Denmark during this time. It was reported that in 2008 there was one preparation registered as raw material for production of plastic material, but there was no sale (KEMI, 2010 cited in Kaj </w:t>
      </w:r>
      <w:r>
        <w:rPr>
          <w:i/>
        </w:rPr>
        <w:t>et al</w:t>
      </w:r>
      <w:r>
        <w:t xml:space="preserve">., 2010). There do not appear to be any more recent notifications. </w:t>
      </w:r>
    </w:p>
    <w:p w14:paraId="698BAA98" w14:textId="77777777" w:rsidR="00777E56" w:rsidRDefault="00777E56" w:rsidP="00777E56">
      <w:pPr>
        <w:jc w:val="both"/>
        <w:rPr>
          <w:b/>
        </w:rPr>
      </w:pPr>
    </w:p>
    <w:p w14:paraId="2E1C72A5" w14:textId="77777777" w:rsidR="002F1DA3" w:rsidRDefault="002F1DA3" w:rsidP="00777E56">
      <w:pPr>
        <w:jc w:val="both"/>
        <w:rPr>
          <w:b/>
        </w:rPr>
      </w:pPr>
    </w:p>
    <w:p w14:paraId="1466ED39" w14:textId="77777777" w:rsidR="00777E56" w:rsidRPr="002F1DA3" w:rsidRDefault="00777E56" w:rsidP="00CA6B85">
      <w:pPr>
        <w:pStyle w:val="Caption"/>
      </w:pPr>
      <w:bookmarkStart w:id="806" w:name="_Toc491778963"/>
      <w:r w:rsidRPr="002F1DA3">
        <w:lastRenderedPageBreak/>
        <w:t xml:space="preserve">Table </w:t>
      </w:r>
      <w:fldSimple w:instr=" SEQ Table \* ARABIC ">
        <w:r w:rsidR="00F0628F">
          <w:rPr>
            <w:noProof/>
          </w:rPr>
          <w:t>13</w:t>
        </w:r>
      </w:fldSimple>
      <w:r w:rsidRPr="002F1DA3">
        <w:t>: Use of Dechlorane Plus and total number of preparations containing Dechlorane Plus in Sweden</w:t>
      </w:r>
      <w:bookmarkEnd w:id="806"/>
    </w:p>
    <w:p w14:paraId="4BA76FE9" w14:textId="77777777" w:rsidR="00777E56" w:rsidRDefault="00777E56" w:rsidP="00777E56">
      <w:pPr>
        <w:jc w:val="both"/>
      </w:pPr>
    </w:p>
    <w:tbl>
      <w:tblPr>
        <w:tblStyle w:val="TableGrid"/>
        <w:tblW w:w="0" w:type="auto"/>
        <w:tblLook w:val="04A0" w:firstRow="1" w:lastRow="0" w:firstColumn="1" w:lastColumn="0" w:noHBand="0" w:noVBand="1"/>
      </w:tblPr>
      <w:tblGrid>
        <w:gridCol w:w="2842"/>
        <w:gridCol w:w="2843"/>
        <w:gridCol w:w="2843"/>
      </w:tblGrid>
      <w:tr w:rsidR="00777E56" w14:paraId="28BEE4B6" w14:textId="77777777" w:rsidTr="00777E56">
        <w:tc>
          <w:tcPr>
            <w:tcW w:w="2842" w:type="dxa"/>
            <w:tcBorders>
              <w:top w:val="single" w:sz="4" w:space="0" w:color="auto"/>
              <w:left w:val="single" w:sz="4" w:space="0" w:color="auto"/>
              <w:bottom w:val="single" w:sz="4" w:space="0" w:color="auto"/>
              <w:right w:val="single" w:sz="4" w:space="0" w:color="auto"/>
            </w:tcBorders>
            <w:hideMark/>
          </w:tcPr>
          <w:p w14:paraId="717D0D11" w14:textId="77777777" w:rsidR="00777E56" w:rsidRDefault="00777E56">
            <w:pPr>
              <w:spacing w:line="276" w:lineRule="auto"/>
              <w:jc w:val="center"/>
              <w:rPr>
                <w:b/>
              </w:rPr>
            </w:pPr>
            <w:r>
              <w:rPr>
                <w:b/>
              </w:rPr>
              <w:t>Year</w:t>
            </w:r>
          </w:p>
        </w:tc>
        <w:tc>
          <w:tcPr>
            <w:tcW w:w="2843" w:type="dxa"/>
            <w:tcBorders>
              <w:top w:val="single" w:sz="4" w:space="0" w:color="auto"/>
              <w:left w:val="single" w:sz="4" w:space="0" w:color="auto"/>
              <w:bottom w:val="single" w:sz="4" w:space="0" w:color="auto"/>
              <w:right w:val="single" w:sz="4" w:space="0" w:color="auto"/>
            </w:tcBorders>
            <w:hideMark/>
          </w:tcPr>
          <w:p w14:paraId="656B33B1" w14:textId="77777777" w:rsidR="00777E56" w:rsidRDefault="00777E56">
            <w:pPr>
              <w:spacing w:line="276" w:lineRule="auto"/>
              <w:jc w:val="center"/>
              <w:rPr>
                <w:b/>
              </w:rPr>
            </w:pPr>
            <w:r>
              <w:rPr>
                <w:b/>
              </w:rPr>
              <w:t>Amount (tonnes)</w:t>
            </w:r>
          </w:p>
        </w:tc>
        <w:tc>
          <w:tcPr>
            <w:tcW w:w="2843" w:type="dxa"/>
            <w:tcBorders>
              <w:top w:val="single" w:sz="4" w:space="0" w:color="auto"/>
              <w:left w:val="single" w:sz="4" w:space="0" w:color="auto"/>
              <w:bottom w:val="single" w:sz="4" w:space="0" w:color="auto"/>
              <w:right w:val="single" w:sz="4" w:space="0" w:color="auto"/>
            </w:tcBorders>
            <w:hideMark/>
          </w:tcPr>
          <w:p w14:paraId="5CAB0A81" w14:textId="77777777" w:rsidR="00777E56" w:rsidRDefault="00777E56">
            <w:pPr>
              <w:spacing w:line="276" w:lineRule="auto"/>
              <w:jc w:val="center"/>
              <w:rPr>
                <w:b/>
              </w:rPr>
            </w:pPr>
            <w:r>
              <w:rPr>
                <w:b/>
              </w:rPr>
              <w:t>Number of preparations</w:t>
            </w:r>
          </w:p>
        </w:tc>
      </w:tr>
      <w:tr w:rsidR="00777E56" w14:paraId="6455BD3F" w14:textId="77777777" w:rsidTr="00777E56">
        <w:tc>
          <w:tcPr>
            <w:tcW w:w="2842" w:type="dxa"/>
            <w:tcBorders>
              <w:top w:val="single" w:sz="4" w:space="0" w:color="auto"/>
              <w:left w:val="single" w:sz="4" w:space="0" w:color="auto"/>
              <w:bottom w:val="single" w:sz="4" w:space="0" w:color="auto"/>
              <w:right w:val="single" w:sz="4" w:space="0" w:color="auto"/>
            </w:tcBorders>
            <w:hideMark/>
          </w:tcPr>
          <w:p w14:paraId="3E58D888" w14:textId="77777777" w:rsidR="00777E56" w:rsidRDefault="00777E56">
            <w:pPr>
              <w:spacing w:line="276" w:lineRule="auto"/>
              <w:jc w:val="center"/>
            </w:pPr>
            <w:r>
              <w:t>2006</w:t>
            </w:r>
          </w:p>
        </w:tc>
        <w:tc>
          <w:tcPr>
            <w:tcW w:w="2843" w:type="dxa"/>
            <w:tcBorders>
              <w:top w:val="single" w:sz="4" w:space="0" w:color="auto"/>
              <w:left w:val="single" w:sz="4" w:space="0" w:color="auto"/>
              <w:bottom w:val="single" w:sz="4" w:space="0" w:color="auto"/>
              <w:right w:val="single" w:sz="4" w:space="0" w:color="auto"/>
            </w:tcBorders>
            <w:hideMark/>
          </w:tcPr>
          <w:p w14:paraId="7177BF02" w14:textId="77777777" w:rsidR="00777E56" w:rsidRDefault="00777E56">
            <w:pPr>
              <w:spacing w:line="276" w:lineRule="auto"/>
              <w:jc w:val="center"/>
            </w:pPr>
            <w:r>
              <w:t>5</w:t>
            </w:r>
          </w:p>
        </w:tc>
        <w:tc>
          <w:tcPr>
            <w:tcW w:w="2843" w:type="dxa"/>
            <w:tcBorders>
              <w:top w:val="single" w:sz="4" w:space="0" w:color="auto"/>
              <w:left w:val="single" w:sz="4" w:space="0" w:color="auto"/>
              <w:bottom w:val="single" w:sz="4" w:space="0" w:color="auto"/>
              <w:right w:val="single" w:sz="4" w:space="0" w:color="auto"/>
            </w:tcBorders>
            <w:hideMark/>
          </w:tcPr>
          <w:p w14:paraId="19E79542" w14:textId="77777777" w:rsidR="00777E56" w:rsidRDefault="00777E56">
            <w:pPr>
              <w:spacing w:line="276" w:lineRule="auto"/>
              <w:jc w:val="center"/>
            </w:pPr>
            <w:r>
              <w:t>3</w:t>
            </w:r>
          </w:p>
        </w:tc>
      </w:tr>
      <w:tr w:rsidR="00777E56" w14:paraId="583C6904" w14:textId="77777777" w:rsidTr="00777E56">
        <w:tc>
          <w:tcPr>
            <w:tcW w:w="2842" w:type="dxa"/>
            <w:tcBorders>
              <w:top w:val="single" w:sz="4" w:space="0" w:color="auto"/>
              <w:left w:val="single" w:sz="4" w:space="0" w:color="auto"/>
              <w:bottom w:val="single" w:sz="4" w:space="0" w:color="auto"/>
              <w:right w:val="single" w:sz="4" w:space="0" w:color="auto"/>
            </w:tcBorders>
            <w:hideMark/>
          </w:tcPr>
          <w:p w14:paraId="484A0389" w14:textId="77777777" w:rsidR="00777E56" w:rsidRDefault="00777E56">
            <w:pPr>
              <w:spacing w:line="276" w:lineRule="auto"/>
              <w:jc w:val="center"/>
            </w:pPr>
            <w:r>
              <w:t>2005</w:t>
            </w:r>
          </w:p>
        </w:tc>
        <w:tc>
          <w:tcPr>
            <w:tcW w:w="2843" w:type="dxa"/>
            <w:tcBorders>
              <w:top w:val="single" w:sz="4" w:space="0" w:color="auto"/>
              <w:left w:val="single" w:sz="4" w:space="0" w:color="auto"/>
              <w:bottom w:val="single" w:sz="4" w:space="0" w:color="auto"/>
              <w:right w:val="single" w:sz="4" w:space="0" w:color="auto"/>
            </w:tcBorders>
            <w:hideMark/>
          </w:tcPr>
          <w:p w14:paraId="5A767CF4" w14:textId="77777777" w:rsidR="00777E56" w:rsidRDefault="00777E56">
            <w:pPr>
              <w:spacing w:line="276" w:lineRule="auto"/>
              <w:jc w:val="center"/>
            </w:pPr>
            <w:r>
              <w:t>11</w:t>
            </w:r>
          </w:p>
        </w:tc>
        <w:tc>
          <w:tcPr>
            <w:tcW w:w="2843" w:type="dxa"/>
            <w:tcBorders>
              <w:top w:val="single" w:sz="4" w:space="0" w:color="auto"/>
              <w:left w:val="single" w:sz="4" w:space="0" w:color="auto"/>
              <w:bottom w:val="single" w:sz="4" w:space="0" w:color="auto"/>
              <w:right w:val="single" w:sz="4" w:space="0" w:color="auto"/>
            </w:tcBorders>
            <w:hideMark/>
          </w:tcPr>
          <w:p w14:paraId="0EA482D9" w14:textId="77777777" w:rsidR="00777E56" w:rsidRDefault="00777E56">
            <w:pPr>
              <w:spacing w:line="276" w:lineRule="auto"/>
              <w:jc w:val="center"/>
            </w:pPr>
            <w:r>
              <w:t>3</w:t>
            </w:r>
          </w:p>
        </w:tc>
      </w:tr>
      <w:tr w:rsidR="00777E56" w14:paraId="1F231871" w14:textId="77777777" w:rsidTr="00777E56">
        <w:tc>
          <w:tcPr>
            <w:tcW w:w="2842" w:type="dxa"/>
            <w:tcBorders>
              <w:top w:val="single" w:sz="4" w:space="0" w:color="auto"/>
              <w:left w:val="single" w:sz="4" w:space="0" w:color="auto"/>
              <w:bottom w:val="single" w:sz="4" w:space="0" w:color="auto"/>
              <w:right w:val="single" w:sz="4" w:space="0" w:color="auto"/>
            </w:tcBorders>
            <w:hideMark/>
          </w:tcPr>
          <w:p w14:paraId="2095A269" w14:textId="77777777" w:rsidR="00777E56" w:rsidRDefault="00777E56">
            <w:pPr>
              <w:spacing w:line="276" w:lineRule="auto"/>
              <w:jc w:val="center"/>
            </w:pPr>
            <w:r>
              <w:t>2004</w:t>
            </w:r>
          </w:p>
        </w:tc>
        <w:tc>
          <w:tcPr>
            <w:tcW w:w="2843" w:type="dxa"/>
            <w:tcBorders>
              <w:top w:val="single" w:sz="4" w:space="0" w:color="auto"/>
              <w:left w:val="single" w:sz="4" w:space="0" w:color="auto"/>
              <w:bottom w:val="single" w:sz="4" w:space="0" w:color="auto"/>
              <w:right w:val="single" w:sz="4" w:space="0" w:color="auto"/>
            </w:tcBorders>
            <w:hideMark/>
          </w:tcPr>
          <w:p w14:paraId="27845576" w14:textId="77777777" w:rsidR="00777E56" w:rsidRDefault="00777E56">
            <w:pPr>
              <w:spacing w:line="276" w:lineRule="auto"/>
              <w:jc w:val="center"/>
            </w:pPr>
            <w:r>
              <w:t>7</w:t>
            </w:r>
          </w:p>
        </w:tc>
        <w:tc>
          <w:tcPr>
            <w:tcW w:w="2843" w:type="dxa"/>
            <w:tcBorders>
              <w:top w:val="single" w:sz="4" w:space="0" w:color="auto"/>
              <w:left w:val="single" w:sz="4" w:space="0" w:color="auto"/>
              <w:bottom w:val="single" w:sz="4" w:space="0" w:color="auto"/>
              <w:right w:val="single" w:sz="4" w:space="0" w:color="auto"/>
            </w:tcBorders>
            <w:hideMark/>
          </w:tcPr>
          <w:p w14:paraId="1ACF5601" w14:textId="77777777" w:rsidR="00777E56" w:rsidRDefault="00777E56">
            <w:pPr>
              <w:spacing w:line="276" w:lineRule="auto"/>
              <w:jc w:val="center"/>
            </w:pPr>
            <w:r>
              <w:t>3</w:t>
            </w:r>
          </w:p>
        </w:tc>
      </w:tr>
      <w:tr w:rsidR="00777E56" w14:paraId="6DF9012D" w14:textId="77777777" w:rsidTr="00777E56">
        <w:tc>
          <w:tcPr>
            <w:tcW w:w="2842" w:type="dxa"/>
            <w:tcBorders>
              <w:top w:val="single" w:sz="4" w:space="0" w:color="auto"/>
              <w:left w:val="single" w:sz="4" w:space="0" w:color="auto"/>
              <w:bottom w:val="single" w:sz="4" w:space="0" w:color="auto"/>
              <w:right w:val="single" w:sz="4" w:space="0" w:color="auto"/>
            </w:tcBorders>
            <w:hideMark/>
          </w:tcPr>
          <w:p w14:paraId="206D63BF" w14:textId="77777777" w:rsidR="00777E56" w:rsidRDefault="00777E56">
            <w:pPr>
              <w:spacing w:line="276" w:lineRule="auto"/>
              <w:jc w:val="center"/>
            </w:pPr>
            <w:r>
              <w:t>2003</w:t>
            </w:r>
          </w:p>
        </w:tc>
        <w:tc>
          <w:tcPr>
            <w:tcW w:w="2843" w:type="dxa"/>
            <w:tcBorders>
              <w:top w:val="single" w:sz="4" w:space="0" w:color="auto"/>
              <w:left w:val="single" w:sz="4" w:space="0" w:color="auto"/>
              <w:bottom w:val="single" w:sz="4" w:space="0" w:color="auto"/>
              <w:right w:val="single" w:sz="4" w:space="0" w:color="auto"/>
            </w:tcBorders>
            <w:hideMark/>
          </w:tcPr>
          <w:p w14:paraId="1F984ECF" w14:textId="77777777" w:rsidR="00777E56" w:rsidRDefault="00777E56">
            <w:pPr>
              <w:spacing w:line="276" w:lineRule="auto"/>
              <w:jc w:val="center"/>
            </w:pPr>
            <w:r>
              <w:t>4</w:t>
            </w:r>
          </w:p>
        </w:tc>
        <w:tc>
          <w:tcPr>
            <w:tcW w:w="2843" w:type="dxa"/>
            <w:tcBorders>
              <w:top w:val="single" w:sz="4" w:space="0" w:color="auto"/>
              <w:left w:val="single" w:sz="4" w:space="0" w:color="auto"/>
              <w:bottom w:val="single" w:sz="4" w:space="0" w:color="auto"/>
              <w:right w:val="single" w:sz="4" w:space="0" w:color="auto"/>
            </w:tcBorders>
            <w:hideMark/>
          </w:tcPr>
          <w:p w14:paraId="31142C6C" w14:textId="77777777" w:rsidR="00777E56" w:rsidRDefault="00777E56">
            <w:pPr>
              <w:spacing w:line="276" w:lineRule="auto"/>
              <w:jc w:val="center"/>
            </w:pPr>
            <w:r>
              <w:t>3</w:t>
            </w:r>
          </w:p>
        </w:tc>
      </w:tr>
      <w:tr w:rsidR="00777E56" w14:paraId="116D2CCE" w14:textId="77777777" w:rsidTr="00777E56">
        <w:tc>
          <w:tcPr>
            <w:tcW w:w="2842" w:type="dxa"/>
            <w:tcBorders>
              <w:top w:val="single" w:sz="4" w:space="0" w:color="auto"/>
              <w:left w:val="single" w:sz="4" w:space="0" w:color="auto"/>
              <w:bottom w:val="single" w:sz="4" w:space="0" w:color="auto"/>
              <w:right w:val="single" w:sz="4" w:space="0" w:color="auto"/>
            </w:tcBorders>
            <w:hideMark/>
          </w:tcPr>
          <w:p w14:paraId="04AF024E" w14:textId="77777777" w:rsidR="00777E56" w:rsidRDefault="00777E56">
            <w:pPr>
              <w:spacing w:line="276" w:lineRule="auto"/>
              <w:jc w:val="center"/>
            </w:pPr>
            <w:r>
              <w:t>1999</w:t>
            </w:r>
          </w:p>
        </w:tc>
        <w:tc>
          <w:tcPr>
            <w:tcW w:w="2843" w:type="dxa"/>
            <w:tcBorders>
              <w:top w:val="single" w:sz="4" w:space="0" w:color="auto"/>
              <w:left w:val="single" w:sz="4" w:space="0" w:color="auto"/>
              <w:bottom w:val="single" w:sz="4" w:space="0" w:color="auto"/>
              <w:right w:val="single" w:sz="4" w:space="0" w:color="auto"/>
            </w:tcBorders>
            <w:hideMark/>
          </w:tcPr>
          <w:p w14:paraId="48F80DA0" w14:textId="77777777" w:rsidR="00777E56" w:rsidRDefault="00777E56">
            <w:pPr>
              <w:spacing w:line="276" w:lineRule="auto"/>
              <w:jc w:val="center"/>
            </w:pPr>
            <w:r>
              <w:t>2</w:t>
            </w:r>
          </w:p>
        </w:tc>
        <w:tc>
          <w:tcPr>
            <w:tcW w:w="2843" w:type="dxa"/>
            <w:tcBorders>
              <w:top w:val="single" w:sz="4" w:space="0" w:color="auto"/>
              <w:left w:val="single" w:sz="4" w:space="0" w:color="auto"/>
              <w:bottom w:val="single" w:sz="4" w:space="0" w:color="auto"/>
              <w:right w:val="single" w:sz="4" w:space="0" w:color="auto"/>
            </w:tcBorders>
            <w:hideMark/>
          </w:tcPr>
          <w:p w14:paraId="6F2FA22B" w14:textId="77777777" w:rsidR="00777E56" w:rsidRDefault="00777E56">
            <w:pPr>
              <w:spacing w:line="276" w:lineRule="auto"/>
              <w:jc w:val="center"/>
            </w:pPr>
            <w:r>
              <w:t>7</w:t>
            </w:r>
          </w:p>
        </w:tc>
      </w:tr>
    </w:tbl>
    <w:p w14:paraId="245CA4F1" w14:textId="77777777" w:rsidR="00777E56" w:rsidRDefault="00777E56" w:rsidP="00777E56">
      <w:pPr>
        <w:spacing w:line="276" w:lineRule="auto"/>
        <w:jc w:val="both"/>
        <w:rPr>
          <w:lang w:eastAsia="en-US"/>
        </w:rPr>
      </w:pPr>
      <w:r>
        <w:t xml:space="preserve">Source: (SPIN, 2010 cited in Kaj </w:t>
      </w:r>
      <w:r>
        <w:rPr>
          <w:i/>
        </w:rPr>
        <w:t>et al</w:t>
      </w:r>
      <w:r>
        <w:t>., 2010)</w:t>
      </w:r>
    </w:p>
    <w:p w14:paraId="11307DAE" w14:textId="77777777" w:rsidR="00777E56" w:rsidRPr="000A6FDD" w:rsidRDefault="00777E56" w:rsidP="00CE6ECE">
      <w:pPr>
        <w:pStyle w:val="BodyText"/>
        <w:jc w:val="both"/>
      </w:pPr>
    </w:p>
    <w:p w14:paraId="0C5244AC" w14:textId="77777777" w:rsidR="00734FD9" w:rsidRPr="00CE6ECE" w:rsidRDefault="00734FD9" w:rsidP="00734FD9">
      <w:pPr>
        <w:pStyle w:val="BodyText"/>
        <w:rPr>
          <w:i/>
        </w:rPr>
      </w:pPr>
      <w:r w:rsidRPr="00CE6ECE">
        <w:rPr>
          <w:i/>
        </w:rPr>
        <w:t>Use by professional users (use of substance as such):</w:t>
      </w:r>
    </w:p>
    <w:p w14:paraId="4B212066" w14:textId="77777777" w:rsidR="00734FD9" w:rsidRDefault="00734FD9" w:rsidP="00686834">
      <w:pPr>
        <w:pStyle w:val="BodyText"/>
        <w:widowControl/>
        <w:numPr>
          <w:ilvl w:val="0"/>
          <w:numId w:val="12"/>
        </w:numPr>
        <w:spacing w:after="0"/>
        <w:jc w:val="both"/>
      </w:pPr>
      <w:r w:rsidRPr="00BA0ECA">
        <w:t xml:space="preserve">Formulation [mixing] of preparations and/or re-packaging (excluding alloys). </w:t>
      </w:r>
    </w:p>
    <w:p w14:paraId="50E4BF72" w14:textId="77777777" w:rsidR="00734FD9" w:rsidRDefault="00734FD9" w:rsidP="00686834">
      <w:pPr>
        <w:pStyle w:val="BodyText"/>
        <w:widowControl/>
        <w:numPr>
          <w:ilvl w:val="0"/>
          <w:numId w:val="12"/>
        </w:numPr>
        <w:spacing w:after="0"/>
        <w:jc w:val="both"/>
      </w:pPr>
      <w:r w:rsidRPr="00BA0ECA">
        <w:t xml:space="preserve">Manufacture of rubber products. </w:t>
      </w:r>
    </w:p>
    <w:p w14:paraId="729162CF" w14:textId="77777777" w:rsidR="00734FD9" w:rsidRDefault="00734FD9" w:rsidP="00686834">
      <w:pPr>
        <w:pStyle w:val="BodyText"/>
        <w:widowControl/>
        <w:numPr>
          <w:ilvl w:val="0"/>
          <w:numId w:val="12"/>
        </w:numPr>
        <w:spacing w:after="0"/>
        <w:jc w:val="both"/>
      </w:pPr>
      <w:r w:rsidRPr="00BA0ECA">
        <w:t xml:space="preserve">Manufacture of plastics products, including compounding and conversion. </w:t>
      </w:r>
    </w:p>
    <w:p w14:paraId="4E889CB4" w14:textId="77777777" w:rsidR="00734FD9" w:rsidRDefault="00734FD9" w:rsidP="00686834">
      <w:pPr>
        <w:pStyle w:val="BodyText"/>
        <w:widowControl/>
        <w:numPr>
          <w:ilvl w:val="0"/>
          <w:numId w:val="12"/>
        </w:numPr>
        <w:spacing w:after="0"/>
        <w:jc w:val="both"/>
      </w:pPr>
      <w:r w:rsidRPr="00BA0ECA">
        <w:t xml:space="preserve">Manufacture of computer, electronic and optical products, electrical equipment. </w:t>
      </w:r>
    </w:p>
    <w:p w14:paraId="69F088D1" w14:textId="77777777" w:rsidR="00734FD9" w:rsidRDefault="00734FD9" w:rsidP="00686834">
      <w:pPr>
        <w:pStyle w:val="BodyText"/>
        <w:widowControl/>
        <w:numPr>
          <w:ilvl w:val="0"/>
          <w:numId w:val="12"/>
        </w:numPr>
        <w:spacing w:after="0"/>
        <w:jc w:val="both"/>
      </w:pPr>
      <w:r w:rsidRPr="00BA0ECA">
        <w:t xml:space="preserve">General manufacturing, e.g. machinery, equipment, vehicles, other transport equipment. </w:t>
      </w:r>
    </w:p>
    <w:p w14:paraId="4BBDBB8D" w14:textId="77777777" w:rsidR="00734FD9" w:rsidRDefault="00734FD9" w:rsidP="00686834">
      <w:pPr>
        <w:pStyle w:val="BodyText"/>
        <w:widowControl/>
        <w:numPr>
          <w:ilvl w:val="0"/>
          <w:numId w:val="12"/>
        </w:numPr>
        <w:spacing w:after="0"/>
        <w:jc w:val="both"/>
      </w:pPr>
      <w:r w:rsidRPr="00BA0ECA">
        <w:t>Manufacture of fine chemicals.</w:t>
      </w:r>
    </w:p>
    <w:p w14:paraId="48D0F334" w14:textId="77777777" w:rsidR="00CE6ECE" w:rsidRDefault="00CE6ECE" w:rsidP="00CE6ECE">
      <w:pPr>
        <w:pStyle w:val="BodyText"/>
        <w:spacing w:after="0"/>
        <w:rPr>
          <w:i/>
        </w:rPr>
      </w:pPr>
    </w:p>
    <w:p w14:paraId="130EE9B6" w14:textId="77777777" w:rsidR="00734FD9" w:rsidRPr="00CE6ECE" w:rsidRDefault="00734FD9" w:rsidP="00734FD9">
      <w:pPr>
        <w:pStyle w:val="BodyText"/>
        <w:rPr>
          <w:i/>
        </w:rPr>
      </w:pPr>
      <w:r w:rsidRPr="00CE6ECE">
        <w:rPr>
          <w:i/>
        </w:rPr>
        <w:t>Use by consumers (use of formulated products only):</w:t>
      </w:r>
    </w:p>
    <w:p w14:paraId="3E289A19" w14:textId="77777777" w:rsidR="00734FD9" w:rsidRDefault="00734FD9" w:rsidP="00686834">
      <w:pPr>
        <w:pStyle w:val="BodyText"/>
        <w:widowControl/>
        <w:numPr>
          <w:ilvl w:val="0"/>
          <w:numId w:val="12"/>
        </w:numPr>
        <w:spacing w:after="0"/>
        <w:jc w:val="both"/>
      </w:pPr>
      <w:r w:rsidRPr="00BA0ECA">
        <w:t xml:space="preserve">Adhesives, sealants. </w:t>
      </w:r>
    </w:p>
    <w:p w14:paraId="36AC86A7" w14:textId="77777777" w:rsidR="00734FD9" w:rsidRDefault="00734FD9" w:rsidP="00686834">
      <w:pPr>
        <w:pStyle w:val="BodyText"/>
        <w:widowControl/>
        <w:numPr>
          <w:ilvl w:val="0"/>
          <w:numId w:val="12"/>
        </w:numPr>
        <w:spacing w:after="0"/>
        <w:jc w:val="both"/>
      </w:pPr>
      <w:r w:rsidRPr="00BA0ECA">
        <w:t xml:space="preserve">Explosives. </w:t>
      </w:r>
    </w:p>
    <w:p w14:paraId="13B678C8" w14:textId="77777777" w:rsidR="00734FD9" w:rsidRDefault="00734FD9" w:rsidP="00686834">
      <w:pPr>
        <w:pStyle w:val="BodyText"/>
        <w:widowControl/>
        <w:numPr>
          <w:ilvl w:val="0"/>
          <w:numId w:val="12"/>
        </w:numPr>
        <w:spacing w:after="0"/>
        <w:jc w:val="both"/>
      </w:pPr>
      <w:r w:rsidRPr="00BA0ECA">
        <w:t xml:space="preserve">Metal surface treatment products, including galvanic and electroplating products. </w:t>
      </w:r>
    </w:p>
    <w:p w14:paraId="5A444867" w14:textId="77777777" w:rsidR="00734FD9" w:rsidRDefault="00734FD9" w:rsidP="00686834">
      <w:pPr>
        <w:pStyle w:val="BodyText"/>
        <w:widowControl/>
        <w:numPr>
          <w:ilvl w:val="0"/>
          <w:numId w:val="12"/>
        </w:numPr>
        <w:spacing w:after="0"/>
        <w:jc w:val="both"/>
      </w:pPr>
      <w:r w:rsidRPr="00BA0ECA">
        <w:t>Polymer preparations and compounds.</w:t>
      </w:r>
    </w:p>
    <w:p w14:paraId="089A76A8" w14:textId="77777777" w:rsidR="00734FD9" w:rsidRPr="000A6FDD" w:rsidRDefault="00734FD9" w:rsidP="00734FD9">
      <w:pPr>
        <w:pStyle w:val="BodyText"/>
        <w:spacing w:after="0"/>
      </w:pPr>
    </w:p>
    <w:p w14:paraId="28C6B957" w14:textId="77777777" w:rsidR="00734FD9" w:rsidRPr="00CE6ECE" w:rsidRDefault="00734FD9" w:rsidP="00734FD9">
      <w:pPr>
        <w:pStyle w:val="BodyText"/>
        <w:spacing w:after="0"/>
        <w:rPr>
          <w:i/>
        </w:rPr>
      </w:pPr>
      <w:r w:rsidRPr="00CE6ECE">
        <w:rPr>
          <w:i/>
        </w:rPr>
        <w:t>Service life release from wide dispersive exposure:</w:t>
      </w:r>
    </w:p>
    <w:p w14:paraId="6AC0FBD2" w14:textId="77777777" w:rsidR="00CE6ECE" w:rsidRPr="000A6FDD" w:rsidRDefault="00CE6ECE" w:rsidP="00734FD9">
      <w:pPr>
        <w:pStyle w:val="BodyText"/>
        <w:spacing w:after="0"/>
      </w:pPr>
    </w:p>
    <w:p w14:paraId="0889907E" w14:textId="77777777" w:rsidR="00734FD9" w:rsidRDefault="00734FD9" w:rsidP="00686834">
      <w:pPr>
        <w:pStyle w:val="BodyText"/>
        <w:widowControl/>
        <w:numPr>
          <w:ilvl w:val="0"/>
          <w:numId w:val="12"/>
        </w:numPr>
        <w:spacing w:after="0"/>
        <w:jc w:val="both"/>
      </w:pPr>
      <w:r w:rsidRPr="00BA0ECA">
        <w:t xml:space="preserve">Vehicles. </w:t>
      </w:r>
    </w:p>
    <w:p w14:paraId="2078E627" w14:textId="77777777" w:rsidR="00734FD9" w:rsidRDefault="00734FD9" w:rsidP="00686834">
      <w:pPr>
        <w:pStyle w:val="BodyText"/>
        <w:widowControl/>
        <w:numPr>
          <w:ilvl w:val="0"/>
          <w:numId w:val="12"/>
        </w:numPr>
        <w:spacing w:after="0"/>
        <w:jc w:val="both"/>
      </w:pPr>
      <w:r w:rsidRPr="00BA0ECA">
        <w:t xml:space="preserve">Machinery, mechanical appliances, electrical/electronic articles. </w:t>
      </w:r>
    </w:p>
    <w:p w14:paraId="5922185E" w14:textId="77777777" w:rsidR="00734FD9" w:rsidRDefault="00734FD9" w:rsidP="00686834">
      <w:pPr>
        <w:pStyle w:val="BodyText"/>
        <w:widowControl/>
        <w:numPr>
          <w:ilvl w:val="0"/>
          <w:numId w:val="12"/>
        </w:numPr>
        <w:spacing w:after="0"/>
        <w:jc w:val="both"/>
      </w:pPr>
      <w:r w:rsidRPr="00BA0ECA">
        <w:t xml:space="preserve">Electrical batteries and accumulators. </w:t>
      </w:r>
    </w:p>
    <w:p w14:paraId="0C0DC2D1" w14:textId="77777777" w:rsidR="00734FD9" w:rsidRDefault="00734FD9" w:rsidP="00686834">
      <w:pPr>
        <w:pStyle w:val="BodyText"/>
        <w:widowControl/>
        <w:numPr>
          <w:ilvl w:val="0"/>
          <w:numId w:val="12"/>
        </w:numPr>
        <w:spacing w:after="0"/>
        <w:jc w:val="both"/>
      </w:pPr>
      <w:r w:rsidRPr="00BA0ECA">
        <w:t xml:space="preserve">Stone, plaster, cement, glass and ceramic articles. </w:t>
      </w:r>
    </w:p>
    <w:p w14:paraId="06F7784A" w14:textId="77777777" w:rsidR="00734FD9" w:rsidRDefault="00734FD9" w:rsidP="00686834">
      <w:pPr>
        <w:pStyle w:val="BodyText"/>
        <w:widowControl/>
        <w:numPr>
          <w:ilvl w:val="0"/>
          <w:numId w:val="12"/>
        </w:numPr>
        <w:spacing w:after="0"/>
        <w:jc w:val="both"/>
      </w:pPr>
      <w:r w:rsidRPr="00BA0ECA">
        <w:t xml:space="preserve">Fabrics, textiles and apparel. </w:t>
      </w:r>
    </w:p>
    <w:p w14:paraId="5ECE5060" w14:textId="77777777" w:rsidR="00734FD9" w:rsidRDefault="00734FD9" w:rsidP="00686834">
      <w:pPr>
        <w:pStyle w:val="BodyText"/>
        <w:widowControl/>
        <w:numPr>
          <w:ilvl w:val="0"/>
          <w:numId w:val="12"/>
        </w:numPr>
        <w:spacing w:after="0"/>
        <w:jc w:val="both"/>
      </w:pPr>
      <w:r w:rsidRPr="00BA0ECA">
        <w:t>Leather articles.</w:t>
      </w:r>
    </w:p>
    <w:p w14:paraId="2BEE5422" w14:textId="77777777" w:rsidR="00734FD9" w:rsidRPr="000A6FDD" w:rsidRDefault="00734FD9" w:rsidP="00734FD9">
      <w:pPr>
        <w:pStyle w:val="BodyText"/>
        <w:spacing w:after="0"/>
        <w:rPr>
          <w:rStyle w:val="value"/>
        </w:rPr>
      </w:pPr>
    </w:p>
    <w:p w14:paraId="711E6D59" w14:textId="77777777" w:rsidR="00734FD9" w:rsidRDefault="00734FD9" w:rsidP="00734FD9">
      <w:pPr>
        <w:pStyle w:val="BodyText"/>
        <w:spacing w:after="0"/>
        <w:rPr>
          <w:i/>
        </w:rPr>
      </w:pPr>
      <w:r w:rsidRPr="00CE6ECE">
        <w:rPr>
          <w:i/>
        </w:rPr>
        <w:t>Service life release in industrial setting:</w:t>
      </w:r>
    </w:p>
    <w:p w14:paraId="3755D6BC" w14:textId="77777777" w:rsidR="00CE6ECE" w:rsidRPr="00CE6ECE" w:rsidRDefault="00CE6ECE" w:rsidP="00734FD9">
      <w:pPr>
        <w:pStyle w:val="BodyText"/>
        <w:spacing w:after="0"/>
        <w:rPr>
          <w:i/>
        </w:rPr>
      </w:pPr>
    </w:p>
    <w:p w14:paraId="731BB73F" w14:textId="77777777" w:rsidR="00734FD9" w:rsidRDefault="00734FD9" w:rsidP="00686834">
      <w:pPr>
        <w:pStyle w:val="BodyText"/>
        <w:widowControl/>
        <w:numPr>
          <w:ilvl w:val="0"/>
          <w:numId w:val="12"/>
        </w:numPr>
        <w:spacing w:after="0"/>
        <w:jc w:val="both"/>
      </w:pPr>
      <w:r>
        <w:t>Rubber articles.</w:t>
      </w:r>
    </w:p>
    <w:p w14:paraId="0951DAA2" w14:textId="77777777" w:rsidR="00734FD9" w:rsidRPr="000A6FDD" w:rsidRDefault="00734FD9" w:rsidP="00734FD9">
      <w:pPr>
        <w:pStyle w:val="BodyText"/>
        <w:spacing w:after="0"/>
      </w:pPr>
    </w:p>
    <w:p w14:paraId="243D3E50" w14:textId="77777777" w:rsidR="00734FD9" w:rsidRPr="000A6FDD" w:rsidRDefault="00734FD9" w:rsidP="00CE6ECE">
      <w:pPr>
        <w:pStyle w:val="BodyText"/>
        <w:spacing w:after="0"/>
        <w:jc w:val="both"/>
      </w:pPr>
      <w:r>
        <w:t xml:space="preserve">Product literature (OxyChem, 2007) available from the </w:t>
      </w:r>
      <w:r w:rsidR="00CE6ECE">
        <w:t>l</w:t>
      </w:r>
      <w:r>
        <w:t>ead Registrants’ website provides some useful additional information regarding performance and recommended loading rate of Dechlorane Plus in different polymer systems. This manual refers to the use of Dechlorane Plus in the following polymer systems: ABS; Chloroprene; DAP; EEA; EPDM; Epoxy; Neoprene; Nylon (6, 6/6, 12); PBT; Phenolics; Polyester; Polyethylene; EPR; EVA; Hypalon®; Hytrel®; Kraton; Natural Rubber TPU; High Impact Polystyrene; Polypropylene; Polyurethanes; SBR Block Copolymer; Silicon Rubber; TPE. It is unknown which of these are relevant in EU.</w:t>
      </w:r>
    </w:p>
    <w:p w14:paraId="5C8C4526" w14:textId="77777777" w:rsidR="00734FD9" w:rsidRPr="00CE6ECE" w:rsidRDefault="00734FD9">
      <w:pPr>
        <w:pStyle w:val="Default"/>
        <w:jc w:val="both"/>
        <w:rPr>
          <w:rFonts w:ascii="Verdana" w:hAnsi="Verdana"/>
          <w:sz w:val="20"/>
          <w:szCs w:val="20"/>
        </w:rPr>
      </w:pPr>
    </w:p>
    <w:p w14:paraId="0C45A497" w14:textId="77777777" w:rsidR="003215DB" w:rsidRPr="00F558AF" w:rsidRDefault="003215DB" w:rsidP="00F558AF">
      <w:pPr>
        <w:pStyle w:val="Caption"/>
      </w:pPr>
      <w:bookmarkStart w:id="807" w:name="_Toc491778964"/>
      <w:r w:rsidRPr="00F558AF">
        <w:lastRenderedPageBreak/>
        <w:t xml:space="preserve">Table </w:t>
      </w:r>
      <w:r w:rsidR="000721AD" w:rsidRPr="00F558AF">
        <w:fldChar w:fldCharType="begin"/>
      </w:r>
      <w:r w:rsidRPr="00F558AF">
        <w:instrText xml:space="preserve"> SEQ Table \* ARABIC </w:instrText>
      </w:r>
      <w:r w:rsidR="000721AD" w:rsidRPr="00F558AF">
        <w:fldChar w:fldCharType="separate"/>
      </w:r>
      <w:r w:rsidR="00F0628F">
        <w:rPr>
          <w:noProof/>
        </w:rPr>
        <w:t>14</w:t>
      </w:r>
      <w:r w:rsidR="000721AD" w:rsidRPr="00F558AF">
        <w:fldChar w:fldCharType="end"/>
      </w:r>
      <w:r w:rsidRPr="00F558AF">
        <w:t>: Uses</w:t>
      </w:r>
      <w:r w:rsidR="000C22AB" w:rsidRPr="00F558AF">
        <w:t xml:space="preserve"> according to the REACH registration(s)</w:t>
      </w:r>
      <w:bookmarkEnd w:id="807"/>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4644"/>
        <w:gridCol w:w="1571"/>
        <w:gridCol w:w="1611"/>
      </w:tblGrid>
      <w:tr w:rsidR="005C4AA4" w:rsidRPr="00035135" w14:paraId="4235F4BB" w14:textId="77777777" w:rsidTr="00FB5AF3">
        <w:trPr>
          <w:tblHeader/>
        </w:trPr>
        <w:tc>
          <w:tcPr>
            <w:tcW w:w="1564" w:type="dxa"/>
            <w:tcBorders>
              <w:top w:val="nil"/>
              <w:left w:val="nil"/>
            </w:tcBorders>
            <w:shd w:val="clear" w:color="auto" w:fill="auto"/>
            <w:vAlign w:val="center"/>
          </w:tcPr>
          <w:p w14:paraId="66C7E9E7" w14:textId="77777777" w:rsidR="005C4AA4" w:rsidRPr="0033478E" w:rsidRDefault="005C4AA4" w:rsidP="00550964">
            <w:pPr>
              <w:pStyle w:val="BodyText"/>
              <w:rPr>
                <w:sz w:val="18"/>
              </w:rPr>
            </w:pPr>
          </w:p>
        </w:tc>
        <w:tc>
          <w:tcPr>
            <w:tcW w:w="4644" w:type="dxa"/>
            <w:shd w:val="clear" w:color="auto" w:fill="auto"/>
          </w:tcPr>
          <w:p w14:paraId="1E6533D6" w14:textId="77777777" w:rsidR="005C4AA4" w:rsidRPr="00CE6ECE" w:rsidRDefault="005C4AA4" w:rsidP="00550964">
            <w:pPr>
              <w:pStyle w:val="Caption"/>
              <w:jc w:val="center"/>
              <w:rPr>
                <w:b/>
                <w:sz w:val="16"/>
                <w:szCs w:val="16"/>
                <w:lang w:val="en-IE"/>
              </w:rPr>
            </w:pPr>
            <w:r w:rsidRPr="00CE6ECE">
              <w:rPr>
                <w:b/>
                <w:sz w:val="16"/>
                <w:szCs w:val="16"/>
                <w:lang w:val="en-IE"/>
              </w:rPr>
              <w:t>Use(s)</w:t>
            </w:r>
          </w:p>
        </w:tc>
        <w:tc>
          <w:tcPr>
            <w:tcW w:w="1571" w:type="dxa"/>
          </w:tcPr>
          <w:p w14:paraId="2B826851" w14:textId="77777777" w:rsidR="005C4AA4" w:rsidRPr="00CE6ECE" w:rsidRDefault="005C4AA4" w:rsidP="00327FE7">
            <w:pPr>
              <w:pStyle w:val="Caption"/>
              <w:jc w:val="center"/>
              <w:rPr>
                <w:b/>
                <w:sz w:val="16"/>
                <w:szCs w:val="16"/>
              </w:rPr>
            </w:pPr>
            <w:r w:rsidRPr="00CE6ECE">
              <w:rPr>
                <w:b/>
                <w:sz w:val="16"/>
                <w:szCs w:val="16"/>
              </w:rPr>
              <w:t>Registered use</w:t>
            </w:r>
            <w:r w:rsidR="00327FE7">
              <w:rPr>
                <w:b/>
                <w:sz w:val="16"/>
                <w:szCs w:val="16"/>
              </w:rPr>
              <w:t>?</w:t>
            </w:r>
          </w:p>
          <w:p w14:paraId="44E8C185" w14:textId="77777777" w:rsidR="005C4AA4" w:rsidRPr="00CE6ECE" w:rsidRDefault="005C4AA4" w:rsidP="00327FE7">
            <w:pPr>
              <w:pStyle w:val="CommentText"/>
              <w:rPr>
                <w:b/>
                <w:i/>
                <w:sz w:val="16"/>
                <w:szCs w:val="16"/>
                <w:lang w:val="en-IE"/>
              </w:rPr>
            </w:pPr>
          </w:p>
        </w:tc>
        <w:tc>
          <w:tcPr>
            <w:tcW w:w="1611" w:type="dxa"/>
          </w:tcPr>
          <w:p w14:paraId="3054D9D8" w14:textId="77777777" w:rsidR="005C4AA4" w:rsidRPr="00CE6ECE" w:rsidRDefault="005C4AA4" w:rsidP="00550964">
            <w:pPr>
              <w:pStyle w:val="Caption"/>
              <w:jc w:val="center"/>
              <w:rPr>
                <w:b/>
                <w:sz w:val="16"/>
                <w:szCs w:val="16"/>
                <w:lang w:val="en-IE"/>
              </w:rPr>
            </w:pPr>
            <w:r w:rsidRPr="00CE6ECE">
              <w:rPr>
                <w:b/>
                <w:sz w:val="16"/>
                <w:szCs w:val="16"/>
                <w:lang w:val="en-IE"/>
              </w:rPr>
              <w:t>Use in the scope of Authorisation</w:t>
            </w:r>
            <w:r w:rsidR="00327FE7">
              <w:rPr>
                <w:b/>
                <w:sz w:val="16"/>
                <w:szCs w:val="16"/>
                <w:lang w:val="en-IE"/>
              </w:rPr>
              <w:t>?</w:t>
            </w:r>
          </w:p>
        </w:tc>
      </w:tr>
      <w:tr w:rsidR="007155A8" w:rsidRPr="00035135" w14:paraId="32D891D4" w14:textId="77777777" w:rsidTr="00FB5AF3">
        <w:tc>
          <w:tcPr>
            <w:tcW w:w="1564" w:type="dxa"/>
            <w:shd w:val="clear" w:color="auto" w:fill="auto"/>
            <w:vAlign w:val="center"/>
          </w:tcPr>
          <w:p w14:paraId="2AFA8BCB" w14:textId="77777777" w:rsidR="007155A8" w:rsidRPr="0033478E" w:rsidRDefault="007155A8" w:rsidP="007155A8">
            <w:pPr>
              <w:pStyle w:val="BodyText"/>
              <w:rPr>
                <w:b/>
                <w:sz w:val="18"/>
              </w:rPr>
            </w:pPr>
            <w:r w:rsidRPr="0033478E">
              <w:rPr>
                <w:b/>
                <w:sz w:val="18"/>
              </w:rPr>
              <w:t>Uses as intermediate</w:t>
            </w:r>
          </w:p>
        </w:tc>
        <w:tc>
          <w:tcPr>
            <w:tcW w:w="4644" w:type="dxa"/>
            <w:shd w:val="clear" w:color="auto" w:fill="auto"/>
          </w:tcPr>
          <w:p w14:paraId="68D1A6C3" w14:textId="77777777" w:rsidR="007155A8" w:rsidRPr="00CE6ECE" w:rsidRDefault="007155A8">
            <w:pPr>
              <w:pStyle w:val="BodyText"/>
              <w:rPr>
                <w:sz w:val="16"/>
                <w:szCs w:val="16"/>
              </w:rPr>
            </w:pPr>
            <w:r>
              <w:rPr>
                <w:sz w:val="16"/>
                <w:szCs w:val="16"/>
              </w:rPr>
              <w:t>None registered</w:t>
            </w:r>
          </w:p>
        </w:tc>
        <w:tc>
          <w:tcPr>
            <w:tcW w:w="1571" w:type="dxa"/>
          </w:tcPr>
          <w:p w14:paraId="4DF773A3" w14:textId="77777777" w:rsidR="007155A8" w:rsidRPr="00CE6ECE" w:rsidRDefault="007155A8">
            <w:pPr>
              <w:pStyle w:val="Caption"/>
              <w:ind w:left="0"/>
              <w:jc w:val="center"/>
              <w:rPr>
                <w:sz w:val="16"/>
                <w:szCs w:val="16"/>
              </w:rPr>
            </w:pPr>
            <w:r>
              <w:rPr>
                <w:sz w:val="16"/>
                <w:szCs w:val="16"/>
              </w:rPr>
              <w:t>No</w:t>
            </w:r>
          </w:p>
        </w:tc>
        <w:tc>
          <w:tcPr>
            <w:tcW w:w="1611" w:type="dxa"/>
          </w:tcPr>
          <w:p w14:paraId="291C042A" w14:textId="77777777" w:rsidR="007155A8" w:rsidRPr="00CE6ECE" w:rsidRDefault="007155A8" w:rsidP="007155A8">
            <w:pPr>
              <w:pStyle w:val="Caption"/>
              <w:ind w:left="0"/>
              <w:jc w:val="center"/>
              <w:rPr>
                <w:sz w:val="16"/>
                <w:szCs w:val="16"/>
              </w:rPr>
            </w:pPr>
            <w:r w:rsidRPr="00CE6ECE">
              <w:rPr>
                <w:sz w:val="16"/>
                <w:szCs w:val="16"/>
              </w:rPr>
              <w:t>No</w:t>
            </w:r>
          </w:p>
        </w:tc>
      </w:tr>
      <w:tr w:rsidR="007155A8" w:rsidRPr="00035135" w14:paraId="727E7CB4" w14:textId="77777777" w:rsidTr="00FB5AF3">
        <w:tc>
          <w:tcPr>
            <w:tcW w:w="1564" w:type="dxa"/>
            <w:shd w:val="clear" w:color="auto" w:fill="auto"/>
            <w:vAlign w:val="center"/>
          </w:tcPr>
          <w:p w14:paraId="395F524D" w14:textId="77777777" w:rsidR="007155A8" w:rsidRPr="0033478E" w:rsidRDefault="007155A8" w:rsidP="007155A8">
            <w:pPr>
              <w:pStyle w:val="BodyText"/>
              <w:rPr>
                <w:b/>
                <w:sz w:val="18"/>
              </w:rPr>
            </w:pPr>
            <w:r w:rsidRPr="0033478E">
              <w:rPr>
                <w:b/>
                <w:sz w:val="18"/>
              </w:rPr>
              <w:t>Formulation</w:t>
            </w:r>
            <w:r>
              <w:rPr>
                <w:b/>
                <w:sz w:val="18"/>
              </w:rPr>
              <w:t xml:space="preserve"> or repacking</w:t>
            </w:r>
          </w:p>
        </w:tc>
        <w:tc>
          <w:tcPr>
            <w:tcW w:w="4644" w:type="dxa"/>
            <w:shd w:val="clear" w:color="auto" w:fill="auto"/>
          </w:tcPr>
          <w:p w14:paraId="18E5171C" w14:textId="77777777" w:rsidR="007155A8" w:rsidRPr="00CE6ECE" w:rsidRDefault="007155A8" w:rsidP="00686834">
            <w:pPr>
              <w:pStyle w:val="BodyText"/>
              <w:widowControl/>
              <w:numPr>
                <w:ilvl w:val="0"/>
                <w:numId w:val="9"/>
              </w:numPr>
              <w:spacing w:after="0"/>
              <w:ind w:left="205" w:hanging="218"/>
              <w:rPr>
                <w:sz w:val="16"/>
                <w:szCs w:val="16"/>
              </w:rPr>
            </w:pPr>
            <w:r w:rsidRPr="00CE6ECE">
              <w:rPr>
                <w:sz w:val="16"/>
                <w:szCs w:val="16"/>
              </w:rPr>
              <w:t>Polymer preparations and compounds</w:t>
            </w:r>
          </w:p>
          <w:p w14:paraId="27B45D6C" w14:textId="77777777" w:rsidR="007155A8" w:rsidRPr="00CE6ECE" w:rsidRDefault="007155A8" w:rsidP="00686834">
            <w:pPr>
              <w:pStyle w:val="Caption"/>
              <w:numPr>
                <w:ilvl w:val="0"/>
                <w:numId w:val="9"/>
              </w:numPr>
              <w:ind w:left="205" w:hanging="218"/>
              <w:jc w:val="left"/>
              <w:rPr>
                <w:sz w:val="16"/>
                <w:szCs w:val="16"/>
                <w:lang w:val="en-IE"/>
              </w:rPr>
            </w:pPr>
            <w:r w:rsidRPr="00CE6ECE">
              <w:rPr>
                <w:sz w:val="16"/>
                <w:szCs w:val="16"/>
              </w:rPr>
              <w:t>Semiconductors</w:t>
            </w:r>
          </w:p>
        </w:tc>
        <w:tc>
          <w:tcPr>
            <w:tcW w:w="1571" w:type="dxa"/>
          </w:tcPr>
          <w:p w14:paraId="4D70C051" w14:textId="77777777" w:rsidR="007155A8" w:rsidRPr="00CE6ECE" w:rsidRDefault="007155A8">
            <w:pPr>
              <w:pStyle w:val="Caption"/>
              <w:ind w:left="0"/>
              <w:jc w:val="center"/>
              <w:rPr>
                <w:sz w:val="16"/>
                <w:szCs w:val="16"/>
              </w:rPr>
            </w:pPr>
            <w:r w:rsidRPr="00CE6ECE">
              <w:rPr>
                <w:sz w:val="16"/>
                <w:szCs w:val="16"/>
              </w:rPr>
              <w:t>Yes</w:t>
            </w:r>
          </w:p>
        </w:tc>
        <w:tc>
          <w:tcPr>
            <w:tcW w:w="1611" w:type="dxa"/>
          </w:tcPr>
          <w:p w14:paraId="798EB339" w14:textId="77777777" w:rsidR="007155A8" w:rsidRPr="00CE6ECE" w:rsidRDefault="007155A8" w:rsidP="007155A8">
            <w:pPr>
              <w:pStyle w:val="Caption"/>
              <w:ind w:left="0"/>
              <w:jc w:val="center"/>
              <w:rPr>
                <w:rStyle w:val="value1"/>
                <w:sz w:val="16"/>
                <w:szCs w:val="16"/>
              </w:rPr>
            </w:pPr>
            <w:r w:rsidRPr="00B6616D">
              <w:rPr>
                <w:sz w:val="16"/>
                <w:szCs w:val="16"/>
              </w:rPr>
              <w:t>Yes</w:t>
            </w:r>
          </w:p>
        </w:tc>
      </w:tr>
      <w:tr w:rsidR="007155A8" w:rsidRPr="00035135" w14:paraId="4BDA94DB" w14:textId="77777777" w:rsidTr="00FB5AF3">
        <w:tc>
          <w:tcPr>
            <w:tcW w:w="1564" w:type="dxa"/>
            <w:shd w:val="clear" w:color="auto" w:fill="auto"/>
            <w:vAlign w:val="center"/>
          </w:tcPr>
          <w:p w14:paraId="7982EDEA" w14:textId="77777777" w:rsidR="007155A8" w:rsidRPr="0033478E" w:rsidRDefault="007155A8" w:rsidP="007155A8">
            <w:pPr>
              <w:pStyle w:val="BodyText"/>
              <w:rPr>
                <w:b/>
                <w:sz w:val="18"/>
              </w:rPr>
            </w:pPr>
            <w:r w:rsidRPr="0033478E">
              <w:rPr>
                <w:b/>
                <w:sz w:val="18"/>
              </w:rPr>
              <w:t>Uses at industrial sites</w:t>
            </w:r>
          </w:p>
        </w:tc>
        <w:tc>
          <w:tcPr>
            <w:tcW w:w="4644" w:type="dxa"/>
            <w:shd w:val="clear" w:color="auto" w:fill="auto"/>
          </w:tcPr>
          <w:p w14:paraId="2EEE12D5" w14:textId="77777777" w:rsidR="007155A8" w:rsidRPr="00CE6ECE" w:rsidRDefault="007155A8" w:rsidP="00686834">
            <w:pPr>
              <w:pStyle w:val="BodyText"/>
              <w:widowControl/>
              <w:numPr>
                <w:ilvl w:val="0"/>
                <w:numId w:val="16"/>
              </w:numPr>
              <w:spacing w:after="0"/>
              <w:ind w:left="205" w:hanging="218"/>
              <w:rPr>
                <w:sz w:val="16"/>
                <w:szCs w:val="16"/>
              </w:rPr>
            </w:pPr>
            <w:r w:rsidRPr="00CE6ECE">
              <w:rPr>
                <w:sz w:val="16"/>
                <w:szCs w:val="16"/>
              </w:rPr>
              <w:t>Adhesives, sealants</w:t>
            </w:r>
          </w:p>
          <w:p w14:paraId="7E5553B6" w14:textId="77777777" w:rsidR="007155A8" w:rsidRPr="00CE6ECE" w:rsidRDefault="007155A8" w:rsidP="00686834">
            <w:pPr>
              <w:pStyle w:val="BodyText"/>
              <w:widowControl/>
              <w:numPr>
                <w:ilvl w:val="0"/>
                <w:numId w:val="16"/>
              </w:numPr>
              <w:spacing w:after="0"/>
              <w:ind w:left="205" w:hanging="218"/>
              <w:rPr>
                <w:sz w:val="16"/>
                <w:szCs w:val="16"/>
              </w:rPr>
            </w:pPr>
            <w:r w:rsidRPr="00CE6ECE">
              <w:rPr>
                <w:sz w:val="16"/>
                <w:szCs w:val="16"/>
              </w:rPr>
              <w:t>Polymer preparations and compounds</w:t>
            </w:r>
          </w:p>
          <w:p w14:paraId="2A796142" w14:textId="77777777" w:rsidR="007155A8" w:rsidRPr="00CE6ECE" w:rsidRDefault="007155A8" w:rsidP="00686834">
            <w:pPr>
              <w:pStyle w:val="BodyText"/>
              <w:widowControl/>
              <w:numPr>
                <w:ilvl w:val="0"/>
                <w:numId w:val="16"/>
              </w:numPr>
              <w:spacing w:after="0"/>
              <w:ind w:left="205" w:hanging="218"/>
              <w:rPr>
                <w:sz w:val="16"/>
                <w:szCs w:val="16"/>
              </w:rPr>
            </w:pPr>
            <w:r w:rsidRPr="00CE6ECE">
              <w:rPr>
                <w:sz w:val="16"/>
                <w:szCs w:val="16"/>
              </w:rPr>
              <w:t>Semiconductors</w:t>
            </w:r>
          </w:p>
          <w:p w14:paraId="0D94E970" w14:textId="77777777" w:rsidR="007155A8" w:rsidRPr="00CE6ECE" w:rsidRDefault="007155A8" w:rsidP="000C22AB">
            <w:pPr>
              <w:pStyle w:val="BodyText"/>
              <w:spacing w:after="0"/>
              <w:ind w:left="205" w:hanging="218"/>
              <w:rPr>
                <w:sz w:val="16"/>
                <w:szCs w:val="16"/>
              </w:rPr>
            </w:pPr>
          </w:p>
          <w:p w14:paraId="24CC139A" w14:textId="77777777" w:rsidR="007155A8" w:rsidRPr="00CE6ECE" w:rsidRDefault="007155A8" w:rsidP="000C22AB">
            <w:pPr>
              <w:pStyle w:val="BodyText"/>
              <w:spacing w:after="0"/>
              <w:ind w:left="205" w:hanging="218"/>
              <w:rPr>
                <w:sz w:val="16"/>
                <w:szCs w:val="16"/>
              </w:rPr>
            </w:pPr>
            <w:r w:rsidRPr="00CE6ECE">
              <w:rPr>
                <w:sz w:val="16"/>
                <w:szCs w:val="16"/>
              </w:rPr>
              <w:t>Sector of end use:</w:t>
            </w:r>
          </w:p>
          <w:p w14:paraId="4418D156" w14:textId="77777777" w:rsidR="007155A8" w:rsidRPr="00CE6ECE" w:rsidRDefault="007155A8" w:rsidP="00686834">
            <w:pPr>
              <w:pStyle w:val="BodyText"/>
              <w:widowControl/>
              <w:numPr>
                <w:ilvl w:val="0"/>
                <w:numId w:val="16"/>
              </w:numPr>
              <w:spacing w:after="0"/>
              <w:ind w:left="205" w:hanging="218"/>
              <w:rPr>
                <w:sz w:val="16"/>
                <w:szCs w:val="16"/>
              </w:rPr>
            </w:pPr>
            <w:r w:rsidRPr="00CE6ECE">
              <w:rPr>
                <w:sz w:val="16"/>
                <w:szCs w:val="16"/>
              </w:rPr>
              <w:t>Formulation [mixing] or preparations and/or re-packaging (excluding alloys)</w:t>
            </w:r>
          </w:p>
          <w:p w14:paraId="0723BAA5" w14:textId="77777777" w:rsidR="007155A8" w:rsidRPr="00CE6ECE" w:rsidRDefault="007155A8" w:rsidP="00686834">
            <w:pPr>
              <w:pStyle w:val="BodyText"/>
              <w:widowControl/>
              <w:numPr>
                <w:ilvl w:val="0"/>
                <w:numId w:val="16"/>
              </w:numPr>
              <w:spacing w:after="0"/>
              <w:ind w:left="205" w:hanging="218"/>
              <w:rPr>
                <w:sz w:val="16"/>
                <w:szCs w:val="16"/>
              </w:rPr>
            </w:pPr>
            <w:r w:rsidRPr="00CE6ECE">
              <w:rPr>
                <w:sz w:val="16"/>
                <w:szCs w:val="16"/>
              </w:rPr>
              <w:t xml:space="preserve">Manufacture of plastic products, including compounding and conversion </w:t>
            </w:r>
          </w:p>
          <w:p w14:paraId="00BBFCB9" w14:textId="77777777" w:rsidR="007155A8" w:rsidRPr="00CE6ECE" w:rsidRDefault="007155A8" w:rsidP="00686834">
            <w:pPr>
              <w:pStyle w:val="BodyText"/>
              <w:widowControl/>
              <w:numPr>
                <w:ilvl w:val="0"/>
                <w:numId w:val="16"/>
              </w:numPr>
              <w:spacing w:after="0"/>
              <w:ind w:left="205" w:hanging="218"/>
              <w:rPr>
                <w:sz w:val="16"/>
                <w:szCs w:val="16"/>
              </w:rPr>
            </w:pPr>
            <w:r w:rsidRPr="00CE6ECE">
              <w:rPr>
                <w:sz w:val="16"/>
                <w:szCs w:val="16"/>
              </w:rPr>
              <w:t>Manufacture of computer, electronic and optical products, electrical equipment</w:t>
            </w:r>
          </w:p>
        </w:tc>
        <w:tc>
          <w:tcPr>
            <w:tcW w:w="1571" w:type="dxa"/>
          </w:tcPr>
          <w:p w14:paraId="46DB0233" w14:textId="77777777" w:rsidR="007155A8" w:rsidRPr="00CE6ECE" w:rsidRDefault="007155A8">
            <w:pPr>
              <w:pStyle w:val="Caption"/>
              <w:ind w:left="0"/>
              <w:jc w:val="center"/>
              <w:rPr>
                <w:sz w:val="16"/>
                <w:szCs w:val="16"/>
              </w:rPr>
            </w:pPr>
            <w:r w:rsidRPr="00CE6ECE">
              <w:rPr>
                <w:sz w:val="16"/>
                <w:szCs w:val="16"/>
              </w:rPr>
              <w:t>Yes</w:t>
            </w:r>
          </w:p>
        </w:tc>
        <w:tc>
          <w:tcPr>
            <w:tcW w:w="1611" w:type="dxa"/>
          </w:tcPr>
          <w:p w14:paraId="5AF032D2" w14:textId="77777777" w:rsidR="007155A8" w:rsidRPr="00CE6ECE" w:rsidRDefault="007155A8" w:rsidP="007155A8">
            <w:pPr>
              <w:pStyle w:val="Caption"/>
              <w:ind w:left="0"/>
              <w:jc w:val="center"/>
              <w:rPr>
                <w:sz w:val="16"/>
                <w:szCs w:val="16"/>
              </w:rPr>
            </w:pPr>
            <w:r w:rsidRPr="00B6616D">
              <w:rPr>
                <w:sz w:val="16"/>
                <w:szCs w:val="16"/>
              </w:rPr>
              <w:t>Yes</w:t>
            </w:r>
          </w:p>
        </w:tc>
      </w:tr>
      <w:tr w:rsidR="007155A8" w:rsidRPr="00035135" w14:paraId="301279E5" w14:textId="77777777" w:rsidTr="00FB5AF3">
        <w:tc>
          <w:tcPr>
            <w:tcW w:w="1564" w:type="dxa"/>
            <w:shd w:val="clear" w:color="auto" w:fill="auto"/>
            <w:vAlign w:val="center"/>
          </w:tcPr>
          <w:p w14:paraId="1B8D64FC" w14:textId="77777777" w:rsidR="007155A8" w:rsidRPr="0033478E" w:rsidRDefault="007155A8" w:rsidP="007155A8">
            <w:pPr>
              <w:pStyle w:val="BodyText"/>
              <w:rPr>
                <w:b/>
                <w:sz w:val="18"/>
              </w:rPr>
            </w:pPr>
            <w:r>
              <w:rPr>
                <w:b/>
                <w:sz w:val="18"/>
                <w:lang w:val="en-IE"/>
              </w:rPr>
              <w:t>U</w:t>
            </w:r>
            <w:r w:rsidRPr="0033478E">
              <w:rPr>
                <w:b/>
                <w:sz w:val="18"/>
                <w:lang w:val="en-IE"/>
              </w:rPr>
              <w:t>ses by professional workers</w:t>
            </w:r>
          </w:p>
        </w:tc>
        <w:tc>
          <w:tcPr>
            <w:tcW w:w="4644" w:type="dxa"/>
            <w:shd w:val="clear" w:color="auto" w:fill="auto"/>
            <w:vAlign w:val="center"/>
          </w:tcPr>
          <w:p w14:paraId="1A67DFB5" w14:textId="77777777" w:rsidR="007155A8" w:rsidRPr="00CE6ECE" w:rsidRDefault="007155A8" w:rsidP="00CE6ECE">
            <w:pPr>
              <w:pStyle w:val="Caption"/>
              <w:spacing w:before="0" w:after="0"/>
              <w:ind w:left="0"/>
              <w:jc w:val="left"/>
              <w:rPr>
                <w:sz w:val="16"/>
                <w:szCs w:val="16"/>
              </w:rPr>
            </w:pPr>
            <w:r w:rsidRPr="00CE6ECE">
              <w:rPr>
                <w:sz w:val="16"/>
                <w:szCs w:val="16"/>
              </w:rPr>
              <w:t>Article category related to subsequent service life</w:t>
            </w:r>
          </w:p>
          <w:p w14:paraId="1DFDD329" w14:textId="77777777" w:rsidR="007155A8" w:rsidRPr="00CE6ECE" w:rsidRDefault="007155A8" w:rsidP="00686834">
            <w:pPr>
              <w:pStyle w:val="BodyText"/>
              <w:widowControl/>
              <w:numPr>
                <w:ilvl w:val="0"/>
                <w:numId w:val="16"/>
              </w:numPr>
              <w:spacing w:after="0"/>
              <w:ind w:left="205" w:hanging="218"/>
              <w:rPr>
                <w:sz w:val="16"/>
                <w:szCs w:val="16"/>
              </w:rPr>
            </w:pPr>
            <w:r w:rsidRPr="00CE6ECE">
              <w:rPr>
                <w:sz w:val="16"/>
                <w:szCs w:val="16"/>
              </w:rPr>
              <w:t xml:space="preserve">Vehicles </w:t>
            </w:r>
          </w:p>
          <w:p w14:paraId="2D9A8C69" w14:textId="77777777" w:rsidR="007155A8" w:rsidRPr="00CE6ECE" w:rsidRDefault="007155A8" w:rsidP="00686834">
            <w:pPr>
              <w:pStyle w:val="BodyText"/>
              <w:widowControl/>
              <w:numPr>
                <w:ilvl w:val="0"/>
                <w:numId w:val="16"/>
              </w:numPr>
              <w:spacing w:after="0"/>
              <w:ind w:left="205" w:hanging="218"/>
              <w:rPr>
                <w:sz w:val="16"/>
                <w:szCs w:val="16"/>
              </w:rPr>
            </w:pPr>
            <w:r w:rsidRPr="00CE6ECE">
              <w:rPr>
                <w:sz w:val="16"/>
                <w:szCs w:val="16"/>
              </w:rPr>
              <w:t xml:space="preserve">Machinery, mechanical appliances, electrical/electronic articles </w:t>
            </w:r>
          </w:p>
          <w:p w14:paraId="1D095AAF" w14:textId="77777777" w:rsidR="007155A8" w:rsidRPr="00CE6ECE" w:rsidRDefault="007155A8" w:rsidP="00686834">
            <w:pPr>
              <w:pStyle w:val="BodyText"/>
              <w:widowControl/>
              <w:numPr>
                <w:ilvl w:val="0"/>
                <w:numId w:val="16"/>
              </w:numPr>
              <w:spacing w:after="0"/>
              <w:ind w:left="205" w:hanging="218"/>
              <w:rPr>
                <w:sz w:val="16"/>
                <w:szCs w:val="16"/>
              </w:rPr>
            </w:pPr>
            <w:r w:rsidRPr="00CE6ECE">
              <w:rPr>
                <w:sz w:val="16"/>
                <w:szCs w:val="16"/>
              </w:rPr>
              <w:t xml:space="preserve">Electrical batteries and accumulators </w:t>
            </w:r>
          </w:p>
          <w:p w14:paraId="0AE8AA71" w14:textId="77777777" w:rsidR="007155A8" w:rsidRPr="00CE6ECE" w:rsidRDefault="007155A8" w:rsidP="00686834">
            <w:pPr>
              <w:pStyle w:val="BodyText"/>
              <w:widowControl/>
              <w:numPr>
                <w:ilvl w:val="0"/>
                <w:numId w:val="16"/>
              </w:numPr>
              <w:spacing w:after="0"/>
              <w:ind w:left="205" w:hanging="218"/>
              <w:rPr>
                <w:sz w:val="16"/>
                <w:szCs w:val="16"/>
              </w:rPr>
            </w:pPr>
            <w:r w:rsidRPr="00CE6ECE">
              <w:rPr>
                <w:sz w:val="16"/>
                <w:szCs w:val="16"/>
              </w:rPr>
              <w:t xml:space="preserve">Fabrics, textiles and apparel </w:t>
            </w:r>
          </w:p>
          <w:p w14:paraId="1ADF73BD" w14:textId="77777777" w:rsidR="007155A8" w:rsidRPr="00CE6ECE" w:rsidRDefault="007155A8" w:rsidP="00686834">
            <w:pPr>
              <w:pStyle w:val="BodyText"/>
              <w:widowControl/>
              <w:numPr>
                <w:ilvl w:val="0"/>
                <w:numId w:val="16"/>
              </w:numPr>
              <w:spacing w:after="0"/>
              <w:ind w:left="205" w:hanging="218"/>
              <w:rPr>
                <w:sz w:val="16"/>
                <w:szCs w:val="16"/>
              </w:rPr>
            </w:pPr>
            <w:r w:rsidRPr="00CE6ECE">
              <w:rPr>
                <w:sz w:val="16"/>
                <w:szCs w:val="16"/>
              </w:rPr>
              <w:t>Plastic articles</w:t>
            </w:r>
          </w:p>
          <w:p w14:paraId="0967E677" w14:textId="77777777" w:rsidR="007155A8" w:rsidRPr="00CE6ECE" w:rsidRDefault="007155A8">
            <w:pPr>
              <w:rPr>
                <w:sz w:val="16"/>
                <w:szCs w:val="16"/>
                <w:lang w:eastAsia="en-GB"/>
              </w:rPr>
            </w:pPr>
          </w:p>
        </w:tc>
        <w:tc>
          <w:tcPr>
            <w:tcW w:w="1571" w:type="dxa"/>
          </w:tcPr>
          <w:p w14:paraId="72011DAC" w14:textId="77777777" w:rsidR="007155A8" w:rsidRPr="00CE6ECE" w:rsidRDefault="007155A8">
            <w:pPr>
              <w:pStyle w:val="Caption"/>
              <w:jc w:val="center"/>
              <w:rPr>
                <w:sz w:val="16"/>
                <w:szCs w:val="16"/>
              </w:rPr>
            </w:pPr>
            <w:r w:rsidRPr="00CE6ECE">
              <w:rPr>
                <w:sz w:val="16"/>
                <w:szCs w:val="16"/>
              </w:rPr>
              <w:t>Yes</w:t>
            </w:r>
          </w:p>
        </w:tc>
        <w:tc>
          <w:tcPr>
            <w:tcW w:w="1611" w:type="dxa"/>
          </w:tcPr>
          <w:p w14:paraId="2FDC4366" w14:textId="77777777" w:rsidR="007155A8" w:rsidRPr="00CE6ECE" w:rsidRDefault="007155A8" w:rsidP="007155A8">
            <w:pPr>
              <w:pStyle w:val="Caption"/>
              <w:jc w:val="center"/>
              <w:rPr>
                <w:sz w:val="16"/>
                <w:szCs w:val="16"/>
                <w:lang w:val="en-IE"/>
              </w:rPr>
            </w:pPr>
            <w:r w:rsidRPr="00B6616D">
              <w:rPr>
                <w:sz w:val="16"/>
                <w:szCs w:val="16"/>
              </w:rPr>
              <w:t>Yes</w:t>
            </w:r>
          </w:p>
        </w:tc>
      </w:tr>
      <w:tr w:rsidR="007155A8" w:rsidRPr="00035135" w14:paraId="38AF5919" w14:textId="77777777" w:rsidTr="00FB5AF3">
        <w:trPr>
          <w:cantSplit/>
        </w:trPr>
        <w:tc>
          <w:tcPr>
            <w:tcW w:w="1564" w:type="dxa"/>
            <w:shd w:val="clear" w:color="auto" w:fill="auto"/>
            <w:vAlign w:val="center"/>
          </w:tcPr>
          <w:p w14:paraId="4FDB17DD" w14:textId="77777777" w:rsidR="007155A8" w:rsidRPr="0033478E" w:rsidRDefault="007155A8" w:rsidP="007155A8">
            <w:pPr>
              <w:pStyle w:val="BodyText"/>
              <w:rPr>
                <w:b/>
                <w:sz w:val="18"/>
              </w:rPr>
            </w:pPr>
            <w:r w:rsidRPr="0033478E">
              <w:rPr>
                <w:b/>
                <w:sz w:val="18"/>
              </w:rPr>
              <w:t xml:space="preserve">Consumer </w:t>
            </w:r>
            <w:r>
              <w:rPr>
                <w:b/>
                <w:sz w:val="18"/>
              </w:rPr>
              <w:t>u</w:t>
            </w:r>
            <w:r w:rsidRPr="0033478E">
              <w:rPr>
                <w:b/>
                <w:sz w:val="18"/>
              </w:rPr>
              <w:t>ses</w:t>
            </w:r>
          </w:p>
        </w:tc>
        <w:tc>
          <w:tcPr>
            <w:tcW w:w="4644" w:type="dxa"/>
            <w:shd w:val="clear" w:color="auto" w:fill="auto"/>
            <w:vAlign w:val="center"/>
          </w:tcPr>
          <w:p w14:paraId="232F52AD" w14:textId="77777777" w:rsidR="007155A8" w:rsidRPr="00CE6ECE" w:rsidRDefault="007155A8" w:rsidP="00686834">
            <w:pPr>
              <w:pStyle w:val="BodyText"/>
              <w:widowControl/>
              <w:numPr>
                <w:ilvl w:val="0"/>
                <w:numId w:val="16"/>
              </w:numPr>
              <w:spacing w:after="0"/>
              <w:ind w:left="205" w:hanging="218"/>
              <w:rPr>
                <w:sz w:val="16"/>
                <w:szCs w:val="16"/>
              </w:rPr>
            </w:pPr>
            <w:r w:rsidRPr="00CE6ECE">
              <w:rPr>
                <w:sz w:val="16"/>
                <w:szCs w:val="16"/>
              </w:rPr>
              <w:t xml:space="preserve">Adhesives, sealants. </w:t>
            </w:r>
          </w:p>
          <w:p w14:paraId="69838512" w14:textId="77777777" w:rsidR="007155A8" w:rsidRPr="00CE6ECE" w:rsidRDefault="007155A8" w:rsidP="00686834">
            <w:pPr>
              <w:pStyle w:val="BodyText"/>
              <w:widowControl/>
              <w:numPr>
                <w:ilvl w:val="0"/>
                <w:numId w:val="16"/>
              </w:numPr>
              <w:spacing w:after="0"/>
              <w:ind w:left="205" w:hanging="218"/>
              <w:rPr>
                <w:sz w:val="16"/>
                <w:szCs w:val="16"/>
              </w:rPr>
            </w:pPr>
            <w:r w:rsidRPr="00CE6ECE">
              <w:rPr>
                <w:sz w:val="16"/>
                <w:szCs w:val="16"/>
              </w:rPr>
              <w:t xml:space="preserve">Explosives. </w:t>
            </w:r>
          </w:p>
          <w:p w14:paraId="7594F5A7" w14:textId="77777777" w:rsidR="007155A8" w:rsidRPr="00CE6ECE" w:rsidRDefault="007155A8" w:rsidP="00686834">
            <w:pPr>
              <w:pStyle w:val="BodyText"/>
              <w:widowControl/>
              <w:numPr>
                <w:ilvl w:val="0"/>
                <w:numId w:val="16"/>
              </w:numPr>
              <w:spacing w:after="0"/>
              <w:ind w:left="205" w:hanging="218"/>
              <w:rPr>
                <w:sz w:val="16"/>
                <w:szCs w:val="16"/>
              </w:rPr>
            </w:pPr>
            <w:r w:rsidRPr="00CE6ECE">
              <w:rPr>
                <w:sz w:val="16"/>
                <w:szCs w:val="16"/>
              </w:rPr>
              <w:t xml:space="preserve">Metal surface treatment products, including galvanic and electroplating products. </w:t>
            </w:r>
          </w:p>
          <w:p w14:paraId="6EA0FA02" w14:textId="77777777" w:rsidR="007155A8" w:rsidRPr="000C22AB" w:rsidRDefault="007155A8" w:rsidP="00686834">
            <w:pPr>
              <w:pStyle w:val="BodyText"/>
              <w:widowControl/>
              <w:numPr>
                <w:ilvl w:val="0"/>
                <w:numId w:val="16"/>
              </w:numPr>
              <w:spacing w:after="0"/>
              <w:ind w:left="205" w:hanging="218"/>
              <w:rPr>
                <w:sz w:val="16"/>
                <w:szCs w:val="16"/>
              </w:rPr>
            </w:pPr>
            <w:r w:rsidRPr="00CE6ECE">
              <w:rPr>
                <w:sz w:val="16"/>
                <w:szCs w:val="16"/>
              </w:rPr>
              <w:t>Polymer preparations and compounds.</w:t>
            </w:r>
          </w:p>
        </w:tc>
        <w:tc>
          <w:tcPr>
            <w:tcW w:w="1571" w:type="dxa"/>
          </w:tcPr>
          <w:p w14:paraId="30A3FFC3" w14:textId="77777777" w:rsidR="007155A8" w:rsidRPr="00CE6ECE" w:rsidRDefault="007155A8">
            <w:pPr>
              <w:pStyle w:val="Caption"/>
              <w:jc w:val="center"/>
              <w:rPr>
                <w:sz w:val="18"/>
              </w:rPr>
            </w:pPr>
            <w:r w:rsidRPr="00CE6ECE">
              <w:rPr>
                <w:sz w:val="18"/>
              </w:rPr>
              <w:t>Yes</w:t>
            </w:r>
          </w:p>
        </w:tc>
        <w:tc>
          <w:tcPr>
            <w:tcW w:w="1611" w:type="dxa"/>
          </w:tcPr>
          <w:p w14:paraId="1E979802" w14:textId="77777777" w:rsidR="007155A8" w:rsidRPr="0033478E" w:rsidRDefault="007155A8" w:rsidP="007155A8">
            <w:pPr>
              <w:pStyle w:val="Caption"/>
              <w:jc w:val="center"/>
              <w:rPr>
                <w:sz w:val="18"/>
                <w:lang w:val="en-IE"/>
              </w:rPr>
            </w:pPr>
            <w:r w:rsidRPr="00B6616D">
              <w:rPr>
                <w:sz w:val="18"/>
              </w:rPr>
              <w:t>Yes</w:t>
            </w:r>
          </w:p>
        </w:tc>
      </w:tr>
      <w:tr w:rsidR="007155A8" w:rsidRPr="00035135" w14:paraId="4A92C126" w14:textId="77777777" w:rsidTr="00FB5AF3">
        <w:tc>
          <w:tcPr>
            <w:tcW w:w="1564" w:type="dxa"/>
            <w:shd w:val="clear" w:color="auto" w:fill="auto"/>
            <w:vAlign w:val="center"/>
          </w:tcPr>
          <w:p w14:paraId="39F9DBCA" w14:textId="77777777" w:rsidR="007155A8" w:rsidRPr="0033478E" w:rsidRDefault="007155A8" w:rsidP="007155A8">
            <w:pPr>
              <w:pStyle w:val="BodyText"/>
              <w:rPr>
                <w:b/>
                <w:sz w:val="18"/>
              </w:rPr>
            </w:pPr>
            <w:r>
              <w:rPr>
                <w:b/>
                <w:sz w:val="18"/>
                <w:lang w:val="en-IE"/>
              </w:rPr>
              <w:t xml:space="preserve">Article service </w:t>
            </w:r>
            <w:r w:rsidRPr="0033478E">
              <w:rPr>
                <w:b/>
                <w:sz w:val="18"/>
                <w:lang w:val="en-IE"/>
              </w:rPr>
              <w:t>life</w:t>
            </w:r>
          </w:p>
        </w:tc>
        <w:tc>
          <w:tcPr>
            <w:tcW w:w="4644" w:type="dxa"/>
            <w:shd w:val="clear" w:color="auto" w:fill="auto"/>
            <w:vAlign w:val="center"/>
          </w:tcPr>
          <w:p w14:paraId="4171A7B4" w14:textId="77777777" w:rsidR="007155A8" w:rsidRPr="00CE6ECE" w:rsidRDefault="007155A8" w:rsidP="00686834">
            <w:pPr>
              <w:pStyle w:val="BodyText"/>
              <w:widowControl/>
              <w:numPr>
                <w:ilvl w:val="0"/>
                <w:numId w:val="16"/>
              </w:numPr>
              <w:spacing w:after="0"/>
              <w:ind w:left="205" w:hanging="218"/>
              <w:rPr>
                <w:sz w:val="16"/>
                <w:szCs w:val="16"/>
              </w:rPr>
            </w:pPr>
            <w:r w:rsidRPr="00CE6ECE">
              <w:rPr>
                <w:sz w:val="16"/>
                <w:szCs w:val="16"/>
              </w:rPr>
              <w:t xml:space="preserve">Vehicles. </w:t>
            </w:r>
          </w:p>
          <w:p w14:paraId="403B7DA1" w14:textId="77777777" w:rsidR="007155A8" w:rsidRPr="00CE6ECE" w:rsidRDefault="007155A8" w:rsidP="00686834">
            <w:pPr>
              <w:pStyle w:val="BodyText"/>
              <w:widowControl/>
              <w:numPr>
                <w:ilvl w:val="0"/>
                <w:numId w:val="16"/>
              </w:numPr>
              <w:spacing w:after="0"/>
              <w:ind w:left="205" w:hanging="218"/>
              <w:rPr>
                <w:sz w:val="16"/>
                <w:szCs w:val="16"/>
              </w:rPr>
            </w:pPr>
            <w:r w:rsidRPr="00CE6ECE">
              <w:rPr>
                <w:sz w:val="16"/>
                <w:szCs w:val="16"/>
              </w:rPr>
              <w:t xml:space="preserve">Machinery, mechanical appliances, electrical/electronic articles. </w:t>
            </w:r>
          </w:p>
          <w:p w14:paraId="454F7024" w14:textId="77777777" w:rsidR="007155A8" w:rsidRPr="00CE6ECE" w:rsidRDefault="007155A8" w:rsidP="00686834">
            <w:pPr>
              <w:pStyle w:val="BodyText"/>
              <w:widowControl/>
              <w:numPr>
                <w:ilvl w:val="0"/>
                <w:numId w:val="16"/>
              </w:numPr>
              <w:spacing w:after="0"/>
              <w:ind w:left="205" w:hanging="218"/>
              <w:rPr>
                <w:sz w:val="16"/>
                <w:szCs w:val="16"/>
              </w:rPr>
            </w:pPr>
            <w:r w:rsidRPr="00CE6ECE">
              <w:rPr>
                <w:sz w:val="16"/>
                <w:szCs w:val="16"/>
              </w:rPr>
              <w:t xml:space="preserve">Electrical batteries and accumulators. </w:t>
            </w:r>
          </w:p>
          <w:p w14:paraId="138DE913" w14:textId="77777777" w:rsidR="007155A8" w:rsidRPr="00CE6ECE" w:rsidRDefault="007155A8" w:rsidP="00686834">
            <w:pPr>
              <w:pStyle w:val="BodyText"/>
              <w:widowControl/>
              <w:numPr>
                <w:ilvl w:val="0"/>
                <w:numId w:val="16"/>
              </w:numPr>
              <w:spacing w:after="0"/>
              <w:ind w:left="205" w:hanging="218"/>
              <w:rPr>
                <w:sz w:val="16"/>
                <w:szCs w:val="16"/>
              </w:rPr>
            </w:pPr>
            <w:r w:rsidRPr="00CE6ECE">
              <w:rPr>
                <w:sz w:val="16"/>
                <w:szCs w:val="16"/>
              </w:rPr>
              <w:t xml:space="preserve">Stone, plaster, cement, glass and ceramic articles. </w:t>
            </w:r>
          </w:p>
          <w:p w14:paraId="46334921" w14:textId="77777777" w:rsidR="007155A8" w:rsidRPr="00CE6ECE" w:rsidRDefault="007155A8" w:rsidP="00686834">
            <w:pPr>
              <w:pStyle w:val="BodyText"/>
              <w:widowControl/>
              <w:numPr>
                <w:ilvl w:val="0"/>
                <w:numId w:val="16"/>
              </w:numPr>
              <w:spacing w:after="0"/>
              <w:ind w:left="205" w:hanging="218"/>
              <w:rPr>
                <w:sz w:val="16"/>
                <w:szCs w:val="16"/>
              </w:rPr>
            </w:pPr>
            <w:r w:rsidRPr="00CE6ECE">
              <w:rPr>
                <w:sz w:val="16"/>
                <w:szCs w:val="16"/>
              </w:rPr>
              <w:t xml:space="preserve">Fabrics, textiles and apparel. </w:t>
            </w:r>
          </w:p>
          <w:p w14:paraId="38895EEA" w14:textId="77777777" w:rsidR="007155A8" w:rsidRPr="000C22AB" w:rsidRDefault="007155A8" w:rsidP="00686834">
            <w:pPr>
              <w:pStyle w:val="BodyText"/>
              <w:widowControl/>
              <w:numPr>
                <w:ilvl w:val="0"/>
                <w:numId w:val="16"/>
              </w:numPr>
              <w:spacing w:after="0"/>
              <w:ind w:left="205" w:hanging="218"/>
              <w:rPr>
                <w:sz w:val="16"/>
                <w:szCs w:val="16"/>
              </w:rPr>
            </w:pPr>
            <w:r w:rsidRPr="00CE6ECE">
              <w:rPr>
                <w:sz w:val="16"/>
                <w:szCs w:val="16"/>
              </w:rPr>
              <w:t>Leather articles.</w:t>
            </w:r>
          </w:p>
          <w:p w14:paraId="090B0E61" w14:textId="77777777" w:rsidR="007155A8" w:rsidRPr="000C22AB" w:rsidRDefault="007155A8" w:rsidP="00686834">
            <w:pPr>
              <w:pStyle w:val="BodyText"/>
              <w:widowControl/>
              <w:numPr>
                <w:ilvl w:val="0"/>
                <w:numId w:val="16"/>
              </w:numPr>
              <w:spacing w:after="0"/>
              <w:ind w:left="205" w:hanging="218"/>
              <w:rPr>
                <w:sz w:val="16"/>
                <w:szCs w:val="16"/>
              </w:rPr>
            </w:pPr>
            <w:r w:rsidRPr="00CE6ECE">
              <w:rPr>
                <w:sz w:val="16"/>
                <w:szCs w:val="16"/>
              </w:rPr>
              <w:t>Rubber articles</w:t>
            </w:r>
          </w:p>
        </w:tc>
        <w:tc>
          <w:tcPr>
            <w:tcW w:w="1571" w:type="dxa"/>
          </w:tcPr>
          <w:p w14:paraId="08334AC6" w14:textId="77777777" w:rsidR="007155A8" w:rsidRPr="00CE6ECE" w:rsidRDefault="007155A8">
            <w:pPr>
              <w:pStyle w:val="Caption"/>
              <w:ind w:left="0"/>
              <w:jc w:val="center"/>
              <w:rPr>
                <w:sz w:val="18"/>
              </w:rPr>
            </w:pPr>
            <w:r w:rsidRPr="00CE6ECE">
              <w:rPr>
                <w:sz w:val="18"/>
              </w:rPr>
              <w:t>Yes</w:t>
            </w:r>
          </w:p>
        </w:tc>
        <w:tc>
          <w:tcPr>
            <w:tcW w:w="1611" w:type="dxa"/>
          </w:tcPr>
          <w:p w14:paraId="32C855DD" w14:textId="77777777" w:rsidR="007155A8" w:rsidRPr="0033478E" w:rsidRDefault="00327FE7" w:rsidP="007155A8">
            <w:pPr>
              <w:pStyle w:val="Caption"/>
              <w:ind w:left="0"/>
              <w:jc w:val="center"/>
              <w:rPr>
                <w:sz w:val="18"/>
                <w:lang w:val="en-IE"/>
              </w:rPr>
            </w:pPr>
            <w:r>
              <w:rPr>
                <w:sz w:val="18"/>
              </w:rPr>
              <w:t>Potentially</w:t>
            </w:r>
          </w:p>
        </w:tc>
      </w:tr>
    </w:tbl>
    <w:p w14:paraId="7B089BAE" w14:textId="77777777" w:rsidR="000C22AB" w:rsidRDefault="000C22AB" w:rsidP="00DA46BC">
      <w:pPr>
        <w:pStyle w:val="Heading2"/>
      </w:pPr>
      <w:bookmarkStart w:id="808" w:name="_Toc485194484"/>
    </w:p>
    <w:p w14:paraId="144949FD" w14:textId="77777777" w:rsidR="00DA46BC" w:rsidRPr="000A6FDD" w:rsidRDefault="00DA46BC" w:rsidP="00DA46BC">
      <w:pPr>
        <w:pStyle w:val="Heading2"/>
      </w:pPr>
      <w:bookmarkStart w:id="809" w:name="_Toc491862254"/>
      <w:r w:rsidRPr="00BA0ECA">
        <w:t>Quantities</w:t>
      </w:r>
      <w:bookmarkEnd w:id="808"/>
      <w:bookmarkEnd w:id="809"/>
    </w:p>
    <w:p w14:paraId="5AA8386A" w14:textId="77777777" w:rsidR="00B16C8B" w:rsidRPr="00F558AF" w:rsidRDefault="00B16C8B" w:rsidP="00F558AF">
      <w:pPr>
        <w:pStyle w:val="Caption"/>
      </w:pPr>
      <w:bookmarkStart w:id="810" w:name="_Ref427767466"/>
      <w:bookmarkStart w:id="811" w:name="_Toc439772077"/>
      <w:bookmarkStart w:id="812" w:name="_Toc491778965"/>
      <w:bookmarkStart w:id="813" w:name="_Toc422996198"/>
      <w:r w:rsidRPr="00F558AF">
        <w:t xml:space="preserve">Table </w:t>
      </w:r>
      <w:fldSimple w:instr=" SEQ Table \* ARABIC ">
        <w:r w:rsidR="00F0628F">
          <w:rPr>
            <w:noProof/>
          </w:rPr>
          <w:t>15</w:t>
        </w:r>
      </w:fldSimple>
      <w:bookmarkEnd w:id="810"/>
      <w:r w:rsidRPr="00F558AF">
        <w:t>:</w:t>
      </w:r>
      <w:r w:rsidRPr="00F558AF">
        <w:tab/>
        <w:t>Non-confidential descriptor codes used in registration</w:t>
      </w:r>
      <w:bookmarkEnd w:id="811"/>
      <w:bookmarkEnd w:id="812"/>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8121"/>
      </w:tblGrid>
      <w:tr w:rsidR="00B16C8B" w:rsidRPr="000C22AB" w14:paraId="3B905B26" w14:textId="77777777" w:rsidTr="00327FE7">
        <w:trPr>
          <w:tblHeader/>
        </w:trPr>
        <w:tc>
          <w:tcPr>
            <w:tcW w:w="1362" w:type="dxa"/>
            <w:tcBorders>
              <w:top w:val="single" w:sz="12" w:space="0" w:color="auto"/>
              <w:left w:val="single" w:sz="12" w:space="0" w:color="auto"/>
              <w:bottom w:val="single" w:sz="12" w:space="0" w:color="auto"/>
            </w:tcBorders>
            <w:shd w:val="clear" w:color="auto" w:fill="auto"/>
          </w:tcPr>
          <w:p w14:paraId="02891B9E" w14:textId="77777777" w:rsidR="00B16C8B" w:rsidRPr="000C22AB" w:rsidRDefault="00B16C8B" w:rsidP="000366E9">
            <w:pPr>
              <w:rPr>
                <w:b/>
                <w:sz w:val="18"/>
                <w:szCs w:val="18"/>
              </w:rPr>
            </w:pPr>
            <w:r w:rsidRPr="000C22AB">
              <w:rPr>
                <w:b/>
                <w:sz w:val="18"/>
                <w:szCs w:val="18"/>
              </w:rPr>
              <w:t>Life cycle stage</w:t>
            </w:r>
          </w:p>
        </w:tc>
        <w:tc>
          <w:tcPr>
            <w:tcW w:w="8121" w:type="dxa"/>
            <w:tcBorders>
              <w:top w:val="single" w:sz="12" w:space="0" w:color="auto"/>
              <w:bottom w:val="single" w:sz="12" w:space="0" w:color="auto"/>
            </w:tcBorders>
            <w:shd w:val="clear" w:color="auto" w:fill="auto"/>
          </w:tcPr>
          <w:p w14:paraId="60F53F75" w14:textId="77777777" w:rsidR="00B16C8B" w:rsidRPr="000C22AB" w:rsidRDefault="00B16C8B" w:rsidP="000366E9">
            <w:pPr>
              <w:rPr>
                <w:b/>
                <w:sz w:val="18"/>
                <w:szCs w:val="18"/>
              </w:rPr>
            </w:pPr>
            <w:r w:rsidRPr="000C22AB">
              <w:rPr>
                <w:b/>
                <w:sz w:val="18"/>
                <w:szCs w:val="18"/>
              </w:rPr>
              <w:t>Descriptor codes</w:t>
            </w:r>
          </w:p>
        </w:tc>
      </w:tr>
      <w:tr w:rsidR="00B16C8B" w:rsidRPr="000A6FDD" w14:paraId="73C1AAB6" w14:textId="77777777" w:rsidTr="00327FE7">
        <w:tc>
          <w:tcPr>
            <w:tcW w:w="1362" w:type="dxa"/>
            <w:tcBorders>
              <w:top w:val="single" w:sz="12" w:space="0" w:color="auto"/>
              <w:left w:val="single" w:sz="12" w:space="0" w:color="auto"/>
            </w:tcBorders>
            <w:shd w:val="clear" w:color="auto" w:fill="auto"/>
          </w:tcPr>
          <w:p w14:paraId="2C05A403" w14:textId="77777777" w:rsidR="00B16C8B" w:rsidRPr="000C22AB" w:rsidRDefault="00B16C8B" w:rsidP="000C22AB">
            <w:pPr>
              <w:pStyle w:val="Tabletext0"/>
              <w:ind w:left="0"/>
              <w:jc w:val="left"/>
              <w:rPr>
                <w:sz w:val="18"/>
                <w:szCs w:val="18"/>
              </w:rPr>
            </w:pPr>
            <w:r w:rsidRPr="000C22AB">
              <w:rPr>
                <w:sz w:val="18"/>
                <w:szCs w:val="18"/>
              </w:rPr>
              <w:t>Formulation</w:t>
            </w:r>
          </w:p>
        </w:tc>
        <w:tc>
          <w:tcPr>
            <w:tcW w:w="8121" w:type="dxa"/>
            <w:tcBorders>
              <w:top w:val="single" w:sz="12" w:space="0" w:color="auto"/>
            </w:tcBorders>
            <w:shd w:val="clear" w:color="auto" w:fill="auto"/>
          </w:tcPr>
          <w:p w14:paraId="6F71CD72" w14:textId="77777777" w:rsidR="00B16C8B" w:rsidRPr="000C22AB" w:rsidRDefault="00B16C8B">
            <w:pPr>
              <w:pStyle w:val="BodyText"/>
              <w:spacing w:after="0"/>
              <w:rPr>
                <w:sz w:val="18"/>
                <w:szCs w:val="18"/>
              </w:rPr>
            </w:pPr>
            <w:r w:rsidRPr="000C22AB">
              <w:rPr>
                <w:b/>
                <w:sz w:val="18"/>
                <w:szCs w:val="18"/>
              </w:rPr>
              <w:t>Process category</w:t>
            </w:r>
            <w:r w:rsidRPr="000C22AB">
              <w:rPr>
                <w:sz w:val="18"/>
                <w:szCs w:val="18"/>
              </w:rPr>
              <w:t xml:space="preserve"> PROC 23: Open processing and transfer operations with minerals/metals at elevated temperature</w:t>
            </w:r>
          </w:p>
          <w:p w14:paraId="7BE37DC1" w14:textId="77777777" w:rsidR="00B16C8B" w:rsidRPr="000C22AB" w:rsidRDefault="00B16C8B">
            <w:pPr>
              <w:pStyle w:val="BodyText"/>
              <w:spacing w:after="0"/>
              <w:rPr>
                <w:sz w:val="18"/>
                <w:szCs w:val="18"/>
              </w:rPr>
            </w:pPr>
            <w:r w:rsidRPr="000C22AB">
              <w:rPr>
                <w:b/>
                <w:sz w:val="18"/>
                <w:szCs w:val="18"/>
              </w:rPr>
              <w:t>Environmental release category</w:t>
            </w:r>
            <w:r w:rsidRPr="000C22AB">
              <w:rPr>
                <w:sz w:val="18"/>
                <w:szCs w:val="18"/>
              </w:rPr>
              <w:t xml:space="preserve"> ERC 2: Formulation of preparations</w:t>
            </w:r>
          </w:p>
          <w:p w14:paraId="615C5251" w14:textId="77777777" w:rsidR="00B16C8B" w:rsidRPr="000C22AB" w:rsidRDefault="00B16C8B">
            <w:pPr>
              <w:pStyle w:val="BodyText"/>
              <w:spacing w:after="0"/>
              <w:rPr>
                <w:sz w:val="18"/>
                <w:szCs w:val="18"/>
              </w:rPr>
            </w:pPr>
            <w:r w:rsidRPr="000C22AB">
              <w:rPr>
                <w:b/>
                <w:sz w:val="18"/>
                <w:szCs w:val="18"/>
              </w:rPr>
              <w:t>Substance supplied to that use in form of</w:t>
            </w:r>
            <w:r w:rsidRPr="000C22AB">
              <w:rPr>
                <w:sz w:val="18"/>
                <w:szCs w:val="18"/>
              </w:rPr>
              <w:t xml:space="preserve"> As such</w:t>
            </w:r>
          </w:p>
          <w:p w14:paraId="2DCEDB59" w14:textId="77777777" w:rsidR="00B16C8B" w:rsidRPr="000C22AB" w:rsidRDefault="00B16C8B">
            <w:pPr>
              <w:pStyle w:val="BodyText"/>
              <w:spacing w:after="0"/>
              <w:rPr>
                <w:i/>
                <w:sz w:val="18"/>
                <w:szCs w:val="18"/>
              </w:rPr>
            </w:pPr>
          </w:p>
        </w:tc>
      </w:tr>
      <w:tr w:rsidR="00B16C8B" w:rsidRPr="000A6FDD" w14:paraId="0362FECF" w14:textId="77777777" w:rsidTr="00327FE7">
        <w:tc>
          <w:tcPr>
            <w:tcW w:w="1362" w:type="dxa"/>
            <w:tcBorders>
              <w:left w:val="single" w:sz="12" w:space="0" w:color="auto"/>
            </w:tcBorders>
            <w:shd w:val="clear" w:color="auto" w:fill="auto"/>
          </w:tcPr>
          <w:p w14:paraId="67BF0FF6" w14:textId="77777777" w:rsidR="00B16C8B" w:rsidRPr="000C22AB" w:rsidRDefault="00B16C8B" w:rsidP="000C22AB">
            <w:pPr>
              <w:pStyle w:val="Tabletext0"/>
              <w:ind w:left="0"/>
              <w:jc w:val="left"/>
              <w:rPr>
                <w:sz w:val="18"/>
                <w:szCs w:val="18"/>
              </w:rPr>
            </w:pPr>
            <w:r w:rsidRPr="000C22AB">
              <w:rPr>
                <w:sz w:val="18"/>
                <w:szCs w:val="18"/>
              </w:rPr>
              <w:t xml:space="preserve">Formulation </w:t>
            </w:r>
          </w:p>
        </w:tc>
        <w:tc>
          <w:tcPr>
            <w:tcW w:w="8121" w:type="dxa"/>
            <w:shd w:val="clear" w:color="auto" w:fill="auto"/>
          </w:tcPr>
          <w:p w14:paraId="27D43659" w14:textId="77777777" w:rsidR="00B16C8B" w:rsidRPr="000C22AB" w:rsidRDefault="00B16C8B">
            <w:pPr>
              <w:pStyle w:val="BodyText"/>
              <w:spacing w:after="0"/>
              <w:rPr>
                <w:sz w:val="18"/>
                <w:szCs w:val="18"/>
              </w:rPr>
            </w:pPr>
            <w:r w:rsidRPr="000C22AB">
              <w:rPr>
                <w:b/>
                <w:sz w:val="18"/>
                <w:szCs w:val="18"/>
              </w:rPr>
              <w:t>Process category</w:t>
            </w:r>
            <w:r w:rsidRPr="000C22AB">
              <w:rPr>
                <w:sz w:val="18"/>
                <w:szCs w:val="18"/>
              </w:rPr>
              <w:t xml:space="preserve"> PROC 1: Use in closed process, no likelihood of exposure</w:t>
            </w:r>
          </w:p>
          <w:p w14:paraId="1335AFFA" w14:textId="77777777" w:rsidR="00B16C8B" w:rsidRPr="000C22AB" w:rsidRDefault="00B16C8B">
            <w:pPr>
              <w:pStyle w:val="BodyText"/>
              <w:spacing w:after="0"/>
              <w:rPr>
                <w:sz w:val="18"/>
                <w:szCs w:val="18"/>
              </w:rPr>
            </w:pPr>
            <w:r w:rsidRPr="000C22AB">
              <w:rPr>
                <w:sz w:val="18"/>
                <w:szCs w:val="18"/>
              </w:rPr>
              <w:t>PROC 2: Use in closed, continuous process with occasional controlled exposure</w:t>
            </w:r>
          </w:p>
          <w:p w14:paraId="0DACD3C7" w14:textId="77777777" w:rsidR="00B16C8B" w:rsidRPr="000C22AB" w:rsidRDefault="00B16C8B">
            <w:pPr>
              <w:pStyle w:val="BodyText"/>
              <w:spacing w:after="0"/>
              <w:rPr>
                <w:sz w:val="18"/>
                <w:szCs w:val="18"/>
              </w:rPr>
            </w:pPr>
            <w:r w:rsidRPr="000C22AB">
              <w:rPr>
                <w:sz w:val="18"/>
                <w:szCs w:val="18"/>
              </w:rPr>
              <w:t>PROC 3: Use in closed batch process (synthesis or formulation)</w:t>
            </w:r>
          </w:p>
          <w:p w14:paraId="3A45377C" w14:textId="77777777" w:rsidR="00B16C8B" w:rsidRPr="000C22AB" w:rsidRDefault="00B16C8B">
            <w:pPr>
              <w:pStyle w:val="BodyText"/>
              <w:spacing w:after="0"/>
              <w:rPr>
                <w:sz w:val="18"/>
                <w:szCs w:val="18"/>
              </w:rPr>
            </w:pPr>
            <w:r w:rsidRPr="000C22AB">
              <w:rPr>
                <w:sz w:val="18"/>
                <w:szCs w:val="18"/>
              </w:rPr>
              <w:t>PROC 4: Use in batch and other process (synthesis) where opportunity for exposure arises</w:t>
            </w:r>
          </w:p>
          <w:p w14:paraId="0C6E60C0" w14:textId="77777777" w:rsidR="00B16C8B" w:rsidRPr="000C22AB" w:rsidRDefault="00B16C8B">
            <w:pPr>
              <w:pStyle w:val="BodyText"/>
              <w:spacing w:after="0"/>
              <w:rPr>
                <w:sz w:val="18"/>
                <w:szCs w:val="18"/>
              </w:rPr>
            </w:pPr>
            <w:r w:rsidRPr="000C22AB">
              <w:rPr>
                <w:sz w:val="18"/>
                <w:szCs w:val="18"/>
              </w:rPr>
              <w:t>PROC 5: Mixing or blending in batch processes for formulation of preparations and articles (multistage and/or significant contact)</w:t>
            </w:r>
          </w:p>
          <w:p w14:paraId="01824AEB" w14:textId="77777777" w:rsidR="00B16C8B" w:rsidRPr="000C22AB" w:rsidRDefault="00B16C8B">
            <w:pPr>
              <w:pStyle w:val="BodyText"/>
              <w:spacing w:after="0"/>
              <w:rPr>
                <w:sz w:val="18"/>
                <w:szCs w:val="18"/>
              </w:rPr>
            </w:pPr>
            <w:r w:rsidRPr="000C22AB">
              <w:rPr>
                <w:sz w:val="18"/>
                <w:szCs w:val="18"/>
              </w:rPr>
              <w:t>PROC 6: Calendering operations</w:t>
            </w:r>
          </w:p>
          <w:p w14:paraId="7E80D071" w14:textId="77777777" w:rsidR="00B16C8B" w:rsidRPr="000C22AB" w:rsidRDefault="00B16C8B">
            <w:pPr>
              <w:pStyle w:val="BodyText"/>
              <w:spacing w:after="0"/>
              <w:rPr>
                <w:sz w:val="18"/>
                <w:szCs w:val="18"/>
              </w:rPr>
            </w:pPr>
            <w:r w:rsidRPr="000C22AB">
              <w:rPr>
                <w:sz w:val="18"/>
                <w:szCs w:val="18"/>
              </w:rPr>
              <w:t>PROC 8a: Transfer of substance or preparation (charging/discharging) from/to vessels/large containers at non-dedicated facilities</w:t>
            </w:r>
          </w:p>
          <w:p w14:paraId="2EC96C4C" w14:textId="77777777" w:rsidR="00B16C8B" w:rsidRPr="000C22AB" w:rsidRDefault="00B16C8B">
            <w:pPr>
              <w:pStyle w:val="BodyText"/>
              <w:spacing w:after="0"/>
              <w:rPr>
                <w:sz w:val="18"/>
                <w:szCs w:val="18"/>
              </w:rPr>
            </w:pPr>
            <w:r w:rsidRPr="000C22AB">
              <w:rPr>
                <w:sz w:val="18"/>
                <w:szCs w:val="18"/>
              </w:rPr>
              <w:t>PROC 8b: Transfer of substance or preparation (charging/discharging) from/to vessels/large containers at dedicated facilities</w:t>
            </w:r>
          </w:p>
          <w:p w14:paraId="004C7E8C" w14:textId="77777777" w:rsidR="00B16C8B" w:rsidRPr="000C22AB" w:rsidRDefault="00B16C8B">
            <w:pPr>
              <w:pStyle w:val="BodyText"/>
              <w:spacing w:after="0"/>
              <w:rPr>
                <w:sz w:val="18"/>
                <w:szCs w:val="18"/>
              </w:rPr>
            </w:pPr>
            <w:r w:rsidRPr="000C22AB">
              <w:rPr>
                <w:sz w:val="18"/>
                <w:szCs w:val="18"/>
              </w:rPr>
              <w:t>PROC 9: Transfer of substance or preparation into small containers (dedicated filling line, including weighing)</w:t>
            </w:r>
          </w:p>
          <w:p w14:paraId="119F79A8" w14:textId="77777777" w:rsidR="00B16C8B" w:rsidRPr="000C22AB" w:rsidRDefault="00B16C8B">
            <w:pPr>
              <w:pStyle w:val="BodyText"/>
              <w:spacing w:after="0"/>
              <w:rPr>
                <w:sz w:val="18"/>
                <w:szCs w:val="18"/>
              </w:rPr>
            </w:pPr>
            <w:r w:rsidRPr="000C22AB">
              <w:rPr>
                <w:sz w:val="18"/>
                <w:szCs w:val="18"/>
              </w:rPr>
              <w:t>PROC 13: Treatment of articles by dipping and pouring</w:t>
            </w:r>
          </w:p>
          <w:p w14:paraId="2E0AEFBC" w14:textId="77777777" w:rsidR="00B16C8B" w:rsidRPr="000C22AB" w:rsidRDefault="00B16C8B">
            <w:pPr>
              <w:pStyle w:val="BodyText"/>
              <w:spacing w:after="0"/>
              <w:rPr>
                <w:sz w:val="18"/>
                <w:szCs w:val="18"/>
              </w:rPr>
            </w:pPr>
            <w:r w:rsidRPr="000C22AB">
              <w:rPr>
                <w:sz w:val="18"/>
                <w:szCs w:val="18"/>
              </w:rPr>
              <w:t>PROC 14: Production of preparations or articles by tabletting, compression, extrusion, pelletisation</w:t>
            </w:r>
          </w:p>
          <w:p w14:paraId="749BCF00" w14:textId="77777777" w:rsidR="00B16C8B" w:rsidRPr="000C22AB" w:rsidRDefault="00B16C8B">
            <w:pPr>
              <w:pStyle w:val="BodyText"/>
              <w:spacing w:after="0"/>
              <w:rPr>
                <w:sz w:val="18"/>
                <w:szCs w:val="18"/>
              </w:rPr>
            </w:pPr>
            <w:r w:rsidRPr="000C22AB">
              <w:rPr>
                <w:sz w:val="18"/>
                <w:szCs w:val="18"/>
              </w:rPr>
              <w:t>PROC 27a: Production of metal powders (hot processes)</w:t>
            </w:r>
          </w:p>
          <w:p w14:paraId="18611EE6" w14:textId="77777777" w:rsidR="00B16C8B" w:rsidRPr="000C22AB" w:rsidRDefault="00B16C8B">
            <w:pPr>
              <w:pStyle w:val="BodyText"/>
              <w:spacing w:after="0"/>
              <w:rPr>
                <w:sz w:val="18"/>
                <w:szCs w:val="18"/>
              </w:rPr>
            </w:pPr>
            <w:r w:rsidRPr="000C22AB">
              <w:rPr>
                <w:sz w:val="18"/>
                <w:szCs w:val="18"/>
              </w:rPr>
              <w:t>PROC 27b: Production of metal powders (wet processes)</w:t>
            </w:r>
          </w:p>
          <w:p w14:paraId="60EB269C" w14:textId="77777777" w:rsidR="00B16C8B" w:rsidRPr="000C22AB" w:rsidRDefault="00B16C8B">
            <w:pPr>
              <w:pStyle w:val="BodyText"/>
              <w:spacing w:after="0"/>
              <w:rPr>
                <w:sz w:val="18"/>
                <w:szCs w:val="18"/>
              </w:rPr>
            </w:pPr>
            <w:r w:rsidRPr="000C22AB">
              <w:rPr>
                <w:b/>
                <w:sz w:val="18"/>
                <w:szCs w:val="18"/>
              </w:rPr>
              <w:t>Chemical product category</w:t>
            </w:r>
            <w:r w:rsidRPr="000C22AB">
              <w:rPr>
                <w:sz w:val="18"/>
                <w:szCs w:val="18"/>
              </w:rPr>
              <w:t xml:space="preserve"> PC 1: Adhesives, sealants</w:t>
            </w:r>
          </w:p>
          <w:p w14:paraId="38350C55" w14:textId="77777777" w:rsidR="00B16C8B" w:rsidRPr="000C22AB" w:rsidRDefault="00B16C8B">
            <w:pPr>
              <w:pStyle w:val="BodyText"/>
              <w:spacing w:after="0"/>
              <w:rPr>
                <w:sz w:val="18"/>
                <w:szCs w:val="18"/>
              </w:rPr>
            </w:pPr>
            <w:r w:rsidRPr="000C22AB">
              <w:rPr>
                <w:sz w:val="18"/>
                <w:szCs w:val="18"/>
              </w:rPr>
              <w:t>PC 11: Explosives</w:t>
            </w:r>
          </w:p>
          <w:p w14:paraId="6626F4AA" w14:textId="77777777" w:rsidR="00B16C8B" w:rsidRPr="000C22AB" w:rsidRDefault="00B16C8B">
            <w:pPr>
              <w:pStyle w:val="BodyText"/>
              <w:spacing w:after="0"/>
              <w:rPr>
                <w:sz w:val="18"/>
                <w:szCs w:val="18"/>
              </w:rPr>
            </w:pPr>
            <w:r w:rsidRPr="000C22AB">
              <w:rPr>
                <w:sz w:val="18"/>
                <w:szCs w:val="18"/>
              </w:rPr>
              <w:t>PC 14: Metal surface treatment products, including galvanic and electroplating products</w:t>
            </w:r>
          </w:p>
          <w:p w14:paraId="7F850B26" w14:textId="77777777" w:rsidR="00B16C8B" w:rsidRPr="000C22AB" w:rsidRDefault="00B16C8B">
            <w:pPr>
              <w:pStyle w:val="BodyText"/>
              <w:spacing w:after="0"/>
              <w:rPr>
                <w:sz w:val="18"/>
                <w:szCs w:val="18"/>
              </w:rPr>
            </w:pPr>
            <w:r w:rsidRPr="000C22AB">
              <w:rPr>
                <w:sz w:val="18"/>
                <w:szCs w:val="18"/>
              </w:rPr>
              <w:t>PC 32: Polymer preparations and compounds</w:t>
            </w:r>
          </w:p>
          <w:p w14:paraId="2E09B880" w14:textId="77777777" w:rsidR="00B16C8B" w:rsidRPr="000C22AB" w:rsidRDefault="00B16C8B">
            <w:pPr>
              <w:pStyle w:val="BodyText"/>
              <w:spacing w:after="0"/>
              <w:rPr>
                <w:sz w:val="18"/>
                <w:szCs w:val="18"/>
              </w:rPr>
            </w:pPr>
            <w:r w:rsidRPr="000C22AB">
              <w:rPr>
                <w:b/>
                <w:sz w:val="18"/>
                <w:szCs w:val="18"/>
              </w:rPr>
              <w:t>Environmental release category</w:t>
            </w:r>
            <w:r w:rsidRPr="000C22AB">
              <w:rPr>
                <w:sz w:val="18"/>
                <w:szCs w:val="18"/>
              </w:rPr>
              <w:t xml:space="preserve"> ERC 2: Formulation of preparations</w:t>
            </w:r>
          </w:p>
          <w:p w14:paraId="45F7DE8A" w14:textId="77777777" w:rsidR="00B16C8B" w:rsidRPr="000C22AB" w:rsidRDefault="00B16C8B">
            <w:pPr>
              <w:pStyle w:val="BodyText"/>
              <w:spacing w:after="0"/>
              <w:rPr>
                <w:sz w:val="18"/>
                <w:szCs w:val="18"/>
              </w:rPr>
            </w:pPr>
            <w:r w:rsidRPr="000C22AB">
              <w:rPr>
                <w:sz w:val="18"/>
                <w:szCs w:val="18"/>
              </w:rPr>
              <w:t>ERC 3: Formulation in materials</w:t>
            </w:r>
          </w:p>
          <w:p w14:paraId="51213E61" w14:textId="77777777" w:rsidR="00B16C8B" w:rsidRPr="000C22AB" w:rsidRDefault="00B16C8B">
            <w:pPr>
              <w:pStyle w:val="BodyText"/>
              <w:spacing w:after="0"/>
              <w:rPr>
                <w:sz w:val="18"/>
                <w:szCs w:val="18"/>
              </w:rPr>
            </w:pPr>
            <w:r w:rsidRPr="000C22AB">
              <w:rPr>
                <w:b/>
                <w:sz w:val="18"/>
                <w:szCs w:val="18"/>
              </w:rPr>
              <w:t>Substance supplied to that use in form of</w:t>
            </w:r>
            <w:r w:rsidRPr="000C22AB">
              <w:rPr>
                <w:sz w:val="18"/>
                <w:szCs w:val="18"/>
              </w:rPr>
              <w:t xml:space="preserve"> As such</w:t>
            </w:r>
          </w:p>
        </w:tc>
      </w:tr>
      <w:tr w:rsidR="00B16C8B" w:rsidRPr="000A6FDD" w14:paraId="7894A2DF" w14:textId="77777777" w:rsidTr="00327FE7">
        <w:tc>
          <w:tcPr>
            <w:tcW w:w="1362" w:type="dxa"/>
            <w:tcBorders>
              <w:left w:val="single" w:sz="12" w:space="0" w:color="auto"/>
            </w:tcBorders>
            <w:shd w:val="clear" w:color="auto" w:fill="auto"/>
          </w:tcPr>
          <w:p w14:paraId="07D61070" w14:textId="77777777" w:rsidR="00B16C8B" w:rsidRPr="000C22AB" w:rsidRDefault="00B16C8B" w:rsidP="000C22AB">
            <w:pPr>
              <w:pStyle w:val="BodyText"/>
              <w:spacing w:after="0"/>
              <w:rPr>
                <w:sz w:val="18"/>
                <w:szCs w:val="18"/>
              </w:rPr>
            </w:pPr>
            <w:r w:rsidRPr="000C22AB">
              <w:rPr>
                <w:sz w:val="18"/>
                <w:szCs w:val="18"/>
              </w:rPr>
              <w:t>Us</w:t>
            </w:r>
            <w:r w:rsidR="000C22AB" w:rsidRPr="000C22AB">
              <w:rPr>
                <w:sz w:val="18"/>
                <w:szCs w:val="18"/>
              </w:rPr>
              <w:t>e</w:t>
            </w:r>
            <w:r w:rsidRPr="000C22AB">
              <w:rPr>
                <w:sz w:val="18"/>
                <w:szCs w:val="18"/>
              </w:rPr>
              <w:t xml:space="preserve"> a</w:t>
            </w:r>
            <w:r w:rsidR="000C22AB">
              <w:rPr>
                <w:sz w:val="18"/>
                <w:szCs w:val="18"/>
              </w:rPr>
              <w:t>t i</w:t>
            </w:r>
            <w:r w:rsidRPr="000C22AB">
              <w:rPr>
                <w:sz w:val="18"/>
                <w:szCs w:val="18"/>
              </w:rPr>
              <w:t xml:space="preserve">ndustrial </w:t>
            </w:r>
            <w:r w:rsidR="000C22AB">
              <w:rPr>
                <w:sz w:val="18"/>
                <w:szCs w:val="18"/>
              </w:rPr>
              <w:t>sites to m</w:t>
            </w:r>
            <w:r w:rsidRPr="000C22AB">
              <w:rPr>
                <w:sz w:val="18"/>
                <w:szCs w:val="18"/>
              </w:rPr>
              <w:t xml:space="preserve">anufacture </w:t>
            </w:r>
            <w:r w:rsidR="000C22AB">
              <w:rPr>
                <w:sz w:val="18"/>
                <w:szCs w:val="18"/>
              </w:rPr>
              <w:t>p</w:t>
            </w:r>
            <w:r w:rsidRPr="000C22AB">
              <w:rPr>
                <w:sz w:val="18"/>
                <w:szCs w:val="18"/>
              </w:rPr>
              <w:t>roducts</w:t>
            </w:r>
          </w:p>
          <w:p w14:paraId="3A4145DF" w14:textId="77777777" w:rsidR="00B16C8B" w:rsidRPr="000C22AB" w:rsidRDefault="00B16C8B" w:rsidP="000C22AB">
            <w:pPr>
              <w:pStyle w:val="Tabletext0"/>
              <w:ind w:left="0"/>
              <w:rPr>
                <w:sz w:val="18"/>
                <w:szCs w:val="18"/>
              </w:rPr>
            </w:pPr>
          </w:p>
        </w:tc>
        <w:tc>
          <w:tcPr>
            <w:tcW w:w="8121" w:type="dxa"/>
            <w:shd w:val="clear" w:color="auto" w:fill="auto"/>
          </w:tcPr>
          <w:p w14:paraId="752243CA" w14:textId="77777777" w:rsidR="00B16C8B" w:rsidRPr="000C22AB" w:rsidRDefault="00B16C8B" w:rsidP="000366E9">
            <w:pPr>
              <w:pStyle w:val="BodyText"/>
              <w:spacing w:after="0"/>
              <w:rPr>
                <w:sz w:val="18"/>
                <w:szCs w:val="18"/>
              </w:rPr>
            </w:pPr>
            <w:r w:rsidRPr="000C22AB">
              <w:rPr>
                <w:b/>
                <w:sz w:val="18"/>
                <w:szCs w:val="18"/>
              </w:rPr>
              <w:t>Process category</w:t>
            </w:r>
            <w:r w:rsidRPr="000C22AB">
              <w:rPr>
                <w:sz w:val="18"/>
                <w:szCs w:val="18"/>
              </w:rPr>
              <w:t xml:space="preserve"> PROC 1: Use in closed process, no likelihood of exposure</w:t>
            </w:r>
          </w:p>
          <w:p w14:paraId="3E8F9D09" w14:textId="77777777" w:rsidR="00B16C8B" w:rsidRPr="000C22AB" w:rsidRDefault="00B16C8B" w:rsidP="000366E9">
            <w:pPr>
              <w:pStyle w:val="BodyText"/>
              <w:spacing w:after="0"/>
              <w:rPr>
                <w:sz w:val="18"/>
                <w:szCs w:val="18"/>
              </w:rPr>
            </w:pPr>
            <w:r w:rsidRPr="000C22AB">
              <w:rPr>
                <w:sz w:val="18"/>
                <w:szCs w:val="18"/>
              </w:rPr>
              <w:t>PROC 2: Use in closed, continuous process with occasional controlled exposure</w:t>
            </w:r>
          </w:p>
          <w:p w14:paraId="26883777" w14:textId="77777777" w:rsidR="00B16C8B" w:rsidRPr="000C22AB" w:rsidRDefault="00B16C8B" w:rsidP="000366E9">
            <w:pPr>
              <w:pStyle w:val="BodyText"/>
              <w:spacing w:after="0"/>
              <w:rPr>
                <w:sz w:val="18"/>
                <w:szCs w:val="18"/>
              </w:rPr>
            </w:pPr>
            <w:r w:rsidRPr="000C22AB">
              <w:rPr>
                <w:sz w:val="18"/>
                <w:szCs w:val="18"/>
              </w:rPr>
              <w:t>PROC 3: Use in closed batch process (synthesis or formulation)</w:t>
            </w:r>
          </w:p>
          <w:p w14:paraId="52C497DC" w14:textId="77777777" w:rsidR="00B16C8B" w:rsidRPr="000C22AB" w:rsidRDefault="00B16C8B" w:rsidP="000366E9">
            <w:pPr>
              <w:pStyle w:val="BodyText"/>
              <w:spacing w:after="0"/>
              <w:rPr>
                <w:sz w:val="18"/>
                <w:szCs w:val="18"/>
              </w:rPr>
            </w:pPr>
            <w:r w:rsidRPr="000C22AB">
              <w:rPr>
                <w:sz w:val="18"/>
                <w:szCs w:val="18"/>
              </w:rPr>
              <w:t>PROC 4: Use in batch and other process (synthesis) where opportunity for exposure arises</w:t>
            </w:r>
          </w:p>
          <w:p w14:paraId="5B02C5A3" w14:textId="77777777" w:rsidR="00B16C8B" w:rsidRPr="000C22AB" w:rsidRDefault="00B16C8B" w:rsidP="000366E9">
            <w:pPr>
              <w:pStyle w:val="BodyText"/>
              <w:spacing w:after="0"/>
              <w:rPr>
                <w:sz w:val="18"/>
                <w:szCs w:val="18"/>
              </w:rPr>
            </w:pPr>
            <w:r w:rsidRPr="000C22AB">
              <w:rPr>
                <w:sz w:val="18"/>
                <w:szCs w:val="18"/>
              </w:rPr>
              <w:t>PROC 5: Mixing or blending in batch processes for formulation of preparations and articles (multistage and/or significant contact)</w:t>
            </w:r>
          </w:p>
          <w:p w14:paraId="1464DB94" w14:textId="77777777" w:rsidR="00B16C8B" w:rsidRPr="000C22AB" w:rsidRDefault="00B16C8B" w:rsidP="000366E9">
            <w:pPr>
              <w:pStyle w:val="BodyText"/>
              <w:spacing w:after="0"/>
              <w:rPr>
                <w:sz w:val="18"/>
                <w:szCs w:val="18"/>
              </w:rPr>
            </w:pPr>
            <w:r w:rsidRPr="000C22AB">
              <w:rPr>
                <w:sz w:val="18"/>
                <w:szCs w:val="18"/>
              </w:rPr>
              <w:t>PROC 6: Calendering operations</w:t>
            </w:r>
          </w:p>
          <w:p w14:paraId="7C487CAD" w14:textId="77777777" w:rsidR="00B16C8B" w:rsidRPr="000C22AB" w:rsidRDefault="00B16C8B" w:rsidP="000366E9">
            <w:pPr>
              <w:pStyle w:val="BodyText"/>
              <w:spacing w:after="0"/>
              <w:rPr>
                <w:sz w:val="18"/>
                <w:szCs w:val="18"/>
              </w:rPr>
            </w:pPr>
            <w:r w:rsidRPr="000C22AB">
              <w:rPr>
                <w:sz w:val="18"/>
                <w:szCs w:val="18"/>
              </w:rPr>
              <w:t>PROC 8a: Transfer of substance or preparation (charging/discharging) from/to vessels/large containers at non-dedicated facilities</w:t>
            </w:r>
          </w:p>
          <w:p w14:paraId="03E3F6BB" w14:textId="77777777" w:rsidR="00B16C8B" w:rsidRPr="000C22AB" w:rsidRDefault="00B16C8B" w:rsidP="000366E9">
            <w:pPr>
              <w:pStyle w:val="BodyText"/>
              <w:spacing w:after="0"/>
              <w:rPr>
                <w:sz w:val="18"/>
                <w:szCs w:val="18"/>
              </w:rPr>
            </w:pPr>
            <w:r w:rsidRPr="000C22AB">
              <w:rPr>
                <w:sz w:val="18"/>
                <w:szCs w:val="18"/>
              </w:rPr>
              <w:t>PROC 8b: Transfer of substance or preparation (charging/discharging) from/to vessels/large containers at dedicated facilities</w:t>
            </w:r>
          </w:p>
          <w:p w14:paraId="5B7D1D67" w14:textId="77777777" w:rsidR="00B16C8B" w:rsidRPr="000C22AB" w:rsidRDefault="00B16C8B" w:rsidP="000366E9">
            <w:pPr>
              <w:pStyle w:val="BodyText"/>
              <w:spacing w:after="0"/>
              <w:rPr>
                <w:sz w:val="18"/>
                <w:szCs w:val="18"/>
              </w:rPr>
            </w:pPr>
            <w:r w:rsidRPr="000C22AB">
              <w:rPr>
                <w:sz w:val="18"/>
                <w:szCs w:val="18"/>
              </w:rPr>
              <w:t>PROC 9: Transfer of substance or preparation into small containers (dedicated filling line, including weighing)</w:t>
            </w:r>
          </w:p>
          <w:p w14:paraId="69DDDE78" w14:textId="77777777" w:rsidR="00B16C8B" w:rsidRPr="000C22AB" w:rsidRDefault="00B16C8B" w:rsidP="000366E9">
            <w:pPr>
              <w:pStyle w:val="BodyText"/>
              <w:spacing w:after="0"/>
              <w:rPr>
                <w:sz w:val="18"/>
                <w:szCs w:val="18"/>
              </w:rPr>
            </w:pPr>
            <w:r w:rsidRPr="000C22AB">
              <w:rPr>
                <w:sz w:val="18"/>
                <w:szCs w:val="18"/>
              </w:rPr>
              <w:t>PROC 14: Production of preparations or articles by tabletting, compression, extrusion, pelletisation</w:t>
            </w:r>
          </w:p>
          <w:p w14:paraId="7FAC8A91" w14:textId="77777777" w:rsidR="00B16C8B" w:rsidRPr="000C22AB" w:rsidRDefault="00B16C8B" w:rsidP="000366E9">
            <w:pPr>
              <w:pStyle w:val="BodyText"/>
              <w:spacing w:after="0"/>
              <w:rPr>
                <w:sz w:val="18"/>
                <w:szCs w:val="18"/>
              </w:rPr>
            </w:pPr>
            <w:r w:rsidRPr="000C22AB">
              <w:rPr>
                <w:b/>
                <w:sz w:val="18"/>
                <w:szCs w:val="18"/>
              </w:rPr>
              <w:t>Environmental release category</w:t>
            </w:r>
            <w:r w:rsidRPr="000C22AB">
              <w:rPr>
                <w:sz w:val="18"/>
                <w:szCs w:val="18"/>
              </w:rPr>
              <w:t xml:space="preserve"> ERC 4: Industrial use of processing aids in processes and products, not becoming part of articles</w:t>
            </w:r>
          </w:p>
          <w:p w14:paraId="194CC8E0" w14:textId="77777777" w:rsidR="00B16C8B" w:rsidRPr="000C22AB" w:rsidRDefault="00B16C8B" w:rsidP="000366E9">
            <w:pPr>
              <w:pStyle w:val="BodyText"/>
              <w:spacing w:after="0"/>
              <w:rPr>
                <w:sz w:val="18"/>
                <w:szCs w:val="18"/>
              </w:rPr>
            </w:pPr>
            <w:r w:rsidRPr="000C22AB">
              <w:rPr>
                <w:sz w:val="18"/>
                <w:szCs w:val="18"/>
              </w:rPr>
              <w:t>ERC 5: Industrial use resulting in inclusion into or onto a matrix</w:t>
            </w:r>
          </w:p>
          <w:p w14:paraId="31C2F7F1" w14:textId="77777777" w:rsidR="00B16C8B" w:rsidRPr="000C22AB" w:rsidRDefault="00B16C8B" w:rsidP="000366E9">
            <w:pPr>
              <w:pStyle w:val="BodyText"/>
              <w:spacing w:after="0"/>
              <w:rPr>
                <w:sz w:val="18"/>
                <w:szCs w:val="18"/>
              </w:rPr>
            </w:pPr>
            <w:r w:rsidRPr="000C22AB">
              <w:rPr>
                <w:sz w:val="18"/>
                <w:szCs w:val="18"/>
              </w:rPr>
              <w:t>ERC 6a: Industrial use resulting in manufacture of another substance (use of intermediates)</w:t>
            </w:r>
          </w:p>
          <w:p w14:paraId="1FAEA5BB" w14:textId="77777777" w:rsidR="00B16C8B" w:rsidRPr="000C22AB" w:rsidRDefault="00B16C8B" w:rsidP="000366E9">
            <w:pPr>
              <w:pStyle w:val="BodyText"/>
              <w:spacing w:after="0"/>
              <w:rPr>
                <w:sz w:val="18"/>
                <w:szCs w:val="18"/>
              </w:rPr>
            </w:pPr>
            <w:r w:rsidRPr="000C22AB">
              <w:rPr>
                <w:sz w:val="18"/>
                <w:szCs w:val="18"/>
              </w:rPr>
              <w:t>ERC 6d: Industrial use of process regulators for polymerisation processes in production of resins, rubbers, polymers</w:t>
            </w:r>
          </w:p>
          <w:p w14:paraId="0A18ADDC" w14:textId="77777777" w:rsidR="00B16C8B" w:rsidRPr="000C22AB" w:rsidRDefault="00B16C8B" w:rsidP="000366E9">
            <w:pPr>
              <w:pStyle w:val="BodyText"/>
              <w:spacing w:after="0"/>
              <w:rPr>
                <w:sz w:val="18"/>
                <w:szCs w:val="18"/>
              </w:rPr>
            </w:pPr>
            <w:r w:rsidRPr="000C22AB">
              <w:rPr>
                <w:b/>
                <w:sz w:val="18"/>
                <w:szCs w:val="18"/>
              </w:rPr>
              <w:lastRenderedPageBreak/>
              <w:t>Substance supplied to that use in form of</w:t>
            </w:r>
            <w:r w:rsidRPr="000C22AB">
              <w:rPr>
                <w:sz w:val="18"/>
                <w:szCs w:val="18"/>
              </w:rPr>
              <w:t xml:space="preserve"> As such</w:t>
            </w:r>
          </w:p>
          <w:p w14:paraId="6FD289DD" w14:textId="77777777" w:rsidR="00B16C8B" w:rsidRPr="000C22AB" w:rsidRDefault="00B16C8B" w:rsidP="000366E9">
            <w:pPr>
              <w:pStyle w:val="BodyText"/>
              <w:spacing w:after="0"/>
              <w:rPr>
                <w:sz w:val="18"/>
                <w:szCs w:val="18"/>
              </w:rPr>
            </w:pPr>
            <w:r w:rsidRPr="000C22AB">
              <w:rPr>
                <w:b/>
                <w:sz w:val="18"/>
                <w:szCs w:val="18"/>
              </w:rPr>
              <w:t>Sector of end use</w:t>
            </w:r>
            <w:r w:rsidRPr="000C22AB">
              <w:rPr>
                <w:sz w:val="18"/>
                <w:szCs w:val="18"/>
              </w:rPr>
              <w:t xml:space="preserve"> SU 10: Formulation [mixing] of preparations and/or re-packaging (excluding alloys)</w:t>
            </w:r>
          </w:p>
          <w:p w14:paraId="7AFFE548" w14:textId="77777777" w:rsidR="00B16C8B" w:rsidRPr="000C22AB" w:rsidRDefault="00B16C8B" w:rsidP="000366E9">
            <w:pPr>
              <w:pStyle w:val="BodyText"/>
              <w:spacing w:after="0"/>
              <w:rPr>
                <w:sz w:val="18"/>
                <w:szCs w:val="18"/>
              </w:rPr>
            </w:pPr>
            <w:r w:rsidRPr="000C22AB">
              <w:rPr>
                <w:sz w:val="18"/>
                <w:szCs w:val="18"/>
              </w:rPr>
              <w:t>SU 12: Manufacture of plastics products, including compounding and conversion</w:t>
            </w:r>
          </w:p>
          <w:p w14:paraId="460C010E" w14:textId="77777777" w:rsidR="00B16C8B" w:rsidRPr="000C22AB" w:rsidRDefault="00B16C8B" w:rsidP="000366E9">
            <w:pPr>
              <w:pStyle w:val="BodyText"/>
              <w:spacing w:after="0"/>
              <w:rPr>
                <w:sz w:val="18"/>
                <w:szCs w:val="18"/>
              </w:rPr>
            </w:pPr>
            <w:r w:rsidRPr="000C22AB">
              <w:rPr>
                <w:sz w:val="18"/>
                <w:szCs w:val="18"/>
              </w:rPr>
              <w:t>SU 13: Manufacture of other non-metallic mineral products, e.g. plasters, cement</w:t>
            </w:r>
          </w:p>
          <w:p w14:paraId="55914057" w14:textId="77777777" w:rsidR="00B16C8B" w:rsidRPr="000C22AB" w:rsidRDefault="00B16C8B" w:rsidP="000366E9">
            <w:pPr>
              <w:pStyle w:val="BodyText"/>
              <w:spacing w:after="0"/>
              <w:rPr>
                <w:sz w:val="18"/>
                <w:szCs w:val="18"/>
              </w:rPr>
            </w:pPr>
            <w:r w:rsidRPr="000C22AB">
              <w:rPr>
                <w:sz w:val="18"/>
                <w:szCs w:val="18"/>
              </w:rPr>
              <w:t>SU 16: Manufacture of computer, electronic and optical products, electrical equipment</w:t>
            </w:r>
          </w:p>
          <w:p w14:paraId="405E23AB" w14:textId="77777777" w:rsidR="00B16C8B" w:rsidRPr="000C22AB" w:rsidRDefault="00B16C8B" w:rsidP="000366E9">
            <w:pPr>
              <w:pStyle w:val="BodyText"/>
              <w:spacing w:after="0"/>
              <w:rPr>
                <w:sz w:val="18"/>
                <w:szCs w:val="18"/>
              </w:rPr>
            </w:pPr>
            <w:r w:rsidRPr="000C22AB">
              <w:rPr>
                <w:sz w:val="18"/>
                <w:szCs w:val="18"/>
              </w:rPr>
              <w:t>SU 17: General manufacturing, e.g. machinery, equipment, vehicles, other transport equipment</w:t>
            </w:r>
          </w:p>
          <w:p w14:paraId="768B3DB2" w14:textId="77777777" w:rsidR="00B16C8B" w:rsidRPr="000C22AB" w:rsidRDefault="00B16C8B" w:rsidP="000366E9">
            <w:pPr>
              <w:pStyle w:val="BodyText"/>
              <w:spacing w:after="0"/>
              <w:rPr>
                <w:sz w:val="18"/>
                <w:szCs w:val="18"/>
              </w:rPr>
            </w:pPr>
            <w:r w:rsidRPr="000C22AB">
              <w:rPr>
                <w:sz w:val="18"/>
                <w:szCs w:val="18"/>
              </w:rPr>
              <w:t>SU 4: Manufacture of food products</w:t>
            </w:r>
          </w:p>
          <w:p w14:paraId="56CAC90D" w14:textId="77777777" w:rsidR="00B16C8B" w:rsidRPr="000C22AB" w:rsidRDefault="00B16C8B" w:rsidP="000366E9">
            <w:pPr>
              <w:pStyle w:val="BodyText"/>
              <w:spacing w:after="0"/>
              <w:rPr>
                <w:sz w:val="18"/>
                <w:szCs w:val="18"/>
              </w:rPr>
            </w:pPr>
            <w:r w:rsidRPr="000C22AB">
              <w:rPr>
                <w:sz w:val="18"/>
                <w:szCs w:val="18"/>
              </w:rPr>
              <w:t>SU 9: Manufacture of fine chemicals</w:t>
            </w:r>
          </w:p>
          <w:p w14:paraId="3C8FED6F" w14:textId="77777777" w:rsidR="00B16C8B" w:rsidRPr="000C22AB" w:rsidRDefault="00B16C8B" w:rsidP="000366E9">
            <w:pPr>
              <w:pStyle w:val="BodyText"/>
              <w:spacing w:after="0"/>
              <w:rPr>
                <w:sz w:val="18"/>
                <w:szCs w:val="18"/>
              </w:rPr>
            </w:pPr>
            <w:r w:rsidRPr="000C22AB">
              <w:rPr>
                <w:b/>
                <w:sz w:val="18"/>
                <w:szCs w:val="18"/>
              </w:rPr>
              <w:t xml:space="preserve">Subsequent service life relevant for that use? </w:t>
            </w:r>
            <w:r w:rsidRPr="000C22AB">
              <w:rPr>
                <w:sz w:val="18"/>
                <w:szCs w:val="18"/>
              </w:rPr>
              <w:t>No</w:t>
            </w:r>
          </w:p>
        </w:tc>
      </w:tr>
      <w:tr w:rsidR="00B16C8B" w:rsidRPr="000A6FDD" w14:paraId="0E47B6CD" w14:textId="77777777" w:rsidTr="00327FE7">
        <w:tc>
          <w:tcPr>
            <w:tcW w:w="1362" w:type="dxa"/>
            <w:tcBorders>
              <w:left w:val="single" w:sz="12" w:space="0" w:color="auto"/>
            </w:tcBorders>
            <w:shd w:val="clear" w:color="auto" w:fill="auto"/>
          </w:tcPr>
          <w:p w14:paraId="79394643" w14:textId="77777777" w:rsidR="00B16C8B" w:rsidRPr="000C22AB" w:rsidRDefault="00B16C8B" w:rsidP="000366E9">
            <w:pPr>
              <w:pStyle w:val="BodyText"/>
              <w:spacing w:after="0"/>
              <w:rPr>
                <w:sz w:val="18"/>
                <w:szCs w:val="18"/>
              </w:rPr>
            </w:pPr>
            <w:r w:rsidRPr="000C22AB">
              <w:rPr>
                <w:sz w:val="18"/>
                <w:szCs w:val="18"/>
              </w:rPr>
              <w:lastRenderedPageBreak/>
              <w:t>Use by professional workers</w:t>
            </w:r>
          </w:p>
          <w:p w14:paraId="25495EEB" w14:textId="77777777" w:rsidR="00B16C8B" w:rsidRPr="000C22AB" w:rsidRDefault="00B16C8B" w:rsidP="000366E9">
            <w:pPr>
              <w:pStyle w:val="Tabletext0"/>
              <w:rPr>
                <w:sz w:val="18"/>
                <w:szCs w:val="18"/>
              </w:rPr>
            </w:pPr>
          </w:p>
        </w:tc>
        <w:tc>
          <w:tcPr>
            <w:tcW w:w="8121" w:type="dxa"/>
            <w:shd w:val="clear" w:color="auto" w:fill="auto"/>
          </w:tcPr>
          <w:p w14:paraId="0ACB2A7A" w14:textId="77777777" w:rsidR="00B16C8B" w:rsidRPr="000C22AB" w:rsidRDefault="00B16C8B" w:rsidP="000366E9">
            <w:pPr>
              <w:pStyle w:val="BodyText"/>
              <w:spacing w:after="0"/>
              <w:rPr>
                <w:sz w:val="18"/>
                <w:szCs w:val="18"/>
              </w:rPr>
            </w:pPr>
            <w:r w:rsidRPr="000C22AB">
              <w:rPr>
                <w:b/>
                <w:sz w:val="18"/>
                <w:szCs w:val="18"/>
              </w:rPr>
              <w:t>Process category</w:t>
            </w:r>
            <w:r w:rsidRPr="000C22AB">
              <w:rPr>
                <w:sz w:val="18"/>
                <w:szCs w:val="18"/>
              </w:rPr>
              <w:t xml:space="preserve"> PROC 1: Use in closed process, no likelihood of exposure</w:t>
            </w:r>
          </w:p>
          <w:p w14:paraId="2F293A47" w14:textId="77777777" w:rsidR="00B16C8B" w:rsidRPr="000C22AB" w:rsidRDefault="00B16C8B" w:rsidP="000366E9">
            <w:pPr>
              <w:pStyle w:val="BodyText"/>
              <w:spacing w:after="0"/>
              <w:rPr>
                <w:sz w:val="18"/>
                <w:szCs w:val="18"/>
              </w:rPr>
            </w:pPr>
            <w:r w:rsidRPr="000C22AB">
              <w:rPr>
                <w:sz w:val="18"/>
                <w:szCs w:val="18"/>
              </w:rPr>
              <w:t>PROC 2: Use in closed, continuous process with occasional controlled exposure</w:t>
            </w:r>
          </w:p>
          <w:p w14:paraId="5BAD72DC" w14:textId="77777777" w:rsidR="00B16C8B" w:rsidRPr="000C22AB" w:rsidRDefault="00B16C8B" w:rsidP="000366E9">
            <w:pPr>
              <w:pStyle w:val="BodyText"/>
              <w:spacing w:after="0"/>
              <w:rPr>
                <w:sz w:val="18"/>
                <w:szCs w:val="18"/>
              </w:rPr>
            </w:pPr>
            <w:r w:rsidRPr="000C22AB">
              <w:rPr>
                <w:sz w:val="18"/>
                <w:szCs w:val="18"/>
              </w:rPr>
              <w:t>PROC 3: Use in closed batch process (synthesis or formulation)</w:t>
            </w:r>
          </w:p>
          <w:p w14:paraId="281C3D30" w14:textId="77777777" w:rsidR="00B16C8B" w:rsidRPr="000C22AB" w:rsidRDefault="00B16C8B" w:rsidP="000366E9">
            <w:pPr>
              <w:pStyle w:val="BodyText"/>
              <w:spacing w:after="0"/>
              <w:rPr>
                <w:sz w:val="18"/>
                <w:szCs w:val="18"/>
              </w:rPr>
            </w:pPr>
            <w:r w:rsidRPr="000C22AB">
              <w:rPr>
                <w:sz w:val="18"/>
                <w:szCs w:val="18"/>
              </w:rPr>
              <w:t>PROC 4: Use in batch and other process (synthesis) where opportunity for exposure arises</w:t>
            </w:r>
          </w:p>
          <w:p w14:paraId="5E64170E" w14:textId="77777777" w:rsidR="00B16C8B" w:rsidRPr="000C22AB" w:rsidRDefault="00B16C8B" w:rsidP="000366E9">
            <w:pPr>
              <w:pStyle w:val="BodyText"/>
              <w:spacing w:after="0"/>
              <w:rPr>
                <w:sz w:val="18"/>
                <w:szCs w:val="18"/>
              </w:rPr>
            </w:pPr>
            <w:r w:rsidRPr="000C22AB">
              <w:rPr>
                <w:sz w:val="18"/>
                <w:szCs w:val="18"/>
              </w:rPr>
              <w:t>PROC 5: Mixing or blending in batch processes for formulation of preparations and articles (multistage and/or significant contact)</w:t>
            </w:r>
          </w:p>
          <w:p w14:paraId="40D54BE7" w14:textId="77777777" w:rsidR="00B16C8B" w:rsidRPr="000C22AB" w:rsidRDefault="00B16C8B" w:rsidP="000366E9">
            <w:pPr>
              <w:pStyle w:val="BodyText"/>
              <w:spacing w:after="0"/>
              <w:rPr>
                <w:sz w:val="18"/>
                <w:szCs w:val="18"/>
              </w:rPr>
            </w:pPr>
            <w:r w:rsidRPr="000C22AB">
              <w:rPr>
                <w:sz w:val="18"/>
                <w:szCs w:val="18"/>
              </w:rPr>
              <w:t>PROC 6: Calendering operations</w:t>
            </w:r>
          </w:p>
          <w:p w14:paraId="51CDB243" w14:textId="77777777" w:rsidR="00B16C8B" w:rsidRPr="000C22AB" w:rsidRDefault="00B16C8B" w:rsidP="000366E9">
            <w:pPr>
              <w:pStyle w:val="BodyText"/>
              <w:spacing w:after="0"/>
              <w:rPr>
                <w:sz w:val="18"/>
                <w:szCs w:val="18"/>
              </w:rPr>
            </w:pPr>
            <w:r w:rsidRPr="000C22AB">
              <w:rPr>
                <w:sz w:val="18"/>
                <w:szCs w:val="18"/>
              </w:rPr>
              <w:t>PROC 8a: Transfer of substance or preparation (charging/discharging) from/to vessels/large containers at non-dedicated facilities</w:t>
            </w:r>
          </w:p>
          <w:p w14:paraId="5B3C89E8" w14:textId="77777777" w:rsidR="00B16C8B" w:rsidRPr="000C22AB" w:rsidRDefault="00B16C8B" w:rsidP="000366E9">
            <w:pPr>
              <w:pStyle w:val="BodyText"/>
              <w:spacing w:after="0"/>
              <w:rPr>
                <w:sz w:val="18"/>
                <w:szCs w:val="18"/>
              </w:rPr>
            </w:pPr>
            <w:r w:rsidRPr="000C22AB">
              <w:rPr>
                <w:sz w:val="18"/>
                <w:szCs w:val="18"/>
              </w:rPr>
              <w:t>PROC 8b: Transfer of substance or preparation (charging/discharging) from/to vessels/large containers at dedicated facilities</w:t>
            </w:r>
          </w:p>
          <w:p w14:paraId="3C8373C1" w14:textId="77777777" w:rsidR="00B16C8B" w:rsidRPr="000C22AB" w:rsidRDefault="00B16C8B" w:rsidP="000366E9">
            <w:pPr>
              <w:pStyle w:val="BodyText"/>
              <w:spacing w:after="0"/>
              <w:rPr>
                <w:sz w:val="18"/>
                <w:szCs w:val="18"/>
              </w:rPr>
            </w:pPr>
            <w:r w:rsidRPr="000C22AB">
              <w:rPr>
                <w:sz w:val="18"/>
                <w:szCs w:val="18"/>
              </w:rPr>
              <w:t>PROC 9: Transfer of substance or preparation into small containers (dedicated filling line, including weighing)</w:t>
            </w:r>
          </w:p>
          <w:p w14:paraId="19FC913A" w14:textId="77777777" w:rsidR="00B16C8B" w:rsidRPr="000C22AB" w:rsidRDefault="00B16C8B" w:rsidP="000366E9">
            <w:pPr>
              <w:pStyle w:val="BodyText"/>
              <w:spacing w:after="0"/>
              <w:rPr>
                <w:sz w:val="18"/>
                <w:szCs w:val="18"/>
              </w:rPr>
            </w:pPr>
            <w:r w:rsidRPr="000C22AB">
              <w:rPr>
                <w:sz w:val="18"/>
                <w:szCs w:val="18"/>
              </w:rPr>
              <w:t>PROC 14: Production of preparations or articles by tabletting, compression, extrusion, pelletisation</w:t>
            </w:r>
          </w:p>
          <w:p w14:paraId="095C16F2" w14:textId="77777777" w:rsidR="00B16C8B" w:rsidRPr="000C22AB" w:rsidRDefault="00B16C8B" w:rsidP="000366E9">
            <w:pPr>
              <w:pStyle w:val="BodyText"/>
              <w:spacing w:after="0"/>
              <w:rPr>
                <w:sz w:val="18"/>
                <w:szCs w:val="18"/>
              </w:rPr>
            </w:pPr>
            <w:r w:rsidRPr="000C22AB">
              <w:rPr>
                <w:b/>
                <w:sz w:val="18"/>
                <w:szCs w:val="18"/>
              </w:rPr>
              <w:t>Environmental release category</w:t>
            </w:r>
            <w:r w:rsidRPr="000C22AB">
              <w:rPr>
                <w:sz w:val="18"/>
                <w:szCs w:val="18"/>
              </w:rPr>
              <w:t xml:space="preserve"> ERC 8a: Wide dispersive indoor use of processing aids in open systems</w:t>
            </w:r>
          </w:p>
          <w:p w14:paraId="2CE8F039" w14:textId="77777777" w:rsidR="00B16C8B" w:rsidRPr="000C22AB" w:rsidRDefault="00B16C8B" w:rsidP="000366E9">
            <w:pPr>
              <w:pStyle w:val="BodyText"/>
              <w:spacing w:after="0"/>
              <w:rPr>
                <w:sz w:val="18"/>
                <w:szCs w:val="18"/>
              </w:rPr>
            </w:pPr>
            <w:r w:rsidRPr="000C22AB">
              <w:rPr>
                <w:sz w:val="18"/>
                <w:szCs w:val="18"/>
              </w:rPr>
              <w:t>ERC 8c: Wide dispersive indoor use resulting in inclusion into or onto a matrix</w:t>
            </w:r>
          </w:p>
          <w:p w14:paraId="7F5477EB" w14:textId="77777777" w:rsidR="00B16C8B" w:rsidRPr="000C22AB" w:rsidRDefault="00B16C8B" w:rsidP="000366E9">
            <w:pPr>
              <w:pStyle w:val="BodyText"/>
              <w:spacing w:after="0"/>
              <w:rPr>
                <w:sz w:val="18"/>
                <w:szCs w:val="18"/>
              </w:rPr>
            </w:pPr>
            <w:r w:rsidRPr="000C22AB">
              <w:rPr>
                <w:sz w:val="18"/>
                <w:szCs w:val="18"/>
              </w:rPr>
              <w:t>ERC 8f: Wide dispersive outdoor use resulting in inclusion into or onto a matrix</w:t>
            </w:r>
          </w:p>
          <w:p w14:paraId="668981EF" w14:textId="77777777" w:rsidR="00B16C8B" w:rsidRPr="000C22AB" w:rsidRDefault="00B16C8B" w:rsidP="000366E9">
            <w:pPr>
              <w:pStyle w:val="BodyText"/>
              <w:spacing w:after="0"/>
              <w:rPr>
                <w:sz w:val="18"/>
                <w:szCs w:val="18"/>
              </w:rPr>
            </w:pPr>
            <w:r w:rsidRPr="000C22AB">
              <w:rPr>
                <w:b/>
                <w:sz w:val="18"/>
                <w:szCs w:val="18"/>
              </w:rPr>
              <w:t>Substance supplied to that use in form of</w:t>
            </w:r>
            <w:r w:rsidRPr="000C22AB">
              <w:rPr>
                <w:sz w:val="18"/>
                <w:szCs w:val="18"/>
              </w:rPr>
              <w:t xml:space="preserve"> As such</w:t>
            </w:r>
          </w:p>
          <w:p w14:paraId="444A8890" w14:textId="77777777" w:rsidR="00B16C8B" w:rsidRPr="000C22AB" w:rsidRDefault="00B16C8B" w:rsidP="000366E9">
            <w:pPr>
              <w:pStyle w:val="BodyText"/>
              <w:spacing w:after="0"/>
              <w:rPr>
                <w:sz w:val="18"/>
                <w:szCs w:val="18"/>
              </w:rPr>
            </w:pPr>
            <w:r w:rsidRPr="000C22AB">
              <w:rPr>
                <w:b/>
                <w:sz w:val="18"/>
                <w:szCs w:val="18"/>
              </w:rPr>
              <w:t>Sector of end use</w:t>
            </w:r>
            <w:r w:rsidRPr="000C22AB">
              <w:rPr>
                <w:sz w:val="18"/>
                <w:szCs w:val="18"/>
              </w:rPr>
              <w:t xml:space="preserve"> SU 10: Formulation [mixing] of preparations and/or re-packaging (excluding alloys)</w:t>
            </w:r>
          </w:p>
          <w:p w14:paraId="7A65D4E0" w14:textId="77777777" w:rsidR="00B16C8B" w:rsidRPr="000C22AB" w:rsidRDefault="00B16C8B" w:rsidP="000366E9">
            <w:pPr>
              <w:pStyle w:val="BodyText"/>
              <w:spacing w:after="0"/>
              <w:rPr>
                <w:sz w:val="18"/>
                <w:szCs w:val="18"/>
              </w:rPr>
            </w:pPr>
            <w:r w:rsidRPr="000C22AB">
              <w:rPr>
                <w:sz w:val="18"/>
                <w:szCs w:val="18"/>
              </w:rPr>
              <w:t>SU 11: Manufacture of rubber products</w:t>
            </w:r>
          </w:p>
          <w:p w14:paraId="2FA48A0A" w14:textId="77777777" w:rsidR="00B16C8B" w:rsidRPr="000C22AB" w:rsidRDefault="00B16C8B" w:rsidP="000366E9">
            <w:pPr>
              <w:pStyle w:val="BodyText"/>
              <w:spacing w:after="0"/>
              <w:rPr>
                <w:sz w:val="18"/>
                <w:szCs w:val="18"/>
              </w:rPr>
            </w:pPr>
            <w:r w:rsidRPr="000C22AB">
              <w:rPr>
                <w:sz w:val="18"/>
                <w:szCs w:val="18"/>
              </w:rPr>
              <w:t>SU 12: Manufacture of plastics products, including compounding and conversion</w:t>
            </w:r>
          </w:p>
          <w:p w14:paraId="5650746D" w14:textId="77777777" w:rsidR="00B16C8B" w:rsidRPr="000C22AB" w:rsidRDefault="00B16C8B" w:rsidP="000366E9">
            <w:pPr>
              <w:pStyle w:val="BodyText"/>
              <w:spacing w:after="0"/>
              <w:rPr>
                <w:sz w:val="18"/>
                <w:szCs w:val="18"/>
              </w:rPr>
            </w:pPr>
            <w:r w:rsidRPr="000C22AB">
              <w:rPr>
                <w:sz w:val="18"/>
                <w:szCs w:val="18"/>
              </w:rPr>
              <w:t>SU 16: Manufacture of computer, electronic and optical products, electrical equipment</w:t>
            </w:r>
          </w:p>
          <w:p w14:paraId="678F6EC9" w14:textId="77777777" w:rsidR="00B16C8B" w:rsidRPr="000C22AB" w:rsidRDefault="00B16C8B" w:rsidP="000366E9">
            <w:pPr>
              <w:pStyle w:val="BodyText"/>
              <w:spacing w:after="0"/>
              <w:rPr>
                <w:sz w:val="18"/>
                <w:szCs w:val="18"/>
              </w:rPr>
            </w:pPr>
            <w:r w:rsidRPr="000C22AB">
              <w:rPr>
                <w:sz w:val="18"/>
                <w:szCs w:val="18"/>
              </w:rPr>
              <w:t>SU 17: General manufacturing, e.g. machinery, equipment, vehicles, other transport equipment</w:t>
            </w:r>
          </w:p>
          <w:p w14:paraId="0499F229" w14:textId="77777777" w:rsidR="00B16C8B" w:rsidRPr="000C22AB" w:rsidRDefault="00B16C8B" w:rsidP="000366E9">
            <w:pPr>
              <w:pStyle w:val="BodyText"/>
              <w:spacing w:after="0"/>
              <w:rPr>
                <w:sz w:val="18"/>
                <w:szCs w:val="18"/>
              </w:rPr>
            </w:pPr>
            <w:r w:rsidRPr="000C22AB">
              <w:rPr>
                <w:sz w:val="18"/>
                <w:szCs w:val="18"/>
              </w:rPr>
              <w:t>SU 9: Manufacture of fine chemicals</w:t>
            </w:r>
          </w:p>
          <w:p w14:paraId="20EBB9E8" w14:textId="77777777" w:rsidR="00B16C8B" w:rsidRPr="000C22AB" w:rsidRDefault="00B16C8B" w:rsidP="000366E9">
            <w:pPr>
              <w:pStyle w:val="BodyText"/>
              <w:spacing w:after="0"/>
              <w:rPr>
                <w:sz w:val="18"/>
                <w:szCs w:val="18"/>
              </w:rPr>
            </w:pPr>
            <w:r w:rsidRPr="000C22AB">
              <w:rPr>
                <w:b/>
                <w:sz w:val="18"/>
                <w:szCs w:val="18"/>
              </w:rPr>
              <w:t>Subsequent service life relevant for that use?</w:t>
            </w:r>
            <w:r w:rsidRPr="000C22AB">
              <w:rPr>
                <w:sz w:val="18"/>
                <w:szCs w:val="18"/>
              </w:rPr>
              <w:t xml:space="preserve"> No</w:t>
            </w:r>
          </w:p>
        </w:tc>
      </w:tr>
      <w:tr w:rsidR="00B16C8B" w:rsidRPr="000A6FDD" w14:paraId="5225903A" w14:textId="77777777" w:rsidTr="00327FE7">
        <w:tc>
          <w:tcPr>
            <w:tcW w:w="1362" w:type="dxa"/>
            <w:tcBorders>
              <w:left w:val="single" w:sz="12" w:space="0" w:color="auto"/>
            </w:tcBorders>
            <w:shd w:val="clear" w:color="auto" w:fill="auto"/>
          </w:tcPr>
          <w:p w14:paraId="703C8ED1" w14:textId="77777777" w:rsidR="00B16C8B" w:rsidRPr="000C22AB" w:rsidRDefault="00B16C8B" w:rsidP="000366E9">
            <w:pPr>
              <w:pStyle w:val="BodyText"/>
              <w:spacing w:after="0"/>
              <w:rPr>
                <w:sz w:val="18"/>
                <w:szCs w:val="18"/>
              </w:rPr>
            </w:pPr>
            <w:r w:rsidRPr="000C22AB">
              <w:rPr>
                <w:sz w:val="18"/>
                <w:szCs w:val="18"/>
              </w:rPr>
              <w:t>Consumer Use</w:t>
            </w:r>
          </w:p>
          <w:p w14:paraId="5E3FD88B" w14:textId="77777777" w:rsidR="00B16C8B" w:rsidRPr="000C22AB" w:rsidRDefault="00B16C8B" w:rsidP="000366E9">
            <w:pPr>
              <w:pStyle w:val="Tabletext0"/>
              <w:rPr>
                <w:sz w:val="18"/>
                <w:szCs w:val="18"/>
              </w:rPr>
            </w:pPr>
          </w:p>
        </w:tc>
        <w:tc>
          <w:tcPr>
            <w:tcW w:w="8121" w:type="dxa"/>
            <w:shd w:val="clear" w:color="auto" w:fill="auto"/>
          </w:tcPr>
          <w:p w14:paraId="526326A2" w14:textId="77777777" w:rsidR="00B16C8B" w:rsidRPr="000C22AB" w:rsidRDefault="00B16C8B" w:rsidP="000366E9">
            <w:pPr>
              <w:pStyle w:val="BodyText"/>
              <w:spacing w:after="0"/>
              <w:rPr>
                <w:sz w:val="18"/>
                <w:szCs w:val="18"/>
              </w:rPr>
            </w:pPr>
            <w:r w:rsidRPr="000C22AB">
              <w:rPr>
                <w:b/>
                <w:sz w:val="18"/>
                <w:szCs w:val="18"/>
              </w:rPr>
              <w:t>Chemical product category</w:t>
            </w:r>
            <w:r w:rsidRPr="000C22AB">
              <w:rPr>
                <w:sz w:val="18"/>
                <w:szCs w:val="18"/>
              </w:rPr>
              <w:t xml:space="preserve"> PC 1: Adhesives, sealants</w:t>
            </w:r>
          </w:p>
          <w:p w14:paraId="40CE0266" w14:textId="77777777" w:rsidR="00B16C8B" w:rsidRPr="000C22AB" w:rsidRDefault="00B16C8B" w:rsidP="000366E9">
            <w:pPr>
              <w:pStyle w:val="BodyText"/>
              <w:spacing w:after="0"/>
              <w:rPr>
                <w:sz w:val="18"/>
                <w:szCs w:val="18"/>
              </w:rPr>
            </w:pPr>
            <w:r w:rsidRPr="000C22AB">
              <w:rPr>
                <w:sz w:val="18"/>
                <w:szCs w:val="18"/>
              </w:rPr>
              <w:t>PC 11: Explosives</w:t>
            </w:r>
          </w:p>
          <w:p w14:paraId="3A3ECBF6" w14:textId="77777777" w:rsidR="00B16C8B" w:rsidRPr="000C22AB" w:rsidRDefault="00B16C8B" w:rsidP="000366E9">
            <w:pPr>
              <w:pStyle w:val="BodyText"/>
              <w:spacing w:after="0"/>
              <w:rPr>
                <w:sz w:val="18"/>
                <w:szCs w:val="18"/>
              </w:rPr>
            </w:pPr>
            <w:r w:rsidRPr="000C22AB">
              <w:rPr>
                <w:sz w:val="18"/>
                <w:szCs w:val="18"/>
              </w:rPr>
              <w:t>PC 14: Metal surface treatment products, including galvanic and electroplating products</w:t>
            </w:r>
          </w:p>
          <w:p w14:paraId="16236C18" w14:textId="77777777" w:rsidR="00B16C8B" w:rsidRPr="000C22AB" w:rsidRDefault="00B16C8B" w:rsidP="000366E9">
            <w:pPr>
              <w:pStyle w:val="BodyText"/>
              <w:spacing w:after="0"/>
              <w:rPr>
                <w:sz w:val="18"/>
                <w:szCs w:val="18"/>
              </w:rPr>
            </w:pPr>
            <w:r w:rsidRPr="000C22AB">
              <w:rPr>
                <w:sz w:val="18"/>
                <w:szCs w:val="18"/>
              </w:rPr>
              <w:t>PC 32: Polymer preparations and compounds</w:t>
            </w:r>
          </w:p>
          <w:p w14:paraId="67F69262" w14:textId="77777777" w:rsidR="00B16C8B" w:rsidRPr="000C22AB" w:rsidRDefault="00B16C8B" w:rsidP="000366E9">
            <w:pPr>
              <w:pStyle w:val="BodyText"/>
              <w:spacing w:after="0"/>
              <w:rPr>
                <w:sz w:val="18"/>
                <w:szCs w:val="18"/>
              </w:rPr>
            </w:pPr>
            <w:r w:rsidRPr="000C22AB">
              <w:rPr>
                <w:b/>
                <w:sz w:val="18"/>
                <w:szCs w:val="18"/>
              </w:rPr>
              <w:t>Environmental release category</w:t>
            </w:r>
            <w:r w:rsidRPr="000C22AB">
              <w:rPr>
                <w:sz w:val="18"/>
                <w:szCs w:val="18"/>
              </w:rPr>
              <w:t xml:space="preserve"> ERC 8a: Wide dispersive indoor use of processing aids in open systems</w:t>
            </w:r>
          </w:p>
          <w:p w14:paraId="795AA63F" w14:textId="77777777" w:rsidR="00B16C8B" w:rsidRPr="000C22AB" w:rsidRDefault="00B16C8B" w:rsidP="000366E9">
            <w:pPr>
              <w:pStyle w:val="BodyText"/>
              <w:spacing w:after="0"/>
              <w:rPr>
                <w:sz w:val="18"/>
                <w:szCs w:val="18"/>
              </w:rPr>
            </w:pPr>
            <w:r w:rsidRPr="000C22AB">
              <w:rPr>
                <w:b/>
                <w:sz w:val="18"/>
                <w:szCs w:val="18"/>
              </w:rPr>
              <w:t>Substance supplied to that use in form of</w:t>
            </w:r>
            <w:r w:rsidRPr="000C22AB">
              <w:rPr>
                <w:sz w:val="18"/>
                <w:szCs w:val="18"/>
              </w:rPr>
              <w:t xml:space="preserve"> In a mixture</w:t>
            </w:r>
          </w:p>
          <w:p w14:paraId="25A8A744" w14:textId="77777777" w:rsidR="00B16C8B" w:rsidRPr="000C22AB" w:rsidRDefault="00B16C8B" w:rsidP="000366E9">
            <w:pPr>
              <w:pStyle w:val="BodyText"/>
              <w:spacing w:after="0"/>
              <w:rPr>
                <w:sz w:val="18"/>
                <w:szCs w:val="18"/>
              </w:rPr>
            </w:pPr>
            <w:r w:rsidRPr="000C22AB">
              <w:rPr>
                <w:b/>
                <w:sz w:val="18"/>
                <w:szCs w:val="18"/>
              </w:rPr>
              <w:t>Subsequent service life relevant for that use?</w:t>
            </w:r>
            <w:r w:rsidRPr="000C22AB">
              <w:rPr>
                <w:sz w:val="18"/>
                <w:szCs w:val="18"/>
              </w:rPr>
              <w:t xml:space="preserve"> No</w:t>
            </w:r>
          </w:p>
        </w:tc>
      </w:tr>
      <w:tr w:rsidR="00B16C8B" w:rsidRPr="000A6FDD" w14:paraId="4FA2E8C1" w14:textId="77777777" w:rsidTr="00327FE7">
        <w:tc>
          <w:tcPr>
            <w:tcW w:w="1362" w:type="dxa"/>
            <w:tcBorders>
              <w:left w:val="single" w:sz="12" w:space="0" w:color="auto"/>
            </w:tcBorders>
            <w:shd w:val="clear" w:color="auto" w:fill="auto"/>
          </w:tcPr>
          <w:p w14:paraId="061AE793" w14:textId="77777777" w:rsidR="00B16C8B" w:rsidRPr="000C22AB" w:rsidRDefault="00B16C8B" w:rsidP="000366E9">
            <w:pPr>
              <w:pStyle w:val="BodyText"/>
              <w:spacing w:after="0"/>
              <w:rPr>
                <w:sz w:val="18"/>
                <w:szCs w:val="18"/>
              </w:rPr>
            </w:pPr>
            <w:r w:rsidRPr="000C22AB">
              <w:rPr>
                <w:sz w:val="18"/>
                <w:szCs w:val="18"/>
              </w:rPr>
              <w:t>Service life (consumers)</w:t>
            </w:r>
          </w:p>
          <w:p w14:paraId="5132B876" w14:textId="77777777" w:rsidR="00B16C8B" w:rsidRPr="000C22AB" w:rsidRDefault="00B16C8B" w:rsidP="000366E9">
            <w:pPr>
              <w:pStyle w:val="BodyText"/>
              <w:spacing w:after="0"/>
              <w:rPr>
                <w:sz w:val="18"/>
                <w:szCs w:val="18"/>
              </w:rPr>
            </w:pPr>
          </w:p>
        </w:tc>
        <w:tc>
          <w:tcPr>
            <w:tcW w:w="8121" w:type="dxa"/>
            <w:shd w:val="clear" w:color="auto" w:fill="auto"/>
          </w:tcPr>
          <w:p w14:paraId="21DB5A57" w14:textId="77777777" w:rsidR="00B16C8B" w:rsidRPr="000C22AB" w:rsidRDefault="00B16C8B" w:rsidP="000366E9">
            <w:pPr>
              <w:pStyle w:val="BodyText"/>
              <w:spacing w:after="0"/>
              <w:rPr>
                <w:sz w:val="18"/>
                <w:szCs w:val="18"/>
              </w:rPr>
            </w:pPr>
            <w:r w:rsidRPr="000C22AB">
              <w:rPr>
                <w:b/>
                <w:sz w:val="18"/>
                <w:szCs w:val="18"/>
              </w:rPr>
              <w:t>Environmental release category</w:t>
            </w:r>
            <w:r w:rsidRPr="000C22AB">
              <w:rPr>
                <w:sz w:val="18"/>
                <w:szCs w:val="18"/>
              </w:rPr>
              <w:t xml:space="preserve"> ERC 10a: Wide dispersive outdoor use of long-life articles and materials with low release</w:t>
            </w:r>
          </w:p>
          <w:p w14:paraId="77257C6A" w14:textId="77777777" w:rsidR="00B16C8B" w:rsidRPr="000C22AB" w:rsidRDefault="00B16C8B" w:rsidP="000366E9">
            <w:pPr>
              <w:pStyle w:val="BodyText"/>
              <w:spacing w:after="0"/>
              <w:rPr>
                <w:sz w:val="18"/>
                <w:szCs w:val="18"/>
              </w:rPr>
            </w:pPr>
            <w:r w:rsidRPr="000C22AB">
              <w:rPr>
                <w:sz w:val="18"/>
                <w:szCs w:val="18"/>
              </w:rPr>
              <w:t>ERC 11a: Wide dispersive indoor use of long-life articles and materials with low release</w:t>
            </w:r>
          </w:p>
          <w:p w14:paraId="7422F347" w14:textId="77777777" w:rsidR="00B16C8B" w:rsidRPr="000C22AB" w:rsidRDefault="00B16C8B" w:rsidP="000366E9">
            <w:pPr>
              <w:pStyle w:val="BodyText"/>
              <w:spacing w:after="0"/>
              <w:rPr>
                <w:sz w:val="18"/>
                <w:szCs w:val="18"/>
              </w:rPr>
            </w:pPr>
            <w:r w:rsidRPr="000C22AB">
              <w:rPr>
                <w:b/>
                <w:sz w:val="18"/>
                <w:szCs w:val="18"/>
              </w:rPr>
              <w:t>Article category related to subsequent service life</w:t>
            </w:r>
            <w:r w:rsidRPr="000C22AB">
              <w:rPr>
                <w:sz w:val="18"/>
                <w:szCs w:val="18"/>
              </w:rPr>
              <w:t xml:space="preserve"> AC 1: Vehicles</w:t>
            </w:r>
          </w:p>
          <w:p w14:paraId="7BDBE5E6" w14:textId="77777777" w:rsidR="00B16C8B" w:rsidRPr="000C22AB" w:rsidRDefault="00B16C8B" w:rsidP="000366E9">
            <w:pPr>
              <w:pStyle w:val="BodyText"/>
              <w:spacing w:after="0"/>
              <w:rPr>
                <w:sz w:val="18"/>
                <w:szCs w:val="18"/>
              </w:rPr>
            </w:pPr>
            <w:r w:rsidRPr="000C22AB">
              <w:rPr>
                <w:sz w:val="18"/>
                <w:szCs w:val="18"/>
              </w:rPr>
              <w:t>AC 2: Machinery, mechanical appliances, electrical/electronic articles</w:t>
            </w:r>
          </w:p>
          <w:p w14:paraId="3E0F932E" w14:textId="77777777" w:rsidR="00B16C8B" w:rsidRPr="000C22AB" w:rsidRDefault="00B16C8B" w:rsidP="000366E9">
            <w:pPr>
              <w:pStyle w:val="BodyText"/>
              <w:spacing w:after="0"/>
              <w:rPr>
                <w:sz w:val="18"/>
                <w:szCs w:val="18"/>
              </w:rPr>
            </w:pPr>
            <w:r w:rsidRPr="000C22AB">
              <w:rPr>
                <w:sz w:val="18"/>
                <w:szCs w:val="18"/>
              </w:rPr>
              <w:t>AC 3: Electrical batteries and accumulators</w:t>
            </w:r>
          </w:p>
          <w:p w14:paraId="768E1177" w14:textId="77777777" w:rsidR="00B16C8B" w:rsidRPr="000C22AB" w:rsidRDefault="00B16C8B" w:rsidP="000366E9">
            <w:pPr>
              <w:pStyle w:val="BodyText"/>
              <w:spacing w:after="0"/>
              <w:rPr>
                <w:sz w:val="18"/>
                <w:szCs w:val="18"/>
              </w:rPr>
            </w:pPr>
            <w:r w:rsidRPr="000C22AB">
              <w:rPr>
                <w:sz w:val="18"/>
                <w:szCs w:val="18"/>
              </w:rPr>
              <w:t>AC 4: Stone, plaster, cement, glass and ceramic articles</w:t>
            </w:r>
          </w:p>
          <w:p w14:paraId="4341068E" w14:textId="77777777" w:rsidR="00B16C8B" w:rsidRPr="000C22AB" w:rsidRDefault="00B16C8B" w:rsidP="000366E9">
            <w:pPr>
              <w:pStyle w:val="BodyText"/>
              <w:spacing w:after="0"/>
              <w:rPr>
                <w:sz w:val="18"/>
                <w:szCs w:val="18"/>
              </w:rPr>
            </w:pPr>
            <w:r w:rsidRPr="000C22AB">
              <w:rPr>
                <w:sz w:val="18"/>
                <w:szCs w:val="18"/>
              </w:rPr>
              <w:t>AC 5: Fabrics, textiles and apparel</w:t>
            </w:r>
          </w:p>
          <w:p w14:paraId="30A54709" w14:textId="77777777" w:rsidR="00B16C8B" w:rsidRPr="000C22AB" w:rsidRDefault="00B16C8B" w:rsidP="000366E9">
            <w:pPr>
              <w:pStyle w:val="BodyText"/>
              <w:spacing w:after="0"/>
              <w:rPr>
                <w:sz w:val="18"/>
                <w:szCs w:val="18"/>
              </w:rPr>
            </w:pPr>
            <w:r w:rsidRPr="000C22AB">
              <w:rPr>
                <w:sz w:val="18"/>
                <w:szCs w:val="18"/>
              </w:rPr>
              <w:t>AC 6: Leather articles</w:t>
            </w:r>
          </w:p>
        </w:tc>
      </w:tr>
      <w:tr w:rsidR="00B16C8B" w:rsidRPr="000A6FDD" w14:paraId="2B88DD27" w14:textId="77777777" w:rsidTr="00327FE7">
        <w:tc>
          <w:tcPr>
            <w:tcW w:w="1362" w:type="dxa"/>
            <w:tcBorders>
              <w:left w:val="single" w:sz="12" w:space="0" w:color="auto"/>
            </w:tcBorders>
            <w:shd w:val="clear" w:color="auto" w:fill="auto"/>
          </w:tcPr>
          <w:p w14:paraId="37C80EB4" w14:textId="77777777" w:rsidR="00B16C8B" w:rsidRPr="000C22AB" w:rsidRDefault="00B16C8B" w:rsidP="000366E9">
            <w:pPr>
              <w:pStyle w:val="BodyText"/>
              <w:spacing w:after="0"/>
              <w:rPr>
                <w:sz w:val="18"/>
                <w:szCs w:val="18"/>
              </w:rPr>
            </w:pPr>
            <w:r w:rsidRPr="000C22AB">
              <w:rPr>
                <w:sz w:val="18"/>
                <w:szCs w:val="18"/>
              </w:rPr>
              <w:t xml:space="preserve">Service life </w:t>
            </w:r>
            <w:r w:rsidRPr="000C22AB">
              <w:rPr>
                <w:sz w:val="18"/>
                <w:szCs w:val="18"/>
              </w:rPr>
              <w:lastRenderedPageBreak/>
              <w:t>(worker at industrial site)</w:t>
            </w:r>
          </w:p>
          <w:p w14:paraId="10E8DA06" w14:textId="77777777" w:rsidR="00B16C8B" w:rsidRPr="000C22AB" w:rsidRDefault="00B16C8B" w:rsidP="000366E9">
            <w:pPr>
              <w:pStyle w:val="BodyText"/>
              <w:spacing w:after="0"/>
              <w:rPr>
                <w:sz w:val="18"/>
                <w:szCs w:val="18"/>
              </w:rPr>
            </w:pPr>
          </w:p>
        </w:tc>
        <w:tc>
          <w:tcPr>
            <w:tcW w:w="8121" w:type="dxa"/>
            <w:shd w:val="clear" w:color="auto" w:fill="auto"/>
          </w:tcPr>
          <w:p w14:paraId="5000C85C" w14:textId="77777777" w:rsidR="00B16C8B" w:rsidRPr="000C22AB" w:rsidRDefault="00B16C8B" w:rsidP="000366E9">
            <w:pPr>
              <w:pStyle w:val="BodyText"/>
              <w:spacing w:after="0"/>
              <w:rPr>
                <w:sz w:val="18"/>
                <w:szCs w:val="18"/>
              </w:rPr>
            </w:pPr>
            <w:r w:rsidRPr="000C22AB">
              <w:rPr>
                <w:b/>
                <w:sz w:val="18"/>
                <w:szCs w:val="18"/>
              </w:rPr>
              <w:lastRenderedPageBreak/>
              <w:t>Process category</w:t>
            </w:r>
            <w:r w:rsidRPr="000C22AB">
              <w:rPr>
                <w:sz w:val="18"/>
                <w:szCs w:val="18"/>
              </w:rPr>
              <w:t xml:space="preserve"> PROC 21: Low energy manipulation of substances bound in </w:t>
            </w:r>
            <w:r w:rsidRPr="000C22AB">
              <w:rPr>
                <w:sz w:val="18"/>
                <w:szCs w:val="18"/>
              </w:rPr>
              <w:lastRenderedPageBreak/>
              <w:t>materials and/or articles</w:t>
            </w:r>
          </w:p>
          <w:p w14:paraId="49134365" w14:textId="77777777" w:rsidR="00B16C8B" w:rsidRPr="000C22AB" w:rsidRDefault="00B16C8B" w:rsidP="000366E9">
            <w:pPr>
              <w:pStyle w:val="BodyText"/>
              <w:spacing w:after="0"/>
              <w:rPr>
                <w:sz w:val="18"/>
                <w:szCs w:val="18"/>
              </w:rPr>
            </w:pPr>
            <w:r w:rsidRPr="000C22AB">
              <w:rPr>
                <w:sz w:val="18"/>
                <w:szCs w:val="18"/>
              </w:rPr>
              <w:t>PROC 24: High (mechanical) energy work-up of substances bound in materials and/or articles</w:t>
            </w:r>
          </w:p>
          <w:p w14:paraId="030D4898" w14:textId="77777777" w:rsidR="00B16C8B" w:rsidRPr="000C22AB" w:rsidRDefault="00B16C8B" w:rsidP="000366E9">
            <w:pPr>
              <w:pStyle w:val="BodyText"/>
              <w:spacing w:after="0"/>
              <w:rPr>
                <w:sz w:val="18"/>
                <w:szCs w:val="18"/>
              </w:rPr>
            </w:pPr>
            <w:r w:rsidRPr="000C22AB">
              <w:rPr>
                <w:sz w:val="18"/>
                <w:szCs w:val="18"/>
              </w:rPr>
              <w:t>PROC 25: Other hot work operations with metals</w:t>
            </w:r>
          </w:p>
          <w:p w14:paraId="2FA6ACF6" w14:textId="77777777" w:rsidR="00B16C8B" w:rsidRPr="000C22AB" w:rsidRDefault="00B16C8B" w:rsidP="000366E9">
            <w:pPr>
              <w:pStyle w:val="BodyText"/>
              <w:spacing w:after="0"/>
              <w:rPr>
                <w:sz w:val="18"/>
                <w:szCs w:val="18"/>
              </w:rPr>
            </w:pPr>
            <w:r w:rsidRPr="000C22AB">
              <w:rPr>
                <w:b/>
                <w:sz w:val="18"/>
                <w:szCs w:val="18"/>
              </w:rPr>
              <w:t>Environmental release category</w:t>
            </w:r>
            <w:r w:rsidRPr="000C22AB">
              <w:rPr>
                <w:sz w:val="18"/>
                <w:szCs w:val="18"/>
              </w:rPr>
              <w:t xml:space="preserve"> ERC 12b: Industrial processing of articles with abrasive techniques (high release)</w:t>
            </w:r>
          </w:p>
          <w:p w14:paraId="2846269F" w14:textId="77777777" w:rsidR="00B16C8B" w:rsidRPr="000C22AB" w:rsidRDefault="00B16C8B" w:rsidP="000366E9">
            <w:pPr>
              <w:pStyle w:val="BodyText"/>
              <w:spacing w:after="0"/>
              <w:rPr>
                <w:sz w:val="18"/>
                <w:szCs w:val="18"/>
              </w:rPr>
            </w:pPr>
            <w:r w:rsidRPr="000C22AB">
              <w:rPr>
                <w:sz w:val="18"/>
                <w:szCs w:val="18"/>
              </w:rPr>
              <w:t>ERC 12a: Industrial processing of articles with abrasive techniques (low release)</w:t>
            </w:r>
          </w:p>
          <w:p w14:paraId="264476A8" w14:textId="77777777" w:rsidR="00B16C8B" w:rsidRPr="000C22AB" w:rsidRDefault="00B16C8B" w:rsidP="000366E9">
            <w:pPr>
              <w:pStyle w:val="BodyText"/>
              <w:spacing w:after="0"/>
              <w:rPr>
                <w:sz w:val="18"/>
                <w:szCs w:val="18"/>
              </w:rPr>
            </w:pPr>
            <w:r w:rsidRPr="000C22AB">
              <w:rPr>
                <w:b/>
                <w:sz w:val="18"/>
                <w:szCs w:val="18"/>
              </w:rPr>
              <w:t>Article category related to subsequent service life</w:t>
            </w:r>
            <w:r w:rsidRPr="000C22AB">
              <w:rPr>
                <w:sz w:val="18"/>
                <w:szCs w:val="18"/>
              </w:rPr>
              <w:t xml:space="preserve"> AC 10: Rubber articles</w:t>
            </w:r>
          </w:p>
        </w:tc>
      </w:tr>
    </w:tbl>
    <w:p w14:paraId="3C98FE01" w14:textId="77777777" w:rsidR="00B16C8B" w:rsidRPr="000A6FDD" w:rsidRDefault="00B16C8B" w:rsidP="00B16C8B">
      <w:pPr>
        <w:pStyle w:val="BodyText"/>
        <w:spacing w:after="0"/>
      </w:pPr>
    </w:p>
    <w:p w14:paraId="54554839" w14:textId="77777777" w:rsidR="00B16C8B" w:rsidRDefault="00B16C8B" w:rsidP="00B16C8B">
      <w:pPr>
        <w:pStyle w:val="BodyText"/>
        <w:spacing w:after="0"/>
      </w:pPr>
    </w:p>
    <w:p w14:paraId="66C0A712" w14:textId="77777777" w:rsidR="000C22AB" w:rsidRPr="000A6FDD" w:rsidRDefault="000C22AB" w:rsidP="00B16C8B">
      <w:pPr>
        <w:pStyle w:val="BodyText"/>
        <w:spacing w:after="0"/>
      </w:pPr>
    </w:p>
    <w:p w14:paraId="07D63AC1" w14:textId="77777777" w:rsidR="00554DC9" w:rsidRDefault="00CF6F1B" w:rsidP="00554DC9">
      <w:pPr>
        <w:pStyle w:val="Title"/>
        <w:numPr>
          <w:ilvl w:val="0"/>
          <w:numId w:val="0"/>
        </w:numPr>
      </w:pPr>
      <w:bookmarkStart w:id="814" w:name="_Toc491862255"/>
      <w:r>
        <w:t>10</w:t>
      </w:r>
      <w:r w:rsidR="00554DC9">
        <w:t>. Information on structure of the supply chain</w:t>
      </w:r>
      <w:bookmarkEnd w:id="813"/>
      <w:bookmarkEnd w:id="814"/>
    </w:p>
    <w:p w14:paraId="4098B017" w14:textId="77777777" w:rsidR="007B377D" w:rsidRPr="00781D60" w:rsidRDefault="007B377D" w:rsidP="005E6402">
      <w:pPr>
        <w:pStyle w:val="NormalItalic"/>
        <w:rPr>
          <w:i w:val="0"/>
        </w:rPr>
      </w:pPr>
      <w:r w:rsidRPr="00781D60">
        <w:rPr>
          <w:i w:val="0"/>
        </w:rPr>
        <w:t xml:space="preserve">The </w:t>
      </w:r>
      <w:r w:rsidR="00781D60">
        <w:rPr>
          <w:i w:val="0"/>
        </w:rPr>
        <w:t>l</w:t>
      </w:r>
      <w:r w:rsidRPr="00781D60">
        <w:rPr>
          <w:i w:val="0"/>
        </w:rPr>
        <w:t xml:space="preserve">ead Registrant </w:t>
      </w:r>
      <w:r w:rsidR="00E2323D">
        <w:rPr>
          <w:i w:val="0"/>
        </w:rPr>
        <w:t xml:space="preserve">has </w:t>
      </w:r>
      <w:r w:rsidRPr="00781D60">
        <w:rPr>
          <w:i w:val="0"/>
        </w:rPr>
        <w:t>indicate</w:t>
      </w:r>
      <w:r w:rsidR="00E2323D">
        <w:rPr>
          <w:i w:val="0"/>
        </w:rPr>
        <w:t>d</w:t>
      </w:r>
      <w:r w:rsidRPr="00781D60">
        <w:rPr>
          <w:i w:val="0"/>
        </w:rPr>
        <w:t xml:space="preserve"> that their supply chain is relatively short, with direct supply by them to formulators and industrial users. However</w:t>
      </w:r>
      <w:r w:rsidR="00781D60">
        <w:rPr>
          <w:i w:val="0"/>
        </w:rPr>
        <w:t>,</w:t>
      </w:r>
      <w:r w:rsidRPr="00781D60">
        <w:rPr>
          <w:i w:val="0"/>
        </w:rPr>
        <w:t xml:space="preserve"> there is no information from the </w:t>
      </w:r>
      <w:r w:rsidR="00781D60">
        <w:rPr>
          <w:i w:val="0"/>
        </w:rPr>
        <w:t>joint</w:t>
      </w:r>
      <w:r w:rsidRPr="00781D60">
        <w:rPr>
          <w:i w:val="0"/>
        </w:rPr>
        <w:t xml:space="preserve"> Registrant </w:t>
      </w:r>
      <w:r w:rsidR="00781D60">
        <w:rPr>
          <w:i w:val="0"/>
        </w:rPr>
        <w:t>(or other suppliers yet to register). T</w:t>
      </w:r>
      <w:r w:rsidRPr="00781D60">
        <w:rPr>
          <w:i w:val="0"/>
        </w:rPr>
        <w:t>he</w:t>
      </w:r>
      <w:r w:rsidR="00781D60">
        <w:rPr>
          <w:i w:val="0"/>
        </w:rPr>
        <w:t xml:space="preserve"> structure of the</w:t>
      </w:r>
      <w:r w:rsidRPr="00781D60">
        <w:rPr>
          <w:i w:val="0"/>
        </w:rPr>
        <w:t xml:space="preserve"> supply chain for imported </w:t>
      </w:r>
      <w:r w:rsidR="00781D60">
        <w:rPr>
          <w:i w:val="0"/>
        </w:rPr>
        <w:t xml:space="preserve">treated </w:t>
      </w:r>
      <w:r w:rsidRPr="00781D60">
        <w:rPr>
          <w:i w:val="0"/>
        </w:rPr>
        <w:t>articles</w:t>
      </w:r>
      <w:r w:rsidR="00781D60">
        <w:rPr>
          <w:i w:val="0"/>
        </w:rPr>
        <w:t xml:space="preserve"> (if any)</w:t>
      </w:r>
      <w:r w:rsidRPr="00781D60">
        <w:rPr>
          <w:i w:val="0"/>
        </w:rPr>
        <w:t xml:space="preserve"> is </w:t>
      </w:r>
      <w:r w:rsidR="00781D60">
        <w:rPr>
          <w:i w:val="0"/>
        </w:rPr>
        <w:t>unknown</w:t>
      </w:r>
      <w:r w:rsidRPr="00781D60">
        <w:rPr>
          <w:i w:val="0"/>
        </w:rPr>
        <w:t>.</w:t>
      </w:r>
    </w:p>
    <w:p w14:paraId="3CA8421D" w14:textId="77777777" w:rsidR="003819B8" w:rsidRPr="00781D60" w:rsidRDefault="003819B8" w:rsidP="005E6402">
      <w:pPr>
        <w:pStyle w:val="NormalItalic"/>
        <w:rPr>
          <w:i w:val="0"/>
        </w:rPr>
      </w:pPr>
    </w:p>
    <w:p w14:paraId="1DFD319F" w14:textId="77777777" w:rsidR="005E6402" w:rsidRDefault="00CF6F1B" w:rsidP="00CF6F1B">
      <w:pPr>
        <w:pStyle w:val="Heading1"/>
        <w:numPr>
          <w:ilvl w:val="0"/>
          <w:numId w:val="0"/>
        </w:numPr>
      </w:pPr>
      <w:bookmarkStart w:id="815" w:name="_Toc491862256"/>
      <w:r>
        <w:t xml:space="preserve">11. </w:t>
      </w:r>
      <w:r w:rsidR="005E6402">
        <w:t>Additional information</w:t>
      </w:r>
      <w:bookmarkEnd w:id="815"/>
      <w:r w:rsidR="005E6402">
        <w:t xml:space="preserve"> </w:t>
      </w:r>
    </w:p>
    <w:p w14:paraId="1565677F" w14:textId="77777777" w:rsidR="005E6402" w:rsidRPr="0010600C" w:rsidRDefault="0010600C" w:rsidP="0010600C">
      <w:pPr>
        <w:pStyle w:val="Heading2"/>
      </w:pPr>
      <w:bookmarkStart w:id="816" w:name="_Toc491862257"/>
      <w:r>
        <w:t xml:space="preserve">11.1 </w:t>
      </w:r>
      <w:r w:rsidR="005E6402" w:rsidRPr="0010600C">
        <w:t>Substances with similar hazard and use profiles</w:t>
      </w:r>
      <w:r w:rsidR="00E26FE8" w:rsidRPr="0010600C">
        <w:t xml:space="preserve"> on the Candidate List</w:t>
      </w:r>
      <w:bookmarkEnd w:id="816"/>
    </w:p>
    <w:p w14:paraId="6E403898" w14:textId="77777777" w:rsidR="007B377D" w:rsidRDefault="007B377D" w:rsidP="007E6629">
      <w:pPr>
        <w:jc w:val="both"/>
      </w:pPr>
      <w:r w:rsidRPr="00781D60">
        <w:t xml:space="preserve">There are </w:t>
      </w:r>
      <w:r w:rsidR="00781D60">
        <w:t>three</w:t>
      </w:r>
      <w:r w:rsidRPr="00781D60">
        <w:t xml:space="preserve"> flame retardants on the Candidate List</w:t>
      </w:r>
      <w:r w:rsidR="00781D60">
        <w:t xml:space="preserve"> with PBT/vPvB properties, i.e. short-chain chlorinated paraffins (SCCPs) (CAS no. </w:t>
      </w:r>
      <w:r w:rsidR="00781D60" w:rsidRPr="00781D60">
        <w:t>85535-84-8</w:t>
      </w:r>
      <w:r w:rsidR="00781D60">
        <w:t>),</w:t>
      </w:r>
      <w:r w:rsidRPr="00781D60">
        <w:t xml:space="preserve"> </w:t>
      </w:r>
      <w:r w:rsidRPr="001B0749">
        <w:t>decabromodiphenyl ether</w:t>
      </w:r>
      <w:r w:rsidRPr="00781D60">
        <w:t xml:space="preserve"> </w:t>
      </w:r>
      <w:r w:rsidRPr="001B0749">
        <w:t xml:space="preserve">(decaBDE) </w:t>
      </w:r>
      <w:r w:rsidR="00781D60">
        <w:t xml:space="preserve">(CAS no. </w:t>
      </w:r>
      <w:r w:rsidR="00781D60" w:rsidRPr="00781D60">
        <w:t>1163-19-5</w:t>
      </w:r>
      <w:r w:rsidR="00781D60">
        <w:t xml:space="preserve">) </w:t>
      </w:r>
      <w:r w:rsidRPr="00781D60">
        <w:t>and</w:t>
      </w:r>
      <w:r w:rsidR="00781D60">
        <w:t xml:space="preserve"> hexabromocyclododecane (</w:t>
      </w:r>
      <w:r w:rsidRPr="00781D60">
        <w:t>HBCDD</w:t>
      </w:r>
      <w:r w:rsidR="00781D60">
        <w:t xml:space="preserve">) (CAS no. </w:t>
      </w:r>
      <w:r w:rsidR="00781D60" w:rsidRPr="00781D60">
        <w:t>3194-55-6</w:t>
      </w:r>
      <w:r w:rsidR="00781D60">
        <w:t>)</w:t>
      </w:r>
      <w:r w:rsidRPr="00781D60">
        <w:t xml:space="preserve">. </w:t>
      </w:r>
      <w:r w:rsidRPr="001B0749">
        <w:t>Dechlorane Plus is a potential substitute for decaBDE (</w:t>
      </w:r>
      <w:r w:rsidR="00781D60">
        <w:t xml:space="preserve">according to </w:t>
      </w:r>
      <w:r w:rsidRPr="001B0749">
        <w:t>U</w:t>
      </w:r>
      <w:r w:rsidR="00327FE7">
        <w:t>.S. EPA</w:t>
      </w:r>
      <w:r w:rsidRPr="001B0749">
        <w:t>, 2014), for which an Annex XV</w:t>
      </w:r>
      <w:r>
        <w:t>II</w:t>
      </w:r>
      <w:r w:rsidRPr="001B0749">
        <w:t xml:space="preserve"> restriction </w:t>
      </w:r>
      <w:r>
        <w:t xml:space="preserve">has recently been adopted </w:t>
      </w:r>
      <w:r w:rsidRPr="001B0749">
        <w:t>(with</w:t>
      </w:r>
      <w:r>
        <w:t xml:space="preserve"> some</w:t>
      </w:r>
      <w:r w:rsidRPr="001B0749">
        <w:t xml:space="preserve"> derogations)</w:t>
      </w:r>
      <w:r w:rsidR="00C176D7">
        <w:t xml:space="preserve"> and a</w:t>
      </w:r>
      <w:r w:rsidRPr="001B0749">
        <w:t xml:space="preserve"> proposal to list decaBDE as a </w:t>
      </w:r>
      <w:r>
        <w:t>POP</w:t>
      </w:r>
      <w:r w:rsidRPr="001B0749">
        <w:t xml:space="preserve"> under the Stockholm Convention is also under consideration.  </w:t>
      </w:r>
    </w:p>
    <w:p w14:paraId="30C807AC" w14:textId="77777777" w:rsidR="004D5F5E" w:rsidRDefault="004D5F5E" w:rsidP="007E6629">
      <w:pPr>
        <w:jc w:val="both"/>
      </w:pPr>
    </w:p>
    <w:p w14:paraId="04DB0D0E" w14:textId="77777777" w:rsidR="004D5F5E" w:rsidRDefault="004D5F5E" w:rsidP="007E6629">
      <w:pPr>
        <w:jc w:val="both"/>
      </w:pPr>
      <w:r>
        <w:t>Other substances with flame retardant uses and similar hazardous properties are or have been included on Annex XVII of REACH (for example polybromodiphenyl ethers and polybromobiphenyls), but are not on the Candidate List.</w:t>
      </w:r>
    </w:p>
    <w:p w14:paraId="62909512" w14:textId="77777777" w:rsidR="007B377D" w:rsidRDefault="007B377D" w:rsidP="007E6629">
      <w:pPr>
        <w:jc w:val="both"/>
        <w:rPr>
          <w:i/>
        </w:rPr>
      </w:pPr>
    </w:p>
    <w:p w14:paraId="5FB3BC36" w14:textId="77777777" w:rsidR="008476D2" w:rsidRPr="00C81C2F" w:rsidRDefault="0010600C" w:rsidP="0010600C">
      <w:pPr>
        <w:pStyle w:val="Heading2"/>
      </w:pPr>
      <w:bookmarkStart w:id="817" w:name="_Toc491862258"/>
      <w:r>
        <w:t xml:space="preserve">11.2 </w:t>
      </w:r>
      <w:r w:rsidR="007E6629" w:rsidRPr="00C81C2F">
        <w:t>Alternatives</w:t>
      </w:r>
      <w:bookmarkEnd w:id="817"/>
    </w:p>
    <w:p w14:paraId="0D485A4F" w14:textId="77777777" w:rsidR="007B377D" w:rsidRPr="001B0749" w:rsidRDefault="007B377D" w:rsidP="007B377D">
      <w:pPr>
        <w:jc w:val="both"/>
      </w:pPr>
      <w:r w:rsidRPr="001B0749">
        <w:t>The</w:t>
      </w:r>
      <w:r w:rsidR="004D5F5E">
        <w:t xml:space="preserve"> lead</w:t>
      </w:r>
      <w:r w:rsidRPr="001B0749">
        <w:t xml:space="preserve"> </w:t>
      </w:r>
      <w:r>
        <w:t>Registrant</w:t>
      </w:r>
      <w:r w:rsidRPr="001B0749">
        <w:t xml:space="preserve"> has confirmed that they do not make any alternatives to Dechlorane Plus themselves. Further information on alternatives to Dechlorane Plus was gathered through direct contact with t</w:t>
      </w:r>
      <w:r>
        <w:t>wo</w:t>
      </w:r>
      <w:r w:rsidRPr="001B0749">
        <w:t xml:space="preserve"> of the </w:t>
      </w:r>
      <w:r w:rsidR="004D5F5E">
        <w:t xml:space="preserve">lead </w:t>
      </w:r>
      <w:r>
        <w:t>Registrant</w:t>
      </w:r>
      <w:r w:rsidRPr="001B0749">
        <w:t xml:space="preserve">’s EU customers (downstream users of Dechlorane Plus). Some alternatives have been considered </w:t>
      </w:r>
      <w:r w:rsidR="004D5F5E">
        <w:t>but</w:t>
      </w:r>
      <w:r w:rsidRPr="001B0749">
        <w:t xml:space="preserve"> to date no suitable alternatives have been identified that meet the </w:t>
      </w:r>
      <w:r>
        <w:t xml:space="preserve">mechanical and </w:t>
      </w:r>
      <w:r w:rsidRPr="001B0749">
        <w:t>flame retardant properties of Dechlorane Plus.</w:t>
      </w:r>
    </w:p>
    <w:p w14:paraId="2BBD3163" w14:textId="77777777" w:rsidR="007B377D" w:rsidRDefault="007B377D" w:rsidP="009B03B5">
      <w:pPr>
        <w:pStyle w:val="NoSpacing"/>
        <w:jc w:val="both"/>
      </w:pPr>
    </w:p>
    <w:p w14:paraId="141C6EA5" w14:textId="77777777" w:rsidR="005E6402" w:rsidRPr="008036AD" w:rsidRDefault="0010600C" w:rsidP="009B03B5">
      <w:pPr>
        <w:pStyle w:val="Heading2"/>
        <w:jc w:val="both"/>
      </w:pPr>
      <w:bookmarkStart w:id="818" w:name="_Toc491862259"/>
      <w:r w:rsidRPr="008036AD">
        <w:t xml:space="preserve">11.3 </w:t>
      </w:r>
      <w:r w:rsidR="005E6402" w:rsidRPr="008036AD">
        <w:t>Existing EU legislation</w:t>
      </w:r>
      <w:bookmarkEnd w:id="818"/>
    </w:p>
    <w:p w14:paraId="21CD74F4" w14:textId="77777777" w:rsidR="0006225C" w:rsidRDefault="0006225C" w:rsidP="009B03B5">
      <w:pPr>
        <w:pStyle w:val="ListParagraph"/>
        <w:ind w:left="0"/>
        <w:jc w:val="both"/>
      </w:pPr>
      <w:r w:rsidRPr="004D5F5E">
        <w:t xml:space="preserve">There </w:t>
      </w:r>
      <w:r>
        <w:t>are</w:t>
      </w:r>
      <w:r w:rsidRPr="004D5F5E">
        <w:t xml:space="preserve"> currently no</w:t>
      </w:r>
      <w:r>
        <w:t xml:space="preserve"> legislative controls on Dechlorane Plus.</w:t>
      </w:r>
    </w:p>
    <w:p w14:paraId="620C7347" w14:textId="77777777" w:rsidR="003A2F50" w:rsidRPr="004D5F5E" w:rsidRDefault="003A2F50" w:rsidP="00212038">
      <w:pPr>
        <w:pStyle w:val="ListParagraph"/>
        <w:ind w:left="0"/>
      </w:pPr>
    </w:p>
    <w:p w14:paraId="12AF654E" w14:textId="77777777" w:rsidR="000D0078" w:rsidRPr="00C81C2F" w:rsidRDefault="000D0078" w:rsidP="00212038">
      <w:pPr>
        <w:pStyle w:val="ListParagraph"/>
        <w:ind w:left="0"/>
        <w:rPr>
          <w:i/>
          <w:caps/>
        </w:rPr>
      </w:pPr>
    </w:p>
    <w:p w14:paraId="6DCE1423" w14:textId="77777777" w:rsidR="005E6402" w:rsidRDefault="0010600C" w:rsidP="0010600C">
      <w:pPr>
        <w:pStyle w:val="Heading2"/>
      </w:pPr>
      <w:bookmarkStart w:id="819" w:name="_Toc491862260"/>
      <w:r>
        <w:t xml:space="preserve">11.4 </w:t>
      </w:r>
      <w:r w:rsidR="005E6402" w:rsidRPr="0010600C">
        <w:t>Previous assessments by other authorities</w:t>
      </w:r>
      <w:bookmarkEnd w:id="819"/>
    </w:p>
    <w:p w14:paraId="15E76267" w14:textId="77777777" w:rsidR="007B377D" w:rsidRDefault="0006225C" w:rsidP="004D5F5E">
      <w:pPr>
        <w:pStyle w:val="BodyText"/>
      </w:pPr>
      <w:r>
        <w:t xml:space="preserve">No other </w:t>
      </w:r>
      <w:r w:rsidR="004D5F5E">
        <w:t xml:space="preserve">EU </w:t>
      </w:r>
      <w:r>
        <w:t>Member States have assessed Dechlorane Plus</w:t>
      </w:r>
      <w:r w:rsidR="004D5F5E">
        <w:t xml:space="preserve"> in detail</w:t>
      </w:r>
      <w:r>
        <w:t>.</w:t>
      </w:r>
      <w:r w:rsidR="00AC3A7E">
        <w:t xml:space="preserve"> </w:t>
      </w:r>
    </w:p>
    <w:p w14:paraId="68B6BB3E" w14:textId="77777777" w:rsidR="007B377D" w:rsidRPr="001B0749" w:rsidRDefault="007B377D" w:rsidP="007B377D">
      <w:pPr>
        <w:spacing w:before="100" w:beforeAutospacing="1" w:after="60"/>
        <w:jc w:val="both"/>
      </w:pPr>
      <w:r w:rsidRPr="001B0749">
        <w:t>Dechlorane Plus is being assessed by Environment and Climate Change Canada (ECCC) as part of the</w:t>
      </w:r>
      <w:r w:rsidRPr="001B0749">
        <w:rPr>
          <w:rStyle w:val="apple-converted-space"/>
        </w:rPr>
        <w:t> ‘</w:t>
      </w:r>
      <w:r w:rsidRPr="00A944F2">
        <w:t>Certain Organic Flame Retardants Grouping</w:t>
      </w:r>
      <w:r w:rsidRPr="001B0749">
        <w:t>’</w:t>
      </w:r>
      <w:r w:rsidRPr="001B0749">
        <w:rPr>
          <w:rStyle w:val="apple-converted-space"/>
        </w:rPr>
        <w:t> </w:t>
      </w:r>
      <w:r w:rsidRPr="001B0749">
        <w:t>under the</w:t>
      </w:r>
      <w:r w:rsidRPr="001B0749">
        <w:rPr>
          <w:rStyle w:val="apple-converted-space"/>
        </w:rPr>
        <w:t> </w:t>
      </w:r>
      <w:r w:rsidRPr="00A944F2">
        <w:t>Substance Groupings Initiative</w:t>
      </w:r>
      <w:r w:rsidRPr="001B0749">
        <w:rPr>
          <w:rStyle w:val="apple-converted-space"/>
        </w:rPr>
        <w:t> </w:t>
      </w:r>
      <w:r w:rsidRPr="001B0749">
        <w:t xml:space="preserve">of </w:t>
      </w:r>
      <w:r w:rsidRPr="001B0749">
        <w:lastRenderedPageBreak/>
        <w:t>Canada's</w:t>
      </w:r>
      <w:r w:rsidRPr="001B0749">
        <w:rPr>
          <w:rStyle w:val="apple-converted-space"/>
        </w:rPr>
        <w:t> </w:t>
      </w:r>
      <w:r w:rsidRPr="00A944F2">
        <w:t>Chemicals Management Plan</w:t>
      </w:r>
      <w:r w:rsidRPr="001B0749">
        <w:t>. The ECCC has published a draft screening assessment with the conclusion that Dechlorane Plus meets the criteria for further risk management measures ‘</w:t>
      </w:r>
      <w:r w:rsidRPr="001B0749">
        <w:rPr>
          <w:i/>
        </w:rPr>
        <w:t>because it is entering the environment in a quantity or concentration or under conditions that have or may have an immediate or long-term harmful effect on the environment or its biological diversity</w:t>
      </w:r>
      <w:r w:rsidRPr="001B0749">
        <w:t>’ (Canada</w:t>
      </w:r>
      <w:r w:rsidR="004D5F5E">
        <w:t>,</w:t>
      </w:r>
      <w:r w:rsidRPr="001B0749">
        <w:t xml:space="preserve"> 2016a). The public consultation for these reports is currently ongoing and ECCC expect to publish their final conclusions in </w:t>
      </w:r>
      <w:r>
        <w:t>late 2017 or early 2018</w:t>
      </w:r>
      <w:r w:rsidRPr="001B0749">
        <w:t>.</w:t>
      </w:r>
    </w:p>
    <w:p w14:paraId="453A31B5" w14:textId="77777777" w:rsidR="007B377D" w:rsidRPr="001B0749" w:rsidRDefault="007B377D" w:rsidP="007B377D">
      <w:pPr>
        <w:spacing w:before="100" w:beforeAutospacing="1" w:after="60"/>
        <w:jc w:val="both"/>
        <w:rPr>
          <w:color w:val="404041"/>
        </w:rPr>
      </w:pPr>
      <w:r w:rsidRPr="001B0749">
        <w:t xml:space="preserve">If the proposed conclusion is confirmed in the final screening assessment, the ECCC will consider options for risk management including the implementation of regulatory and non-regulatory controls on </w:t>
      </w:r>
      <w:r w:rsidR="004D5F5E">
        <w:t>its</w:t>
      </w:r>
      <w:r w:rsidRPr="001B0749">
        <w:t xml:space="preserve"> import, manufacture and use and will also consider additional measures to address </w:t>
      </w:r>
      <w:r>
        <w:t>potential transboundary sources</w:t>
      </w:r>
      <w:r w:rsidRPr="001B0749">
        <w:rPr>
          <w:color w:val="404041"/>
        </w:rPr>
        <w:t>.</w:t>
      </w:r>
    </w:p>
    <w:p w14:paraId="6491D414" w14:textId="77777777" w:rsidR="0041055E" w:rsidRDefault="0041055E" w:rsidP="0041055E"/>
    <w:p w14:paraId="4981EF9D" w14:textId="77777777" w:rsidR="00B12C39" w:rsidRDefault="00B12C39" w:rsidP="00525EFA">
      <w:pPr>
        <w:pStyle w:val="Referencetitle"/>
        <w:jc w:val="both"/>
      </w:pPr>
      <w:r>
        <w:br w:type="page"/>
      </w:r>
      <w:bookmarkStart w:id="820" w:name="_Toc341888676"/>
      <w:bookmarkStart w:id="821" w:name="_Toc342400536"/>
      <w:r w:rsidRPr="00B93989">
        <w:lastRenderedPageBreak/>
        <w:t>References</w:t>
      </w:r>
      <w:bookmarkEnd w:id="820"/>
      <w:bookmarkEnd w:id="821"/>
    </w:p>
    <w:p w14:paraId="18D2268A" w14:textId="4B0E715F" w:rsidR="00B12C39" w:rsidRDefault="00B12C39" w:rsidP="005857D8">
      <w:pPr>
        <w:pStyle w:val="Heading1"/>
        <w:numPr>
          <w:ilvl w:val="0"/>
          <w:numId w:val="0"/>
        </w:numPr>
      </w:pPr>
      <w:bookmarkStart w:id="822" w:name="_Toc341888677"/>
      <w:bookmarkStart w:id="823" w:name="_Toc342400537"/>
      <w:bookmarkStart w:id="824" w:name="_Toc354499698"/>
      <w:bookmarkStart w:id="825" w:name="_Toc357083776"/>
      <w:bookmarkStart w:id="826" w:name="_Toc357184321"/>
      <w:bookmarkStart w:id="827" w:name="_Toc357184557"/>
      <w:bookmarkStart w:id="828" w:name="_Toc357185359"/>
      <w:bookmarkStart w:id="829" w:name="_Toc357186207"/>
      <w:bookmarkStart w:id="830" w:name="_Toc357186356"/>
      <w:bookmarkStart w:id="831" w:name="_Toc357437645"/>
      <w:bookmarkStart w:id="832" w:name="_Toc357590915"/>
      <w:bookmarkStart w:id="833" w:name="_Toc357692947"/>
      <w:bookmarkStart w:id="834" w:name="_Toc365649775"/>
      <w:bookmarkStart w:id="835" w:name="_Toc365649924"/>
      <w:bookmarkStart w:id="836" w:name="_Toc366489971"/>
      <w:bookmarkStart w:id="837" w:name="_Toc418498646"/>
      <w:bookmarkStart w:id="838" w:name="_Toc418506101"/>
      <w:bookmarkStart w:id="839" w:name="_Toc491862261"/>
      <w:r>
        <w:t xml:space="preserve">References for </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r w:rsidR="00BC7A84">
        <w:t>Main Report and Appendices</w:t>
      </w:r>
      <w:bookmarkEnd w:id="839"/>
    </w:p>
    <w:p w14:paraId="511D4111" w14:textId="77777777" w:rsidR="002C3E44" w:rsidRDefault="002C3E44" w:rsidP="002C3E44">
      <w:pPr>
        <w:autoSpaceDE w:val="0"/>
        <w:autoSpaceDN w:val="0"/>
        <w:adjustRightInd w:val="0"/>
        <w:ind w:left="426" w:hanging="426"/>
        <w:jc w:val="both"/>
        <w:rPr>
          <w:lang w:eastAsia="en-US"/>
        </w:rPr>
      </w:pPr>
      <w:r>
        <w:t xml:space="preserve">Arinaitwe K, Muir DCG, Kiremire BT, Fellin P, Li H and Teixeira C (2014). Polybrominated diphenyl ethers and alternative flame retardants in air and precipitation samples from the Northern Lake Victoria Region, East Africa. Environmental Science and Technology, 48 (3), 1458-1466. </w:t>
      </w:r>
    </w:p>
    <w:p w14:paraId="6A560735" w14:textId="77777777" w:rsidR="002C3E44" w:rsidRDefault="002C3E44" w:rsidP="002C3E44">
      <w:pPr>
        <w:autoSpaceDE w:val="0"/>
        <w:autoSpaceDN w:val="0"/>
        <w:adjustRightInd w:val="0"/>
        <w:ind w:left="426" w:hanging="426"/>
        <w:jc w:val="both"/>
      </w:pPr>
      <w:r>
        <w:t xml:space="preserve">Arnot JA and Gobas FAPC (2003). A generic QSAR for assessing the bioaccumulation potential of organic chemicals in aquatic food webs. </w:t>
      </w:r>
      <w:r>
        <w:rPr>
          <w:iCs/>
        </w:rPr>
        <w:t>QSAR and Combinatorial Science</w:t>
      </w:r>
      <w:r>
        <w:t xml:space="preserve">, 22, 337-345. </w:t>
      </w:r>
    </w:p>
    <w:p w14:paraId="015F7AE3" w14:textId="77777777" w:rsidR="002C3E44" w:rsidRDefault="002C3E44" w:rsidP="002C3E44">
      <w:pPr>
        <w:autoSpaceDE w:val="0"/>
        <w:autoSpaceDN w:val="0"/>
        <w:adjustRightInd w:val="0"/>
        <w:ind w:left="426" w:hanging="426"/>
        <w:jc w:val="both"/>
      </w:pPr>
      <w:r>
        <w:t>Arnot JA, Mackay D and Bonnell M (2008). Estimating metabolic biotransformation rates in fish from laboratory data. Environ. Toxicol. Chem., 27, 341–351.</w:t>
      </w:r>
    </w:p>
    <w:p w14:paraId="46FA08E4" w14:textId="77777777" w:rsidR="002C3E44" w:rsidRDefault="002C3E44" w:rsidP="002C3E44">
      <w:pPr>
        <w:autoSpaceDE w:val="0"/>
        <w:autoSpaceDN w:val="0"/>
        <w:adjustRightInd w:val="0"/>
        <w:ind w:left="426" w:hanging="426"/>
        <w:jc w:val="both"/>
        <w:rPr>
          <w:lang w:val="en-US"/>
        </w:rPr>
      </w:pPr>
      <w:r>
        <w:t>Arnot JA, Meylan W, Tunkel J, Howard PH, Mackay D, Bonnell M and Boethling RS (2009). A quantitative structure-activity relationship for predicting metabolic biotransformation rates for organic chemicals in fish. Environ. Toxicol. Chem., 28, 1168–1177.</w:t>
      </w:r>
    </w:p>
    <w:p w14:paraId="0133F60A" w14:textId="77777777" w:rsidR="002C3E44" w:rsidRPr="00652B7A" w:rsidRDefault="002C3E44" w:rsidP="002C3E44">
      <w:pPr>
        <w:autoSpaceDE w:val="0"/>
        <w:autoSpaceDN w:val="0"/>
        <w:adjustRightInd w:val="0"/>
        <w:ind w:left="426" w:hanging="426"/>
        <w:jc w:val="both"/>
      </w:pPr>
      <w:r>
        <w:t xml:space="preserve">Arnot JA and Quinn CL (2015). </w:t>
      </w:r>
      <w:hyperlink r:id="rId36" w:history="1">
        <w:r>
          <w:rPr>
            <w:rStyle w:val="Hyperlink"/>
            <w:color w:val="auto"/>
          </w:rPr>
          <w:t>Development and evaluation of a database of dietary bioaccumulation test data for organic chemicals in fish</w:t>
        </w:r>
      </w:hyperlink>
      <w:r>
        <w:t xml:space="preserve">. </w:t>
      </w:r>
      <w:r w:rsidRPr="00652B7A">
        <w:t>Environ. Sci. Technol., 49 (8), 4783–4796.</w:t>
      </w:r>
    </w:p>
    <w:p w14:paraId="41728917" w14:textId="77777777" w:rsidR="002C3E44" w:rsidRDefault="002C3E44" w:rsidP="002C3E44">
      <w:pPr>
        <w:autoSpaceDE w:val="0"/>
        <w:autoSpaceDN w:val="0"/>
        <w:adjustRightInd w:val="0"/>
        <w:ind w:left="426" w:hanging="426"/>
        <w:jc w:val="both"/>
        <w:rPr>
          <w:lang w:val="en-US"/>
        </w:rPr>
      </w:pPr>
      <w:r w:rsidRPr="00652B7A">
        <w:t xml:space="preserve">Barón E, Eljarrat E and Barceló D (2012). </w:t>
      </w:r>
      <w:r>
        <w:t>Analytical method for the determination of halogenated norbornene flame retardants in environmental and biota matrices by gas chromatography coupled to tandem mass spectrometry. J Chromatogr A., 1248, 154-60.</w:t>
      </w:r>
    </w:p>
    <w:p w14:paraId="62021EAE" w14:textId="77777777" w:rsidR="002C3E44" w:rsidRDefault="002C3E44" w:rsidP="002C3E44">
      <w:pPr>
        <w:autoSpaceDE w:val="0"/>
        <w:autoSpaceDN w:val="0"/>
        <w:adjustRightInd w:val="0"/>
        <w:ind w:left="426" w:hanging="426"/>
        <w:jc w:val="both"/>
      </w:pPr>
      <w:r>
        <w:t xml:space="preserve">Barón E, Rudolph I, Chiang G, Barra R, Eljarrat E and Barceló D (2013). Occurrence and </w:t>
      </w:r>
      <w:r w:rsidR="002F7A7E">
        <w:t>behavior</w:t>
      </w:r>
      <w:r>
        <w:t xml:space="preserve"> of natural and anthropogenic (emerging and historical) halogenated compounds in marine biota from the Coast of Concepcion (Chile). Science of the Total Environment, 461-462, 258-264.</w:t>
      </w:r>
    </w:p>
    <w:p w14:paraId="065FF106" w14:textId="77777777" w:rsidR="002C3E44" w:rsidRDefault="002C3E44" w:rsidP="002C3E44">
      <w:pPr>
        <w:autoSpaceDE w:val="0"/>
        <w:autoSpaceDN w:val="0"/>
        <w:adjustRightInd w:val="0"/>
        <w:ind w:left="426" w:hanging="426"/>
        <w:jc w:val="both"/>
        <w:rPr>
          <w:color w:val="000000"/>
        </w:rPr>
      </w:pPr>
      <w:r>
        <w:rPr>
          <w:color w:val="000000"/>
        </w:rPr>
        <w:t xml:space="preserve">Barón E, Máñez M, Andreu A, Sergio F, Hiraldo F, Eljarrat E and Barceló D (2014a). </w:t>
      </w:r>
      <w:r>
        <w:t>Bioaccumulation</w:t>
      </w:r>
      <w:r>
        <w:rPr>
          <w:color w:val="000000"/>
        </w:rPr>
        <w:t xml:space="preserve"> and biomagnification of emerging and classical flame retardants in bird eggs of 14 species from Doñana Natural Space and surrounding areas (south-western Spain). Environ. Int., 68, 118-126.</w:t>
      </w:r>
    </w:p>
    <w:p w14:paraId="29AE37AA" w14:textId="77777777" w:rsidR="002C3E44" w:rsidRDefault="002C3E44" w:rsidP="002C3E44">
      <w:pPr>
        <w:autoSpaceDE w:val="0"/>
        <w:autoSpaceDN w:val="0"/>
        <w:adjustRightInd w:val="0"/>
        <w:ind w:left="426" w:hanging="426"/>
        <w:jc w:val="both"/>
        <w:rPr>
          <w:lang w:eastAsia="en-GB"/>
        </w:rPr>
      </w:pPr>
      <w:r>
        <w:rPr>
          <w:lang w:eastAsia="en-GB"/>
        </w:rPr>
        <w:t xml:space="preserve">Barón E, Santín G, Eljarrat E and Barceló D (2014b). Occurrence of classic and emerging halogenated flame retardants in sediment and sludge from Ebro and Llobregat river basins (Spain). Journal of Hazardous Materials, 265, 288-295. </w:t>
      </w:r>
    </w:p>
    <w:p w14:paraId="1B9A4F59" w14:textId="77777777" w:rsidR="002C3E44" w:rsidRDefault="002C3E44" w:rsidP="002C3E44">
      <w:pPr>
        <w:autoSpaceDE w:val="0"/>
        <w:autoSpaceDN w:val="0"/>
        <w:adjustRightInd w:val="0"/>
        <w:ind w:left="426" w:hanging="426"/>
        <w:jc w:val="both"/>
        <w:rPr>
          <w:lang w:eastAsia="en-GB"/>
        </w:rPr>
      </w:pPr>
      <w:r>
        <w:rPr>
          <w:lang w:eastAsia="en-GB"/>
        </w:rPr>
        <w:t>Barón E , Giménez J, Verborgh P, Gauffier P, De Stephanis R, Eljarrat E and Barceló D (2015a). Bioaccumulation and biomagnification of classical flame retardants, related halogenated natural compounds and alternative flame retardants in three delphinids from Southern European waters. Environmental Pollution, 203, 107-115.</w:t>
      </w:r>
    </w:p>
    <w:p w14:paraId="09E2D3F7" w14:textId="77777777" w:rsidR="002C3E44" w:rsidRDefault="002C3E44" w:rsidP="002C3E44">
      <w:pPr>
        <w:autoSpaceDE w:val="0"/>
        <w:autoSpaceDN w:val="0"/>
        <w:adjustRightInd w:val="0"/>
        <w:ind w:left="426" w:hanging="426"/>
        <w:jc w:val="both"/>
        <w:rPr>
          <w:lang w:eastAsia="en-GB"/>
        </w:rPr>
      </w:pPr>
      <w:r>
        <w:rPr>
          <w:lang w:eastAsia="en-GB"/>
        </w:rPr>
        <w:t>Barón E, Hauler C, Gallistl C, Giménez J, Gauffier P, Castillo JJ, Fernández-Maldonado  C, De Stephanis R, Vetter W, Eljarrat E and Barceló D (2015b). Halogenated natural products in dolphins: brain–blubber distribution and comparison with halogenated flame retardants. Environ. Sci. Technol. In press. DOI: 10.1021/acs.est.5b02736.</w:t>
      </w:r>
    </w:p>
    <w:p w14:paraId="5DEA5AE8" w14:textId="77777777" w:rsidR="002C3E44" w:rsidRPr="00F0628F" w:rsidRDefault="002C3E44" w:rsidP="002C3E44">
      <w:pPr>
        <w:autoSpaceDE w:val="0"/>
        <w:autoSpaceDN w:val="0"/>
        <w:adjustRightInd w:val="0"/>
        <w:ind w:left="426" w:hanging="426"/>
        <w:jc w:val="both"/>
        <w:rPr>
          <w:lang w:val="fr-FR" w:eastAsia="en-US"/>
        </w:rPr>
      </w:pPr>
      <w:r>
        <w:t xml:space="preserve">Ben Y-J, Li X-H, Yang Y-L, Li L, Di J-P, Wang W-Y, Zhou R-F, Xiao K, Zheng M-Y and Tian Y (2013). Dechlorane plus and its dechlorinated analogs from an e-waste recycling center in maternal serum and breast milk of women in Wenling, China. </w:t>
      </w:r>
      <w:r w:rsidRPr="00F0628F">
        <w:rPr>
          <w:lang w:val="fr-FR"/>
        </w:rPr>
        <w:t>Environ. Pollut., 173, 176−181.</w:t>
      </w:r>
    </w:p>
    <w:p w14:paraId="02AE6E9F" w14:textId="77777777" w:rsidR="002C3E44" w:rsidRDefault="002C3E44" w:rsidP="002C3E44">
      <w:pPr>
        <w:autoSpaceDE w:val="0"/>
        <w:autoSpaceDN w:val="0"/>
        <w:adjustRightInd w:val="0"/>
        <w:ind w:left="426" w:hanging="426"/>
        <w:jc w:val="both"/>
      </w:pPr>
      <w:r w:rsidRPr="00F0628F">
        <w:rPr>
          <w:lang w:val="fr-FR"/>
        </w:rPr>
        <w:t xml:space="preserve">Ben Y-J, Li X-H, Yang Y-L, Li L, Zheng M-Y, Wang W-Y and Xu X-B (2014). </w:t>
      </w:r>
      <w:r>
        <w:t>Placental transfer of Dechlorane Plus in mother</w:t>
      </w:r>
      <w:r>
        <w:rPr>
          <w:rFonts w:eastAsia="AdvOT8608a8d1+22"/>
        </w:rPr>
        <w:t>−i</w:t>
      </w:r>
      <w:r>
        <w:t>nfant pairs in an e</w:t>
      </w:r>
      <w:r>
        <w:rPr>
          <w:rFonts w:ascii="MS Gothic" w:eastAsia="MS Gothic" w:hAnsi="MS Gothic" w:cs="MS Gothic" w:hint="eastAsia"/>
        </w:rPr>
        <w:noBreakHyphen/>
      </w:r>
      <w:r>
        <w:rPr>
          <w:rFonts w:eastAsia="MS Gothic"/>
        </w:rPr>
        <w:t>w</w:t>
      </w:r>
      <w:r>
        <w:t>aste recycling area (Wenling, China). Environ. Sci. Technol., 48, 5187</w:t>
      </w:r>
      <w:r>
        <w:rPr>
          <w:rFonts w:eastAsia="AdvOT8608a8d1+22"/>
        </w:rPr>
        <w:t>−</w:t>
      </w:r>
      <w:r>
        <w:t>5193.</w:t>
      </w:r>
    </w:p>
    <w:p w14:paraId="78D6724B" w14:textId="77777777" w:rsidR="002C3E44" w:rsidRDefault="002C3E44" w:rsidP="002C3E44">
      <w:pPr>
        <w:autoSpaceDE w:val="0"/>
        <w:autoSpaceDN w:val="0"/>
        <w:adjustRightInd w:val="0"/>
        <w:ind w:left="426" w:hanging="426"/>
        <w:jc w:val="both"/>
      </w:pPr>
      <w:r>
        <w:t>Boudreau J (1973). Report to Hooker Chemical Company: Determination of the biodegradability of Dechloranes Plus, 602 and 604. Industrial Bio-Test Laboratories Inc., IBT No. 631-02353, 5 July 1973. Testing laboratory: Industrial Bio-Test Laboratories Inc., Northbrook, Illinois, USA. Report no.: IBT No. 631-02353. Owner company: Hooker Chemical Corporation. Report date: 1973-07-05.</w:t>
      </w:r>
    </w:p>
    <w:p w14:paraId="55EBB1B7" w14:textId="77777777" w:rsidR="002C3E44" w:rsidRPr="00652B7A" w:rsidRDefault="002C3E44" w:rsidP="002C3E44">
      <w:pPr>
        <w:autoSpaceDE w:val="0"/>
        <w:autoSpaceDN w:val="0"/>
        <w:adjustRightInd w:val="0"/>
        <w:ind w:left="426" w:hanging="426"/>
        <w:jc w:val="both"/>
        <w:rPr>
          <w:lang w:val="de-DE"/>
        </w:rPr>
      </w:pPr>
      <w:r>
        <w:t xml:space="preserve">Boudreau J and Rausina G (1973). Report to Hooker Chemical Corporation, Industrial Chemicals Division: Thirty day static biological magnification studies with Dechloranes 602, 604, and Plus 515 in bluegill sunfish. Industrial Bio-Test Laboratories Inc., IBT Nos. 665-03736 and 631-02353, 25 October 1973. Testing laboratory: Industrial Bio-Test Laboratories Inc., </w:t>
      </w:r>
      <w:r>
        <w:lastRenderedPageBreak/>
        <w:t xml:space="preserve">Northbrook, Illinois, USA. Report no.: IBT Nos. 665-03736 and 631-02353. Owner company: Hooker Chemical Corporation. </w:t>
      </w:r>
      <w:r w:rsidRPr="00652B7A">
        <w:rPr>
          <w:lang w:val="de-DE"/>
        </w:rPr>
        <w:t>Report date: 1973-10-25.</w:t>
      </w:r>
    </w:p>
    <w:p w14:paraId="4E0D9DCF" w14:textId="77777777" w:rsidR="002C3E44" w:rsidRDefault="002C3E44" w:rsidP="002C3E44">
      <w:pPr>
        <w:autoSpaceDE w:val="0"/>
        <w:autoSpaceDN w:val="0"/>
        <w:adjustRightInd w:val="0"/>
        <w:ind w:left="426" w:hanging="426"/>
        <w:jc w:val="both"/>
        <w:rPr>
          <w:lang w:val="en-US"/>
        </w:rPr>
      </w:pPr>
      <w:r w:rsidRPr="00652B7A">
        <w:rPr>
          <w:lang w:val="de-DE"/>
        </w:rPr>
        <w:t xml:space="preserve">Brasseur C, Pirard C, Scholl G, De Pauw E, Viel J-F, Shen L, Reiner EJ and Focant J-F (2014). </w:t>
      </w:r>
      <w:r>
        <w:t>Levels of dechloranes and polybrominated diphenyl ethers (PBDEs) in human serum from France. Environment International, 65, 33-40.</w:t>
      </w:r>
    </w:p>
    <w:p w14:paraId="7B6BF05A" w14:textId="77777777" w:rsidR="002C3E44" w:rsidRDefault="002C3E44" w:rsidP="002C3E44">
      <w:pPr>
        <w:autoSpaceDE w:val="0"/>
        <w:autoSpaceDN w:val="0"/>
        <w:adjustRightInd w:val="0"/>
        <w:ind w:left="426" w:hanging="426"/>
        <w:jc w:val="both"/>
        <w:rPr>
          <w:color w:val="000000"/>
        </w:rPr>
      </w:pPr>
      <w:r>
        <w:rPr>
          <w:color w:val="000000"/>
        </w:rPr>
        <w:t>Brock WJ, Schroeder RE, McKnight CA, Van Steenhouse JL and Nyberg JM (2010). Oral repeat dose and reproductive toxicity of the chlorinated flame retardant Dechlorane Plus. Int. J. Toxicol., 29, 582–593.</w:t>
      </w:r>
    </w:p>
    <w:p w14:paraId="76F0AAF2" w14:textId="77777777" w:rsidR="002C3E44" w:rsidRDefault="002C3E44" w:rsidP="002C3E44">
      <w:pPr>
        <w:ind w:left="426" w:hanging="426"/>
      </w:pPr>
      <w:r>
        <w:t xml:space="preserve">Brooke D N, Crookes M J and Merckel D A S (2012). Methods for predicting the rate constant for uptake of organic chemicals from water by fish. Environ. Toxicol. Chem., 31, 2465-2471. </w:t>
      </w:r>
    </w:p>
    <w:p w14:paraId="09DB08AB" w14:textId="77777777" w:rsidR="002C3E44" w:rsidRDefault="002C3E44" w:rsidP="002C3E44">
      <w:pPr>
        <w:ind w:left="426" w:hanging="426"/>
        <w:jc w:val="both"/>
      </w:pPr>
      <w:r>
        <w:t>Brown T and Wania F (2008). Screening chemicals for the potential to be persistent organic pollutants: a case study of Arctic contaminants. Environ. Sci. Technol., 42, 5202–5209.</w:t>
      </w:r>
    </w:p>
    <w:p w14:paraId="32E83A40" w14:textId="77777777" w:rsidR="002C3E44" w:rsidRDefault="002C3E44" w:rsidP="002C3E44">
      <w:pPr>
        <w:autoSpaceDE w:val="0"/>
        <w:autoSpaceDN w:val="0"/>
        <w:adjustRightInd w:val="0"/>
        <w:ind w:left="426" w:hanging="426"/>
        <w:jc w:val="both"/>
      </w:pPr>
      <w:r>
        <w:rPr>
          <w:bCs/>
        </w:rPr>
        <w:t xml:space="preserve">Budavari S (2001). </w:t>
      </w:r>
      <w:r>
        <w:rPr>
          <w:bCs/>
          <w:i/>
        </w:rPr>
        <w:t xml:space="preserve">The Merck Index: An encyclopaedia of chemicals, drugs and biological, </w:t>
      </w:r>
      <w:r>
        <w:rPr>
          <w:bCs/>
        </w:rPr>
        <w:t>13</w:t>
      </w:r>
      <w:r>
        <w:rPr>
          <w:bCs/>
          <w:vertAlign w:val="superscript"/>
        </w:rPr>
        <w:t>th</w:t>
      </w:r>
      <w:r>
        <w:rPr>
          <w:bCs/>
        </w:rPr>
        <w:t xml:space="preserve"> Edition, Merck.</w:t>
      </w:r>
    </w:p>
    <w:p w14:paraId="120F7096" w14:textId="77777777" w:rsidR="002C3E44" w:rsidRDefault="002C3E44" w:rsidP="002C3E44">
      <w:pPr>
        <w:autoSpaceDE w:val="0"/>
        <w:autoSpaceDN w:val="0"/>
        <w:adjustRightInd w:val="0"/>
        <w:ind w:left="426" w:hanging="426"/>
        <w:jc w:val="both"/>
      </w:pPr>
      <w:r>
        <w:t>Burkhard LP, Cook PM and Lukasewycz MT (2004). Biota-sediment accumulation factors for polychlorinated biphenyls, dibenzo-p-dioxins, and dibenzofurans in southern Lake Michigan lake trout (</w:t>
      </w:r>
      <w:r>
        <w:rPr>
          <w:i/>
        </w:rPr>
        <w:t>Salvelinus namaycush</w:t>
      </w:r>
      <w:r>
        <w:t>). Environ. Sci. Technol., 38, 5297–5305.</w:t>
      </w:r>
    </w:p>
    <w:p w14:paraId="755EDAF8" w14:textId="77777777" w:rsidR="002C3E44" w:rsidRDefault="002C3E44" w:rsidP="002C3E44">
      <w:pPr>
        <w:autoSpaceDE w:val="0"/>
        <w:autoSpaceDN w:val="0"/>
        <w:adjustRightInd w:val="0"/>
        <w:ind w:left="426" w:hanging="426"/>
        <w:jc w:val="both"/>
        <w:rPr>
          <w:bCs/>
        </w:rPr>
      </w:pPr>
      <w:r>
        <w:t>Byer JD, Lebeuf M,</w:t>
      </w:r>
      <w:r>
        <w:rPr>
          <w:bCs/>
        </w:rPr>
        <w:t xml:space="preserve"> Alaee M, Brown RS, Trottier S, Backus S, Keir M, Casselman J and Hodson PV (2013). Spatial trends of organochlorinated pesticides, polychlorinated biphenyls, and polybrominated diphenyl ethers in Atlantic anguillid eels. Chemosphere, 90, 1719–1728. </w:t>
      </w:r>
    </w:p>
    <w:p w14:paraId="530349F0" w14:textId="77777777" w:rsidR="004E7C03" w:rsidRPr="001B0749" w:rsidRDefault="004E7C03" w:rsidP="004E7C03">
      <w:pPr>
        <w:ind w:left="425" w:hanging="425"/>
        <w:jc w:val="both"/>
        <w:rPr>
          <w:rFonts w:cs="Arial"/>
          <w:color w:val="000000"/>
          <w:lang w:eastAsia="en-GB"/>
        </w:rPr>
      </w:pPr>
      <w:r w:rsidRPr="001B0749">
        <w:rPr>
          <w:rFonts w:cs="Arial"/>
          <w:color w:val="000000"/>
          <w:lang w:eastAsia="en-GB"/>
        </w:rPr>
        <w:t xml:space="preserve">Canada. 2016a. Dept. of the Environment. </w:t>
      </w:r>
      <w:r w:rsidR="00682033" w:rsidRPr="001B0749">
        <w:rPr>
          <w:rFonts w:cs="Arial"/>
          <w:color w:val="000000"/>
          <w:lang w:eastAsia="en-GB"/>
        </w:rPr>
        <w:t>Dept.</w:t>
      </w:r>
      <w:r w:rsidRPr="001B0749">
        <w:rPr>
          <w:rFonts w:cs="Arial"/>
          <w:color w:val="000000"/>
          <w:lang w:eastAsia="en-GB"/>
        </w:rPr>
        <w:t xml:space="preserve"> of Health. Draft Screening </w:t>
      </w:r>
      <w:r w:rsidRPr="00923A6F">
        <w:t>Assessment</w:t>
      </w:r>
      <w:r w:rsidRPr="001B0749">
        <w:rPr>
          <w:rFonts w:cs="Arial"/>
          <w:color w:val="000000"/>
          <w:lang w:eastAsia="en-GB"/>
        </w:rPr>
        <w:t xml:space="preserve"> Certain Organic Flame Retardants Grouping 1,4:7,10-Dimethanodibenzo[a,e]cyclooctene, 1,2,3,4,7,8,9,10,13,13,14,14-dodecachloro-1,4,4a,5,6,6a,7,10,10a,11,12,12a-dodecahydro-Dechlorane Plus (DP), Chemical Abstracts Service Registry Number 13560-89-9. </w:t>
      </w:r>
    </w:p>
    <w:p w14:paraId="4038611E" w14:textId="77777777" w:rsidR="002C3E44" w:rsidRPr="00195E28" w:rsidRDefault="002C3E44" w:rsidP="002C3E44">
      <w:pPr>
        <w:ind w:left="426" w:hanging="426"/>
        <w:jc w:val="both"/>
        <w:rPr>
          <w:color w:val="000000" w:themeColor="text1"/>
        </w:rPr>
      </w:pPr>
      <w:r>
        <w:t xml:space="preserve">CECBP (2008). </w:t>
      </w:r>
      <w:r w:rsidRPr="00195E28">
        <w:rPr>
          <w:color w:val="000000" w:themeColor="text1"/>
        </w:rPr>
        <w:t>Brominated and chlorinated organic chemical compounds used as flame retardants. Materials for the December 4-5, 2008 Meeting of the California Environmental Contaminant Biomonitoring Program (CECBP) Scientific Guidance Panel (SGP)</w:t>
      </w:r>
      <w:r w:rsidRPr="00195E28">
        <w:rPr>
          <w:color w:val="000000" w:themeColor="text1"/>
          <w:lang w:eastAsia="en-GB"/>
        </w:rPr>
        <w:t xml:space="preserve">. Available online at </w:t>
      </w:r>
      <w:hyperlink r:id="rId37" w:history="1">
        <w:r w:rsidRPr="00195E28">
          <w:rPr>
            <w:rStyle w:val="Hyperlink"/>
            <w:color w:val="000000" w:themeColor="text1"/>
            <w:lang w:eastAsia="en-GB"/>
          </w:rPr>
          <w:t>http://oehha.ca.gov/multimedia/biomon/pdf/120408flamedoc.pdf</w:t>
        </w:r>
      </w:hyperlink>
      <w:r w:rsidRPr="00195E28">
        <w:rPr>
          <w:color w:val="000000" w:themeColor="text1"/>
          <w:lang w:eastAsia="en-GB"/>
        </w:rPr>
        <w:t>.</w:t>
      </w:r>
    </w:p>
    <w:p w14:paraId="4DF28913" w14:textId="77777777" w:rsidR="002C3E44" w:rsidRPr="00195E28" w:rsidRDefault="002C3E44" w:rsidP="002C3E44">
      <w:pPr>
        <w:tabs>
          <w:tab w:val="left" w:pos="2835"/>
        </w:tabs>
        <w:ind w:left="426" w:hanging="426"/>
        <w:jc w:val="both"/>
        <w:rPr>
          <w:color w:val="000000" w:themeColor="text1"/>
        </w:rPr>
      </w:pPr>
      <w:r w:rsidRPr="00195E28">
        <w:rPr>
          <w:color w:val="000000" w:themeColor="text1"/>
        </w:rPr>
        <w:t>CEH (2014). Email from R Shore (CEH) to S Dungey (Environment Agency) of 11 July 2014.</w:t>
      </w:r>
    </w:p>
    <w:p w14:paraId="6C817B30" w14:textId="77777777" w:rsidR="002C3E44" w:rsidRPr="00195E28" w:rsidRDefault="002C3E44" w:rsidP="002C3E44">
      <w:pPr>
        <w:autoSpaceDE w:val="0"/>
        <w:autoSpaceDN w:val="0"/>
        <w:adjustRightInd w:val="0"/>
        <w:ind w:left="426" w:hanging="426"/>
        <w:jc w:val="both"/>
        <w:rPr>
          <w:bCs/>
          <w:color w:val="000000" w:themeColor="text1"/>
          <w:lang w:eastAsia="en-GB"/>
        </w:rPr>
      </w:pPr>
      <w:r w:rsidRPr="00195E28">
        <w:rPr>
          <w:bCs/>
          <w:color w:val="000000" w:themeColor="text1"/>
          <w:lang w:eastAsia="en-GB"/>
        </w:rPr>
        <w:t xml:space="preserve">CEMC (2004). The Canadian Centre for Environmental Modelling and Chemistry Level III Model. Version 2.80 - May 2004. </w:t>
      </w:r>
      <w:hyperlink r:id="rId38" w:history="1">
        <w:r w:rsidRPr="00195E28">
          <w:rPr>
            <w:rStyle w:val="Hyperlink"/>
            <w:bCs/>
            <w:color w:val="000000" w:themeColor="text1"/>
            <w:lang w:eastAsia="en-GB"/>
          </w:rPr>
          <w:t>http://www.trentu.ca/academic/aminss/envmodel/models/L3280.html</w:t>
        </w:r>
      </w:hyperlink>
      <w:r w:rsidRPr="00195E28">
        <w:rPr>
          <w:bCs/>
          <w:color w:val="000000" w:themeColor="text1"/>
          <w:lang w:eastAsia="en-GB"/>
        </w:rPr>
        <w:t>.</w:t>
      </w:r>
    </w:p>
    <w:p w14:paraId="3E5FBFBF" w14:textId="77777777" w:rsidR="002C3E44" w:rsidRDefault="002C3E44" w:rsidP="002C3E44">
      <w:pPr>
        <w:autoSpaceDE w:val="0"/>
        <w:autoSpaceDN w:val="0"/>
        <w:adjustRightInd w:val="0"/>
        <w:ind w:left="426" w:hanging="426"/>
        <w:jc w:val="both"/>
        <w:rPr>
          <w:lang w:eastAsia="en-US"/>
        </w:rPr>
      </w:pPr>
      <w:r>
        <w:t>Cequier E, Marcé RM, Becher G and Thomsen C (2013). Determination of emerging halogenated flame retardants and polybrominated diphenyl ethers in serum by gas chromatography mass spectrometry. J. Chromatogr. A., 1310, 126-132.</w:t>
      </w:r>
    </w:p>
    <w:p w14:paraId="7A4BDE05" w14:textId="77777777" w:rsidR="002C3E44" w:rsidRDefault="002C3E44" w:rsidP="002C3E44">
      <w:pPr>
        <w:autoSpaceDE w:val="0"/>
        <w:autoSpaceDN w:val="0"/>
        <w:adjustRightInd w:val="0"/>
        <w:ind w:left="426" w:hanging="426"/>
        <w:jc w:val="both"/>
        <w:rPr>
          <w:lang w:val="en-US" w:eastAsia="en-GB"/>
        </w:rPr>
      </w:pPr>
      <w:r>
        <w:rPr>
          <w:lang w:eastAsia="en-GB"/>
        </w:rPr>
        <w:t xml:space="preserve">Cequier E, Marcé RM, Becher G and Thomsen C (2015). Comparing human exposure to emerging and legacy flame retardants from the indoor environment and diet with concentrations measured in serum. Environment International, 74, 54-59. </w:t>
      </w:r>
    </w:p>
    <w:p w14:paraId="4B916BA3" w14:textId="77777777" w:rsidR="002C3E44" w:rsidRDefault="002C3E44" w:rsidP="002C3E44">
      <w:pPr>
        <w:autoSpaceDE w:val="0"/>
        <w:autoSpaceDN w:val="0"/>
        <w:adjustRightInd w:val="0"/>
        <w:ind w:left="426" w:hanging="426"/>
        <w:jc w:val="both"/>
        <w:rPr>
          <w:lang w:eastAsia="en-US"/>
        </w:rPr>
      </w:pPr>
      <w:r>
        <w:t>Chabot-Giguère B, Letcher RJ and Verreault J (2013).</w:t>
      </w:r>
      <w:r>
        <w:rPr>
          <w:i/>
        </w:rPr>
        <w:t xml:space="preserve"> In vitro</w:t>
      </w:r>
      <w:r>
        <w:t xml:space="preserve"> biotransformation of decabromodiphenyl ether (BDE-209) and Dechlorane Plus flame retardants: A case study of ring-billed gull breeding in a pollution hotspot in the St. Lawrence River, Canada. Environment International, 55, 101–108.</w:t>
      </w:r>
    </w:p>
    <w:p w14:paraId="24DB35F1" w14:textId="77777777" w:rsidR="002C3E44" w:rsidRDefault="002C3E44" w:rsidP="002C3E44">
      <w:pPr>
        <w:autoSpaceDE w:val="0"/>
        <w:autoSpaceDN w:val="0"/>
        <w:adjustRightInd w:val="0"/>
        <w:ind w:left="426" w:hanging="426"/>
        <w:jc w:val="both"/>
      </w:pPr>
      <w:r>
        <w:t>Chen D, Letcher RJ and Martin P (2012a). Flame retardants in eggs of American kestrels and European starlings from southern Lake Ontario region (North America). Journal of Environmental Monitoring, 14, 2870-2876.</w:t>
      </w:r>
    </w:p>
    <w:p w14:paraId="08B11D58" w14:textId="77777777" w:rsidR="002C3E44" w:rsidRDefault="002C3E44" w:rsidP="002C3E44">
      <w:pPr>
        <w:autoSpaceDE w:val="0"/>
        <w:autoSpaceDN w:val="0"/>
        <w:adjustRightInd w:val="0"/>
        <w:ind w:left="426" w:hanging="426"/>
        <w:jc w:val="both"/>
      </w:pPr>
      <w:r>
        <w:t>Chen D, Letcher RJ, Burgess NM, Champoux L, Elliott JE, Hebert CE, Martin P, Wayland M, Weseloh DVC, Wilson L (2012b). Flame retardants in eggs of four gull species (</w:t>
      </w:r>
      <w:r>
        <w:rPr>
          <w:i/>
        </w:rPr>
        <w:t>Laridae</w:t>
      </w:r>
      <w:r>
        <w:t>) from breeding sites spanning Atlantic to Pacific Canada. Environmental Pollution, 168, 1-9.</w:t>
      </w:r>
    </w:p>
    <w:p w14:paraId="0DBF74B1" w14:textId="77777777" w:rsidR="002C3E44" w:rsidRPr="00B329D1" w:rsidRDefault="002C3E44" w:rsidP="002C3E44">
      <w:pPr>
        <w:autoSpaceDE w:val="0"/>
        <w:autoSpaceDN w:val="0"/>
        <w:adjustRightInd w:val="0"/>
        <w:ind w:left="426" w:hanging="426"/>
        <w:jc w:val="both"/>
        <w:rPr>
          <w:lang w:val="fr-FR"/>
        </w:rPr>
      </w:pPr>
      <w:r>
        <w:t>Chen D, Martin P, Burgess NM, Champoux L, Elliott JE, Forsyth DJ, Idrissi A and Letcher RJ (2013a). European Starlings (</w:t>
      </w:r>
      <w:r>
        <w:rPr>
          <w:i/>
        </w:rPr>
        <w:t>Sturnus vulgaris</w:t>
      </w:r>
      <w:r>
        <w:t xml:space="preserve">) suggest that landfills are an important source of bioaccumulative flame retardants to Canadian terrestrial ecosystems. </w:t>
      </w:r>
      <w:r w:rsidRPr="00B329D1">
        <w:rPr>
          <w:lang w:val="fr-FR"/>
        </w:rPr>
        <w:t>Environ. Sci. Technol., 47, 12238−12247.</w:t>
      </w:r>
    </w:p>
    <w:p w14:paraId="04EC54DD" w14:textId="77777777" w:rsidR="002C3E44" w:rsidRDefault="002C3E44" w:rsidP="002C3E44">
      <w:pPr>
        <w:autoSpaceDE w:val="0"/>
        <w:autoSpaceDN w:val="0"/>
        <w:adjustRightInd w:val="0"/>
        <w:ind w:left="426" w:hanging="426"/>
        <w:jc w:val="both"/>
        <w:rPr>
          <w:rFonts w:eastAsiaTheme="minorHAnsi"/>
        </w:rPr>
      </w:pPr>
      <w:r w:rsidRPr="00B329D1">
        <w:rPr>
          <w:rFonts w:eastAsiaTheme="minorHAnsi"/>
          <w:lang w:val="fr-FR"/>
        </w:rPr>
        <w:t xml:space="preserve">Chen D, Wang Y, Yu L, Luo X, Mai B and Shaoshan Li (2013b). </w:t>
      </w:r>
      <w:r>
        <w:rPr>
          <w:rFonts w:eastAsiaTheme="minorHAnsi"/>
        </w:rPr>
        <w:t>Dechlorane Plus flame retardant in terrestrial raptors from northern China. Environmental Pollution, 176, 80-86.</w:t>
      </w:r>
    </w:p>
    <w:p w14:paraId="79805C5A" w14:textId="77777777" w:rsidR="002C3E44" w:rsidRDefault="002C3E44" w:rsidP="002C3E44">
      <w:pPr>
        <w:autoSpaceDE w:val="0"/>
        <w:autoSpaceDN w:val="0"/>
        <w:adjustRightInd w:val="0"/>
        <w:ind w:left="426" w:hanging="426"/>
        <w:jc w:val="both"/>
        <w:rPr>
          <w:lang w:val="en-US" w:eastAsia="en-GB"/>
        </w:rPr>
      </w:pPr>
      <w:r>
        <w:t>Chen</w:t>
      </w:r>
      <w:r>
        <w:rPr>
          <w:lang w:eastAsia="en-GB"/>
        </w:rPr>
        <w:t xml:space="preserve"> C-L, Tsai D-Y and Ding W-H (2014). Optimisation of matrix solid-phase dispersion for the </w:t>
      </w:r>
      <w:r>
        <w:rPr>
          <w:lang w:eastAsia="en-GB"/>
        </w:rPr>
        <w:lastRenderedPageBreak/>
        <w:t xml:space="preserve">determination of Dechlorane compounds in marketed fish. Food Chemistry, 164, 286-292. </w:t>
      </w:r>
    </w:p>
    <w:p w14:paraId="4C63E021" w14:textId="77777777" w:rsidR="002C3E44" w:rsidRPr="00F0628F" w:rsidRDefault="002C3E44" w:rsidP="002C3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lang w:val="fr-FR" w:eastAsia="en-GB"/>
        </w:rPr>
      </w:pPr>
      <w:r>
        <w:rPr>
          <w:lang w:eastAsia="en-GB"/>
        </w:rPr>
        <w:t xml:space="preserve">Chen K, Zheng J, Yan X, Yu L, Luo X, Peng X, Yu Y, Yang Z and Mai B (2015). Dechlorane Plus in paired hair and serum samples from e-waste workers: Correlation and differences. </w:t>
      </w:r>
      <w:r w:rsidRPr="00F0628F">
        <w:rPr>
          <w:lang w:val="fr-FR" w:eastAsia="en-GB"/>
        </w:rPr>
        <w:t xml:space="preserve">Chemosphere, 123, 43-47. </w:t>
      </w:r>
    </w:p>
    <w:p w14:paraId="2E9A4082" w14:textId="77777777" w:rsidR="002C3E44" w:rsidRDefault="002C3E44" w:rsidP="002C3E44">
      <w:pPr>
        <w:autoSpaceDE w:val="0"/>
        <w:autoSpaceDN w:val="0"/>
        <w:adjustRightInd w:val="0"/>
        <w:ind w:left="426" w:hanging="426"/>
        <w:jc w:val="both"/>
        <w:rPr>
          <w:rFonts w:eastAsiaTheme="minorHAnsi"/>
          <w:lang w:eastAsia="en-US"/>
        </w:rPr>
      </w:pPr>
      <w:r w:rsidRPr="00F0628F">
        <w:rPr>
          <w:rFonts w:eastAsiaTheme="minorHAnsi"/>
          <w:lang w:val="fr-FR"/>
        </w:rPr>
        <w:t xml:space="preserve">Chen X, Dong Q, Chen Y, Zhang Z, Huang C, Zhu Y and Zhang Y (2017). </w:t>
      </w:r>
      <w:r>
        <w:rPr>
          <w:rFonts w:eastAsiaTheme="minorHAnsi"/>
        </w:rPr>
        <w:t>Effects of Dechlorane Plus exposure on axonal growth, musculature and motor behavior in embryo-larval zebrafish. Environmental Pollution, 224, 7-15.</w:t>
      </w:r>
    </w:p>
    <w:p w14:paraId="6EA991FE" w14:textId="77777777" w:rsidR="002C3E44" w:rsidRDefault="002C3E44" w:rsidP="002C3E44">
      <w:pPr>
        <w:autoSpaceDE w:val="0"/>
        <w:autoSpaceDN w:val="0"/>
        <w:adjustRightInd w:val="0"/>
        <w:ind w:left="426" w:hanging="426"/>
        <w:jc w:val="both"/>
      </w:pPr>
      <w:r>
        <w:t>Chou TW, Liu DHW, Mabey WR, MItoma C and Smith JH (1979). Metabolism and environmental screening studies on Dechlorane Plus. SRI International, SRI Project LSC-8060, 25 April 1979. Testing laboratory: SRI International, Menlo Park, California, USA. Report no.: LSC-8060. Owner company: Hooker Chemical Corporation, Hooker Research Center. Report date: 1979-04-25.</w:t>
      </w:r>
    </w:p>
    <w:p w14:paraId="7A52A426" w14:textId="77777777" w:rsidR="002C3E44" w:rsidRDefault="002C3E44" w:rsidP="002C3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lang w:val="en-US"/>
        </w:rPr>
      </w:pPr>
      <w:r>
        <w:t xml:space="preserve">Crump D, Chiu S, Gauthier LT, Hickey NJ, Letcher RJ and Kennedy SW (2011). The effects of Dechlorane Plus on toxicity and mRNA expression in chicken embryos: A comparison of </w:t>
      </w:r>
      <w:r>
        <w:rPr>
          <w:i/>
        </w:rPr>
        <w:t>in vitro</w:t>
      </w:r>
      <w:r>
        <w:t xml:space="preserve"> and </w:t>
      </w:r>
      <w:r>
        <w:rPr>
          <w:i/>
        </w:rPr>
        <w:t>in ovo</w:t>
      </w:r>
      <w:r>
        <w:t xml:space="preserve"> approaches. Comparative Biochemistry and Physiology, Part C, 154, 129–134.</w:t>
      </w:r>
    </w:p>
    <w:p w14:paraId="4F702EC7" w14:textId="77777777" w:rsidR="009462B4" w:rsidRPr="00F0628F" w:rsidRDefault="009462B4" w:rsidP="009462B4">
      <w:pPr>
        <w:autoSpaceDE w:val="0"/>
        <w:autoSpaceDN w:val="0"/>
        <w:adjustRightInd w:val="0"/>
        <w:ind w:left="426" w:hanging="426"/>
        <w:jc w:val="both"/>
        <w:rPr>
          <w:lang w:val="fr-FR"/>
        </w:rPr>
      </w:pPr>
      <w:r w:rsidRPr="009462B4">
        <w:t>Dearth</w:t>
      </w:r>
      <w:r>
        <w:t xml:space="preserve"> MA and</w:t>
      </w:r>
      <w:r w:rsidRPr="009462B4">
        <w:t xml:space="preserve"> Hites</w:t>
      </w:r>
      <w:r>
        <w:t xml:space="preserve"> RA (1991). </w:t>
      </w:r>
      <w:r w:rsidRPr="009462B4">
        <w:t>Complete analysis of technical chlordane using negative ionization mass spectrometry</w:t>
      </w:r>
      <w:r>
        <w:t xml:space="preserve">. </w:t>
      </w:r>
      <w:r w:rsidRPr="00F0628F">
        <w:rPr>
          <w:lang w:val="fr-FR"/>
        </w:rPr>
        <w:t>Environ. Sci. Technol., 25, 245–254.</w:t>
      </w:r>
    </w:p>
    <w:p w14:paraId="1DBF7491" w14:textId="77777777" w:rsidR="002C3E44" w:rsidRDefault="002C3E44" w:rsidP="002C3E44">
      <w:pPr>
        <w:autoSpaceDE w:val="0"/>
        <w:autoSpaceDN w:val="0"/>
        <w:adjustRightInd w:val="0"/>
        <w:ind w:left="426" w:hanging="426"/>
        <w:jc w:val="both"/>
      </w:pPr>
      <w:r w:rsidRPr="00F0628F">
        <w:rPr>
          <w:lang w:val="fr-FR"/>
        </w:rPr>
        <w:t xml:space="preserve">de la Torre A, Pacepavicius G, Shen L, Reiner E, Jimenez B, Alaee M and Martinez MA (2010). </w:t>
      </w:r>
      <w:r>
        <w:t>Dechlorane Plus and related compounds in Spanish air. Organohalogen Compd., 72, 929–932.</w:t>
      </w:r>
    </w:p>
    <w:p w14:paraId="54E7A435" w14:textId="77777777" w:rsidR="002C3E44" w:rsidRDefault="002C3E44" w:rsidP="002C3E44">
      <w:pPr>
        <w:autoSpaceDE w:val="0"/>
        <w:autoSpaceDN w:val="0"/>
        <w:adjustRightInd w:val="0"/>
        <w:ind w:left="426" w:hanging="426"/>
        <w:jc w:val="both"/>
        <w:rPr>
          <w:rFonts w:eastAsiaTheme="minorHAnsi"/>
        </w:rPr>
      </w:pPr>
      <w:r w:rsidRPr="002E3D62">
        <w:rPr>
          <w:rFonts w:eastAsiaTheme="minorHAnsi"/>
          <w:lang w:val="fr-FR"/>
        </w:rPr>
        <w:t xml:space="preserve">de la Torre A, Sverko E, Alaee M and Martínez MA (2011). </w:t>
      </w:r>
      <w:r>
        <w:rPr>
          <w:rFonts w:eastAsiaTheme="minorHAnsi"/>
        </w:rPr>
        <w:t>Concentrations and sources of Dechlorane Plus in sewage sludge. Chemosphere, 82, 692–697.</w:t>
      </w:r>
    </w:p>
    <w:p w14:paraId="559374AC" w14:textId="77777777" w:rsidR="002C3E44" w:rsidRPr="00195E28" w:rsidRDefault="002C3E44" w:rsidP="002C3E44">
      <w:pPr>
        <w:autoSpaceDE w:val="0"/>
        <w:autoSpaceDN w:val="0"/>
        <w:adjustRightInd w:val="0"/>
        <w:ind w:left="426" w:hanging="426"/>
        <w:jc w:val="both"/>
        <w:rPr>
          <w:color w:val="000000" w:themeColor="text1"/>
        </w:rPr>
      </w:pPr>
      <w:r>
        <w:rPr>
          <w:rFonts w:eastAsiaTheme="minorHAnsi"/>
        </w:rPr>
        <w:t>de la Torre</w:t>
      </w:r>
      <w:r>
        <w:t xml:space="preserve"> </w:t>
      </w:r>
      <w:r>
        <w:rPr>
          <w:rFonts w:eastAsiaTheme="minorHAnsi"/>
        </w:rPr>
        <w:t>A, Alonso</w:t>
      </w:r>
      <w:r>
        <w:t xml:space="preserve"> </w:t>
      </w:r>
      <w:r>
        <w:rPr>
          <w:rFonts w:eastAsiaTheme="minorHAnsi"/>
        </w:rPr>
        <w:t>MB,</w:t>
      </w:r>
      <w:r>
        <w:t xml:space="preserve"> </w:t>
      </w:r>
      <w:r>
        <w:rPr>
          <w:rFonts w:eastAsiaTheme="minorHAnsi"/>
        </w:rPr>
        <w:t>Martínez</w:t>
      </w:r>
      <w:r>
        <w:t xml:space="preserve"> </w:t>
      </w:r>
      <w:r>
        <w:rPr>
          <w:rFonts w:eastAsiaTheme="minorHAnsi"/>
        </w:rPr>
        <w:t>MA</w:t>
      </w:r>
      <w:r>
        <w:t>,</w:t>
      </w:r>
      <w:r>
        <w:rPr>
          <w:rFonts w:eastAsiaTheme="minorHAnsi"/>
        </w:rPr>
        <w:t xml:space="preserve"> Sanz</w:t>
      </w:r>
      <w:r>
        <w:t xml:space="preserve"> P</w:t>
      </w:r>
      <w:r>
        <w:rPr>
          <w:rFonts w:eastAsiaTheme="minorHAnsi"/>
        </w:rPr>
        <w:t>, Shen</w:t>
      </w:r>
      <w:r>
        <w:t xml:space="preserve"> L</w:t>
      </w:r>
      <w:r>
        <w:rPr>
          <w:rFonts w:eastAsiaTheme="minorHAnsi"/>
        </w:rPr>
        <w:t>, Reiner</w:t>
      </w:r>
      <w:r>
        <w:t xml:space="preserve"> </w:t>
      </w:r>
      <w:r>
        <w:rPr>
          <w:rFonts w:eastAsiaTheme="minorHAnsi"/>
        </w:rPr>
        <w:t>EJ,</w:t>
      </w:r>
      <w:r>
        <w:t xml:space="preserve"> </w:t>
      </w:r>
      <w:r>
        <w:rPr>
          <w:rFonts w:eastAsiaTheme="minorHAnsi"/>
        </w:rPr>
        <w:t>Lailson-Brito</w:t>
      </w:r>
      <w:r>
        <w:t xml:space="preserve"> J</w:t>
      </w:r>
      <w:r>
        <w:rPr>
          <w:rFonts w:eastAsiaTheme="minorHAnsi"/>
        </w:rPr>
        <w:t>,</w:t>
      </w:r>
      <w:r>
        <w:t xml:space="preserve"> </w:t>
      </w:r>
      <w:r>
        <w:rPr>
          <w:rFonts w:eastAsiaTheme="minorHAnsi"/>
        </w:rPr>
        <w:t>Torres</w:t>
      </w:r>
      <w:r>
        <w:t xml:space="preserve"> </w:t>
      </w:r>
      <w:r>
        <w:rPr>
          <w:rFonts w:eastAsiaTheme="minorHAnsi"/>
        </w:rPr>
        <w:t>JPM, Bertozzi</w:t>
      </w:r>
      <w:r>
        <w:t xml:space="preserve"> </w:t>
      </w:r>
      <w:r>
        <w:rPr>
          <w:rFonts w:eastAsiaTheme="minorHAnsi"/>
        </w:rPr>
        <w:t>C</w:t>
      </w:r>
      <w:r>
        <w:t xml:space="preserve">, </w:t>
      </w:r>
      <w:r>
        <w:rPr>
          <w:rFonts w:eastAsiaTheme="minorHAnsi"/>
        </w:rPr>
        <w:t>Marigo</w:t>
      </w:r>
      <w:r>
        <w:t xml:space="preserve"> J</w:t>
      </w:r>
      <w:r>
        <w:rPr>
          <w:rFonts w:eastAsiaTheme="minorHAnsi"/>
        </w:rPr>
        <w:t>, Barbosa</w:t>
      </w:r>
      <w:r>
        <w:t xml:space="preserve"> L</w:t>
      </w:r>
      <w:r>
        <w:rPr>
          <w:rFonts w:eastAsiaTheme="minorHAnsi"/>
        </w:rPr>
        <w:t>, Cremer</w:t>
      </w:r>
      <w:r>
        <w:t xml:space="preserve"> M</w:t>
      </w:r>
      <w:r>
        <w:rPr>
          <w:rFonts w:eastAsiaTheme="minorHAnsi"/>
        </w:rPr>
        <w:t>,</w:t>
      </w:r>
      <w:r>
        <w:t xml:space="preserve"> </w:t>
      </w:r>
      <w:r>
        <w:rPr>
          <w:rFonts w:eastAsiaTheme="minorHAnsi"/>
        </w:rPr>
        <w:t>Secchi</w:t>
      </w:r>
      <w:r>
        <w:t xml:space="preserve"> E</w:t>
      </w:r>
      <w:r>
        <w:rPr>
          <w:rFonts w:eastAsiaTheme="minorHAnsi"/>
        </w:rPr>
        <w:t>, Malm</w:t>
      </w:r>
      <w:r>
        <w:t xml:space="preserve"> O</w:t>
      </w:r>
      <w:r>
        <w:rPr>
          <w:rFonts w:eastAsiaTheme="minorHAnsi"/>
        </w:rPr>
        <w:t>, Eljarrat</w:t>
      </w:r>
      <w:r>
        <w:t xml:space="preserve"> E</w:t>
      </w:r>
      <w:r>
        <w:rPr>
          <w:rFonts w:eastAsiaTheme="minorHAnsi"/>
        </w:rPr>
        <w:t xml:space="preserve"> and Barcel</w:t>
      </w:r>
      <w:r>
        <w:t>ó D (</w:t>
      </w:r>
      <w:r>
        <w:rPr>
          <w:rFonts w:eastAsiaTheme="minorHAnsi"/>
        </w:rPr>
        <w:t>2012</w:t>
      </w:r>
      <w:r>
        <w:t xml:space="preserve">). </w:t>
      </w:r>
      <w:r>
        <w:rPr>
          <w:rFonts w:eastAsiaTheme="minorHAnsi"/>
        </w:rPr>
        <w:t>Dechlorane-</w:t>
      </w:r>
      <w:r>
        <w:t>r</w:t>
      </w:r>
      <w:r>
        <w:rPr>
          <w:rFonts w:eastAsiaTheme="minorHAnsi"/>
        </w:rPr>
        <w:t xml:space="preserve">elated </w:t>
      </w:r>
      <w:r>
        <w:t>c</w:t>
      </w:r>
      <w:r>
        <w:rPr>
          <w:rFonts w:eastAsiaTheme="minorHAnsi"/>
        </w:rPr>
        <w:t xml:space="preserve">ompounds in Franciscana </w:t>
      </w:r>
      <w:r>
        <w:t>d</w:t>
      </w:r>
      <w:r>
        <w:rPr>
          <w:rFonts w:eastAsiaTheme="minorHAnsi"/>
        </w:rPr>
        <w:t>olphin (</w:t>
      </w:r>
      <w:r>
        <w:rPr>
          <w:rFonts w:eastAsiaTheme="minorHAnsi"/>
          <w:i/>
        </w:rPr>
        <w:t>Pontoporia</w:t>
      </w:r>
      <w:r>
        <w:rPr>
          <w:i/>
        </w:rPr>
        <w:t xml:space="preserve"> </w:t>
      </w:r>
      <w:r>
        <w:rPr>
          <w:rFonts w:eastAsiaTheme="minorHAnsi"/>
          <w:i/>
        </w:rPr>
        <w:t>blainvillei</w:t>
      </w:r>
      <w:r>
        <w:rPr>
          <w:rFonts w:eastAsiaTheme="minorHAnsi"/>
        </w:rPr>
        <w:t xml:space="preserve">) from </w:t>
      </w:r>
      <w:r w:rsidRPr="00195E28">
        <w:rPr>
          <w:color w:val="000000" w:themeColor="text1"/>
        </w:rPr>
        <w:t>s</w:t>
      </w:r>
      <w:r w:rsidRPr="00195E28">
        <w:rPr>
          <w:rFonts w:eastAsiaTheme="minorHAnsi"/>
          <w:color w:val="000000" w:themeColor="text1"/>
        </w:rPr>
        <w:t xml:space="preserve">outheastern and </w:t>
      </w:r>
      <w:r w:rsidRPr="00195E28">
        <w:rPr>
          <w:color w:val="000000" w:themeColor="text1"/>
        </w:rPr>
        <w:t>s</w:t>
      </w:r>
      <w:r w:rsidRPr="00195E28">
        <w:rPr>
          <w:rFonts w:eastAsiaTheme="minorHAnsi"/>
          <w:color w:val="000000" w:themeColor="text1"/>
        </w:rPr>
        <w:t xml:space="preserve">outhern </w:t>
      </w:r>
      <w:r w:rsidRPr="00195E28">
        <w:rPr>
          <w:color w:val="000000" w:themeColor="text1"/>
        </w:rPr>
        <w:t>c</w:t>
      </w:r>
      <w:r w:rsidRPr="00195E28">
        <w:rPr>
          <w:rFonts w:eastAsiaTheme="minorHAnsi"/>
          <w:color w:val="000000" w:themeColor="text1"/>
        </w:rPr>
        <w:t>oast of Brazil</w:t>
      </w:r>
      <w:r w:rsidRPr="00195E28">
        <w:rPr>
          <w:color w:val="000000" w:themeColor="text1"/>
        </w:rPr>
        <w:t xml:space="preserve">. </w:t>
      </w:r>
      <w:r w:rsidRPr="00195E28">
        <w:rPr>
          <w:rFonts w:eastAsiaTheme="minorHAnsi"/>
          <w:color w:val="000000" w:themeColor="text1"/>
        </w:rPr>
        <w:t>Environ. Sci. Technol., 46, 12364−12372</w:t>
      </w:r>
      <w:r w:rsidRPr="00195E28">
        <w:rPr>
          <w:color w:val="000000" w:themeColor="text1"/>
        </w:rPr>
        <w:t>.</w:t>
      </w:r>
    </w:p>
    <w:p w14:paraId="14EFC826" w14:textId="77777777" w:rsidR="002C3E44" w:rsidRPr="00195E28" w:rsidRDefault="002C3E44" w:rsidP="002C3E44">
      <w:pPr>
        <w:ind w:left="426" w:hanging="426"/>
        <w:jc w:val="both"/>
        <w:rPr>
          <w:color w:val="000000" w:themeColor="text1"/>
        </w:rPr>
      </w:pPr>
      <w:r w:rsidRPr="00195E28">
        <w:rPr>
          <w:color w:val="000000" w:themeColor="text1"/>
        </w:rPr>
        <w:t>Dimitrov S, Dimitrova N, Parkerton T, Comber M, Bonnell M and Mekenyan O (2005). Base-line model for identifying the bioaccumulation potential of chemicals. SAR QSAR Environ. Res., 16(6), 531–554.</w:t>
      </w:r>
    </w:p>
    <w:p w14:paraId="4DDE0F3A" w14:textId="77777777" w:rsidR="002C3E44" w:rsidRPr="00195E28" w:rsidRDefault="002C3E44" w:rsidP="002C3E44">
      <w:pPr>
        <w:autoSpaceDE w:val="0"/>
        <w:autoSpaceDN w:val="0"/>
        <w:adjustRightInd w:val="0"/>
        <w:spacing w:after="120"/>
        <w:ind w:left="426" w:hanging="426"/>
        <w:jc w:val="both"/>
        <w:rPr>
          <w:rFonts w:eastAsia="BatangChe"/>
          <w:color w:val="000000" w:themeColor="text1"/>
          <w:lang w:val="en-US"/>
        </w:rPr>
      </w:pPr>
      <w:r w:rsidRPr="00195E28">
        <w:rPr>
          <w:rFonts w:eastAsia="BatangChe"/>
          <w:color w:val="000000" w:themeColor="text1"/>
        </w:rPr>
        <w:t>EA [Environment Agency] (2009a). Environmental Risk Assessment Report: Octamethylcyclotetrasiloxane. Environment Agency Science Report, SCHO0309BPQZ-E-P, April 2009.</w:t>
      </w:r>
      <w:r w:rsidR="00CA6B85" w:rsidRPr="00195E28">
        <w:rPr>
          <w:rFonts w:eastAsia="BatangChe"/>
          <w:color w:val="000000" w:themeColor="text1"/>
        </w:rPr>
        <w:t xml:space="preserve"> </w:t>
      </w:r>
      <w:r w:rsidR="00CA6B85" w:rsidRPr="00195E28">
        <w:rPr>
          <w:color w:val="000000" w:themeColor="text1"/>
        </w:rPr>
        <w:t xml:space="preserve">Environment </w:t>
      </w:r>
      <w:r w:rsidR="00CA6B85">
        <w:rPr>
          <w:color w:val="000000" w:themeColor="text1"/>
        </w:rPr>
        <w:t>Agency,</w:t>
      </w:r>
      <w:r w:rsidR="00CA6B85" w:rsidRPr="00195E28">
        <w:rPr>
          <w:color w:val="000000" w:themeColor="text1"/>
        </w:rPr>
        <w:t xml:space="preserve"> Bristol, </w:t>
      </w:r>
      <w:r w:rsidR="00CA6B85">
        <w:rPr>
          <w:color w:val="000000" w:themeColor="text1"/>
        </w:rPr>
        <w:t>UK.</w:t>
      </w:r>
      <w:r w:rsidRPr="00195E28">
        <w:rPr>
          <w:rFonts w:eastAsia="BatangChe"/>
          <w:color w:val="000000" w:themeColor="text1"/>
        </w:rPr>
        <w:t xml:space="preserve"> Available at: </w:t>
      </w:r>
      <w:hyperlink r:id="rId39" w:history="1">
        <w:r w:rsidRPr="00195E28">
          <w:rPr>
            <w:rStyle w:val="Hyperlink"/>
            <w:rFonts w:eastAsia="BatangChe"/>
            <w:color w:val="000000" w:themeColor="text1"/>
          </w:rPr>
          <w:t>https://www.gov.uk/government/uploads/system/uploads/attachment_data/file/290565/scho0309bpqz-e-e.pdf</w:t>
        </w:r>
      </w:hyperlink>
      <w:r w:rsidRPr="00195E28">
        <w:rPr>
          <w:rFonts w:eastAsia="BatangChe"/>
          <w:color w:val="000000" w:themeColor="text1"/>
        </w:rPr>
        <w:t>.</w:t>
      </w:r>
    </w:p>
    <w:p w14:paraId="5AFB1177" w14:textId="77777777" w:rsidR="002C3E44" w:rsidRPr="00195E28" w:rsidRDefault="002C3E44" w:rsidP="002C3E44">
      <w:pPr>
        <w:autoSpaceDE w:val="0"/>
        <w:autoSpaceDN w:val="0"/>
        <w:adjustRightInd w:val="0"/>
        <w:spacing w:after="120"/>
        <w:ind w:left="426" w:hanging="426"/>
        <w:jc w:val="both"/>
        <w:rPr>
          <w:rFonts w:eastAsia="BatangChe"/>
          <w:color w:val="000000" w:themeColor="text1"/>
        </w:rPr>
      </w:pPr>
      <w:r w:rsidRPr="00195E28">
        <w:rPr>
          <w:rFonts w:eastAsia="BatangChe"/>
          <w:color w:val="000000" w:themeColor="text1"/>
        </w:rPr>
        <w:t xml:space="preserve">EA (2009b). Environmental Risk Assessment Report: Decamethylcyclopentasiloxane. Environment Agency Science Report, SCHO0309BPQX-E-P, April 2009. </w:t>
      </w:r>
      <w:r w:rsidR="00CA6B85" w:rsidRPr="00195E28">
        <w:rPr>
          <w:color w:val="000000" w:themeColor="text1"/>
        </w:rPr>
        <w:t xml:space="preserve">Environment </w:t>
      </w:r>
      <w:r w:rsidR="00CA6B85">
        <w:rPr>
          <w:color w:val="000000" w:themeColor="text1"/>
        </w:rPr>
        <w:t>Agency,</w:t>
      </w:r>
      <w:r w:rsidR="00CA6B85" w:rsidRPr="00195E28">
        <w:rPr>
          <w:color w:val="000000" w:themeColor="text1"/>
        </w:rPr>
        <w:t xml:space="preserve"> Bristol, </w:t>
      </w:r>
      <w:r w:rsidR="00CA6B85">
        <w:rPr>
          <w:color w:val="000000" w:themeColor="text1"/>
        </w:rPr>
        <w:t>UK.</w:t>
      </w:r>
      <w:r w:rsidR="00CA6B85" w:rsidRPr="00195E28">
        <w:rPr>
          <w:rFonts w:eastAsia="BatangChe"/>
          <w:color w:val="000000" w:themeColor="text1"/>
        </w:rPr>
        <w:t xml:space="preserve"> </w:t>
      </w:r>
      <w:r w:rsidRPr="00195E28">
        <w:rPr>
          <w:rFonts w:eastAsia="BatangChe"/>
          <w:color w:val="000000" w:themeColor="text1"/>
        </w:rPr>
        <w:t xml:space="preserve">Available at: </w:t>
      </w:r>
      <w:hyperlink r:id="rId40" w:history="1">
        <w:r w:rsidRPr="00195E28">
          <w:rPr>
            <w:rStyle w:val="Hyperlink"/>
            <w:rFonts w:eastAsia="BatangChe"/>
            <w:color w:val="000000" w:themeColor="text1"/>
          </w:rPr>
          <w:t>https://www.gov.uk/government/uploads/system/uploads/attachment_data/file/290561/scho0309bpqx-e-e.pdf</w:t>
        </w:r>
      </w:hyperlink>
      <w:r w:rsidRPr="00195E28">
        <w:rPr>
          <w:rFonts w:eastAsia="BatangChe"/>
          <w:color w:val="000000" w:themeColor="text1"/>
        </w:rPr>
        <w:t>.</w:t>
      </w:r>
    </w:p>
    <w:p w14:paraId="6CD9E38F" w14:textId="77777777" w:rsidR="002C3E44" w:rsidRPr="00195E28" w:rsidRDefault="002C3E44" w:rsidP="002C3E44">
      <w:pPr>
        <w:ind w:left="426" w:hanging="426"/>
        <w:jc w:val="both"/>
        <w:rPr>
          <w:color w:val="000000" w:themeColor="text1"/>
        </w:rPr>
      </w:pPr>
      <w:r w:rsidRPr="00195E28">
        <w:rPr>
          <w:rFonts w:eastAsia="BatangChe"/>
          <w:color w:val="000000" w:themeColor="text1"/>
        </w:rPr>
        <w:t xml:space="preserve">EA </w:t>
      </w:r>
      <w:r w:rsidRPr="00195E28">
        <w:rPr>
          <w:color w:val="000000" w:themeColor="text1"/>
        </w:rPr>
        <w:t>(2009c). Calculation of Molecular Dimensions Related to Indicators for Low Bioaccumulation Potential. Science report SCHO0109BPGT-E-P</w:t>
      </w:r>
      <w:r w:rsidR="00356AEA">
        <w:rPr>
          <w:color w:val="000000" w:themeColor="text1"/>
        </w:rPr>
        <w:t>,</w:t>
      </w:r>
      <w:r w:rsidRPr="00195E28">
        <w:rPr>
          <w:color w:val="000000" w:themeColor="text1"/>
        </w:rPr>
        <w:t xml:space="preserve"> January 2009. </w:t>
      </w:r>
      <w:r w:rsidR="00356AEA" w:rsidRPr="00195E28">
        <w:rPr>
          <w:color w:val="000000" w:themeColor="text1"/>
        </w:rPr>
        <w:t xml:space="preserve">Environment </w:t>
      </w:r>
      <w:r w:rsidR="00356AEA">
        <w:rPr>
          <w:color w:val="000000" w:themeColor="text1"/>
        </w:rPr>
        <w:t>Agency,</w:t>
      </w:r>
      <w:r w:rsidR="00356AEA" w:rsidRPr="00195E28">
        <w:rPr>
          <w:color w:val="000000" w:themeColor="text1"/>
        </w:rPr>
        <w:t xml:space="preserve"> Bristol, </w:t>
      </w:r>
      <w:r w:rsidR="00356AEA">
        <w:rPr>
          <w:color w:val="000000" w:themeColor="text1"/>
        </w:rPr>
        <w:t xml:space="preserve">UK. </w:t>
      </w:r>
      <w:r w:rsidRPr="00195E28">
        <w:rPr>
          <w:color w:val="000000" w:themeColor="text1"/>
        </w:rPr>
        <w:t>Available at: https://www.gov.uk/government/uploads/system/uploads/attachment_data/file/291060/scho0109bpgt-e-e.pdf.</w:t>
      </w:r>
    </w:p>
    <w:p w14:paraId="7DFBE346" w14:textId="77777777" w:rsidR="002C3E44" w:rsidRPr="00195E28" w:rsidRDefault="002C3E44" w:rsidP="002C3E44">
      <w:pPr>
        <w:ind w:left="426" w:hanging="426"/>
        <w:jc w:val="both"/>
        <w:rPr>
          <w:color w:val="000000" w:themeColor="text1"/>
          <w:lang w:val="en-US"/>
        </w:rPr>
      </w:pPr>
      <w:r w:rsidRPr="00195E28">
        <w:rPr>
          <w:rFonts w:eastAsia="BatangChe"/>
          <w:color w:val="000000" w:themeColor="text1"/>
        </w:rPr>
        <w:t xml:space="preserve">EA </w:t>
      </w:r>
      <w:r w:rsidRPr="00195E28">
        <w:rPr>
          <w:color w:val="000000" w:themeColor="text1"/>
        </w:rPr>
        <w:t xml:space="preserve">(2011). Estimation of fish bioconcentration factor (BCF) from depuration data. </w:t>
      </w:r>
      <w:r w:rsidR="00CA6B85">
        <w:rPr>
          <w:color w:val="000000" w:themeColor="text1"/>
        </w:rPr>
        <w:t>Environment Agency,</w:t>
      </w:r>
      <w:r w:rsidRPr="00195E28">
        <w:rPr>
          <w:color w:val="000000" w:themeColor="text1"/>
        </w:rPr>
        <w:t xml:space="preserve"> Bristol, </w:t>
      </w:r>
      <w:r w:rsidR="00CA6B85">
        <w:rPr>
          <w:color w:val="000000" w:themeColor="text1"/>
        </w:rPr>
        <w:t>UK</w:t>
      </w:r>
      <w:r w:rsidRPr="00195E28">
        <w:rPr>
          <w:color w:val="000000" w:themeColor="text1"/>
        </w:rPr>
        <w:t xml:space="preserve">. Available at: </w:t>
      </w:r>
      <w:hyperlink r:id="rId41" w:history="1">
        <w:r w:rsidRPr="00195E28">
          <w:rPr>
            <w:rStyle w:val="Hyperlink"/>
            <w:rFonts w:eastAsia="BatangChe"/>
            <w:color w:val="000000" w:themeColor="text1"/>
          </w:rPr>
          <w:t>https://www.gov.uk/government/uploads/system/uploads/attachment_data/file/291527/scho0811buce-e-e.pdf</w:t>
        </w:r>
      </w:hyperlink>
      <w:r w:rsidRPr="00195E28">
        <w:rPr>
          <w:color w:val="000000" w:themeColor="text1"/>
        </w:rPr>
        <w:t>.</w:t>
      </w:r>
    </w:p>
    <w:p w14:paraId="434AFE39" w14:textId="77777777" w:rsidR="002C3E44" w:rsidRPr="00195E28" w:rsidRDefault="002C3E44" w:rsidP="002C3E44">
      <w:pPr>
        <w:autoSpaceDE w:val="0"/>
        <w:autoSpaceDN w:val="0"/>
        <w:adjustRightInd w:val="0"/>
        <w:spacing w:after="120"/>
        <w:ind w:left="426" w:hanging="426"/>
        <w:jc w:val="both"/>
        <w:rPr>
          <w:color w:val="000000" w:themeColor="text1"/>
        </w:rPr>
      </w:pPr>
      <w:r w:rsidRPr="00195E28">
        <w:rPr>
          <w:rFonts w:eastAsia="BatangChe"/>
          <w:color w:val="000000" w:themeColor="text1"/>
        </w:rPr>
        <w:t xml:space="preserve">EA </w:t>
      </w:r>
      <w:r w:rsidRPr="00195E28">
        <w:rPr>
          <w:color w:val="000000" w:themeColor="text1"/>
        </w:rPr>
        <w:t xml:space="preserve">(2012). Depuration Rate Constant as an Indicator of Bioaccumulation Potential. </w:t>
      </w:r>
      <w:r w:rsidR="00356AEA" w:rsidRPr="00195E28">
        <w:rPr>
          <w:color w:val="000000" w:themeColor="text1"/>
        </w:rPr>
        <w:t xml:space="preserve">Environment </w:t>
      </w:r>
      <w:r w:rsidR="00356AEA">
        <w:rPr>
          <w:color w:val="000000" w:themeColor="text1"/>
        </w:rPr>
        <w:t>Agency,</w:t>
      </w:r>
      <w:r w:rsidR="00356AEA" w:rsidRPr="00195E28">
        <w:rPr>
          <w:color w:val="000000" w:themeColor="text1"/>
        </w:rPr>
        <w:t xml:space="preserve"> Bristol, </w:t>
      </w:r>
      <w:r w:rsidR="00356AEA">
        <w:rPr>
          <w:color w:val="000000" w:themeColor="text1"/>
        </w:rPr>
        <w:t xml:space="preserve">UK. </w:t>
      </w:r>
      <w:r w:rsidRPr="00195E28">
        <w:rPr>
          <w:color w:val="000000" w:themeColor="text1"/>
        </w:rPr>
        <w:t xml:space="preserve">Available from </w:t>
      </w:r>
      <w:hyperlink r:id="rId42" w:history="1">
        <w:r w:rsidRPr="00195E28">
          <w:rPr>
            <w:rStyle w:val="Hyperlink"/>
            <w:rFonts w:eastAsia="BatangChe"/>
            <w:color w:val="000000" w:themeColor="text1"/>
          </w:rPr>
          <w:t>https://www.gov.uk/government/uploads/system/uploads/attachment_data/file/291525/LIT_7371_44228a.pdf</w:t>
        </w:r>
      </w:hyperlink>
      <w:r w:rsidRPr="00195E28">
        <w:rPr>
          <w:rStyle w:val="Hyperlink"/>
          <w:rFonts w:eastAsia="BatangChe"/>
          <w:color w:val="000000" w:themeColor="text1"/>
        </w:rPr>
        <w:t>.</w:t>
      </w:r>
    </w:p>
    <w:p w14:paraId="2F07AC0C" w14:textId="77777777" w:rsidR="002C3E44" w:rsidRPr="00195E28" w:rsidRDefault="002C3E44" w:rsidP="002C3E44">
      <w:pPr>
        <w:pStyle w:val="BodyText"/>
        <w:ind w:left="426" w:hanging="426"/>
        <w:rPr>
          <w:color w:val="000000" w:themeColor="text1"/>
        </w:rPr>
      </w:pPr>
      <w:r w:rsidRPr="00195E28">
        <w:rPr>
          <w:rFonts w:eastAsia="BatangChe"/>
          <w:color w:val="000000" w:themeColor="text1"/>
        </w:rPr>
        <w:t xml:space="preserve">EA </w:t>
      </w:r>
      <w:r w:rsidRPr="00195E28">
        <w:rPr>
          <w:color w:val="000000" w:themeColor="text1"/>
        </w:rPr>
        <w:t>(2013). Review of the BCFBAF model within EPIWEBv4. Final report February 2013 (unpublished). Environment Agency, Bristol, UK.</w:t>
      </w:r>
    </w:p>
    <w:p w14:paraId="54600BF2" w14:textId="77777777" w:rsidR="002C3E44" w:rsidRPr="00195E28" w:rsidRDefault="002C3E44" w:rsidP="002C3E44">
      <w:pPr>
        <w:autoSpaceDE w:val="0"/>
        <w:autoSpaceDN w:val="0"/>
        <w:adjustRightInd w:val="0"/>
        <w:spacing w:after="120"/>
        <w:ind w:left="426" w:hanging="426"/>
        <w:jc w:val="both"/>
        <w:rPr>
          <w:rFonts w:eastAsia="BatangChe"/>
          <w:color w:val="000000" w:themeColor="text1"/>
        </w:rPr>
      </w:pPr>
      <w:r w:rsidRPr="00195E28">
        <w:rPr>
          <w:rFonts w:eastAsia="BatangChe"/>
          <w:color w:val="000000" w:themeColor="text1"/>
        </w:rPr>
        <w:lastRenderedPageBreak/>
        <w:t xml:space="preserve">EA (2014). PBT report for D5. Paper for agreement at the Member State Committee. October 2014. Available at:  </w:t>
      </w:r>
      <w:hyperlink r:id="rId43" w:history="1">
        <w:r w:rsidRPr="00195E28">
          <w:rPr>
            <w:rStyle w:val="Hyperlink"/>
            <w:rFonts w:eastAsia="BatangChe"/>
            <w:color w:val="000000" w:themeColor="text1"/>
          </w:rPr>
          <w:t>http://echa.europa.eu/documents/10162/9c211198-2f6d-40d5-8569-7b87a4c3782d</w:t>
        </w:r>
      </w:hyperlink>
      <w:r w:rsidRPr="00195E28">
        <w:rPr>
          <w:rFonts w:eastAsia="BatangChe"/>
          <w:color w:val="000000" w:themeColor="text1"/>
        </w:rPr>
        <w:t>.</w:t>
      </w:r>
    </w:p>
    <w:p w14:paraId="03B7169D" w14:textId="77777777" w:rsidR="002C3E44" w:rsidRDefault="002C3E44" w:rsidP="002C3E44">
      <w:pPr>
        <w:ind w:left="426" w:hanging="426"/>
        <w:jc w:val="both"/>
      </w:pPr>
      <w:r>
        <w:t xml:space="preserve">EC [European Communities] </w:t>
      </w:r>
      <w:r>
        <w:rPr>
          <w:rFonts w:eastAsia="BatangChe"/>
          <w:color w:val="000000" w:themeColor="text1"/>
        </w:rPr>
        <w:t xml:space="preserve">(undated). European Union Risk Assessment Report: Hexachlorocyclopentadiene. Final Approved Version, July 2007, </w:t>
      </w:r>
      <w:r>
        <w:rPr>
          <w:rFonts w:eastAsia="BatangChe"/>
        </w:rPr>
        <w:t xml:space="preserve">European Commission. Available at:  </w:t>
      </w:r>
      <w:r>
        <w:t xml:space="preserve">https://echa.europa.eu/documents/10162/8a93cd69-5a82-4c2f-b0bd-0bbe059074a2 </w:t>
      </w:r>
    </w:p>
    <w:p w14:paraId="21EB3464" w14:textId="77777777" w:rsidR="002C3E44" w:rsidRDefault="002C3E44" w:rsidP="002C3E44">
      <w:pPr>
        <w:ind w:left="426" w:hanging="426"/>
        <w:jc w:val="both"/>
      </w:pPr>
      <w:r>
        <w:t xml:space="preserve">EC (2001a). European Union Risk Assessment Report: Diphenyl ether, pentabromo derivative. European Chemicals Bureau, Institute of Health and Consumer Protection, European Commission. Available at:  </w:t>
      </w:r>
      <w:hyperlink r:id="rId44" w:history="1">
        <w:r>
          <w:rPr>
            <w:rStyle w:val="Hyperlink"/>
            <w:color w:val="auto"/>
          </w:rPr>
          <w:t>http://echa.europa.eu/documents/10162/781ee1e9-6c90-467e-998b-8910ca2793e5</w:t>
        </w:r>
      </w:hyperlink>
      <w:r>
        <w:t>.</w:t>
      </w:r>
    </w:p>
    <w:p w14:paraId="5745B260" w14:textId="77777777" w:rsidR="002C3E44" w:rsidRDefault="002C3E44" w:rsidP="002C3E44">
      <w:pPr>
        <w:ind w:left="426" w:hanging="426"/>
        <w:jc w:val="both"/>
        <w:rPr>
          <w:color w:val="000000" w:themeColor="text1"/>
        </w:rPr>
      </w:pPr>
      <w:r>
        <w:rPr>
          <w:rFonts w:eastAsia="BatangChe"/>
          <w:color w:val="000000" w:themeColor="text1"/>
        </w:rPr>
        <w:t>EC</w:t>
      </w:r>
      <w:r>
        <w:rPr>
          <w:color w:val="000000" w:themeColor="text1"/>
        </w:rPr>
        <w:t xml:space="preserve"> (2001b). European Union Risk Assessment Report: Cumene. European Chemicals Bureau, Institute of Health and Consumer Protection, European Commission. Available at: </w:t>
      </w:r>
      <w:hyperlink r:id="rId45" w:history="1">
        <w:r>
          <w:rPr>
            <w:rStyle w:val="Hyperlink"/>
            <w:color w:val="000000" w:themeColor="text1"/>
          </w:rPr>
          <w:t>http://echa.europa.eu/documents/10162/c44474a0-e926-451d-9efd-810b230008f4</w:t>
        </w:r>
      </w:hyperlink>
    </w:p>
    <w:p w14:paraId="27D8E2BF" w14:textId="77777777" w:rsidR="002C3E44" w:rsidRDefault="002C3E44" w:rsidP="002C3E44">
      <w:pPr>
        <w:ind w:left="426" w:hanging="426"/>
        <w:jc w:val="both"/>
        <w:rPr>
          <w:color w:val="000000" w:themeColor="text1"/>
        </w:rPr>
      </w:pPr>
      <w:r>
        <w:rPr>
          <w:rFonts w:eastAsia="BatangChe"/>
          <w:color w:val="000000" w:themeColor="text1"/>
        </w:rPr>
        <w:t>EC</w:t>
      </w:r>
      <w:r>
        <w:rPr>
          <w:color w:val="000000" w:themeColor="text1"/>
        </w:rPr>
        <w:t xml:space="preserve"> (2007). European Union Risk Assessment Report: Ethylbenzene. European Chemicals Bureau, Institute of Health and Consumer Protection, European Commission. Available at: </w:t>
      </w:r>
      <w:hyperlink r:id="rId46" w:history="1">
        <w:r>
          <w:rPr>
            <w:rStyle w:val="Hyperlink"/>
            <w:color w:val="000000" w:themeColor="text1"/>
          </w:rPr>
          <w:t>http://echa.europa.eu/documents/10162/f9b4577b-c57f-439b-b15a-9e268b1d0a58</w:t>
        </w:r>
      </w:hyperlink>
      <w:r>
        <w:rPr>
          <w:color w:val="000000" w:themeColor="text1"/>
        </w:rPr>
        <w:t>.</w:t>
      </w:r>
    </w:p>
    <w:p w14:paraId="467F7302" w14:textId="77777777" w:rsidR="002C3E44" w:rsidRDefault="002C3E44" w:rsidP="002C3E44">
      <w:pPr>
        <w:autoSpaceDE w:val="0"/>
        <w:autoSpaceDN w:val="0"/>
        <w:adjustRightInd w:val="0"/>
        <w:spacing w:after="120"/>
        <w:ind w:left="426" w:hanging="426"/>
        <w:jc w:val="both"/>
        <w:rPr>
          <w:rFonts w:eastAsia="BatangChe"/>
        </w:rPr>
      </w:pPr>
      <w:r>
        <w:rPr>
          <w:rFonts w:eastAsia="BatangChe"/>
          <w:color w:val="000000" w:themeColor="text1"/>
        </w:rPr>
        <w:t xml:space="preserve">EC (2008). European Union Risk Assessment Report: Anthracene. European Chemicals Bureau, Institute of Health and Consumer Protection, </w:t>
      </w:r>
      <w:r>
        <w:rPr>
          <w:rFonts w:eastAsia="BatangChe"/>
        </w:rPr>
        <w:t>European Commission. Available at:  http://echa.europa.eu/documents/10162/08a49c89-9171-4cb2-8366-108601ac565c.</w:t>
      </w:r>
    </w:p>
    <w:p w14:paraId="226BE15B" w14:textId="77777777" w:rsidR="002C3E44" w:rsidRPr="00195E28" w:rsidRDefault="002C3E44" w:rsidP="002C3E44">
      <w:pPr>
        <w:ind w:left="426" w:hanging="426"/>
        <w:jc w:val="both"/>
        <w:rPr>
          <w:rStyle w:val="Hyperlink"/>
          <w:rFonts w:eastAsia="BatangChe"/>
          <w:color w:val="000000" w:themeColor="text1"/>
        </w:rPr>
      </w:pPr>
      <w:r w:rsidRPr="00195E28">
        <w:rPr>
          <w:color w:val="000000" w:themeColor="text1"/>
        </w:rPr>
        <w:t xml:space="preserve">ECHA [European Chemicals Agency] (2008a). Member State Committee Support Document for Identification of Hexabromocyclododecane and all Major Diastereoisomers Identified as a Substance of Very High Concern. Adopted on 8 October 2008. Available at: </w:t>
      </w:r>
      <w:r w:rsidRPr="00195E28">
        <w:rPr>
          <w:rStyle w:val="Hyperlink"/>
          <w:rFonts w:eastAsia="BatangChe"/>
          <w:color w:val="000000" w:themeColor="text1"/>
        </w:rPr>
        <w:t>http://echa.europa.eu/documents/10162/d12ef98c-3fb9-484b-b354-4a2c74931cdd.</w:t>
      </w:r>
    </w:p>
    <w:p w14:paraId="1FB11A6E" w14:textId="77777777" w:rsidR="002C3E44" w:rsidRPr="00195E28" w:rsidRDefault="002C3E44" w:rsidP="002C3E44">
      <w:pPr>
        <w:autoSpaceDE w:val="0"/>
        <w:autoSpaceDN w:val="0"/>
        <w:adjustRightInd w:val="0"/>
        <w:spacing w:after="120"/>
        <w:ind w:left="426" w:hanging="426"/>
        <w:jc w:val="both"/>
        <w:rPr>
          <w:rFonts w:eastAsia="BatangChe"/>
          <w:color w:val="000000" w:themeColor="text1"/>
        </w:rPr>
      </w:pPr>
      <w:r w:rsidRPr="00195E28">
        <w:rPr>
          <w:rFonts w:eastAsia="BatangChe"/>
          <w:color w:val="000000" w:themeColor="text1"/>
        </w:rPr>
        <w:t>ECHA (2008b). Member State Committee Support Document for Identification of alkanes, C</w:t>
      </w:r>
      <w:r w:rsidRPr="00195E28">
        <w:rPr>
          <w:rFonts w:eastAsia="BatangChe"/>
          <w:color w:val="000000" w:themeColor="text1"/>
          <w:vertAlign w:val="subscript"/>
        </w:rPr>
        <w:t>10-13</w:t>
      </w:r>
      <w:r w:rsidRPr="00195E28">
        <w:rPr>
          <w:rFonts w:eastAsia="BatangChe"/>
          <w:color w:val="000000" w:themeColor="text1"/>
        </w:rPr>
        <w:t xml:space="preserve">, chloro as a Substance of Very High Concern. Adopted on 8 October 2008. Available at: </w:t>
      </w:r>
      <w:hyperlink r:id="rId47" w:history="1">
        <w:r w:rsidRPr="00195E28">
          <w:rPr>
            <w:rStyle w:val="Hyperlink"/>
            <w:rFonts w:eastAsia="BatangChe"/>
            <w:color w:val="000000" w:themeColor="text1"/>
          </w:rPr>
          <w:t>http://echa.europa.eu/documents/10162/414fa327-56a1-4b0c-bb0f-a6c40e74ece2</w:t>
        </w:r>
      </w:hyperlink>
      <w:r w:rsidRPr="00195E28">
        <w:rPr>
          <w:rFonts w:eastAsia="BatangChe"/>
          <w:color w:val="000000" w:themeColor="text1"/>
        </w:rPr>
        <w:t>.</w:t>
      </w:r>
    </w:p>
    <w:p w14:paraId="684FB48B" w14:textId="77777777" w:rsidR="002C3E44" w:rsidRPr="00195E28" w:rsidRDefault="002C3E44" w:rsidP="002C3E44">
      <w:pPr>
        <w:autoSpaceDE w:val="0"/>
        <w:autoSpaceDN w:val="0"/>
        <w:adjustRightInd w:val="0"/>
        <w:spacing w:after="120"/>
        <w:ind w:left="426" w:hanging="426"/>
        <w:jc w:val="both"/>
        <w:rPr>
          <w:rFonts w:eastAsia="BatangChe"/>
          <w:color w:val="000000" w:themeColor="text1"/>
        </w:rPr>
      </w:pPr>
      <w:r w:rsidRPr="00195E28">
        <w:rPr>
          <w:rFonts w:eastAsia="BatangChe"/>
          <w:color w:val="000000" w:themeColor="text1"/>
        </w:rPr>
        <w:t xml:space="preserve">ECHA (2008c). Member State Committee Support Document for Identification of 5-tert-butyl-2,4,6-trinitro-m-xylene as a Substance of Very High Concern. Adopted on 8 October 2008. Available at: </w:t>
      </w:r>
      <w:hyperlink r:id="rId48" w:history="1">
        <w:r w:rsidRPr="00195E28">
          <w:rPr>
            <w:rStyle w:val="Hyperlink"/>
            <w:rFonts w:eastAsia="BatangChe"/>
            <w:color w:val="000000" w:themeColor="text1"/>
          </w:rPr>
          <w:t>http://echa.europa.eu/documents/10162/9ac9a275-d35c-4d24-b4e7-9630642b1d54</w:t>
        </w:r>
      </w:hyperlink>
      <w:r w:rsidRPr="00195E28">
        <w:rPr>
          <w:rFonts w:eastAsia="BatangChe"/>
          <w:color w:val="000000" w:themeColor="text1"/>
        </w:rPr>
        <w:t>.</w:t>
      </w:r>
    </w:p>
    <w:p w14:paraId="54CE1661" w14:textId="77777777" w:rsidR="002C3E44" w:rsidRPr="00195E28" w:rsidRDefault="002C3E44" w:rsidP="002C3E44">
      <w:pPr>
        <w:ind w:left="426" w:hanging="426"/>
        <w:jc w:val="both"/>
        <w:rPr>
          <w:color w:val="000000" w:themeColor="text1"/>
        </w:rPr>
      </w:pPr>
      <w:r w:rsidRPr="00195E28">
        <w:rPr>
          <w:color w:val="000000" w:themeColor="text1"/>
        </w:rPr>
        <w:t xml:space="preserve">ECHA (2012a). Support Document for Identification of Bis(pentabromophenyl) Ether as a Substance of Very High Concern Because of its PBT/vPvB Properties. Adopted on 29 November 2012. Available at: </w:t>
      </w:r>
      <w:r w:rsidRPr="00195E28">
        <w:rPr>
          <w:rStyle w:val="Hyperlink"/>
          <w:rFonts w:eastAsia="BatangChe"/>
          <w:color w:val="000000" w:themeColor="text1"/>
        </w:rPr>
        <w:t>http://echa.europa.eu/web/guest/identification-of-svhc?search_criteria=decabromodiphenyl+ether.</w:t>
      </w:r>
    </w:p>
    <w:p w14:paraId="013D77EF" w14:textId="77777777" w:rsidR="002C3E44" w:rsidRPr="00195E28" w:rsidRDefault="002C3E44" w:rsidP="002C3E44">
      <w:pPr>
        <w:autoSpaceDE w:val="0"/>
        <w:autoSpaceDN w:val="0"/>
        <w:adjustRightInd w:val="0"/>
        <w:spacing w:after="120"/>
        <w:ind w:left="426" w:hanging="426"/>
        <w:jc w:val="both"/>
        <w:rPr>
          <w:rFonts w:eastAsia="BatangChe"/>
          <w:color w:val="000000" w:themeColor="text1"/>
        </w:rPr>
      </w:pPr>
      <w:r w:rsidRPr="00195E28">
        <w:rPr>
          <w:rFonts w:eastAsia="BatangChe"/>
          <w:color w:val="000000" w:themeColor="text1"/>
        </w:rPr>
        <w:t xml:space="preserve">ECHA (2012b). Member State Committee Support Document for Identification of Henicosafluoroundecanoic Acid as a Substance of Very High Concern Because of its vPvB Properties. Adopted on 13 December 2012. Available at: </w:t>
      </w:r>
      <w:hyperlink r:id="rId49" w:history="1">
        <w:r w:rsidRPr="00195E28">
          <w:rPr>
            <w:rStyle w:val="Hyperlink"/>
            <w:rFonts w:eastAsia="BatangChe"/>
            <w:color w:val="000000" w:themeColor="text1"/>
          </w:rPr>
          <w:t>http://echa.europa.eu/documents/10162/e359141e-e5cf-4ddf-b197-7701ea563b0f</w:t>
        </w:r>
      </w:hyperlink>
      <w:r w:rsidRPr="00195E28">
        <w:rPr>
          <w:rStyle w:val="Hyperlink"/>
          <w:rFonts w:eastAsia="BatangChe"/>
          <w:color w:val="000000" w:themeColor="text1"/>
        </w:rPr>
        <w:t>.</w:t>
      </w:r>
    </w:p>
    <w:p w14:paraId="2E2EC67F" w14:textId="77777777" w:rsidR="002C3E44" w:rsidRPr="00195E28" w:rsidRDefault="002C3E44" w:rsidP="002C3E44">
      <w:pPr>
        <w:autoSpaceDE w:val="0"/>
        <w:autoSpaceDN w:val="0"/>
        <w:adjustRightInd w:val="0"/>
        <w:spacing w:after="120"/>
        <w:ind w:left="426" w:hanging="426"/>
        <w:jc w:val="both"/>
        <w:rPr>
          <w:rStyle w:val="Hyperlink"/>
          <w:rFonts w:eastAsia="BatangChe"/>
          <w:color w:val="000000" w:themeColor="text1"/>
        </w:rPr>
      </w:pPr>
      <w:r w:rsidRPr="00195E28">
        <w:rPr>
          <w:rFonts w:eastAsia="BatangChe"/>
          <w:color w:val="000000" w:themeColor="text1"/>
        </w:rPr>
        <w:t xml:space="preserve">ECHA (2012c). Member State Committee Support Document for Identification of Tricosafluorododecanoic Acid as a Substance of Very High Concern Because of its vPvB Properties. Adopted on 13 December 2012. Available at: </w:t>
      </w:r>
      <w:r w:rsidRPr="00195E28">
        <w:rPr>
          <w:rStyle w:val="Hyperlink"/>
          <w:rFonts w:eastAsia="BatangChe"/>
          <w:color w:val="000000" w:themeColor="text1"/>
        </w:rPr>
        <w:t>http://echa.europa.eu/documents/10162/4047c3cf-cff2-45e1-a56d-563bf4088ad5.</w:t>
      </w:r>
    </w:p>
    <w:p w14:paraId="5381B23B" w14:textId="77777777" w:rsidR="002C3E44" w:rsidRPr="00195E28" w:rsidRDefault="002C3E44" w:rsidP="002C3E44">
      <w:pPr>
        <w:autoSpaceDE w:val="0"/>
        <w:autoSpaceDN w:val="0"/>
        <w:adjustRightInd w:val="0"/>
        <w:spacing w:after="120"/>
        <w:ind w:left="426" w:hanging="426"/>
        <w:jc w:val="both"/>
        <w:rPr>
          <w:rStyle w:val="Hyperlink"/>
          <w:rFonts w:eastAsia="BatangChe"/>
          <w:color w:val="000000" w:themeColor="text1"/>
        </w:rPr>
      </w:pPr>
      <w:r w:rsidRPr="00195E28">
        <w:rPr>
          <w:rFonts w:eastAsia="BatangChe"/>
          <w:color w:val="000000" w:themeColor="text1"/>
        </w:rPr>
        <w:t xml:space="preserve">ECHA (2012d). Member State Committee Support Document for Identification of Heptacosafluorotetradecanoic Acid as a Substance of Very High Concern Because of its vPvB Properties. Adopted on 13 December 2012. Available at: </w:t>
      </w:r>
      <w:r w:rsidRPr="00195E28">
        <w:rPr>
          <w:rStyle w:val="Hyperlink"/>
          <w:rFonts w:eastAsia="BatangChe"/>
          <w:color w:val="000000" w:themeColor="text1"/>
        </w:rPr>
        <w:t>http://echa.europa.eu/documents/10162/32710c65-b872-4630-a59e-4f31e2d0a9cb.</w:t>
      </w:r>
    </w:p>
    <w:p w14:paraId="319F5A56" w14:textId="77777777" w:rsidR="00024269" w:rsidRPr="00195E28" w:rsidRDefault="00024269" w:rsidP="00024269">
      <w:pPr>
        <w:pStyle w:val="NoSpacing"/>
        <w:spacing w:after="120"/>
        <w:ind w:left="426" w:hanging="426"/>
        <w:jc w:val="both"/>
        <w:rPr>
          <w:rFonts w:eastAsia="BatangChe"/>
          <w:color w:val="000000" w:themeColor="text1"/>
        </w:rPr>
      </w:pPr>
      <w:r w:rsidRPr="00195E28">
        <w:rPr>
          <w:rFonts w:eastAsia="BatangChe"/>
          <w:color w:val="000000" w:themeColor="text1"/>
        </w:rPr>
        <w:t xml:space="preserve">ECHA (2014a). Member State Committee Support Document for Identification of 2-(2H-Benzotriazol-2-yl)-4,6-ditertpentylphenol (UV-328) as a Substance of Very High Concern Because of its PBT/vPvB Properties. Adopted on 27 November 2014. Available at: </w:t>
      </w:r>
      <w:r w:rsidRPr="00195E28">
        <w:rPr>
          <w:rStyle w:val="Hyperlink"/>
          <w:rFonts w:eastAsia="BatangChe" w:cstheme="minorBidi"/>
          <w:color w:val="000000" w:themeColor="text1"/>
          <w:lang w:val="en-US"/>
        </w:rPr>
        <w:t>http://echa.europa.eu/documents/10162/d5b54a40-4ddf-4892-a25a-442dfab8f9f3</w:t>
      </w:r>
      <w:r w:rsidRPr="00195E28">
        <w:rPr>
          <w:color w:val="000000" w:themeColor="text1"/>
        </w:rPr>
        <w:t>.</w:t>
      </w:r>
    </w:p>
    <w:p w14:paraId="49596FC1" w14:textId="77777777" w:rsidR="00024269" w:rsidRPr="00195E28" w:rsidRDefault="00024269" w:rsidP="00024269">
      <w:pPr>
        <w:pStyle w:val="NoSpacing"/>
        <w:spacing w:after="120"/>
        <w:ind w:left="426" w:hanging="426"/>
        <w:jc w:val="both"/>
        <w:rPr>
          <w:rFonts w:eastAsia="BatangChe"/>
          <w:color w:val="000000" w:themeColor="text1"/>
        </w:rPr>
      </w:pPr>
      <w:r w:rsidRPr="00195E28">
        <w:rPr>
          <w:rFonts w:eastAsia="BatangChe"/>
          <w:color w:val="000000" w:themeColor="text1"/>
        </w:rPr>
        <w:t xml:space="preserve">ECHA (2014b). Member State Committee Support Document for Identification of 2-Benzotriazol-2-yl-4,6-di-tert-butylphenol (UV-320) as a Substance of Very High Concern Because of its </w:t>
      </w:r>
      <w:r w:rsidRPr="00195E28">
        <w:rPr>
          <w:rFonts w:eastAsia="BatangChe"/>
          <w:color w:val="000000" w:themeColor="text1"/>
        </w:rPr>
        <w:lastRenderedPageBreak/>
        <w:t xml:space="preserve">PBT/vPvB Properties. Adopted on 27 November 2014. Available at: </w:t>
      </w:r>
      <w:r w:rsidRPr="00195E28">
        <w:rPr>
          <w:rStyle w:val="Hyperlink"/>
          <w:rFonts w:eastAsia="BatangChe" w:cstheme="minorBidi"/>
          <w:color w:val="000000" w:themeColor="text1"/>
          <w:lang w:val="en-US"/>
        </w:rPr>
        <w:t>http://echa.europa.eu/documents/10162/8b110e69-c9aa-4601-b431-ee43177e0ee8</w:t>
      </w:r>
      <w:r w:rsidRPr="00195E28">
        <w:rPr>
          <w:color w:val="000000" w:themeColor="text1"/>
        </w:rPr>
        <w:t>.</w:t>
      </w:r>
    </w:p>
    <w:p w14:paraId="07212924" w14:textId="77777777" w:rsidR="0043784E" w:rsidRDefault="0043784E" w:rsidP="002C3E44">
      <w:pPr>
        <w:autoSpaceDE w:val="0"/>
        <w:autoSpaceDN w:val="0"/>
        <w:adjustRightInd w:val="0"/>
        <w:ind w:left="426" w:hanging="426"/>
        <w:jc w:val="both"/>
      </w:pPr>
      <w:r>
        <w:t>ECHA (2017</w:t>
      </w:r>
      <w:r w:rsidR="002C3E44">
        <w:t xml:space="preserve">a). Guidance on Information Requirements and Chemical Safety Assessment. Chapter R.11: PBT/vPvB Assessment. Version </w:t>
      </w:r>
      <w:r>
        <w:t>3</w:t>
      </w:r>
      <w:r w:rsidR="002C3E44">
        <w:t xml:space="preserve">.0. </w:t>
      </w:r>
      <w:r>
        <w:t>June 2017</w:t>
      </w:r>
      <w:r w:rsidR="002C3E44">
        <w:t>. European Chemicals Agency.</w:t>
      </w:r>
    </w:p>
    <w:p w14:paraId="1E33FE61" w14:textId="77777777" w:rsidR="002C3E44" w:rsidRDefault="002C3E44" w:rsidP="002C3E44">
      <w:pPr>
        <w:autoSpaceDE w:val="0"/>
        <w:autoSpaceDN w:val="0"/>
        <w:adjustRightInd w:val="0"/>
        <w:ind w:left="426" w:hanging="426"/>
        <w:jc w:val="both"/>
      </w:pPr>
      <w:r>
        <w:t xml:space="preserve"> </w:t>
      </w:r>
    </w:p>
    <w:p w14:paraId="4BB2A0D6" w14:textId="77777777" w:rsidR="002C3E44" w:rsidRDefault="0043784E" w:rsidP="002C3E44">
      <w:pPr>
        <w:autoSpaceDE w:val="0"/>
        <w:autoSpaceDN w:val="0"/>
        <w:adjustRightInd w:val="0"/>
        <w:ind w:left="426" w:hanging="426"/>
        <w:jc w:val="both"/>
        <w:rPr>
          <w:lang w:val="en-US"/>
        </w:rPr>
      </w:pPr>
      <w:r>
        <w:t>ECHA (2017</w:t>
      </w:r>
      <w:r w:rsidR="002C3E44">
        <w:t xml:space="preserve">b). Guidance on Information Requirements and Chemical Safety Assessment. Chapter R.7b: </w:t>
      </w:r>
      <w:r w:rsidR="002C3E44">
        <w:rPr>
          <w:bCs/>
          <w:color w:val="000000"/>
          <w:lang w:eastAsia="en-GB"/>
        </w:rPr>
        <w:t>Endpoint specific guidance</w:t>
      </w:r>
      <w:r w:rsidR="00024269">
        <w:t>. Version 4</w:t>
      </w:r>
      <w:r w:rsidR="002C3E44">
        <w:t xml:space="preserve">.0. </w:t>
      </w:r>
      <w:r w:rsidR="00024269">
        <w:t>June 2017</w:t>
      </w:r>
      <w:r w:rsidR="002C3E44">
        <w:t xml:space="preserve">. European Chemicals Agency. </w:t>
      </w:r>
    </w:p>
    <w:p w14:paraId="1ED1042A" w14:textId="77777777" w:rsidR="002C3E44" w:rsidRDefault="0043784E" w:rsidP="002C3E44">
      <w:pPr>
        <w:autoSpaceDE w:val="0"/>
        <w:autoSpaceDN w:val="0"/>
        <w:adjustRightInd w:val="0"/>
        <w:ind w:left="426" w:hanging="426"/>
        <w:jc w:val="both"/>
      </w:pPr>
      <w:r>
        <w:t>ECHA (2017</w:t>
      </w:r>
      <w:r w:rsidR="002C3E44">
        <w:t xml:space="preserve">c). Guidance on Information Requirements and Chemical Safety Assessment. Chapter R.7c: </w:t>
      </w:r>
      <w:r w:rsidR="002C3E44">
        <w:rPr>
          <w:bCs/>
          <w:color w:val="000000"/>
          <w:lang w:eastAsia="en-GB"/>
        </w:rPr>
        <w:t>Endpoint specific guidance</w:t>
      </w:r>
      <w:r w:rsidR="002C3E44">
        <w:t xml:space="preserve">. Version </w:t>
      </w:r>
      <w:r w:rsidR="00024269">
        <w:t>3</w:t>
      </w:r>
      <w:r w:rsidR="002C3E44">
        <w:t xml:space="preserve">.0. </w:t>
      </w:r>
      <w:r w:rsidR="00024269">
        <w:t>June 2017</w:t>
      </w:r>
      <w:r w:rsidR="002C3E44">
        <w:t xml:space="preserve">. European Chemicals Agency. </w:t>
      </w:r>
    </w:p>
    <w:p w14:paraId="3BBAA40F" w14:textId="33CED80D" w:rsidR="00404A83" w:rsidRDefault="00404A83" w:rsidP="002C3E44">
      <w:pPr>
        <w:autoSpaceDE w:val="0"/>
        <w:autoSpaceDN w:val="0"/>
        <w:adjustRightInd w:val="0"/>
        <w:ind w:left="426" w:hanging="426"/>
        <w:jc w:val="both"/>
      </w:pPr>
      <w:r>
        <w:t xml:space="preserve">ECHA website (2017). Information </w:t>
      </w:r>
      <w:r w:rsidRPr="00404A83">
        <w:t xml:space="preserve">cited in the Registration dossier published on echa.europa.eu, web search date </w:t>
      </w:r>
      <w:r>
        <w:t>24.08.</w:t>
      </w:r>
      <w:r w:rsidRPr="00404A83">
        <w:t>2017</w:t>
      </w:r>
    </w:p>
    <w:p w14:paraId="5399919A" w14:textId="77777777" w:rsidR="002C3E44" w:rsidRDefault="002C3E44" w:rsidP="002C3E44">
      <w:pPr>
        <w:autoSpaceDE w:val="0"/>
        <w:autoSpaceDN w:val="0"/>
        <w:adjustRightInd w:val="0"/>
        <w:ind w:left="426" w:hanging="426"/>
        <w:jc w:val="both"/>
      </w:pPr>
      <w:r>
        <w:t>EFSA [European Food Standards Agency] (unpubl. a) Draft Assessment Report for technical endosulfan dated December 1999. Unpublished.</w:t>
      </w:r>
    </w:p>
    <w:p w14:paraId="4573B2B0" w14:textId="77777777" w:rsidR="002C3E44" w:rsidRDefault="002C3E44" w:rsidP="002C3E44">
      <w:pPr>
        <w:autoSpaceDE w:val="0"/>
        <w:autoSpaceDN w:val="0"/>
        <w:adjustRightInd w:val="0"/>
        <w:ind w:left="426" w:hanging="426"/>
        <w:jc w:val="both"/>
      </w:pPr>
      <w:r>
        <w:t>EFSA (unpubl. b) Draft Assessment Report (addendum) for technical endosulfan dated December 2003. Unpublished.</w:t>
      </w:r>
    </w:p>
    <w:p w14:paraId="029AD971" w14:textId="77777777" w:rsidR="00D23EDA" w:rsidRDefault="00D23EDA" w:rsidP="002C3E44">
      <w:pPr>
        <w:autoSpaceDE w:val="0"/>
        <w:autoSpaceDN w:val="0"/>
        <w:adjustRightInd w:val="0"/>
        <w:ind w:left="426" w:hanging="426"/>
        <w:jc w:val="both"/>
      </w:pPr>
      <w:r>
        <w:t xml:space="preserve">EFSA (2007). </w:t>
      </w:r>
      <w:r w:rsidRPr="00025E01">
        <w:rPr>
          <w:lang w:val="en-US"/>
        </w:rPr>
        <w:t>O</w:t>
      </w:r>
      <w:r>
        <w:t xml:space="preserve">pinion of the Scientific Panel on Contaminants in the Food Chain on a Request from the European Commission Related to Heptachlor as an Undesirable Substance in Animal Feed. </w:t>
      </w:r>
      <w:r w:rsidRPr="00025E01">
        <w:rPr>
          <w:lang w:val="en-US"/>
        </w:rPr>
        <w:t>Question N° EFSA-Q-2005-184</w:t>
      </w:r>
      <w:r>
        <w:t>. The EFSA Journal,</w:t>
      </w:r>
      <w:r w:rsidRPr="00025E01">
        <w:rPr>
          <w:lang w:val="en-US"/>
        </w:rPr>
        <w:t xml:space="preserve"> 478, 1-48</w:t>
      </w:r>
      <w:r>
        <w:t>.</w:t>
      </w:r>
    </w:p>
    <w:p w14:paraId="09946CD1" w14:textId="77777777" w:rsidR="002C3E44" w:rsidRDefault="002C3E44" w:rsidP="002C3E44">
      <w:pPr>
        <w:autoSpaceDE w:val="0"/>
        <w:autoSpaceDN w:val="0"/>
        <w:adjustRightInd w:val="0"/>
        <w:ind w:left="426" w:hanging="426"/>
        <w:jc w:val="both"/>
        <w:rPr>
          <w:rFonts w:eastAsiaTheme="minorHAnsi"/>
          <w:color w:val="000000"/>
        </w:rPr>
      </w:pPr>
      <w:r>
        <w:t xml:space="preserve">Eljarrat E (2014). Classical versus Emerging Flame Retardants. Presentation given to </w:t>
      </w:r>
      <w:r>
        <w:rPr>
          <w:rFonts w:eastAsiaTheme="minorHAnsi"/>
          <w:color w:val="000000"/>
        </w:rPr>
        <w:t>8</w:t>
      </w:r>
      <w:r>
        <w:rPr>
          <w:rFonts w:eastAsiaTheme="minorHAnsi"/>
          <w:color w:val="000000"/>
          <w:vertAlign w:val="superscript"/>
        </w:rPr>
        <w:t>th</w:t>
      </w:r>
      <w:r>
        <w:t xml:space="preserve"> </w:t>
      </w:r>
      <w:r>
        <w:rPr>
          <w:rFonts w:eastAsiaTheme="minorHAnsi"/>
          <w:color w:val="000000"/>
        </w:rPr>
        <w:t>Network Conference on Persistent Organic Pollutants, Birmingham, UK</w:t>
      </w:r>
      <w:r>
        <w:t xml:space="preserve"> on </w:t>
      </w:r>
      <w:r>
        <w:rPr>
          <w:rFonts w:eastAsiaTheme="minorHAnsi"/>
          <w:color w:val="000000"/>
        </w:rPr>
        <w:t xml:space="preserve">8 </w:t>
      </w:r>
      <w:r>
        <w:t>May</w:t>
      </w:r>
      <w:r>
        <w:rPr>
          <w:rFonts w:eastAsiaTheme="minorHAnsi"/>
          <w:color w:val="000000"/>
        </w:rPr>
        <w:t xml:space="preserve"> 2014. Available at: </w:t>
      </w:r>
      <w:r w:rsidR="00195E28" w:rsidRPr="00195E28">
        <w:t>http://www.birmingham.ac.uk/Documents/college-les/gees/conferences/nercpops/Conference2014/Classical%20vs%20emerging%20flame%20retardants.pdf</w:t>
      </w:r>
      <w:r>
        <w:t>. Accessed 15 July 2014.</w:t>
      </w:r>
      <w:r>
        <w:rPr>
          <w:rFonts w:eastAsiaTheme="minorHAnsi"/>
          <w:color w:val="000000"/>
        </w:rPr>
        <w:t xml:space="preserve"> </w:t>
      </w:r>
    </w:p>
    <w:p w14:paraId="1E1F3A37" w14:textId="77777777" w:rsidR="002C3E44" w:rsidRDefault="002C3E44" w:rsidP="002C3E44">
      <w:pPr>
        <w:ind w:left="426" w:hanging="426"/>
        <w:jc w:val="both"/>
      </w:pPr>
      <w:r>
        <w:t>EUSES 2.1.2 (2012). EUSES, the European Union System for the Evaluation of Substances, version 2.1.2. National Institute of Public Health and the Environment (RIVM), the Netherlands. Available via the European Chemicals Bureau http://ecb.jrc.it.</w:t>
      </w:r>
    </w:p>
    <w:p w14:paraId="2F090180" w14:textId="77777777" w:rsidR="002C3E44" w:rsidRDefault="002C3E44" w:rsidP="002C3E44">
      <w:pPr>
        <w:ind w:left="426" w:hanging="426"/>
        <w:jc w:val="both"/>
        <w:rPr>
          <w:rFonts w:eastAsiaTheme="minorHAnsi"/>
        </w:rPr>
      </w:pPr>
      <w:r>
        <w:rPr>
          <w:rFonts w:eastAsiaTheme="minorHAnsi"/>
        </w:rPr>
        <w:t>Fang M, Kim J-C and Chang Y-S (2014).  Investigating Dechlorane Plus (DP) distribution and isomer specific adsorption behavior in size fractionated marine sediments. Science of the Total Environment, 48</w:t>
      </w:r>
      <w:r w:rsidR="00AB49B9">
        <w:rPr>
          <w:rFonts w:eastAsiaTheme="minorHAnsi"/>
        </w:rPr>
        <w:t>1</w:t>
      </w:r>
      <w:r>
        <w:rPr>
          <w:rFonts w:eastAsiaTheme="minorHAnsi"/>
        </w:rPr>
        <w:t>, 114–120.</w:t>
      </w:r>
    </w:p>
    <w:p w14:paraId="078B5891" w14:textId="77777777" w:rsidR="002C3E44" w:rsidRDefault="002C3E44" w:rsidP="002C3E44">
      <w:pPr>
        <w:ind w:left="426" w:hanging="426"/>
        <w:jc w:val="both"/>
      </w:pPr>
      <w:r>
        <w:t xml:space="preserve">Gara MJ and Rawisina G (1975). Report to Hooker Chemical Corporation, </w:t>
      </w:r>
      <w:r w:rsidR="00682033">
        <w:t>Industrial</w:t>
      </w:r>
      <w:r>
        <w:t xml:space="preserve"> Chemicals Division: Thirty day dynamic bioaccumulation studies with Dechlorane Plus 25 in bluegill sunfish. Industrial Bio-Test Laboratories Inc., IBT nos</w:t>
      </w:r>
      <w:r w:rsidR="00356AEA">
        <w:t>.</w:t>
      </w:r>
      <w:r>
        <w:t xml:space="preserve"> 621-06768 and 631-04618, 08 December 1975. Testing laboratory: Industrial Bio-Test Laboratories Inc., Northbrook, Illinois, USA. Report no.: IBT nos</w:t>
      </w:r>
      <w:r w:rsidR="00356AEA">
        <w:t>.</w:t>
      </w:r>
      <w:r>
        <w:t xml:space="preserve"> 621-06768 and 631-04618. Owner company: Hooker Chemicals Corporation. Report date: 1975-12-07.</w:t>
      </w:r>
    </w:p>
    <w:p w14:paraId="07D17255" w14:textId="77777777" w:rsidR="002C3E44" w:rsidRDefault="002C3E44" w:rsidP="002C3E44">
      <w:pPr>
        <w:ind w:left="426" w:hanging="426"/>
        <w:jc w:val="both"/>
      </w:pPr>
      <w:r>
        <w:t>Gauthier LT, Hebert CE, Weseloh DVC and Letcher RJ (2007). Current-use flame retardants in the eggs of herring gulls (Laurus argentatus) from the Laurentian Great Lakes. Environ Sci Technol, 41, 4561-4567.</w:t>
      </w:r>
    </w:p>
    <w:p w14:paraId="091BD2D4" w14:textId="77777777" w:rsidR="002C3E44" w:rsidRDefault="002C3E44" w:rsidP="002C3E44">
      <w:pPr>
        <w:autoSpaceDE w:val="0"/>
        <w:autoSpaceDN w:val="0"/>
        <w:adjustRightInd w:val="0"/>
        <w:ind w:left="426" w:hanging="426"/>
        <w:jc w:val="both"/>
        <w:rPr>
          <w:rFonts w:eastAsia="Calibri"/>
        </w:rPr>
      </w:pPr>
      <w:r>
        <w:rPr>
          <w:rFonts w:eastAsia="Calibri"/>
        </w:rPr>
        <w:t>Gauthier LT and Letcher RJ (2009). Isomers of Dechlorane Plus flame retardant in the eggs of herring gulls (</w:t>
      </w:r>
      <w:r>
        <w:rPr>
          <w:rFonts w:eastAsia="Calibri"/>
          <w:i/>
        </w:rPr>
        <w:t>Larus argentatus</w:t>
      </w:r>
      <w:r>
        <w:rPr>
          <w:rFonts w:eastAsia="Calibri"/>
        </w:rPr>
        <w:t>) from the Laurentian Great Lakes of North America: Temporal changes and spatial distribution. Chemosphere, 75, 115–120.</w:t>
      </w:r>
    </w:p>
    <w:p w14:paraId="0B73C3BB" w14:textId="77777777" w:rsidR="002C3E44" w:rsidRDefault="002C3E44" w:rsidP="002C3E44">
      <w:pPr>
        <w:autoSpaceDE w:val="0"/>
        <w:autoSpaceDN w:val="0"/>
        <w:adjustRightInd w:val="0"/>
        <w:ind w:left="426" w:hanging="426"/>
        <w:jc w:val="both"/>
      </w:pPr>
      <w:r>
        <w:t>Gentes M-L, Letcher RJ, Caron-Beaudoin E</w:t>
      </w:r>
      <w:r>
        <w:rPr>
          <w:rFonts w:eastAsia="AdvOT8608a8d1+03"/>
        </w:rPr>
        <w:t xml:space="preserve">́ </w:t>
      </w:r>
      <w:r>
        <w:t>and Verreault J (2012). Novel flame retardants in urban-feeding ring-billed gulls from the St. Lawrence River, Canada. Environ. Sci. Technol., 46, 9735</w:t>
      </w:r>
      <w:r>
        <w:rPr>
          <w:rFonts w:eastAsia="AdvOT8608a8d1+22"/>
        </w:rPr>
        <w:t>−</w:t>
      </w:r>
      <w:r>
        <w:t>9744.</w:t>
      </w:r>
    </w:p>
    <w:p w14:paraId="73289B4F" w14:textId="77777777" w:rsidR="002C3E44" w:rsidRDefault="002C3E44" w:rsidP="002C3E44">
      <w:pPr>
        <w:ind w:left="426" w:hanging="426"/>
        <w:jc w:val="both"/>
      </w:pPr>
      <w:r>
        <w:t>Gobas FAPC, Kelly BC and Arnot JA (2003). Quantitative structure activity relationships for predicting the bioaccumulation of POPs in terrestrial food-webs. QSAR Comb. Sci., 22, 329–336.</w:t>
      </w:r>
    </w:p>
    <w:p w14:paraId="77DB1AFF" w14:textId="77777777" w:rsidR="002C3E44" w:rsidRDefault="002C3E44" w:rsidP="002C3E44">
      <w:pPr>
        <w:ind w:left="426" w:hanging="426"/>
        <w:jc w:val="both"/>
      </w:pPr>
      <w:r>
        <w:t>Gobas FAPC, Xu S, Kozerski G, Powell DE, Woodburn KB and Mackay D (2015). Fugacity and acitivity analysis of the bioaccumulation and environmental risks of decamethylpentasiloxane (D5). Environmental Toxicology and Chemistry, 34, 2723-2731.</w:t>
      </w:r>
    </w:p>
    <w:p w14:paraId="2BA7A372" w14:textId="77777777" w:rsidR="002C3E44" w:rsidRDefault="002C3E44" w:rsidP="002C3E44">
      <w:pPr>
        <w:ind w:left="426" w:hanging="426"/>
        <w:jc w:val="both"/>
        <w:rPr>
          <w:lang w:val="en-US" w:eastAsia="en-GB"/>
        </w:rPr>
      </w:pPr>
      <w:r>
        <w:rPr>
          <w:lang w:eastAsia="en-GB"/>
        </w:rPr>
        <w:t xml:space="preserve">Gong N, Shao K, Hang X, Zhao L, Zhong R, Zhao E, Li G and Sun Y (2013). Effect of Dechlorane Plus on </w:t>
      </w:r>
      <w:r>
        <w:rPr>
          <w:i/>
          <w:lang w:eastAsia="en-GB"/>
        </w:rPr>
        <w:t>Pseudokirchneriella subcapitata</w:t>
      </w:r>
      <w:r>
        <w:rPr>
          <w:lang w:eastAsia="en-GB"/>
        </w:rPr>
        <w:t xml:space="preserve"> by flow cytometry. Organohalogen Compounds, 75, 200-204. </w:t>
      </w:r>
      <w:r w:rsidR="00195E28" w:rsidRPr="00195E28">
        <w:rPr>
          <w:lang w:eastAsia="en-GB"/>
        </w:rPr>
        <w:t>http://www.dioxin20xx.org/pdfs/2013/86.pdf</w:t>
      </w:r>
    </w:p>
    <w:p w14:paraId="59361B2A" w14:textId="77777777" w:rsidR="002C3E44" w:rsidRDefault="002C3E44" w:rsidP="002C3E44">
      <w:pPr>
        <w:ind w:left="426" w:hanging="426"/>
        <w:jc w:val="both"/>
        <w:rPr>
          <w:b/>
          <w:bCs/>
          <w:lang w:eastAsia="en-US"/>
        </w:rPr>
      </w:pPr>
      <w:r>
        <w:t xml:space="preserve">Goss KU, Brown TN and Endo S (2013). Elimination half-life as a metric for the bioaccumulation potential of chemicals in aquatic and terrestrial food chains. Environ. Toxicol. Chem., 32, </w:t>
      </w:r>
      <w:r>
        <w:lastRenderedPageBreak/>
        <w:t>1663-1671.</w:t>
      </w:r>
      <w:r>
        <w:rPr>
          <w:b/>
          <w:bCs/>
        </w:rPr>
        <w:t xml:space="preserve"> </w:t>
      </w:r>
    </w:p>
    <w:p w14:paraId="0BBCF06E" w14:textId="77777777" w:rsidR="002C3E44" w:rsidRDefault="002C3E44" w:rsidP="002C3E44">
      <w:pPr>
        <w:ind w:left="426" w:hanging="426"/>
        <w:jc w:val="both"/>
      </w:pPr>
      <w:r>
        <w:t xml:space="preserve">Government of Canada (2016). </w:t>
      </w:r>
      <w:r>
        <w:rPr>
          <w:bCs/>
        </w:rPr>
        <w:t>Draft Screening Assessment Certain Organic Flame Retardants Substance Grouping: 1,4:7,10-Dimethanodibenzo[a,e]cyclooctene, 1,2,3,4,7,8,9,10,13,13,14,14-dodecachloro-1,4,4a,5,6,6a,7,10,10a,11,12,12a-dodecahydro- [Dechlorane Plus (DP)].</w:t>
      </w:r>
      <w:r>
        <w:t xml:space="preserve"> </w:t>
      </w:r>
      <w:r>
        <w:rPr>
          <w:bCs/>
        </w:rPr>
        <w:t>Environment and Climate Change Canada &amp; Health Canada. October 2016. http://www.ec.gc.ca/ese-ees/default.asp?lang=En&amp;n=FDE6572D-1.</w:t>
      </w:r>
    </w:p>
    <w:p w14:paraId="6A605B17" w14:textId="77777777" w:rsidR="002C3E44" w:rsidRPr="00F0628F" w:rsidRDefault="002C3E44" w:rsidP="002C3E44">
      <w:pPr>
        <w:ind w:left="426" w:hanging="426"/>
        <w:jc w:val="both"/>
        <w:rPr>
          <w:lang w:val="fr-FR"/>
        </w:rPr>
      </w:pPr>
      <w:r>
        <w:t>Guerra P, Fernie K, Jiménez B, Pacepavicius G, Shen L, Reiner EJ, Eljarrat E, Barcelo D and Alaee M (2011). Dechlorane Plus and related compounds in peregrine falcon (</w:t>
      </w:r>
      <w:r>
        <w:rPr>
          <w:i/>
        </w:rPr>
        <w:t>Falco peregrinus</w:t>
      </w:r>
      <w:r>
        <w:t xml:space="preserve">) eggs from Canada and Spain. </w:t>
      </w:r>
      <w:r w:rsidRPr="00F0628F">
        <w:rPr>
          <w:lang w:val="fr-FR"/>
        </w:rPr>
        <w:t>Environ. Sci. Technol., 45, 1284–1290.</w:t>
      </w:r>
    </w:p>
    <w:p w14:paraId="0D9364DD" w14:textId="77777777" w:rsidR="002C3E44" w:rsidRDefault="002C3E44" w:rsidP="002C3E44">
      <w:pPr>
        <w:ind w:left="426" w:hanging="426"/>
        <w:jc w:val="both"/>
        <w:rPr>
          <w:lang w:val="en-US" w:eastAsia="en-GB"/>
        </w:rPr>
      </w:pPr>
      <w:r w:rsidRPr="00F0628F">
        <w:rPr>
          <w:lang w:val="fr-FR"/>
        </w:rPr>
        <w:t>Hang</w:t>
      </w:r>
      <w:r w:rsidRPr="00F0628F">
        <w:rPr>
          <w:lang w:val="fr-FR" w:eastAsia="en-GB"/>
        </w:rPr>
        <w:t xml:space="preserve"> XM, Jiang Y, Liu Y, Jia HL and Sun YQ (2013). </w:t>
      </w:r>
      <w:r>
        <w:rPr>
          <w:lang w:eastAsia="en-GB"/>
        </w:rPr>
        <w:t xml:space="preserve">An integrated study on the toxicity of Dechlorane Plus in zebrafish. Organohalogen Compounds, 75, 1085-1089. </w:t>
      </w:r>
      <w:r w:rsidR="00195E28" w:rsidRPr="00195E28">
        <w:rPr>
          <w:lang w:eastAsia="en-GB"/>
        </w:rPr>
        <w:t>http://www.dioxin20xx.org/pdfs/2013/5154.pdf</w:t>
      </w:r>
    </w:p>
    <w:p w14:paraId="6A912E27" w14:textId="77777777" w:rsidR="002C3E44" w:rsidRDefault="002C3E44" w:rsidP="002C3E44">
      <w:pPr>
        <w:ind w:left="426" w:hanging="426"/>
        <w:jc w:val="both"/>
        <w:rPr>
          <w:lang w:eastAsia="en-US"/>
        </w:rPr>
      </w:pPr>
      <w:r>
        <w:t>Hawker DW and Connell DW (1986). Bioconcentration of lipophilic compounds by some aquatic organisms. Ecotoxicology and Environmental Safety, 11, 184-197.</w:t>
      </w:r>
    </w:p>
    <w:p w14:paraId="5EA46D07" w14:textId="77777777" w:rsidR="002C3E44" w:rsidRDefault="002C3E44" w:rsidP="002C3E44">
      <w:pPr>
        <w:ind w:left="426" w:hanging="426"/>
        <w:jc w:val="both"/>
        <w:rPr>
          <w:lang w:val="en-US" w:eastAsia="en-GB"/>
        </w:rPr>
      </w:pPr>
      <w:r>
        <w:t xml:space="preserve">He S, Li M, Jin J, Wang Y, Bu Y, Xu M, Yang X and A Liu </w:t>
      </w:r>
      <w:r>
        <w:rPr>
          <w:lang w:eastAsia="en-GB"/>
        </w:rPr>
        <w:t>(2013).</w:t>
      </w:r>
      <w:r>
        <w:rPr>
          <w:rStyle w:val="maintitle"/>
        </w:rPr>
        <w:t xml:space="preserve"> Concentrations and trends of halogenated flame retardants in the pooled serum of residents of Laizhou Bay, China.</w:t>
      </w:r>
      <w:r>
        <w:rPr>
          <w:rStyle w:val="maintitle"/>
          <w:rFonts w:eastAsiaTheme="minorHAnsi"/>
        </w:rPr>
        <w:t xml:space="preserve"> Environmental Toxicology and Chemistry, 32, 1242–1247.</w:t>
      </w:r>
    </w:p>
    <w:p w14:paraId="64F77DBB" w14:textId="77777777" w:rsidR="002C3E44" w:rsidRDefault="002C3E44" w:rsidP="002C3E44">
      <w:pPr>
        <w:ind w:left="426" w:hanging="426"/>
        <w:jc w:val="both"/>
        <w:rPr>
          <w:lang w:eastAsia="en-US"/>
        </w:rPr>
      </w:pPr>
      <w:r>
        <w:t>He M-J, Luo X-J, Wu J-P, Chen S-J, Wei S-Q and Mai B-X (2014). Isomers of Dechlorane Plus in an aquatic environment in a highly industrialized area in Southern China: Spatial and vertical distribution, phase partition, and bioaccumulation. Science of the Total Environment, 481, 1–6.</w:t>
      </w:r>
    </w:p>
    <w:p w14:paraId="059F671F" w14:textId="77777777" w:rsidR="002C3E44" w:rsidRDefault="002C3E44" w:rsidP="002C3E44">
      <w:pPr>
        <w:ind w:left="426" w:hanging="426"/>
        <w:jc w:val="both"/>
      </w:pPr>
      <w:r>
        <w:t>Hoh E, Zhu L and Hites RA (2006). Dechlorane Plus, a chlorinated flame retardant, in the Great Lakes. Environ. Sci. Technol., 40, 1184-1189.</w:t>
      </w:r>
    </w:p>
    <w:p w14:paraId="4F43D139" w14:textId="77777777" w:rsidR="002C3E44" w:rsidRDefault="002C3E44" w:rsidP="002C3E44">
      <w:pPr>
        <w:ind w:left="426" w:hanging="426"/>
        <w:jc w:val="both"/>
      </w:pPr>
      <w:r>
        <w:t>Hooker Chemical Corporation (1975). Report to Hooker Chemical Corporation: 28-day subacute dust inhalation toxicity study with Dechlorane Plus 25 in rats. Industrial Bio-Test Laboratories Inc., IBT No. 663-06279, 18 June 1975. Testing laboratory: Industrial Bio-Test Laboratories Inc., Northbrook, Illinois, USA. Report no.: IBT No. 663-06279. Owner company: Hooker Chemical Corporation. Report date: 1975-06-13.</w:t>
      </w:r>
    </w:p>
    <w:p w14:paraId="77BE640D" w14:textId="77777777" w:rsidR="002C3E44" w:rsidRDefault="002C3E44" w:rsidP="002C3E44">
      <w:pPr>
        <w:ind w:left="426" w:hanging="426"/>
        <w:jc w:val="both"/>
        <w:rPr>
          <w:lang w:val="en-US"/>
        </w:rPr>
      </w:pPr>
      <w:r w:rsidRPr="002E3D62">
        <w:rPr>
          <w:color w:val="000000"/>
          <w:lang w:val="fr-FR"/>
        </w:rPr>
        <w:t>Houde</w:t>
      </w:r>
      <w:r w:rsidRPr="002E3D62">
        <w:rPr>
          <w:lang w:val="fr-FR"/>
        </w:rPr>
        <w:t xml:space="preserve"> M, Berryman D, de Lafontaine Y and Verreault J (2014). </w:t>
      </w:r>
      <w:r>
        <w:t xml:space="preserve">Novel brominated flame retardants and dechloranes in three fish species from the St. Lawrence River, Canada. Sci Total Environ., 479-480, 48-56. </w:t>
      </w:r>
    </w:p>
    <w:p w14:paraId="5E113996" w14:textId="77777777" w:rsidR="002C3E44" w:rsidRDefault="002C3E44" w:rsidP="002C3E44">
      <w:pPr>
        <w:ind w:left="426" w:hanging="426"/>
        <w:jc w:val="both"/>
        <w:rPr>
          <w:lang w:eastAsia="en-GB"/>
        </w:rPr>
      </w:pPr>
      <w:r>
        <w:rPr>
          <w:lang w:eastAsia="en-GB"/>
        </w:rPr>
        <w:t xml:space="preserve">Huber S, Warner NA, Nygård T, Remberger M, Harju M, Uggerud HT, Kaj L and Hanssen L (2015a). A broad cocktail of environmental pollutants found in eggs of three seabird species from remote colonies in Norway, Environmental Toxicology and </w:t>
      </w:r>
      <w:r>
        <w:t>Chemistry</w:t>
      </w:r>
      <w:r>
        <w:rPr>
          <w:lang w:eastAsia="en-GB"/>
        </w:rPr>
        <w:t>, 34, 1296-308.</w:t>
      </w:r>
    </w:p>
    <w:p w14:paraId="55DB1ADD" w14:textId="77777777" w:rsidR="002C3E44" w:rsidRDefault="002C3E44" w:rsidP="002C3E44">
      <w:pPr>
        <w:ind w:left="426" w:hanging="426"/>
        <w:jc w:val="both"/>
        <w:rPr>
          <w:lang w:eastAsia="en-US"/>
        </w:rPr>
      </w:pPr>
      <w:r w:rsidRPr="00652B7A">
        <w:rPr>
          <w:lang w:val="de-DE"/>
        </w:rPr>
        <w:t xml:space="preserve">Huber S, Nygård T, Warner NA, Remberger M, Harju M, Uggerud HT, Kaj L, </w:t>
      </w:r>
      <w:r w:rsidRPr="00652B7A">
        <w:rPr>
          <w:lang w:val="de-DE" w:eastAsia="en-GB"/>
        </w:rPr>
        <w:t>Schlabach M</w:t>
      </w:r>
      <w:r w:rsidRPr="00652B7A">
        <w:rPr>
          <w:lang w:val="de-DE"/>
        </w:rPr>
        <w:t xml:space="preserve"> and Hanssen L (2015b). </w:t>
      </w:r>
      <w:r>
        <w:rPr>
          <w:lang w:eastAsia="en-GB"/>
        </w:rPr>
        <w:t>Kartlegging av miljøgifter i</w:t>
      </w:r>
      <w:r>
        <w:t xml:space="preserve"> </w:t>
      </w:r>
      <w:r>
        <w:rPr>
          <w:lang w:eastAsia="en-GB"/>
        </w:rPr>
        <w:t>sjøfuglegg fra Sklinna og Røst. Norwegian Institute for Air Research. NILU OR 8/2014.</w:t>
      </w:r>
      <w:r>
        <w:t xml:space="preserve"> Available at: </w:t>
      </w:r>
      <w:r w:rsidR="00195E28" w:rsidRPr="00195E28">
        <w:t>http://www.miljodirektoratet.no/Documents/publikasjoner/M7/M7.pdf</w:t>
      </w:r>
      <w:r>
        <w:t>.</w:t>
      </w:r>
    </w:p>
    <w:p w14:paraId="51A2754A" w14:textId="77777777" w:rsidR="002C3E44" w:rsidRDefault="002C3E44" w:rsidP="002C3E44">
      <w:pPr>
        <w:ind w:left="426" w:hanging="426"/>
        <w:jc w:val="both"/>
      </w:pPr>
      <w:r>
        <w:t>Inoue Y, Hashizume N, Yoshida T, Murakami H, Suzuki Y, Koga Y, Takeshige R, Kikushima R, Yakata N and Masanori O (2012). Comparison of bioconcentration and biomagnification factors for poorly water-soluble chemicals using common carp (</w:t>
      </w:r>
      <w:r>
        <w:rPr>
          <w:i/>
        </w:rPr>
        <w:t>Cyprinus carpio</w:t>
      </w:r>
      <w:r>
        <w:t xml:space="preserve">) Archives of Environmental Contamination and Toxicology, 63, 241-248. </w:t>
      </w:r>
    </w:p>
    <w:p w14:paraId="607A6C07" w14:textId="77777777" w:rsidR="002C3E44" w:rsidRDefault="002C3E44" w:rsidP="002C3E44">
      <w:pPr>
        <w:ind w:left="426" w:hanging="426"/>
        <w:jc w:val="both"/>
        <w:rPr>
          <w:lang w:val="en-US"/>
        </w:rPr>
      </w:pPr>
      <w:r>
        <w:t>Ismail N, Gewurtz SB, Pleskach K, Whittle M, Helm PA, Marvin CH and Tomy GT (2009). Brominated and chlorinated flame retardants in Lake Ontario, Canada, Lake Trout (</w:t>
      </w:r>
      <w:r>
        <w:rPr>
          <w:i/>
        </w:rPr>
        <w:t>Salvelinus namaycush</w:t>
      </w:r>
      <w:r>
        <w:t>) between 1979 and 2004 and possible influences of food-web changes. Environ. Toxicol. Chem., 28, 910–920.</w:t>
      </w:r>
    </w:p>
    <w:p w14:paraId="538F21B5" w14:textId="77777777" w:rsidR="002C3E44" w:rsidRDefault="002C3E44" w:rsidP="002C3E44">
      <w:pPr>
        <w:ind w:left="426" w:hanging="426"/>
        <w:jc w:val="both"/>
      </w:pPr>
      <w:r>
        <w:t>Jia H, Sun Y, Liu X, Yang M, Wang D, Qi H, Shen L, Sverko E, Reiner EJ and Li Y-F (2011). Concentration and bioaccumulation of Dechlorane compounds in coastal environment of northern China. Environ. Sci. Technol., 45, 2613–2618.</w:t>
      </w:r>
    </w:p>
    <w:p w14:paraId="350CFC70" w14:textId="77777777" w:rsidR="002C3E44" w:rsidRPr="00652B7A" w:rsidRDefault="002C3E44" w:rsidP="002C3E44">
      <w:pPr>
        <w:ind w:left="426" w:hanging="426"/>
        <w:jc w:val="both"/>
        <w:rPr>
          <w:lang w:val="de-DE"/>
        </w:rPr>
      </w:pPr>
      <w:r>
        <w:t xml:space="preserve">Jotz MM and Mitchell AD (1980). An evaluation of mutagenic potential of Hooker Research Center compound Dechlorane Plus employing the L5178Y TK+/- mouse lymphoma assay. SRI International, SRI Project LSC-8971, 22 February 1980. Testing laboratory: SRI International, Menlo Park, California, USA. Report no.: LSC-8971. Owner company: Hooker Chemical Corporation, Hooker Research Center. </w:t>
      </w:r>
      <w:r w:rsidRPr="00652B7A">
        <w:rPr>
          <w:lang w:val="de-DE"/>
        </w:rPr>
        <w:t>Report date: 1980-02-21.</w:t>
      </w:r>
    </w:p>
    <w:p w14:paraId="4E3D2CCD" w14:textId="77777777" w:rsidR="002C3E44" w:rsidRDefault="002C3E44" w:rsidP="002C3E44">
      <w:pPr>
        <w:ind w:left="426" w:hanging="426"/>
        <w:jc w:val="both"/>
      </w:pPr>
      <w:r w:rsidRPr="00652B7A">
        <w:rPr>
          <w:lang w:val="de-DE"/>
        </w:rPr>
        <w:t xml:space="preserve">Kaj L, Norstrom K, Egelrud L, Remberger M, Lilja K and Brorstrom-Lunden E (2010). </w:t>
      </w:r>
      <w:r>
        <w:t xml:space="preserve">Results from the Swedish National Screening Programme 2009, subreport 2: Dechlorane Plus. IVL </w:t>
      </w:r>
      <w:r>
        <w:lastRenderedPageBreak/>
        <w:t>Swedish Environmental Research Institute Ltd, Stockholm. November 2010. http://www.ivl.se/webdav/files/B-rapporter/B1950.pdf.</w:t>
      </w:r>
    </w:p>
    <w:p w14:paraId="1BECA5B1" w14:textId="77777777" w:rsidR="002C3E44" w:rsidRDefault="002C3E44" w:rsidP="002C3E44">
      <w:pPr>
        <w:ind w:left="426" w:hanging="426"/>
        <w:jc w:val="both"/>
        <w:rPr>
          <w:color w:val="000000"/>
          <w:lang w:val="en-US"/>
        </w:rPr>
      </w:pPr>
      <w:r>
        <w:t>Kakimoto</w:t>
      </w:r>
      <w:r>
        <w:rPr>
          <w:color w:val="000000"/>
        </w:rPr>
        <w:t xml:space="preserve"> K, Nagayoshi H, Yoshida J, Akutsu K, Konishi Y, Toriba A and Hayakawa K (2012). Detection of Dechlorane Plus and brominated flame retardants in marketed fish in Japan. Chemosphere, 89, 416–419.</w:t>
      </w:r>
    </w:p>
    <w:p w14:paraId="609D3C62" w14:textId="77777777" w:rsidR="002C3E44" w:rsidRDefault="002C3E44" w:rsidP="002C3E44">
      <w:pPr>
        <w:ind w:left="426" w:hanging="426"/>
        <w:jc w:val="both"/>
      </w:pPr>
      <w:r>
        <w:t>Kang H, Moon H-B and Choi K (2016). Toxicological responses following short-term exposure through gavage feeding or water-borne exposure to Dechlorane Plus in zebrafish (</w:t>
      </w:r>
      <w:r>
        <w:rPr>
          <w:i/>
        </w:rPr>
        <w:t>Danio rerio</w:t>
      </w:r>
      <w:r>
        <w:t>). Chemosphere, 146, 226-232.</w:t>
      </w:r>
    </w:p>
    <w:p w14:paraId="0B226794" w14:textId="77777777" w:rsidR="002C3E44" w:rsidRDefault="002C3E44" w:rsidP="002C3E44">
      <w:pPr>
        <w:ind w:left="426" w:hanging="426"/>
        <w:jc w:val="both"/>
      </w:pPr>
      <w:r>
        <w:t>Kang JH, Kim JC and Chang YS (2009). Dechlorane Plus in fish from urban-industrial rivers. Organohalogen Compd., 71, 1356–1359.</w:t>
      </w:r>
    </w:p>
    <w:p w14:paraId="41EC426D" w14:textId="77777777" w:rsidR="002C3E44" w:rsidRDefault="002C3E44" w:rsidP="002C3E44">
      <w:pPr>
        <w:ind w:left="426" w:hanging="426"/>
        <w:jc w:val="both"/>
      </w:pPr>
      <w:r>
        <w:t>Kang JH, Kim JC, Jin GZ, Park H, Baek SY and Chang YS (2010). Detection of Dechlorane Plus in fish from urban industrial rivers. Chemosphere, 79, 850-854.</w:t>
      </w:r>
    </w:p>
    <w:p w14:paraId="1FBD2924" w14:textId="77777777" w:rsidR="002C3E44" w:rsidRDefault="002C3E44" w:rsidP="002C3E44">
      <w:pPr>
        <w:ind w:left="426" w:hanging="426"/>
        <w:jc w:val="both"/>
        <w:rPr>
          <w:lang w:val="en-CA" w:eastAsia="en-GB"/>
        </w:rPr>
      </w:pPr>
      <w:r>
        <w:rPr>
          <w:lang w:val="en-CA" w:eastAsia="en-GB"/>
        </w:rPr>
        <w:t xml:space="preserve">Kang J-H, Kim J-T, Hur SD, Kim J-H and Chang Y-S (2013). Dechlorane Plus in Antarctic biota in King George Island, Antarctica. Organohalogen Compounds, 75, 1066-1069. </w:t>
      </w:r>
    </w:p>
    <w:p w14:paraId="36DFFFE1" w14:textId="77777777" w:rsidR="002C3E44" w:rsidRDefault="002C3E44" w:rsidP="002C3E44">
      <w:pPr>
        <w:ind w:left="426" w:hanging="426"/>
        <w:jc w:val="both"/>
        <w:rPr>
          <w:lang w:eastAsia="en-US"/>
        </w:rPr>
      </w:pPr>
      <w:r>
        <w:t xml:space="preserve">Kelly BC, Ikonomou MG, Blair JD, Morin AE and Gobas FAPC (2007). Food web–specific biomagnification of persistent organic pollutants. Science, 317, 236-239. </w:t>
      </w:r>
    </w:p>
    <w:p w14:paraId="4A681E40" w14:textId="77777777" w:rsidR="002C3E44" w:rsidRDefault="002C3E44" w:rsidP="002C3E44">
      <w:pPr>
        <w:ind w:left="426" w:hanging="426"/>
        <w:jc w:val="both"/>
      </w:pPr>
      <w:r>
        <w:t xml:space="preserve">Kim JT, Son MH, Kang JH, Kim JH, Jung JW and Chang YS (2015). Occurrence of Legacy and New Persistent Organic Pollutants in Avian Tissues from King George Island, Antarctica. </w:t>
      </w:r>
      <w:r w:rsidR="00682033">
        <w:t>Environmental</w:t>
      </w:r>
      <w:r>
        <w:t xml:space="preserve"> Science and Technology, 2015, 49, 13628–13638. </w:t>
      </w:r>
    </w:p>
    <w:p w14:paraId="175D49FB" w14:textId="77777777" w:rsidR="002C3E44" w:rsidRDefault="002C3E44" w:rsidP="002C3E44">
      <w:pPr>
        <w:ind w:left="426" w:hanging="426"/>
        <w:jc w:val="both"/>
      </w:pPr>
      <w:r>
        <w:t>Klasmeier J, Matthies M, MacLeod M, Fenner K, Scheringer M, Stroebe M, Le Gall AC, McKone TE, van de Meent D and Wania F (2006). Application of multimedia models for screening assessment of long-range transport potential and overall persistence. Environmental Science &amp; Technology, 40, 53–60.</w:t>
      </w:r>
    </w:p>
    <w:p w14:paraId="70EBD5A8" w14:textId="77777777" w:rsidR="002C3E44" w:rsidRDefault="002C3E44" w:rsidP="002C3E44">
      <w:pPr>
        <w:ind w:left="426" w:hanging="426"/>
        <w:jc w:val="both"/>
        <w:rPr>
          <w:rFonts w:eastAsia="BatangChe"/>
          <w:lang w:val="en-US"/>
        </w:rPr>
      </w:pPr>
      <w:r>
        <w:rPr>
          <w:rFonts w:eastAsia="BatangChe"/>
        </w:rPr>
        <w:t>Klosterhaus S L, Stapleton H M, La Guardia M J and Greig D J (2012). Brominated and chlorinated flame retardants in San Francisco Bay sediments and wildlife. Environment International, 47, 56–65.</w:t>
      </w:r>
    </w:p>
    <w:p w14:paraId="22708612" w14:textId="77777777" w:rsidR="002C3E44" w:rsidRDefault="002C3E44" w:rsidP="002C3E44">
      <w:pPr>
        <w:ind w:left="426" w:hanging="426"/>
        <w:jc w:val="both"/>
      </w:pPr>
      <w:r>
        <w:t>Kolic TM, Shen L, MacPherson K, Fayez L, Gobran T, Helm PA, Marvin CH, Arsenault G and Reiner EJ (2009). The analysis of halogenated flame retardants by GC–HRMS in environmental samples. Journal of Chromatographic Science, 47, 83-91.</w:t>
      </w:r>
    </w:p>
    <w:p w14:paraId="51D413B7" w14:textId="77777777" w:rsidR="002C3E44" w:rsidRDefault="002C3E44" w:rsidP="002C3E44">
      <w:pPr>
        <w:ind w:left="426" w:hanging="426"/>
        <w:jc w:val="both"/>
        <w:rPr>
          <w:lang w:val="en-US"/>
        </w:rPr>
      </w:pPr>
      <w:r>
        <w:t>Körner W, Huber D, Wanner A, Hübner G, Gierig M, Ripperger D and Fischer K (2011). Novel brominated flame retardants and dechlorane plus in sewage sludge in the state of Bavaria, Germany. Organohalogen Compounds, 73, 428-431.</w:t>
      </w:r>
    </w:p>
    <w:p w14:paraId="50052FA4" w14:textId="77777777" w:rsidR="002C3E44" w:rsidRDefault="002C3E44" w:rsidP="002C3E44">
      <w:pPr>
        <w:ind w:left="426" w:hanging="426"/>
        <w:jc w:val="both"/>
      </w:pPr>
      <w:r>
        <w:t>Law K, Halldorson T, Danell R, Stern G, Gewurtz S, Alaee M, Marvin C, Whittle M and Tomy G (2006). Bioaccumulation and trophic transfer of some brominated flame retardants in a Lake Winnipeg (Canada) food web. Environmental Toxicology and Chemistry, 25(8), 2177-2186.</w:t>
      </w:r>
    </w:p>
    <w:p w14:paraId="72019073" w14:textId="77777777" w:rsidR="002C3E44" w:rsidRPr="00B329D1" w:rsidRDefault="002C3E44" w:rsidP="002C3E44">
      <w:pPr>
        <w:ind w:left="426" w:hanging="426"/>
        <w:jc w:val="both"/>
        <w:rPr>
          <w:rFonts w:eastAsiaTheme="minorHAnsi"/>
        </w:rPr>
      </w:pPr>
      <w:r>
        <w:rPr>
          <w:rFonts w:eastAsiaTheme="minorHAnsi"/>
        </w:rPr>
        <w:t>Law RJ, Losada S, Barber JL, Bersuder P, Deaville R, Brownlow A, Penrose R and Jepson PD (2013). Alternative flame retardants, Dechlorane Plus and BDEs in the blubber of harbour porpoises (</w:t>
      </w:r>
      <w:r>
        <w:rPr>
          <w:rFonts w:eastAsiaTheme="minorHAnsi"/>
          <w:i/>
        </w:rPr>
        <w:t>Phocoena phocoena</w:t>
      </w:r>
      <w:r>
        <w:rPr>
          <w:rFonts w:eastAsiaTheme="minorHAnsi"/>
        </w:rPr>
        <w:t xml:space="preserve">) stranded or bycaught in the UK during 2008. </w:t>
      </w:r>
      <w:r w:rsidRPr="00B329D1">
        <w:rPr>
          <w:rFonts w:eastAsiaTheme="minorHAnsi"/>
        </w:rPr>
        <w:t>Environment International, 60, 81–88.</w:t>
      </w:r>
    </w:p>
    <w:p w14:paraId="410F7EDE" w14:textId="77777777" w:rsidR="002C3E44" w:rsidRPr="00C929E3" w:rsidRDefault="002C3E44" w:rsidP="002C3E44">
      <w:pPr>
        <w:ind w:left="426" w:hanging="426"/>
        <w:jc w:val="both"/>
      </w:pPr>
      <w:r w:rsidRPr="00B329D1">
        <w:t xml:space="preserve">Li Y, Yu L, Zhu Z, Dai J, Mai B, Wu J and Wang J (2013a). </w:t>
      </w:r>
      <w:r>
        <w:t>Accumulation and effects of 90-day oral exposure to Dechlorane Plus in quail (</w:t>
      </w:r>
      <w:r>
        <w:rPr>
          <w:i/>
        </w:rPr>
        <w:t>Coturnix coturnix</w:t>
      </w:r>
      <w:r>
        <w:t xml:space="preserve">). </w:t>
      </w:r>
      <w:r w:rsidRPr="00C929E3">
        <w:t>Environ Toxicol Chem, 32(7), 1649-54.</w:t>
      </w:r>
    </w:p>
    <w:p w14:paraId="0A82E47E" w14:textId="77777777" w:rsidR="002C3E44" w:rsidRDefault="002C3E44" w:rsidP="002C3E44">
      <w:pPr>
        <w:ind w:left="426" w:hanging="426"/>
        <w:jc w:val="both"/>
      </w:pPr>
      <w:r w:rsidRPr="00C929E3">
        <w:t xml:space="preserve">Li Y, Yu L, Zhu Z, Wang J, Wu J, Mai B and Dai J (2013b). </w:t>
      </w:r>
      <w:r>
        <w:t>Accumulation pattern of Dechlorane Plus and associated biological effects on rats after 90 days of exposure. Chemosphere, 90, 2149-2156.</w:t>
      </w:r>
    </w:p>
    <w:p w14:paraId="5A846115" w14:textId="77777777" w:rsidR="002C3E44" w:rsidRDefault="002C3E44" w:rsidP="002C3E44">
      <w:pPr>
        <w:ind w:left="426" w:hanging="426"/>
        <w:jc w:val="both"/>
        <w:rPr>
          <w:lang w:val="en-US" w:eastAsia="en-GB"/>
        </w:rPr>
      </w:pPr>
      <w:r>
        <w:rPr>
          <w:lang w:eastAsia="en-GB"/>
        </w:rPr>
        <w:t>Li H, Zhang B, Wei Y, Wang F, Lydy MJ and You J (2014a). Bioaccumulation of highly hydrophobic organohalogen flame retardants from sediments: Application of toxicokinetics and passive sampling techniques. Environmental Science and Technology, 48, 6957-6964.</w:t>
      </w:r>
    </w:p>
    <w:p w14:paraId="238D3C05" w14:textId="77777777" w:rsidR="002C3E44" w:rsidRDefault="002C3E44" w:rsidP="002C3E44">
      <w:pPr>
        <w:ind w:left="426" w:hanging="426"/>
        <w:jc w:val="both"/>
        <w:rPr>
          <w:lang w:eastAsia="en-GB"/>
        </w:rPr>
      </w:pPr>
      <w:r>
        <w:rPr>
          <w:lang w:eastAsia="en-GB"/>
        </w:rPr>
        <w:t>Li L, Wang W, Lv Q, Ben Y and Li X (2014b). Bioavailability and tissue distribution of Dechloranes in wild frogs (</w:t>
      </w:r>
      <w:r>
        <w:rPr>
          <w:i/>
        </w:rPr>
        <w:t>Rana limnocharis</w:t>
      </w:r>
      <w:r>
        <w:rPr>
          <w:lang w:eastAsia="en-GB"/>
        </w:rPr>
        <w:t>) from an e-waste recycling area in southeast China. Journal of Environmental Sciences, 26 (3), 636-642.</w:t>
      </w:r>
    </w:p>
    <w:p w14:paraId="7C445A0A" w14:textId="77777777" w:rsidR="002C3E44" w:rsidRDefault="002C3E44" w:rsidP="002C3E44">
      <w:pPr>
        <w:ind w:left="426" w:hanging="426"/>
        <w:jc w:val="both"/>
        <w:rPr>
          <w:bCs/>
          <w:kern w:val="36"/>
          <w:lang w:eastAsia="en-GB"/>
        </w:rPr>
      </w:pPr>
      <w:r>
        <w:t>Liang X, Li W, Martyniuk CJ, Zha J</w:t>
      </w:r>
      <w:r>
        <w:rPr>
          <w:rFonts w:eastAsia="GFIJN N+ MTSY"/>
        </w:rPr>
        <w:t xml:space="preserve">, Wang Z, Cheng G and Giesy JP </w:t>
      </w:r>
      <w:r>
        <w:rPr>
          <w:bCs/>
          <w:kern w:val="36"/>
          <w:lang w:eastAsia="en-GB"/>
        </w:rPr>
        <w:t>(2014).</w:t>
      </w:r>
      <w:r>
        <w:rPr>
          <w:rFonts w:eastAsia="GFIJN N+ MTSY"/>
        </w:rPr>
        <w:t xml:space="preserve"> </w:t>
      </w:r>
      <w:r>
        <w:rPr>
          <w:bCs/>
          <w:kern w:val="36"/>
          <w:lang w:eastAsia="en-GB"/>
        </w:rPr>
        <w:t>Effects of dechlorane plus on the hepatic proteome of juvenile Chinese sturgeon (</w:t>
      </w:r>
      <w:r>
        <w:rPr>
          <w:bCs/>
          <w:i/>
          <w:kern w:val="36"/>
          <w:lang w:eastAsia="en-GB"/>
        </w:rPr>
        <w:t>Acipenser sinensis</w:t>
      </w:r>
      <w:r>
        <w:rPr>
          <w:bCs/>
          <w:kern w:val="36"/>
          <w:lang w:eastAsia="en-GB"/>
        </w:rPr>
        <w:t xml:space="preserve">). Aquatic Toxicology, 148, 83–91. </w:t>
      </w:r>
    </w:p>
    <w:p w14:paraId="653F23BF" w14:textId="77777777" w:rsidR="009462B4" w:rsidRPr="007C03DC" w:rsidRDefault="009462B4" w:rsidP="009462B4">
      <w:pPr>
        <w:ind w:left="426" w:hanging="426"/>
        <w:jc w:val="both"/>
        <w:rPr>
          <w:lang w:eastAsia="en-GB"/>
        </w:rPr>
      </w:pPr>
      <w:r w:rsidRPr="009462B4">
        <w:rPr>
          <w:lang w:eastAsia="en-GB"/>
        </w:rPr>
        <w:t>Liu</w:t>
      </w:r>
      <w:r>
        <w:rPr>
          <w:lang w:eastAsia="en-GB"/>
        </w:rPr>
        <w:t xml:space="preserve"> W</w:t>
      </w:r>
      <w:r w:rsidRPr="009462B4">
        <w:rPr>
          <w:lang w:eastAsia="en-GB"/>
        </w:rPr>
        <w:t>, Ye</w:t>
      </w:r>
      <w:r>
        <w:rPr>
          <w:lang w:eastAsia="en-GB"/>
        </w:rPr>
        <w:t xml:space="preserve"> J</w:t>
      </w:r>
      <w:r w:rsidRPr="009462B4">
        <w:rPr>
          <w:lang w:eastAsia="en-GB"/>
        </w:rPr>
        <w:t xml:space="preserve"> and Jin</w:t>
      </w:r>
      <w:r>
        <w:rPr>
          <w:lang w:eastAsia="en-GB"/>
        </w:rPr>
        <w:t xml:space="preserve"> M (</w:t>
      </w:r>
      <w:r w:rsidRPr="009462B4">
        <w:rPr>
          <w:lang w:eastAsia="en-GB"/>
        </w:rPr>
        <w:t>2009</w:t>
      </w:r>
      <w:r>
        <w:rPr>
          <w:lang w:eastAsia="en-GB"/>
        </w:rPr>
        <w:t xml:space="preserve">). </w:t>
      </w:r>
      <w:r w:rsidRPr="009462B4">
        <w:rPr>
          <w:lang w:eastAsia="en-GB"/>
        </w:rPr>
        <w:t xml:space="preserve">Enantioselective </w:t>
      </w:r>
      <w:r>
        <w:rPr>
          <w:lang w:eastAsia="en-GB"/>
        </w:rPr>
        <w:t>p</w:t>
      </w:r>
      <w:r w:rsidRPr="009462B4">
        <w:rPr>
          <w:lang w:eastAsia="en-GB"/>
        </w:rPr>
        <w:t xml:space="preserve">hytoeffects of </w:t>
      </w:r>
      <w:r>
        <w:rPr>
          <w:lang w:eastAsia="en-GB"/>
        </w:rPr>
        <w:t>c</w:t>
      </w:r>
      <w:r w:rsidRPr="009462B4">
        <w:rPr>
          <w:lang w:eastAsia="en-GB"/>
        </w:rPr>
        <w:t xml:space="preserve">hiral </w:t>
      </w:r>
      <w:r>
        <w:rPr>
          <w:lang w:eastAsia="en-GB"/>
        </w:rPr>
        <w:t>p</w:t>
      </w:r>
      <w:r w:rsidRPr="009462B4">
        <w:rPr>
          <w:lang w:eastAsia="en-GB"/>
        </w:rPr>
        <w:t>esticides</w:t>
      </w:r>
      <w:r>
        <w:rPr>
          <w:lang w:eastAsia="en-GB"/>
        </w:rPr>
        <w:t>.</w:t>
      </w:r>
      <w:r w:rsidRPr="00807038">
        <w:rPr>
          <w:lang w:eastAsia="en-GB"/>
        </w:rPr>
        <w:t xml:space="preserve"> </w:t>
      </w:r>
      <w:r w:rsidRPr="009462B4">
        <w:rPr>
          <w:lang w:eastAsia="en-GB"/>
        </w:rPr>
        <w:t>J. Agric. Food Chem.</w:t>
      </w:r>
      <w:r w:rsidRPr="007C03DC">
        <w:rPr>
          <w:lang w:eastAsia="en-GB"/>
        </w:rPr>
        <w:t xml:space="preserve">, </w:t>
      </w:r>
      <w:r w:rsidRPr="009462B4">
        <w:rPr>
          <w:lang w:eastAsia="en-GB"/>
        </w:rPr>
        <w:t>57</w:t>
      </w:r>
      <w:r w:rsidRPr="007C03DC">
        <w:rPr>
          <w:lang w:eastAsia="en-GB"/>
        </w:rPr>
        <w:t>, 2087–2095</w:t>
      </w:r>
      <w:r>
        <w:rPr>
          <w:lang w:eastAsia="en-GB"/>
        </w:rPr>
        <w:t>.</w:t>
      </w:r>
    </w:p>
    <w:p w14:paraId="424B48CD" w14:textId="77777777" w:rsidR="002C3E44" w:rsidRDefault="002C3E44" w:rsidP="002C3E44">
      <w:pPr>
        <w:ind w:left="426" w:hanging="426"/>
        <w:jc w:val="both"/>
        <w:rPr>
          <w:lang w:eastAsia="en-US"/>
        </w:rPr>
      </w:pPr>
      <w:r>
        <w:t xml:space="preserve">Ma Y, Xie Z, Halsall C, Möller A, Yang H, Zhong G, Cai M and Ebinghaus R (2015).The spatial </w:t>
      </w:r>
      <w:r>
        <w:lastRenderedPageBreak/>
        <w:t>distribution of organochlorine pesticides and halogenated flame retardants in the surface sediments of an Arctic fjord: The influence of ocean currents vs. glacial runoff. Chemosphere, 119, 953–960.</w:t>
      </w:r>
    </w:p>
    <w:p w14:paraId="5D34C852" w14:textId="77777777" w:rsidR="002C3E44" w:rsidRDefault="002C3E44" w:rsidP="002C3E44">
      <w:pPr>
        <w:ind w:left="426" w:hanging="426"/>
        <w:jc w:val="both"/>
      </w:pPr>
      <w:r>
        <w:t>Mackay D, Arnot JA, Gobas FAPC and Powell DE (2013). Mathematical relationships between metrics of chemical bioaccumulation in fish. Environmental Toxicology and Chemistry, 32, 1459-1466.</w:t>
      </w:r>
    </w:p>
    <w:p w14:paraId="4CF5E88D" w14:textId="77777777" w:rsidR="002C3E44" w:rsidRDefault="002C3E44" w:rsidP="002C3E44">
      <w:pPr>
        <w:ind w:left="426" w:hanging="426"/>
        <w:jc w:val="both"/>
      </w:pPr>
      <w:r>
        <w:t xml:space="preserve">[MoE] Ministry of Environment (2013). Results of Eco-toxicity tests of chemicals conducted by Ministry of the Environment in Japan (- March 2013). Available online </w:t>
      </w:r>
      <w:r w:rsidR="00195E28" w:rsidRPr="00195E28">
        <w:t>http://www.env.go.jp/chemi/sesaku/02e.pdf</w:t>
      </w:r>
      <w:r w:rsidR="00024269">
        <w:t xml:space="preserve"> </w:t>
      </w:r>
      <w:r>
        <w:t>accessed January 2014</w:t>
      </w:r>
    </w:p>
    <w:p w14:paraId="10E73F3E" w14:textId="77777777" w:rsidR="002C3E44" w:rsidRDefault="002C3E44" w:rsidP="002C3E44">
      <w:pPr>
        <w:ind w:left="426" w:hanging="426"/>
        <w:jc w:val="both"/>
      </w:pPr>
      <w:r>
        <w:t>Mayo-Bean K (2012). ECOSAR v.1.1. The ECOSAR (ECOlogical Structure Activity Relationship) Class Program for Microsoft Windows. U.S. Environmental Protection Agency. Office for Chemical Safety and Pollution Prevention. June 19 2012.</w:t>
      </w:r>
    </w:p>
    <w:p w14:paraId="1271F515" w14:textId="77777777" w:rsidR="002C3E44" w:rsidRDefault="002C3E44" w:rsidP="002C3E44">
      <w:pPr>
        <w:ind w:left="426" w:hanging="426"/>
        <w:jc w:val="both"/>
        <w:rPr>
          <w:lang w:eastAsia="ar-SA"/>
        </w:rPr>
      </w:pPr>
      <w:r>
        <w:rPr>
          <w:lang w:eastAsia="ar-SA"/>
        </w:rPr>
        <w:t>Mo</w:t>
      </w:r>
      <w:r>
        <w:t xml:space="preserve"> L</w:t>
      </w:r>
      <w:r>
        <w:rPr>
          <w:lang w:eastAsia="ar-SA"/>
        </w:rPr>
        <w:t>, Wu J-P, Luo X-J</w:t>
      </w:r>
      <w:r>
        <w:t xml:space="preserve">, </w:t>
      </w:r>
      <w:r>
        <w:rPr>
          <w:lang w:eastAsia="ar-SA"/>
        </w:rPr>
        <w:t xml:space="preserve">Sun </w:t>
      </w:r>
      <w:r>
        <w:t>Y</w:t>
      </w:r>
      <w:r>
        <w:rPr>
          <w:lang w:eastAsia="ar-SA"/>
        </w:rPr>
        <w:t>-X, Zheng X-B</w:t>
      </w:r>
      <w:r>
        <w:t xml:space="preserve">, </w:t>
      </w:r>
      <w:r>
        <w:rPr>
          <w:lang w:eastAsia="ar-SA"/>
        </w:rPr>
        <w:t xml:space="preserve">Zhang </w:t>
      </w:r>
      <w:r>
        <w:t>Q</w:t>
      </w:r>
      <w:r>
        <w:rPr>
          <w:lang w:eastAsia="ar-SA"/>
        </w:rPr>
        <w:t>,</w:t>
      </w:r>
      <w:r>
        <w:t xml:space="preserve"> </w:t>
      </w:r>
      <w:r>
        <w:rPr>
          <w:lang w:eastAsia="ar-SA"/>
        </w:rPr>
        <w:t>Zou F-S</w:t>
      </w:r>
      <w:r>
        <w:t xml:space="preserve"> and</w:t>
      </w:r>
      <w:r>
        <w:rPr>
          <w:lang w:eastAsia="ar-SA"/>
        </w:rPr>
        <w:t xml:space="preserve"> Mai</w:t>
      </w:r>
      <w:r>
        <w:t xml:space="preserve"> </w:t>
      </w:r>
      <w:r>
        <w:rPr>
          <w:lang w:eastAsia="ar-SA"/>
        </w:rPr>
        <w:t>B-X (2013)</w:t>
      </w:r>
      <w:r>
        <w:t xml:space="preserve">. </w:t>
      </w:r>
      <w:r>
        <w:rPr>
          <w:lang w:eastAsia="ar-SA"/>
        </w:rPr>
        <w:t>Dechlorane Plus flame retardant in kingfishers (</w:t>
      </w:r>
      <w:r>
        <w:rPr>
          <w:i/>
          <w:lang w:eastAsia="ar-SA"/>
        </w:rPr>
        <w:t>Alcedo atthis</w:t>
      </w:r>
      <w:r>
        <w:rPr>
          <w:lang w:eastAsia="ar-SA"/>
        </w:rPr>
        <w:t>) from an electronic</w:t>
      </w:r>
      <w:r>
        <w:t xml:space="preserve"> </w:t>
      </w:r>
      <w:r>
        <w:rPr>
          <w:lang w:eastAsia="ar-SA"/>
        </w:rPr>
        <w:t>waste recycling site and a reference site, South China: Influence of residue levels</w:t>
      </w:r>
      <w:r>
        <w:t xml:space="preserve"> </w:t>
      </w:r>
      <w:r>
        <w:rPr>
          <w:lang w:eastAsia="ar-SA"/>
        </w:rPr>
        <w:t>on the isomeric composition</w:t>
      </w:r>
      <w:r>
        <w:t xml:space="preserve">. </w:t>
      </w:r>
      <w:r>
        <w:rPr>
          <w:lang w:eastAsia="ar-SA"/>
        </w:rPr>
        <w:t>Environmental Pollution</w:t>
      </w:r>
      <w:r>
        <w:t>,</w:t>
      </w:r>
      <w:r>
        <w:rPr>
          <w:lang w:eastAsia="ar-SA"/>
        </w:rPr>
        <w:t xml:space="preserve"> 174</w:t>
      </w:r>
      <w:r>
        <w:t>,</w:t>
      </w:r>
      <w:r>
        <w:rPr>
          <w:lang w:eastAsia="ar-SA"/>
        </w:rPr>
        <w:t xml:space="preserve"> 57</w:t>
      </w:r>
      <w:r>
        <w:t>-</w:t>
      </w:r>
      <w:r>
        <w:rPr>
          <w:lang w:eastAsia="ar-SA"/>
        </w:rPr>
        <w:t>62</w:t>
      </w:r>
      <w:r>
        <w:t xml:space="preserve">. </w:t>
      </w:r>
    </w:p>
    <w:p w14:paraId="38D3EC03" w14:textId="77777777" w:rsidR="002C3E44" w:rsidRDefault="002C3E44" w:rsidP="002C3E44">
      <w:pPr>
        <w:ind w:left="426" w:hanging="426"/>
        <w:jc w:val="both"/>
        <w:rPr>
          <w:lang w:eastAsia="ar-SA"/>
        </w:rPr>
      </w:pPr>
      <w:r>
        <w:rPr>
          <w:lang w:eastAsia="ar-SA"/>
        </w:rPr>
        <w:t>M</w:t>
      </w:r>
      <w:r>
        <w:rPr>
          <w:rFonts w:ascii="Calibri" w:hAnsi="Calibri" w:cs="Calibri"/>
          <w:lang w:eastAsia="ar-SA"/>
        </w:rPr>
        <w:t>ӧ</w:t>
      </w:r>
      <w:r>
        <w:rPr>
          <w:lang w:eastAsia="ar-SA"/>
        </w:rPr>
        <w:t>ller A, Xie Z, Sturm R and Ebinghaus R (2010). Large-scale distribution and transport of Dechlorane Plus in air and sea water of the Arctic to Antarctic. Environ. Sci. Technol., 44, 8977–8982.</w:t>
      </w:r>
    </w:p>
    <w:p w14:paraId="35121093" w14:textId="77777777" w:rsidR="002C3E44" w:rsidRDefault="002C3E44" w:rsidP="002C3E44">
      <w:pPr>
        <w:ind w:left="426" w:hanging="426"/>
        <w:jc w:val="both"/>
        <w:rPr>
          <w:lang w:eastAsia="ar-SA"/>
        </w:rPr>
      </w:pPr>
      <w:r>
        <w:rPr>
          <w:lang w:eastAsia="ar-SA"/>
        </w:rPr>
        <w:t>M</w:t>
      </w:r>
      <w:r>
        <w:rPr>
          <w:rFonts w:ascii="Calibri" w:hAnsi="Calibri" w:cs="Calibri"/>
          <w:lang w:eastAsia="ar-SA"/>
        </w:rPr>
        <w:t>ӧ</w:t>
      </w:r>
      <w:r>
        <w:rPr>
          <w:rFonts w:ascii="Arial" w:hAnsi="Arial" w:cs="Arial"/>
          <w:lang w:eastAsia="ar-SA"/>
        </w:rPr>
        <w:t>̈</w:t>
      </w:r>
      <w:r>
        <w:rPr>
          <w:lang w:eastAsia="ar-SA"/>
        </w:rPr>
        <w:t>ller A, Xie Z, Cai M, Zhong G, Huang P, Cai M, Sturm R, He J and Ebinghaus R (2011). Polybrominated diphenyl ethers vs alternate brominated flame retardants and Dechloranes from East Asia to the Arctic. Environ. Sci. Technol., 45, 6793–6799.</w:t>
      </w:r>
    </w:p>
    <w:p w14:paraId="111296F2" w14:textId="77777777" w:rsidR="002C3E44" w:rsidRDefault="002C3E44" w:rsidP="002C3E44">
      <w:pPr>
        <w:ind w:left="426" w:hanging="426"/>
        <w:jc w:val="both"/>
        <w:rPr>
          <w:lang w:eastAsia="ar-SA"/>
        </w:rPr>
      </w:pPr>
      <w:r>
        <w:rPr>
          <w:lang w:eastAsia="ar-SA"/>
        </w:rPr>
        <w:t>M</w:t>
      </w:r>
      <w:r>
        <w:rPr>
          <w:rFonts w:ascii="Calibri" w:hAnsi="Calibri" w:cs="Calibri"/>
          <w:lang w:eastAsia="ar-SA"/>
        </w:rPr>
        <w:t>ӧ</w:t>
      </w:r>
      <w:r>
        <w:rPr>
          <w:lang w:eastAsia="ar-SA"/>
        </w:rPr>
        <w:t>ller A, Xie Z, Cai M, Sturm R and Ebinghaus R (2012). Brominated flame retardants and Dechlorane Plus in the marine atmosphere from Southeast Asia toward Antarctica. Environ. Sci. Technol., 46, 3141</w:t>
      </w:r>
      <w:r>
        <w:rPr>
          <w:rFonts w:cs="Verdana"/>
          <w:lang w:eastAsia="ar-SA"/>
        </w:rPr>
        <w:t>−</w:t>
      </w:r>
      <w:r>
        <w:rPr>
          <w:lang w:eastAsia="ar-SA"/>
        </w:rPr>
        <w:t>3148.</w:t>
      </w:r>
    </w:p>
    <w:p w14:paraId="11357698" w14:textId="77777777" w:rsidR="002C3E44" w:rsidRDefault="002C3E44" w:rsidP="002C3E44">
      <w:pPr>
        <w:ind w:left="426" w:hanging="426"/>
        <w:jc w:val="both"/>
        <w:rPr>
          <w:lang w:eastAsia="en-US"/>
        </w:rPr>
      </w:pPr>
      <w:r>
        <w:t xml:space="preserve">Mortelmans KE and Tanaka W (1980). </w:t>
      </w:r>
      <w:r>
        <w:rPr>
          <w:i/>
        </w:rPr>
        <w:t>In vitro</w:t>
      </w:r>
      <w:r>
        <w:t xml:space="preserve"> microbial mutagenesis assay of Dechlorane Plus. SRI International, SRI Project LSC-8971, March 1980. Testing laboratory: SRI International, Menlo Park, California, USA. Report no.: LSC-8971. Owner company: Hooker Chemical Corporation, Hooker Research Center. Report date: 1980-02-29.</w:t>
      </w:r>
    </w:p>
    <w:p w14:paraId="4B134CEE" w14:textId="77777777" w:rsidR="002C3E44" w:rsidRDefault="002C3E44" w:rsidP="002C3E44">
      <w:pPr>
        <w:ind w:left="426" w:hanging="426"/>
        <w:jc w:val="both"/>
        <w:rPr>
          <w:lang w:val="en-US"/>
        </w:rPr>
      </w:pPr>
      <w:r>
        <w:t>Muir DCG, Teixeira C, de Jourdan B, Morris A, Backus S, Tomy G, Marvin C, MacInnis G, Spencer C and De Silva A (2014). Using Remote Environments to Detect New Persistent and Bioaccumulative Chemicals in Commerce. Chemicals Management Plan Environment and Climate Change Canada poster, presented September 2014. [As cited in Government of Canada, 2016.]</w:t>
      </w:r>
    </w:p>
    <w:p w14:paraId="3E7B2AA4" w14:textId="77777777" w:rsidR="002C3E44" w:rsidRDefault="002C3E44" w:rsidP="002C3E44">
      <w:pPr>
        <w:ind w:left="426" w:hanging="426"/>
        <w:jc w:val="both"/>
      </w:pPr>
      <w:r>
        <w:t>Muñoz-Arnanz J, Sáez M, Pacepavicius G, Alaee M and Jiménez B (2010). Dechlorane Plus and possible environmental metabolites in white stork eggs. Organohalogen Compd., 72, 933–936.</w:t>
      </w:r>
    </w:p>
    <w:p w14:paraId="161FA9CD" w14:textId="77777777" w:rsidR="002C3E44" w:rsidRPr="00F0628F" w:rsidRDefault="002C3E44" w:rsidP="002C3E44">
      <w:pPr>
        <w:ind w:left="426" w:hanging="426"/>
        <w:jc w:val="both"/>
        <w:rPr>
          <w:lang w:val="fr-FR"/>
        </w:rPr>
      </w:pPr>
      <w:r>
        <w:t xml:space="preserve">Muñoz-Arnanz J, Sáez M, Hiraldo F, Baos R, Pacepavicius MA, Jiménez B (2011). Dechlorane Plus and possible degradation products in white stork eggs from Spain. </w:t>
      </w:r>
      <w:r w:rsidRPr="00F0628F">
        <w:rPr>
          <w:lang w:val="fr-FR"/>
        </w:rPr>
        <w:t>Environ. Int., 37(7), 1164-1168.</w:t>
      </w:r>
    </w:p>
    <w:p w14:paraId="57C1D73E" w14:textId="77777777" w:rsidR="002C3E44" w:rsidRDefault="002C3E44" w:rsidP="002C3E44">
      <w:pPr>
        <w:ind w:left="426" w:hanging="426"/>
        <w:jc w:val="both"/>
        <w:rPr>
          <w:lang w:val="en-US"/>
        </w:rPr>
      </w:pPr>
      <w:r w:rsidRPr="00F0628F">
        <w:rPr>
          <w:lang w:val="fr-FR"/>
        </w:rPr>
        <w:t xml:space="preserve">Muñoz-Arnanz J, Roscales JL, Vicente A, Aguirre JI and Jiménez B (2012). </w:t>
      </w:r>
      <w:r>
        <w:t>Dechlorane plus in eggs of two gull species (</w:t>
      </w:r>
      <w:r>
        <w:rPr>
          <w:i/>
        </w:rPr>
        <w:t>Larus michahellis</w:t>
      </w:r>
      <w:r>
        <w:t xml:space="preserve"> and </w:t>
      </w:r>
      <w:r>
        <w:rPr>
          <w:i/>
        </w:rPr>
        <w:t>Larus audouinii</w:t>
      </w:r>
      <w:r>
        <w:t>) from the southwestern Mediterranean Sea. Anal. Bioanalytical Chem, 404 (9), 2765−2773.</w:t>
      </w:r>
    </w:p>
    <w:p w14:paraId="426B4116" w14:textId="77777777" w:rsidR="002C3E44" w:rsidRDefault="002C3E44" w:rsidP="002C3E44">
      <w:pPr>
        <w:ind w:left="426" w:hanging="426"/>
        <w:jc w:val="both"/>
        <w:rPr>
          <w:lang w:eastAsia="en-GB"/>
        </w:rPr>
      </w:pPr>
      <w:r>
        <w:rPr>
          <w:lang w:eastAsia="en-GB"/>
        </w:rPr>
        <w:t xml:space="preserve">Na G, Wei W, Zhou S, Gao H, Ma X, Qiu L, Ge L, Bao C and Yao Z (2015). Distribution characteristics and indicator significance of Dechloranes in multi-matrices at Ny-Ålesund in the Arctic. Journal of Environmental Sciences, 28, 8-13.  </w:t>
      </w:r>
    </w:p>
    <w:p w14:paraId="27ACC17C" w14:textId="77777777" w:rsidR="002C3E44" w:rsidRDefault="002C3E44" w:rsidP="002C3E44">
      <w:pPr>
        <w:ind w:left="426" w:hanging="426"/>
        <w:jc w:val="both"/>
        <w:rPr>
          <w:lang w:eastAsia="en-US"/>
        </w:rPr>
      </w:pPr>
      <w:r>
        <w:t>Newton S, Bidleman T, Bergknut M, Racine J, Laudon H, Gieslerf R and Wiberg K (2014). Atmospheric deposition of persistent organic pollutants and chemicals of emerging concern at two sites in northern Sweden. Environ. Sci.: Processes Impacts, 16, 298-305.</w:t>
      </w:r>
    </w:p>
    <w:p w14:paraId="29877961" w14:textId="77777777" w:rsidR="002C3E44" w:rsidRDefault="002C3E44" w:rsidP="002C3E44">
      <w:pPr>
        <w:ind w:left="426" w:hanging="426"/>
        <w:jc w:val="both"/>
      </w:pPr>
      <w:r>
        <w:t xml:space="preserve">NITE (undated). Japan CHEmicals Collaborative Knowledge (J-CHECK) Database. National Institute of Tehcnology and Evaluation, Japan. </w:t>
      </w:r>
      <w:r w:rsidR="00195E28" w:rsidRPr="00195E28">
        <w:t>http://www.safe.nite.go.jp/jcheck//DetailAction?cno=13560-89-9&amp;mno=4-0296&amp;request_locale=en</w:t>
      </w:r>
      <w:r>
        <w:t>. Website accessed 10/04/2014.</w:t>
      </w:r>
    </w:p>
    <w:p w14:paraId="4D485514" w14:textId="77777777" w:rsidR="002C3E44" w:rsidRDefault="002C3E44" w:rsidP="002C3E44">
      <w:pPr>
        <w:ind w:left="426" w:hanging="426"/>
        <w:jc w:val="both"/>
        <w:rPr>
          <w:lang w:val="en-US"/>
        </w:rPr>
      </w:pPr>
      <w:r>
        <w:t>Noyes PD, Haggard DE, Gonnerman GD and Tanguay RL (2015). Advanced morphological-behavioral test platform reveals neurodevelopmental defects in embryonic zebrafish exposed to comprehensive suite of halogenated and organophosphate flame retardants. Toxicol. Sci., 145, 177-195.</w:t>
      </w:r>
    </w:p>
    <w:p w14:paraId="6AF4CE1C" w14:textId="77777777" w:rsidR="002C3E44" w:rsidRDefault="002C3E44" w:rsidP="002C3E44">
      <w:pPr>
        <w:ind w:left="426" w:hanging="426"/>
        <w:jc w:val="both"/>
        <w:rPr>
          <w:color w:val="0070C0"/>
        </w:rPr>
      </w:pPr>
      <w:r>
        <w:lastRenderedPageBreak/>
        <w:t>Occidental (2013). Product stewardship summary for Dechlorane Plus. Prepared: 1 December 2009, revised: 19 February 2013. Occidental Chemical Corporation.</w:t>
      </w:r>
      <w:r>
        <w:rPr>
          <w:color w:val="0070C0"/>
        </w:rPr>
        <w:t xml:space="preserve"> </w:t>
      </w:r>
      <w:r>
        <w:t xml:space="preserve">Available at: </w:t>
      </w:r>
      <w:r w:rsidR="00195E28" w:rsidRPr="00195E28">
        <w:t>https://final-test.oxy.com/OurBusinesses/Chemicals/ResponsibleCare/documents/Dechlorane%20Plus.pdf</w:t>
      </w:r>
      <w:r>
        <w:t xml:space="preserve"> [accessed 6 June 2014].</w:t>
      </w:r>
    </w:p>
    <w:p w14:paraId="4C93ECF3" w14:textId="77777777" w:rsidR="002C3E44" w:rsidRDefault="002C3E44" w:rsidP="002C3E44">
      <w:pPr>
        <w:ind w:left="426" w:hanging="426"/>
        <w:jc w:val="both"/>
      </w:pPr>
      <w:r>
        <w:t>Occidental Chemical Company (2003). SIDS robust summaries (in IUCLID format), 201-15635, Substance ID: 13560-89-9. 16</w:t>
      </w:r>
      <w:r>
        <w:rPr>
          <w:vertAlign w:val="superscript"/>
        </w:rPr>
        <w:t>th</w:t>
      </w:r>
      <w:r>
        <w:t xml:space="preserve"> December 2003. Available at http://www.epa.gov/hpv/pubs/summaries/dechlorp/c15635rs.pdf.</w:t>
      </w:r>
    </w:p>
    <w:p w14:paraId="61F60BF4" w14:textId="77777777" w:rsidR="002C3E44" w:rsidRDefault="002C3E44" w:rsidP="002C3E44">
      <w:pPr>
        <w:ind w:left="426" w:hanging="426"/>
        <w:jc w:val="both"/>
      </w:pPr>
      <w:r>
        <w:t>OECD (2009). OECD Series on Emission Scenario Documents Number 3: Emission Scenario Document on Plastic Additives. ENV/JM/MONO(2004)8/REV1, 9 July 2009.</w:t>
      </w:r>
    </w:p>
    <w:p w14:paraId="37357C23" w14:textId="77777777" w:rsidR="002C3E44" w:rsidRDefault="002C3E44" w:rsidP="002C3E44">
      <w:pPr>
        <w:ind w:left="426" w:hanging="426"/>
        <w:jc w:val="both"/>
        <w:rPr>
          <w:lang w:val="en-US" w:eastAsia="en-GB"/>
        </w:rPr>
      </w:pPr>
      <w:r>
        <w:rPr>
          <w:lang w:eastAsia="en-GB"/>
        </w:rPr>
        <w:t xml:space="preserve">Okonski K, Degrendele C, Melymuk L, Landlová L, Kukučka P, Vojta S, Kohoutek J, Čupr P and Klánová J (2014). Particle size distribution of halogenated flame retardants and implications for atmospheric deposition and transport. Environmental Science and Technology, 48 (24), 14426-14434. </w:t>
      </w:r>
    </w:p>
    <w:p w14:paraId="19E82528" w14:textId="77777777" w:rsidR="002C3E44" w:rsidRDefault="002C3E44" w:rsidP="002C3E44">
      <w:pPr>
        <w:ind w:left="426" w:hanging="426"/>
        <w:jc w:val="both"/>
        <w:rPr>
          <w:lang w:eastAsia="en-US"/>
        </w:rPr>
      </w:pPr>
      <w:r>
        <w:rPr>
          <w:bCs/>
        </w:rPr>
        <w:t xml:space="preserve">O’Neil MJ (2013). </w:t>
      </w:r>
      <w:r>
        <w:rPr>
          <w:bCs/>
          <w:i/>
        </w:rPr>
        <w:t xml:space="preserve">The Merck Index: An encyclopaedia of chemicals, drugs and biological, </w:t>
      </w:r>
      <w:r>
        <w:rPr>
          <w:bCs/>
        </w:rPr>
        <w:t>15th Edition, Royal Society of Chemistry.</w:t>
      </w:r>
    </w:p>
    <w:p w14:paraId="79E62C38" w14:textId="77777777" w:rsidR="002C3E44" w:rsidRDefault="002C3E44" w:rsidP="002C3E44">
      <w:pPr>
        <w:ind w:left="426" w:hanging="426"/>
        <w:jc w:val="both"/>
      </w:pPr>
      <w:r>
        <w:t>Oscarson ET and Marias AJ (1975). Report to Hooker Chemical Corporation: 90-day subacute oral toxicity study with Dechlorane Plus 25 in albino rats. Industrial Bio-Test Laboratories Inc., IBT No. 622-06273, 29 September 1975. Testing laboratory: Industrial Bio-Test Laboratories Ind., Northbrook, Illinois, USA. Report no.: IBT No. 622-06273. Owner company: Hooker Chemical Corporation. Report date: 1975-09-29.</w:t>
      </w:r>
    </w:p>
    <w:p w14:paraId="0E3B657F" w14:textId="77777777" w:rsidR="002C3E44" w:rsidRDefault="002C3E44" w:rsidP="002C3E44">
      <w:pPr>
        <w:ind w:left="426" w:hanging="426"/>
        <w:jc w:val="both"/>
      </w:pPr>
      <w:r>
        <w:t xml:space="preserve">OxyChem (2007). Dechlorane Plus Manual, Ver: 7-27-07, published online at </w:t>
      </w:r>
      <w:r w:rsidR="00195E28" w:rsidRPr="00195E28">
        <w:t>http://www.oxy.com/OurBusinesses/Chemicals/Products/Documents/dechloraneplus/dechlorane_plus.pdf</w:t>
      </w:r>
      <w:r>
        <w:t>.</w:t>
      </w:r>
    </w:p>
    <w:p w14:paraId="17B16413" w14:textId="77777777" w:rsidR="002C3E44" w:rsidRDefault="002C3E44" w:rsidP="002C3E44">
      <w:pPr>
        <w:ind w:left="426" w:hanging="426"/>
        <w:jc w:val="both"/>
        <w:rPr>
          <w:color w:val="000000"/>
          <w:lang w:val="en-US"/>
        </w:rPr>
      </w:pPr>
      <w:r>
        <w:rPr>
          <w:color w:val="000000"/>
        </w:rPr>
        <w:t>Peng H, Zhang K, Wan Y and Hu J (2012). Tissue distribution, maternal transfer, and age-related accumulation of Dechloranes in Chinese Sturgeon. Environ. Sci. Technol., 46, 9907−9913.</w:t>
      </w:r>
    </w:p>
    <w:p w14:paraId="0B58E374" w14:textId="77777777" w:rsidR="002C3E44" w:rsidRPr="00C929E3" w:rsidRDefault="002C3E44" w:rsidP="002C3E44">
      <w:pPr>
        <w:ind w:left="426" w:hanging="426"/>
        <w:jc w:val="both"/>
      </w:pPr>
      <w:r>
        <w:t xml:space="preserve">Peng H, Wan Y, Zhang K, Sun J and Hu J (2014). Trophic transfer of Dechloranes in the marine food web of Liaodong Bay, north China. </w:t>
      </w:r>
      <w:r w:rsidRPr="00C929E3">
        <w:t>Environ. Sci. Technol., 48, 5458−5466.</w:t>
      </w:r>
    </w:p>
    <w:p w14:paraId="6C1A959B" w14:textId="77777777" w:rsidR="002C3E44" w:rsidRDefault="002C3E44" w:rsidP="002C3E44">
      <w:pPr>
        <w:ind w:left="426" w:hanging="426"/>
        <w:jc w:val="both"/>
        <w:rPr>
          <w:lang w:val="en-US" w:eastAsia="en-GB"/>
        </w:rPr>
      </w:pPr>
      <w:r w:rsidRPr="00C929E3">
        <w:rPr>
          <w:lang w:eastAsia="en-GB"/>
        </w:rPr>
        <w:t xml:space="preserve">Peng Y, Wu J-P, Tao L, Mo L, Zheng X-B, Tang B, Luo X-J and Mai B-X (2015). </w:t>
      </w:r>
      <w:r>
        <w:rPr>
          <w:lang w:eastAsia="en-GB"/>
        </w:rPr>
        <w:t xml:space="preserve">Accumulation of Dechlorane Plus flame retardant in terrestrial passerines from a nature reserve in South China: The influences of biological and chemical variables. Science of the Total Environment, 514, 77-82. </w:t>
      </w:r>
    </w:p>
    <w:p w14:paraId="52EA4B8D" w14:textId="77777777" w:rsidR="002C3E44" w:rsidRDefault="002C3E44" w:rsidP="002C3E44">
      <w:pPr>
        <w:ind w:left="426" w:hanging="426"/>
        <w:jc w:val="both"/>
        <w:rPr>
          <w:lang w:eastAsia="en-US"/>
        </w:rPr>
      </w:pPr>
      <w:r>
        <w:t>Plastics Europe (undated). PESTool online, available online at http://www.plasticseurope.org/plasticssustainability/consumer-protection/reach.aspx</w:t>
      </w:r>
    </w:p>
    <w:p w14:paraId="01613DF6" w14:textId="77777777" w:rsidR="002C3E44" w:rsidRPr="00B329D1" w:rsidRDefault="002C3E44" w:rsidP="002C3E44">
      <w:pPr>
        <w:ind w:left="426" w:hanging="426"/>
        <w:jc w:val="both"/>
        <w:rPr>
          <w:rFonts w:eastAsia="Calibri"/>
          <w:lang w:val="fr-FR"/>
        </w:rPr>
      </w:pPr>
      <w:r>
        <w:rPr>
          <w:rFonts w:eastAsia="Calibri"/>
        </w:rPr>
        <w:t xml:space="preserve">Qiu XH, Marvin CH and Hites RA (2007). Dechlorane Plus and other flame retardants in a sediment core from Lake Ontario. </w:t>
      </w:r>
      <w:r w:rsidRPr="00B329D1">
        <w:rPr>
          <w:rFonts w:eastAsia="Calibri"/>
          <w:lang w:val="fr-FR"/>
        </w:rPr>
        <w:t>Environ. Sci. Technol., 41, 6014–6019.</w:t>
      </w:r>
    </w:p>
    <w:p w14:paraId="0A92C2C3" w14:textId="77777777" w:rsidR="002C3E44" w:rsidRDefault="002C3E44" w:rsidP="002C3E44">
      <w:pPr>
        <w:ind w:left="426" w:hanging="426"/>
        <w:jc w:val="both"/>
      </w:pPr>
      <w:r w:rsidRPr="00B329D1">
        <w:rPr>
          <w:lang w:val="fr-FR"/>
        </w:rPr>
        <w:t xml:space="preserve">Qiu X, Venier M and Hites RA (2008). </w:t>
      </w:r>
      <w:r>
        <w:t xml:space="preserve">Dechlorane Plus: a review with new data. Organohalogen Compounds, 70, 216-219. </w:t>
      </w:r>
    </w:p>
    <w:p w14:paraId="3B4675C1" w14:textId="77777777" w:rsidR="002C3E44" w:rsidRDefault="002C3E44" w:rsidP="002C3E44">
      <w:pPr>
        <w:ind w:left="426" w:hanging="426"/>
        <w:jc w:val="both"/>
      </w:pPr>
      <w:r>
        <w:t>Qiu XH and Hites RA (2008). Dechlorane Plus and other flame retardants in tree bark from the northeastern United States. Environ. Sci. Technol., 42, 31–36.</w:t>
      </w:r>
    </w:p>
    <w:p w14:paraId="192033F6" w14:textId="77777777" w:rsidR="002C3E44" w:rsidRPr="00F0628F" w:rsidRDefault="002C3E44" w:rsidP="002C3E44">
      <w:pPr>
        <w:ind w:left="426" w:hanging="426"/>
        <w:jc w:val="both"/>
      </w:pPr>
      <w:r w:rsidRPr="00F0628F">
        <w:t>Ren NQ, Sverko E, Li YF, Zhang Z, Harner T, Wang DG, Wan XN and McCarry BE (2008). Levels and isomer profiles of Dechlorane Plus in Chinese air. Environ. Sci. Technol., 42, 6476–6480.</w:t>
      </w:r>
    </w:p>
    <w:p w14:paraId="03762110" w14:textId="77777777" w:rsidR="002C3E44" w:rsidRDefault="002C3E44" w:rsidP="002C3E44">
      <w:pPr>
        <w:ind w:left="426" w:hanging="426"/>
        <w:jc w:val="both"/>
        <w:rPr>
          <w:lang w:val="en-US"/>
        </w:rPr>
      </w:pPr>
      <w:r>
        <w:t>Ren G, Yu Z, Ma S, Li H, Peng P, Sheng G and Fu J (2009). Determination of dechlorane plus in serum from electronics dismantling workers in China. Environmental Science and Technology, 43, 9453–9457.</w:t>
      </w:r>
    </w:p>
    <w:p w14:paraId="65DF1B3B" w14:textId="77777777" w:rsidR="002C3E44" w:rsidRDefault="002C3E44" w:rsidP="002C3E44">
      <w:pPr>
        <w:ind w:left="426" w:hanging="426"/>
        <w:jc w:val="both"/>
        <w:rPr>
          <w:color w:val="000000"/>
        </w:rPr>
      </w:pPr>
      <w:r>
        <w:rPr>
          <w:color w:val="000000"/>
        </w:rPr>
        <w:t>Ren G, Wang Z, Yu Z, Wang Y, Ma S, Wu M, Sheng G and Fu J (2013). Primary investigation on contamination pattern of legacy and emerging halogenated organic pollutions in freshwater fish from Liaohe River, Northeast China. Environmental Pollution, 172, 94-99.</w:t>
      </w:r>
    </w:p>
    <w:p w14:paraId="3B249E05" w14:textId="77777777" w:rsidR="002C3E44" w:rsidRDefault="002C3E44" w:rsidP="002C3E44">
      <w:pPr>
        <w:ind w:left="426" w:hanging="426"/>
        <w:jc w:val="both"/>
        <w:rPr>
          <w:color w:val="000000"/>
        </w:rPr>
      </w:pPr>
      <w:r>
        <w:t>Rjabova</w:t>
      </w:r>
      <w:r>
        <w:rPr>
          <w:color w:val="000000"/>
        </w:rPr>
        <w:t xml:space="preserve"> J, Bartkevics V, Zacs D (2016). The occurrence of Dechlorane Plus and related norbornene-based flame retardants in Baltic wild salmon (</w:t>
      </w:r>
      <w:r>
        <w:rPr>
          <w:i/>
          <w:color w:val="000000"/>
        </w:rPr>
        <w:t>Salmo salar</w:t>
      </w:r>
      <w:r>
        <w:rPr>
          <w:color w:val="000000"/>
        </w:rPr>
        <w:t>). Chemosphere, 147, 210-217.</w:t>
      </w:r>
    </w:p>
    <w:p w14:paraId="06CEFBC3" w14:textId="77777777" w:rsidR="002C3E44" w:rsidRDefault="002C3E44" w:rsidP="002C3E44">
      <w:pPr>
        <w:ind w:left="426" w:hanging="426"/>
        <w:jc w:val="both"/>
      </w:pPr>
      <w:r>
        <w:t xml:space="preserve">Russell M (1973). Report to Hooker Chemical Corporation, Subsidiary of Occidental Petroleum </w:t>
      </w:r>
      <w:r w:rsidR="00356AEA">
        <w:t>C</w:t>
      </w:r>
      <w:r>
        <w:t>orporation: Four-day dynamic fish toxicity study with Dechlorane Plus 515 in bluegills. Industrial Bio-Test laboratories, IBT No. R2488, 17 January 1973. Testing laboratory: Industrial Bio-Test Laboratories. Report no.: IBT No. R2488. Owner company: Hooker Chemical Corporation. Report date: 1973-01-16.</w:t>
      </w:r>
    </w:p>
    <w:p w14:paraId="4D9D286D" w14:textId="77777777" w:rsidR="002C3E44" w:rsidRDefault="002C3E44" w:rsidP="002C3E44">
      <w:pPr>
        <w:ind w:left="426" w:hanging="426"/>
        <w:jc w:val="both"/>
        <w:rPr>
          <w:lang w:val="en-US" w:eastAsia="en-GB"/>
        </w:rPr>
      </w:pPr>
      <w:r>
        <w:rPr>
          <w:lang w:eastAsia="en-GB"/>
        </w:rPr>
        <w:t xml:space="preserve">Sahlström LMO, Sellström U, De Wit CA, Lignell S and Darnerud PO (2014). Brominated flame </w:t>
      </w:r>
      <w:r>
        <w:rPr>
          <w:lang w:eastAsia="en-GB"/>
        </w:rPr>
        <w:lastRenderedPageBreak/>
        <w:t xml:space="preserve">retardants in matched serum samples from Swedish Shanghai mothers and their toddlers. Environmental Science and Technology, 48 (13), 7584-7592. </w:t>
      </w:r>
    </w:p>
    <w:p w14:paraId="2124CD78" w14:textId="77777777" w:rsidR="002C3E44" w:rsidRDefault="002C3E44" w:rsidP="002C3E44">
      <w:pPr>
        <w:ind w:left="426" w:hanging="426"/>
        <w:jc w:val="both"/>
        <w:rPr>
          <w:lang w:eastAsia="en-US"/>
        </w:rPr>
      </w:pPr>
      <w:r>
        <w:t>Salamova A and Hites R (2013). Brominated and chlorinated flame retardants in tree bark from around the globe. Environmental Science and Technology, 47, 349-354.</w:t>
      </w:r>
    </w:p>
    <w:p w14:paraId="1BEB2F57" w14:textId="77777777" w:rsidR="002C3E44" w:rsidRPr="00B329D1" w:rsidRDefault="002C3E44" w:rsidP="002C3E44">
      <w:pPr>
        <w:ind w:left="426" w:hanging="426"/>
        <w:jc w:val="both"/>
      </w:pPr>
      <w:r>
        <w:t xml:space="preserve">Salamova A, Hermanson MH and Hites RA (2014). Organophosphate and halogenated flame retardants in atmospheric particles from a European Arctic site. </w:t>
      </w:r>
      <w:r w:rsidRPr="00B329D1">
        <w:t>Environ. Sci. Technol., 48, 6133−6140.</w:t>
      </w:r>
    </w:p>
    <w:p w14:paraId="2883DFAB" w14:textId="77777777" w:rsidR="002C3E44" w:rsidRDefault="00B329D1" w:rsidP="002C3E44">
      <w:pPr>
        <w:ind w:left="426" w:hanging="426"/>
        <w:jc w:val="both"/>
        <w:rPr>
          <w:lang w:val="en-US"/>
        </w:rPr>
      </w:pPr>
      <w:hyperlink r:id="rId50" w:tooltip="Show Author Details" w:history="1">
        <w:r w:rsidR="002C3E44" w:rsidRPr="00B329D1">
          <w:rPr>
            <w:rStyle w:val="Hyperlink"/>
            <w:color w:val="000000"/>
          </w:rPr>
          <w:t>Santín</w:t>
        </w:r>
        <w:r w:rsidR="002C3E44" w:rsidRPr="00B329D1">
          <w:rPr>
            <w:rStyle w:val="Hyperlink"/>
            <w:color w:val="auto"/>
          </w:rPr>
          <w:t xml:space="preserve"> G</w:t>
        </w:r>
      </w:hyperlink>
      <w:r w:rsidR="002C3E44" w:rsidRPr="00B329D1">
        <w:t>, </w:t>
      </w:r>
      <w:hyperlink r:id="rId51" w:tooltip="Show Author Details" w:history="1">
        <w:r w:rsidR="002C3E44" w:rsidRPr="00B329D1">
          <w:rPr>
            <w:rStyle w:val="Hyperlink"/>
            <w:color w:val="auto"/>
          </w:rPr>
          <w:t>Barón E</w:t>
        </w:r>
      </w:hyperlink>
      <w:r w:rsidR="002C3E44" w:rsidRPr="00B329D1">
        <w:t>, Eljarrat E and </w:t>
      </w:r>
      <w:hyperlink r:id="rId52" w:tooltip="Show Author Details" w:history="1">
        <w:r w:rsidR="002C3E44" w:rsidRPr="00B329D1">
          <w:rPr>
            <w:rStyle w:val="Hyperlink"/>
            <w:color w:val="auto"/>
          </w:rPr>
          <w:t>Barceló D</w:t>
        </w:r>
      </w:hyperlink>
      <w:r w:rsidR="002C3E44" w:rsidRPr="00B329D1">
        <w:t xml:space="preserve"> (2013). </w:t>
      </w:r>
      <w:bookmarkStart w:id="840" w:name="corrAuthorTitle"/>
      <w:bookmarkEnd w:id="840"/>
      <w:r w:rsidR="002C3E44">
        <w:t>Emerging and historical halogenated flame retardants in fish samples from Iberian rivers. Journal of Hazardous Materials, 263, 116-121.</w:t>
      </w:r>
    </w:p>
    <w:p w14:paraId="66286C66" w14:textId="77777777" w:rsidR="002C3E44" w:rsidRDefault="002C3E44" w:rsidP="002C3E44">
      <w:pPr>
        <w:ind w:left="426" w:hanging="426"/>
        <w:jc w:val="both"/>
        <w:rPr>
          <w:lang w:eastAsia="en-GB"/>
        </w:rPr>
      </w:pPr>
      <w:r>
        <w:rPr>
          <w:lang w:eastAsia="en-GB"/>
        </w:rPr>
        <w:t>Scharf DJ (1978). [Inhouse] Monthly Status Report, dated February 13, 1978.</w:t>
      </w:r>
    </w:p>
    <w:p w14:paraId="37D3779F" w14:textId="77777777" w:rsidR="002C3E44" w:rsidRDefault="002C3E44" w:rsidP="002C3E44">
      <w:pPr>
        <w:ind w:left="426" w:hanging="426"/>
        <w:jc w:val="both"/>
        <w:rPr>
          <w:lang w:eastAsia="en-US"/>
        </w:rPr>
      </w:pPr>
      <w:r w:rsidRPr="00C929E3">
        <w:rPr>
          <w:lang w:val="de-DE"/>
        </w:rPr>
        <w:t xml:space="preserve">Schlabach M, Remberger M, Brorström-Lundén E, Norström K, Kaj L, Andersson H, Herzke D, Borgen A and Harju M (2011). </w:t>
      </w:r>
      <w:r>
        <w:t>Brominated Flame Retardants (BFR) in the Nordic Environment. TemaNord 2011:528. Nordic Council of Ministers, Copenhagen.</w:t>
      </w:r>
    </w:p>
    <w:p w14:paraId="46A0DE30" w14:textId="77777777" w:rsidR="002C3E44" w:rsidRDefault="002C3E44" w:rsidP="002C3E44">
      <w:pPr>
        <w:ind w:left="426" w:hanging="426"/>
        <w:jc w:val="both"/>
      </w:pPr>
      <w:r>
        <w:t>Schroeder RE (2008). Dechlorane Plus: oral repeat dose toxicity and reproduction/developmental toxicity screening study in rats. MPI Research Inc., Study Number 786-025, 26 September 2008. Testing laboratory: MPI Research Inc., Mattawan, Michigan, USA. Report no.: 786-025. Report date: 2008-09-25.</w:t>
      </w:r>
    </w:p>
    <w:p w14:paraId="24789F98" w14:textId="77777777" w:rsidR="002C3E44" w:rsidRDefault="002C3E44" w:rsidP="002C3E44">
      <w:pPr>
        <w:ind w:left="426" w:hanging="426"/>
        <w:jc w:val="both"/>
        <w:rPr>
          <w:color w:val="000000"/>
          <w:lang w:val="en-US"/>
        </w:rPr>
      </w:pPr>
      <w:r>
        <w:t>She</w:t>
      </w:r>
      <w:r>
        <w:rPr>
          <w:color w:val="000000"/>
        </w:rPr>
        <w:t xml:space="preserve"> Y-Z, Wu J-P, Zhang Y, Peng Y, Mo L, Luo X-J and Mai B-X (2013). Bioaccumulation of polybrominated diphenyl ethers and several alternative halogenated flame retardants in a small herbivorous food chain. Environmental Pollution, 174, 164-170.</w:t>
      </w:r>
    </w:p>
    <w:p w14:paraId="428F60FC" w14:textId="77777777" w:rsidR="002C3E44" w:rsidRDefault="002C3E44" w:rsidP="002C3E44">
      <w:pPr>
        <w:ind w:left="426" w:hanging="426"/>
        <w:jc w:val="both"/>
        <w:rPr>
          <w:color w:val="000000"/>
        </w:rPr>
      </w:pPr>
      <w:r>
        <w:rPr>
          <w:color w:val="000000"/>
        </w:rPr>
        <w:t>Shen L, Reiner EJ, MacPherson K, Kolic TM, Sverko E, Helm P, Bhavsar S, Brindle ID and Marvin CH (2010). Identification and screening analysis of halogenated norbornene flame retardants in the Laurentian Great Lakes: Dechloranes 602, 603, and 604. Environ. Sci. Technol., 44, 760–766.</w:t>
      </w:r>
    </w:p>
    <w:p w14:paraId="11888A6D" w14:textId="77777777" w:rsidR="002C3E44" w:rsidRDefault="002C3E44" w:rsidP="002C3E44">
      <w:pPr>
        <w:ind w:left="426" w:hanging="426"/>
        <w:jc w:val="both"/>
        <w:rPr>
          <w:color w:val="000000"/>
        </w:rPr>
      </w:pPr>
      <w:r>
        <w:rPr>
          <w:color w:val="000000"/>
        </w:rPr>
        <w:t>Shen L, Reiner EJ, Helm PA, Marvin CH, Hill B, Zhang X, MacPherson KA, Kolic TM, Tomy GT and Brindle ID (2011a). Historic trends of Dechloranes 602, 603, 604, Dechlorane Plus and other norbornene derivatives and their bioaccumulation potential in Lake Ontario. Environ. Sci. Technol., 45, 3333–3340.</w:t>
      </w:r>
    </w:p>
    <w:p w14:paraId="3E333A22" w14:textId="77777777" w:rsidR="002C3E44" w:rsidRDefault="002C3E44" w:rsidP="002C3E44">
      <w:pPr>
        <w:ind w:left="426" w:hanging="426"/>
        <w:jc w:val="both"/>
        <w:rPr>
          <w:rFonts w:cs="AdvGulliv-R"/>
          <w:color w:val="000000"/>
          <w:lang w:eastAsia="en-GB"/>
        </w:rPr>
      </w:pPr>
      <w:r>
        <w:rPr>
          <w:color w:val="000000"/>
        </w:rPr>
        <w:t>Shen L, Reiner EJ, MacPherson KA, Kolic TM, Helm PA, Richman LA, Marvin CH, Burniston DA, Hill B, Brindle ID, McCrindle R and Chittim BG (2011b). Dechloranes 602, 603, 604, dechlorane plus, and chlordene plus, a newly detected analogue, in tributary sediments of the Laurentian Great Lakes. Environ. Sci. Technol. 45, 693–</w:t>
      </w:r>
      <w:r>
        <w:rPr>
          <w:i/>
          <w:color w:val="000000"/>
        </w:rPr>
        <w:t xml:space="preserve"> </w:t>
      </w:r>
      <w:r>
        <w:rPr>
          <w:color w:val="000000"/>
        </w:rPr>
        <w:t>699.</w:t>
      </w:r>
    </w:p>
    <w:p w14:paraId="4E4A0F94" w14:textId="77777777" w:rsidR="002C3E44" w:rsidRDefault="002C3E44" w:rsidP="002C3E44">
      <w:pPr>
        <w:ind w:left="426" w:hanging="426"/>
        <w:jc w:val="both"/>
        <w:rPr>
          <w:lang w:eastAsia="en-US"/>
        </w:rPr>
      </w:pPr>
      <w:r>
        <w:t xml:space="preserve">Shen L, Jobst KJ, Helm PA, Reiner EJ, McCrindle R, Tomy GT, </w:t>
      </w:r>
      <w:r>
        <w:rPr>
          <w:rFonts w:eastAsiaTheme="minorHAnsi"/>
        </w:rPr>
        <w:t>Backus</w:t>
      </w:r>
      <w:r>
        <w:t xml:space="preserve"> S</w:t>
      </w:r>
      <w:r>
        <w:rPr>
          <w:rFonts w:eastAsiaTheme="minorHAnsi"/>
        </w:rPr>
        <w:t>,</w:t>
      </w:r>
      <w:r>
        <w:t xml:space="preserve"> </w:t>
      </w:r>
      <w:r>
        <w:rPr>
          <w:rFonts w:eastAsiaTheme="minorHAnsi"/>
        </w:rPr>
        <w:t>Brindle</w:t>
      </w:r>
      <w:r>
        <w:t xml:space="preserve"> ID and </w:t>
      </w:r>
      <w:r>
        <w:rPr>
          <w:rFonts w:eastAsiaTheme="minorHAnsi"/>
        </w:rPr>
        <w:t>Marvin</w:t>
      </w:r>
      <w:r>
        <w:t xml:space="preserve"> CH (2012). Identification and determination of the dechlorination products of Dechlorane 602 in Great Lakes fish and Arctic beluga whales by gas chromatography-high resolution mass spectrometry. Anal. Bioanal. Chem., 404, 2737–2748.</w:t>
      </w:r>
    </w:p>
    <w:p w14:paraId="0A4489D2" w14:textId="77777777" w:rsidR="002C3E44" w:rsidRDefault="002C3E44" w:rsidP="002C3E44">
      <w:pPr>
        <w:ind w:left="426" w:hanging="426"/>
        <w:jc w:val="both"/>
        <w:rPr>
          <w:lang w:val="en-US"/>
        </w:rPr>
      </w:pPr>
      <w:r>
        <w:t>Siddique S, Xian QM, Abdelouahab N, Takser L, Phillips SP, Feng YL, Wang B and Zhu JP (2012). Levels of dechlorane plus and polybrominated diphenylethers in human milk in two Canadian cities. Environ Int., 39, 50−55.</w:t>
      </w:r>
    </w:p>
    <w:p w14:paraId="0267E3BB" w14:textId="77777777" w:rsidR="002C3E44" w:rsidRDefault="002C3E44" w:rsidP="002C3E44">
      <w:pPr>
        <w:ind w:left="426" w:hanging="426"/>
        <w:jc w:val="both"/>
      </w:pPr>
      <w:r>
        <w:t xml:space="preserve">Spehar RL, Veith GD, DeFoe DL and Bergstedt BV (1979). Toxicity and bioaccumulation of hexachlorocyclopentadiene, hexachloronorbornadiene and heptachloronorbornene in larval and early juvenile fathead minnows, </w:t>
      </w:r>
      <w:r>
        <w:rPr>
          <w:i/>
        </w:rPr>
        <w:t>Pimephales promelas</w:t>
      </w:r>
      <w:r>
        <w:t>. Bulletin of Environmental Contamination and Toxicology, 21, 576-583.</w:t>
      </w:r>
    </w:p>
    <w:p w14:paraId="66983760" w14:textId="77777777" w:rsidR="002C3E44" w:rsidRDefault="002C3E44" w:rsidP="002C3E44">
      <w:pPr>
        <w:ind w:left="426" w:hanging="426"/>
        <w:jc w:val="both"/>
        <w:rPr>
          <w:rFonts w:eastAsia="Arial Unicode MS"/>
          <w:lang w:eastAsia="en-GB"/>
        </w:rPr>
      </w:pPr>
      <w:r>
        <w:rPr>
          <w:rFonts w:eastAsia="Arial Unicode MS"/>
          <w:lang w:eastAsia="en-GB"/>
        </w:rPr>
        <w:t>Strid A, Bruhn C, Sverko E, Svavarsson J, Tomy G and Bergman Å (</w:t>
      </w:r>
      <w:hyperlink r:id="rId53" w:anchor="b0555" w:history="1">
        <w:r>
          <w:rPr>
            <w:rStyle w:val="Hyperlink"/>
            <w:rFonts w:eastAsia="Arial Unicode MS"/>
            <w:color w:val="auto"/>
            <w:lang w:eastAsia="en-GB"/>
          </w:rPr>
          <w:t>2013</w:t>
        </w:r>
      </w:hyperlink>
      <w:r>
        <w:rPr>
          <w:rFonts w:eastAsia="Arial Unicode MS"/>
          <w:lang w:eastAsia="en-GB"/>
        </w:rPr>
        <w:t xml:space="preserve">). </w:t>
      </w:r>
      <w:r>
        <w:rPr>
          <w:rFonts w:eastAsia="Arial Unicode MS"/>
          <w:bCs/>
          <w:lang w:eastAsia="en-GB"/>
        </w:rPr>
        <w:t>Brominated and chlorinated flame retardants in liver of Greenland shark (</w:t>
      </w:r>
      <w:r>
        <w:rPr>
          <w:rFonts w:eastAsia="Arial Unicode MS"/>
          <w:bCs/>
          <w:i/>
          <w:iCs/>
          <w:lang w:eastAsia="en-GB"/>
        </w:rPr>
        <w:t>Somniosus microcephalus</w:t>
      </w:r>
      <w:r>
        <w:rPr>
          <w:rFonts w:eastAsia="Arial Unicode MS"/>
          <w:bCs/>
          <w:lang w:eastAsia="en-GB"/>
        </w:rPr>
        <w:t xml:space="preserve">). </w:t>
      </w:r>
      <w:r>
        <w:rPr>
          <w:rFonts w:eastAsia="Arial Unicode MS"/>
          <w:lang w:eastAsia="en-GB"/>
        </w:rPr>
        <w:t>Chemosphere, 91, 222–228.</w:t>
      </w:r>
    </w:p>
    <w:p w14:paraId="789151CA" w14:textId="77777777" w:rsidR="002C3E44" w:rsidRDefault="002C3E44" w:rsidP="002C3E44">
      <w:pPr>
        <w:ind w:left="426" w:hanging="426"/>
        <w:jc w:val="both"/>
        <w:rPr>
          <w:lang w:val="en-US" w:eastAsia="en-US"/>
        </w:rPr>
      </w:pPr>
      <w:r>
        <w:rPr>
          <w:rFonts w:eastAsia="Arial Unicode MS"/>
          <w:lang w:eastAsia="en-GB"/>
        </w:rPr>
        <w:t>Su</w:t>
      </w:r>
      <w:r>
        <w:rPr>
          <w:lang w:eastAsia="en-GB"/>
        </w:rPr>
        <w:t xml:space="preserve"> G, Letcher RJ, Moore JN, Williams LL, Martin PA, de Solla SR  and Bowerman WW (2015). Spatial and temporal comparisons of legacy and emerging flame retardants in herring gull eggs from colonies spanning the Laurentian Great Lakes of Canada and United States. Environmental Research, 142, 720-730.</w:t>
      </w:r>
      <w:r>
        <w:t xml:space="preserve"> </w:t>
      </w:r>
    </w:p>
    <w:p w14:paraId="79FBA326" w14:textId="77777777" w:rsidR="002C3E44" w:rsidRDefault="002C3E44" w:rsidP="002C3E44">
      <w:pPr>
        <w:ind w:left="426" w:hanging="426"/>
        <w:jc w:val="both"/>
      </w:pPr>
      <w:r>
        <w:t>Sühring R, Möller A, Freese M, Pohlmann J, Wolschke H, Sturm R, Xie Z, Hanel R and Ebinghaus R, (2013). Brominated flame retardants and dechloranes in eels from German rivers. Chemosphere 90, 118–124.</w:t>
      </w:r>
    </w:p>
    <w:p w14:paraId="45AED0E1" w14:textId="77777777" w:rsidR="002C3E44" w:rsidRDefault="002C3E44" w:rsidP="002C3E44">
      <w:pPr>
        <w:ind w:left="426" w:hanging="426"/>
        <w:jc w:val="both"/>
      </w:pPr>
      <w:r>
        <w:t>Sühring R, Byer J, Freese M, Pohlmann J-D, Wolschke H, Möller A, Hodson PV, Alaee M, Hanel R and Ebinghaus R (2014). Brominated flame retardants and Dechloranes in European and American eels from glass to silver life stages. Chemosphere, 116, 104-111.</w:t>
      </w:r>
    </w:p>
    <w:p w14:paraId="5E902D1D" w14:textId="77777777" w:rsidR="002C3E44" w:rsidRDefault="002C3E44" w:rsidP="002C3E44">
      <w:pPr>
        <w:ind w:left="426" w:hanging="426"/>
        <w:jc w:val="both"/>
        <w:rPr>
          <w:lang w:val="en-US"/>
        </w:rPr>
      </w:pPr>
      <w:r>
        <w:lastRenderedPageBreak/>
        <w:t>Sühring R, Freese M, Schneider M, Schubert S, Pohlmann JD, Alaee M, Wolschke H, Hanel R, Ebinghaus R and Marohn L (2015). Maternal transfer of emerging brominated and chlorinated flame retardants in European eels. Science of the Total Environment, 530-531, 209-218.</w:t>
      </w:r>
    </w:p>
    <w:p w14:paraId="5C1FA885" w14:textId="77777777" w:rsidR="002C3E44" w:rsidRDefault="002C3E44" w:rsidP="002C3E44">
      <w:pPr>
        <w:ind w:left="426" w:hanging="426"/>
        <w:jc w:val="both"/>
      </w:pPr>
      <w:r>
        <w:t>Sun Y, Luo X, Wu J, Mo L, Chen S, Zhang Q, Zou F and Mai B (2012). Species- and tissue-specific accumulation of Dechlorane Plus in three terrestrial passerine bird species from the Pearl River Delta, South China. Chemosphere, 89, 445–451.</w:t>
      </w:r>
    </w:p>
    <w:p w14:paraId="4590E13D" w14:textId="77777777" w:rsidR="002C3E44" w:rsidRPr="00B329D1" w:rsidRDefault="002C3E44" w:rsidP="002C3E44">
      <w:pPr>
        <w:ind w:left="426" w:hanging="426"/>
        <w:jc w:val="both"/>
      </w:pPr>
      <w:r>
        <w:t xml:space="preserve">Sun Y-X, Xu X-R, Hao Q, Luo X-J, Ruan W, Zhang Z-W, Zhang Q, Zou F-S and Mai B-X (2014). Species-specific accumulation of halogenated flame retardants in eggs of terrestrial birds from an ecological station in the Pearl River Delta, South China. </w:t>
      </w:r>
      <w:r w:rsidRPr="00B329D1">
        <w:t>Chemosphere, 95, 442–447.</w:t>
      </w:r>
    </w:p>
    <w:p w14:paraId="621DC2B7" w14:textId="77777777" w:rsidR="002C3E44" w:rsidRDefault="002C3E44" w:rsidP="002C3E44">
      <w:pPr>
        <w:ind w:left="426" w:hanging="426"/>
        <w:jc w:val="both"/>
      </w:pPr>
      <w:r w:rsidRPr="00B329D1">
        <w:t xml:space="preserve">Sun Y-X, Zhang Z-W, Xu X-R, Hu Y-X, Luo X-J, Cai M-G and Mai B-X (2015). </w:t>
      </w:r>
      <w:r>
        <w:t xml:space="preserve">Bioaccumulation and biomagnification of halogenated organic pollutants in mangrove biota from the Pearl River Estuary, South China. Marine Pollution Bulletin, 99, 150-156. </w:t>
      </w:r>
    </w:p>
    <w:p w14:paraId="2AC3D35A" w14:textId="77777777" w:rsidR="002C3E44" w:rsidRDefault="002C3E44" w:rsidP="002C3E44">
      <w:pPr>
        <w:ind w:left="426" w:hanging="426"/>
        <w:jc w:val="both"/>
      </w:pPr>
      <w:r>
        <w:t xml:space="preserve">Sverko E, Tomy GT, Marvin CH, Zaruk D, Reiner E, Helm PA, Hill B and McCarry BE (2008). Dechlorane Plus levels in sediment of the lower Great Lakes. Environ. Sci. Technol., 42, 361–366. </w:t>
      </w:r>
    </w:p>
    <w:p w14:paraId="358FFA9D" w14:textId="77777777" w:rsidR="002C3E44" w:rsidRDefault="002C3E44" w:rsidP="002C3E44">
      <w:pPr>
        <w:ind w:left="426" w:hanging="426"/>
        <w:jc w:val="both"/>
      </w:pPr>
      <w:r>
        <w:t xml:space="preserve">Sverko E, Harner T, Lee SC and McCarry BE (2010a). Dechlorane Plus in the Global Atmospheric Passive Sampling (GAPS) study. Presented at Dioxin, San Antonio, TX, September 12-17 2010; #1505. [As cited by Sverko </w:t>
      </w:r>
      <w:r>
        <w:rPr>
          <w:i/>
        </w:rPr>
        <w:t>et al</w:t>
      </w:r>
      <w:r>
        <w:t xml:space="preserve">. (2011) and Xian </w:t>
      </w:r>
      <w:r>
        <w:rPr>
          <w:i/>
        </w:rPr>
        <w:t>et al</w:t>
      </w:r>
      <w:r>
        <w:t>., 2011</w:t>
      </w:r>
      <w:r>
        <w:rPr>
          <w:rStyle w:val="FootnoteReference"/>
        </w:rPr>
        <w:footnoteReference w:id="46"/>
      </w:r>
      <w:r>
        <w:t>]</w:t>
      </w:r>
    </w:p>
    <w:p w14:paraId="6F8E277C" w14:textId="77777777" w:rsidR="002C3E44" w:rsidRDefault="002C3E44" w:rsidP="002C3E44">
      <w:pPr>
        <w:ind w:left="426" w:hanging="426"/>
        <w:jc w:val="both"/>
        <w:rPr>
          <w:lang w:val="en-US"/>
        </w:rPr>
      </w:pPr>
      <w:r>
        <w:t>Sverko E, Reiner EJ, Tomy GT, McCrindle R, Shen L, Arsenault G, Zaruk D, Macpherson KA, Marvin CH, Helm PA and McCarry BE (2010b). Compounds structurally related to dechlorane plus in sediment and biota from Lake Ontario (Canada). Environ. Sci. Technol., 44, 574–579.</w:t>
      </w:r>
    </w:p>
    <w:p w14:paraId="3B8DA0B4" w14:textId="77777777" w:rsidR="002C3E44" w:rsidRDefault="002C3E44" w:rsidP="002C3E44">
      <w:pPr>
        <w:ind w:left="426" w:hanging="426"/>
        <w:jc w:val="both"/>
      </w:pPr>
      <w:r>
        <w:t xml:space="preserve">Sverko E, Tomy GT, Palace V, Smith LAP and McCarry BE (2010c). Fate of related compounds to Dechlorane Plus in a Lake Ontario (Canada) food web. Presented at Dioxin, San Antonio, TX, September 12-17, 2010; #1504. [As cited by Sverko </w:t>
      </w:r>
      <w:r>
        <w:rPr>
          <w:i/>
        </w:rPr>
        <w:t>et al</w:t>
      </w:r>
      <w:r>
        <w:t>., 2011]</w:t>
      </w:r>
    </w:p>
    <w:p w14:paraId="435AFF85" w14:textId="77777777" w:rsidR="002C3E44" w:rsidRDefault="002C3E44" w:rsidP="002C3E44">
      <w:pPr>
        <w:ind w:left="426" w:hanging="426"/>
        <w:jc w:val="both"/>
      </w:pPr>
      <w:r>
        <w:t>Sverko E, Tomy GT, Reiner EJ, Li Y-F, McCarry BE, Arnot JA, Law RJ and Hites RA (2011). Dechlorane Plus and related compounds in the environment: a review. Environ. Sci. Technol., 45, 5088–5098.</w:t>
      </w:r>
    </w:p>
    <w:p w14:paraId="15095AE6" w14:textId="77777777" w:rsidR="002C3E44" w:rsidRDefault="002C3E44" w:rsidP="002C3E44">
      <w:pPr>
        <w:ind w:left="426" w:hanging="426"/>
        <w:jc w:val="both"/>
        <w:rPr>
          <w:lang w:val="en-US"/>
        </w:rPr>
      </w:pPr>
      <w:r>
        <w:t>Tao W, Zhou Z, Shen L and Zhao B (2015). Determination of dechlorane flame retardants in soil and fish at Guiyu, an electronic waste recycling site in south China. Environmental Pollution, 206, 361-368.</w:t>
      </w:r>
    </w:p>
    <w:p w14:paraId="22F0EB45" w14:textId="77777777" w:rsidR="002C3E44" w:rsidRDefault="002C3E44" w:rsidP="002C3E44">
      <w:pPr>
        <w:ind w:left="426" w:hanging="426"/>
        <w:jc w:val="both"/>
        <w:rPr>
          <w:rStyle w:val="Hyperlink"/>
          <w:lang w:eastAsia="en-GB"/>
        </w:rPr>
      </w:pPr>
      <w:r>
        <w:rPr>
          <w:lang w:eastAsia="en-GB"/>
        </w:rPr>
        <w:t xml:space="preserve">Thanh TL, Yoon H-W, Kim J-C and Chang Y-S (2013). Assessment of the potential risks to microbiota from low dose Dechlorane Plus exposure in the soil mimic condition. Organohalogen Compounds, 75, 328-331. </w:t>
      </w:r>
      <w:r w:rsidR="00195E28" w:rsidRPr="00195E28">
        <w:rPr>
          <w:lang w:eastAsia="en-GB"/>
        </w:rPr>
        <w:t>http://www.dioxin20xx.org/pdfs/2013/140.pdf</w:t>
      </w:r>
    </w:p>
    <w:p w14:paraId="0F7E7502" w14:textId="77777777" w:rsidR="002C3E44" w:rsidRDefault="002C3E44" w:rsidP="002C3E44">
      <w:pPr>
        <w:ind w:left="426" w:hanging="426"/>
        <w:jc w:val="both"/>
        <w:rPr>
          <w:lang w:eastAsia="en-US"/>
        </w:rPr>
      </w:pPr>
      <w:r>
        <w:t>Tomy GT, Palace VP, Halldorson THJ, Braekevelt E, Danell RW, Evans B, Brinkworth L and Fisk AT (2004). Bioaccumulation, biotransformation and biochemical effects of brominated diphenyl ethers (BDEs) in juvenile lake trout (</w:t>
      </w:r>
      <w:r>
        <w:rPr>
          <w:i/>
        </w:rPr>
        <w:t>Salvelinus namaycush</w:t>
      </w:r>
      <w:r>
        <w:t xml:space="preserve">). Environ. Sci. Technol., 38, 1496–1504. </w:t>
      </w:r>
    </w:p>
    <w:p w14:paraId="015B9763" w14:textId="77777777" w:rsidR="002C3E44" w:rsidRDefault="002C3E44" w:rsidP="002C3E44">
      <w:pPr>
        <w:ind w:left="426" w:hanging="426"/>
        <w:jc w:val="both"/>
        <w:rPr>
          <w:lang w:val="en-US"/>
        </w:rPr>
      </w:pPr>
      <w:r>
        <w:t>Tomy GT, Budakowski WR, Halldorson THJ, Whittle DM, Keir MJ, Marvin C</w:t>
      </w:r>
      <w:r w:rsidR="00682033">
        <w:t>, MacInnis</w:t>
      </w:r>
      <w:r>
        <w:t xml:space="preserve"> G and Alaee M (2004). Biomagnification of α- and γ-hexabromocyclododecane isomers in a Lake Ontario food web. Environmental Science and Technology, 38, 2298-2303.</w:t>
      </w:r>
    </w:p>
    <w:p w14:paraId="31CB5348" w14:textId="77777777" w:rsidR="002C3E44" w:rsidRDefault="002C3E44" w:rsidP="002C3E44">
      <w:pPr>
        <w:ind w:left="426" w:hanging="426"/>
        <w:jc w:val="both"/>
      </w:pPr>
      <w:r>
        <w:t>Tomy GT, Pleskach K, Ismail N, Whittle DM, Helm PA, Sverko E, Zaruk D and Marvin CH (2007). Isomers of Dechlorane Plus in Lake Winnipeg and Lake Ontario food webs. Environ. Sci. Technol., 41, 2249–2254.</w:t>
      </w:r>
    </w:p>
    <w:p w14:paraId="6046D256" w14:textId="77777777" w:rsidR="002C3E44" w:rsidRDefault="002C3E44" w:rsidP="002C3E44">
      <w:pPr>
        <w:ind w:left="426" w:hanging="426"/>
        <w:jc w:val="both"/>
      </w:pPr>
      <w:r>
        <w:t xml:space="preserve">Tomy GT, Thomas CR, Zidane TM, Murison KE, Pleskach K, Hare J, Arsenault G, Marvin CH and Sverko E (2008). Examination of isomer specific bioaccumulation parameters and potential </w:t>
      </w:r>
      <w:r>
        <w:rPr>
          <w:i/>
        </w:rPr>
        <w:t>in vivo</w:t>
      </w:r>
      <w:r>
        <w:t xml:space="preserve"> hepatic metabolites of syn- and anti-Dechlorane Plus isomers in juvenile rainbow trout (</w:t>
      </w:r>
      <w:r>
        <w:rPr>
          <w:i/>
        </w:rPr>
        <w:t>Oncorhynchus mykiss</w:t>
      </w:r>
      <w:r>
        <w:t>).Environ Sci Technol., 42(15), 5562-7.</w:t>
      </w:r>
    </w:p>
    <w:p w14:paraId="18002924" w14:textId="77777777" w:rsidR="002C3E44" w:rsidRDefault="002C3E44" w:rsidP="002C3E44">
      <w:pPr>
        <w:ind w:left="426" w:hanging="426"/>
        <w:jc w:val="both"/>
        <w:rPr>
          <w:lang w:val="en-US" w:eastAsia="en-GB"/>
        </w:rPr>
      </w:pPr>
      <w:r>
        <w:rPr>
          <w:lang w:eastAsia="en-GB"/>
        </w:rPr>
        <w:t>Tomy GT, Sverko E, Palace V, Rosenberg B, McCrindle R, McAlees A, Smith LAP, Byer J, Pacepavicius G, Alaee M and McCarry BE (2013). Dechlorane plus monoadducts in a Lake Ontario (Canada) food web and biotransformation by lake trout (</w:t>
      </w:r>
      <w:r>
        <w:rPr>
          <w:i/>
          <w:iCs/>
          <w:lang w:eastAsia="en-GB"/>
        </w:rPr>
        <w:t>Salvelinus namaycush)</w:t>
      </w:r>
      <w:r>
        <w:rPr>
          <w:lang w:eastAsia="en-GB"/>
        </w:rPr>
        <w:t xml:space="preserve"> liver microsomes. Environmental Toxicology and Chemistry, 32, 1376–1381.</w:t>
      </w:r>
    </w:p>
    <w:p w14:paraId="5936F77C" w14:textId="77777777" w:rsidR="002C3E44" w:rsidRDefault="002C3E44" w:rsidP="002C3E44">
      <w:pPr>
        <w:ind w:left="426" w:hanging="426"/>
        <w:jc w:val="both"/>
        <w:rPr>
          <w:lang w:eastAsia="en-US"/>
        </w:rPr>
      </w:pPr>
      <w:r>
        <w:t xml:space="preserve">Trzyna GE and Paa H (1975). Report to Hooker Chemical Corporation: 28-day subacute dermal </w:t>
      </w:r>
      <w:r>
        <w:lastRenderedPageBreak/>
        <w:t>toxicity study with EC number: 236-948-91,6,7,8,9,14,15,16,17,17,18,18-dodecachloropentacyclo[12.2.1.16,9.02,13.05,10]oc. CAS number: 13560-89-9 2013-05-15 CSR-PI-5.4.1 CHEMICAL SAFETY REPORT 64 Dechlorane 25 in albino rabbits. Industrial Bio-Test Laboratories Inc., IBT No. 601-06280, 13 June 1975. Testing laboratory: Industrial Bio-Test Laboratories Inc., Northbrook, Illinois, USA. Report no.: IBT No. 601- 06280. Owner company: Hooker Chemical Corporation. Report date: 1975-06-13.</w:t>
      </w:r>
    </w:p>
    <w:p w14:paraId="2CC12CBC" w14:textId="77777777" w:rsidR="002C3E44" w:rsidRDefault="002C3E44" w:rsidP="002C3E44">
      <w:pPr>
        <w:ind w:left="426" w:hanging="426"/>
        <w:jc w:val="both"/>
        <w:rPr>
          <w:bCs/>
        </w:rPr>
      </w:pPr>
      <w:r>
        <w:rPr>
          <w:bCs/>
        </w:rPr>
        <w:t xml:space="preserve">UNEP </w:t>
      </w:r>
      <w:r w:rsidR="00195E28">
        <w:rPr>
          <w:bCs/>
        </w:rPr>
        <w:t xml:space="preserve">[United Nations Environment Programme] </w:t>
      </w:r>
      <w:r>
        <w:rPr>
          <w:bCs/>
        </w:rPr>
        <w:t xml:space="preserve">(1998). Persistent </w:t>
      </w:r>
      <w:r w:rsidR="00682033">
        <w:rPr>
          <w:bCs/>
        </w:rPr>
        <w:t>Organic</w:t>
      </w:r>
      <w:r>
        <w:rPr>
          <w:bCs/>
        </w:rPr>
        <w:t xml:space="preserve"> Pollutants: an assessment report on: DDT-Aldrin-Dieldrin-Endrin-Chlordane-Heptachlor-Hexachlorobenzene-Mirex-Toxaphene-Polychlorinated Biphenyls-Dioxins and Furans. UNEP/POPS/INC.1/INF/10 15th June 1998</w:t>
      </w:r>
    </w:p>
    <w:p w14:paraId="09DDF63A" w14:textId="77777777" w:rsidR="002C3E44" w:rsidRDefault="002C3E44" w:rsidP="002C3E44">
      <w:pPr>
        <w:ind w:left="426" w:hanging="426"/>
        <w:jc w:val="both"/>
        <w:rPr>
          <w:bCs/>
        </w:rPr>
      </w:pPr>
      <w:r>
        <w:rPr>
          <w:bCs/>
        </w:rPr>
        <w:t>UNEP (2009). Report of the Persistent Organic Pollutants Review Committee on the work of its fifth meeting. Addendum: Risk profile on endosulfan. UNEP/POPS/POPRC.5/10/Add.2 13</w:t>
      </w:r>
      <w:r>
        <w:rPr>
          <w:bCs/>
          <w:vertAlign w:val="superscript"/>
        </w:rPr>
        <w:t>th</w:t>
      </w:r>
      <w:r>
        <w:rPr>
          <w:bCs/>
        </w:rPr>
        <w:t xml:space="preserve"> December 2009</w:t>
      </w:r>
    </w:p>
    <w:p w14:paraId="233BBEF4" w14:textId="77777777" w:rsidR="002C3E44" w:rsidRDefault="002C3E44" w:rsidP="002C3E44">
      <w:pPr>
        <w:ind w:left="426" w:hanging="426"/>
        <w:jc w:val="both"/>
      </w:pPr>
      <w:r>
        <w:rPr>
          <w:bCs/>
        </w:rPr>
        <w:t xml:space="preserve">United Nations (2001). Annex A of the </w:t>
      </w:r>
      <w:r>
        <w:rPr>
          <w:bCs/>
          <w:i/>
        </w:rPr>
        <w:t xml:space="preserve">Stockholm Convention of Persistent Organic Pollutants, </w:t>
      </w:r>
      <w:r>
        <w:rPr>
          <w:bCs/>
        </w:rPr>
        <w:t>43 pp; Amended (Geneva, 2009) 63 pp, 2001.</w:t>
      </w:r>
    </w:p>
    <w:p w14:paraId="46194CBD" w14:textId="77777777" w:rsidR="002C3E44" w:rsidRDefault="002C3E44" w:rsidP="002C3E44">
      <w:pPr>
        <w:ind w:left="426" w:hanging="426"/>
        <w:jc w:val="both"/>
        <w:rPr>
          <w:lang w:val="en-US"/>
        </w:rPr>
      </w:pPr>
      <w:r>
        <w:t>U.S. EPA [United States Environmental Protection Agency] (1977). A Rapid Assessment of the Toxicity of Three Chlorinated Cyclodiene Insecticide Intermediates to Fathead Minnows. Environmental Research Laboratory, Duluth, Minnesota, USA. Ecological Research Series. EPA-600/3-77-099. August 1977.</w:t>
      </w:r>
    </w:p>
    <w:p w14:paraId="53A1CE0B" w14:textId="77777777" w:rsidR="002C3E44" w:rsidRDefault="002C3E44" w:rsidP="002C3E44">
      <w:pPr>
        <w:ind w:left="426" w:hanging="426"/>
        <w:jc w:val="both"/>
      </w:pPr>
      <w:r>
        <w:t xml:space="preserve">U.S. EPA (2011). Screening-level hazard characterization, Dechlorane Plus (CASRN 13560-89-9). U.S Environmental Protection Agency, Hazard Characterisation Department, March 2011. </w:t>
      </w:r>
    </w:p>
    <w:p w14:paraId="016A5E9B" w14:textId="77777777" w:rsidR="002C3E44" w:rsidRDefault="002C3E44" w:rsidP="002C3E44">
      <w:pPr>
        <w:ind w:left="426" w:hanging="426"/>
        <w:jc w:val="both"/>
        <w:rPr>
          <w:lang w:eastAsia="en-GB"/>
        </w:rPr>
      </w:pPr>
      <w:r>
        <w:t>U.S. EPA (2012).</w:t>
      </w:r>
      <w:r>
        <w:rPr>
          <w:lang w:eastAsia="en-GB"/>
        </w:rPr>
        <w:t xml:space="preserve"> Estimation Programs Interface Suite™ for Microsoft® Windows, v4.11. U.S. Environmental Protection Agency, Washington, DC, USA. Available online at </w:t>
      </w:r>
      <w:hyperlink r:id="rId54" w:history="1">
        <w:r w:rsidR="004E7C03" w:rsidRPr="00F82811">
          <w:rPr>
            <w:rStyle w:val="Hyperlink"/>
            <w:lang w:eastAsia="en-GB"/>
          </w:rPr>
          <w:t>http://www.epa.gov/opptintr/exposure/pubs/episuitedl.htm as of November 2012</w:t>
        </w:r>
      </w:hyperlink>
      <w:r>
        <w:rPr>
          <w:lang w:eastAsia="en-GB"/>
        </w:rPr>
        <w:t>.</w:t>
      </w:r>
    </w:p>
    <w:p w14:paraId="68BC1548" w14:textId="77777777" w:rsidR="004E7C03" w:rsidRPr="001B0749" w:rsidRDefault="004E7C03" w:rsidP="00356AEA">
      <w:pPr>
        <w:ind w:left="426" w:hanging="426"/>
        <w:jc w:val="both"/>
        <w:rPr>
          <w:rFonts w:eastAsiaTheme="minorHAnsi"/>
        </w:rPr>
      </w:pPr>
      <w:r>
        <w:t xml:space="preserve">U.S. EPA </w:t>
      </w:r>
      <w:r w:rsidRPr="001B0749">
        <w:rPr>
          <w:rFonts w:eastAsiaTheme="minorHAnsi"/>
        </w:rPr>
        <w:t xml:space="preserve">(2014). An alternatives assessment for the flame retardant decabromodiphenyl ether (DecaBDE). Available at: </w:t>
      </w:r>
      <w:hyperlink r:id="rId55" w:history="1">
        <w:r w:rsidRPr="001B0749">
          <w:rPr>
            <w:rStyle w:val="Hyperlink"/>
            <w:rFonts w:eastAsiaTheme="minorHAnsi"/>
          </w:rPr>
          <w:t>https://www.epa.gov/sites/production/files/2014-05/documents/decabde_final.pdf</w:t>
        </w:r>
      </w:hyperlink>
      <w:r w:rsidRPr="001B0749">
        <w:rPr>
          <w:rFonts w:eastAsiaTheme="minorHAnsi"/>
        </w:rPr>
        <w:t xml:space="preserve">  </w:t>
      </w:r>
    </w:p>
    <w:p w14:paraId="1289551C" w14:textId="77777777" w:rsidR="002C3E44" w:rsidRDefault="002C3E44" w:rsidP="002C3E44">
      <w:pPr>
        <w:autoSpaceDE w:val="0"/>
        <w:autoSpaceDN w:val="0"/>
        <w:adjustRightInd w:val="0"/>
        <w:ind w:left="426" w:hanging="426"/>
        <w:jc w:val="both"/>
        <w:rPr>
          <w:rFonts w:eastAsia="Calibri"/>
          <w:lang w:eastAsia="en-US"/>
        </w:rPr>
      </w:pPr>
      <w:r>
        <w:rPr>
          <w:rFonts w:eastAsia="Calibri"/>
        </w:rPr>
        <w:t>Venier M, Wierda M, Bowerman WW and Hites RA (2010). Flame retardants and organochlorine pollutants in bald eagle plasma from the Great Lakes region. Chemosphere, 80, 1234–1240.</w:t>
      </w:r>
    </w:p>
    <w:p w14:paraId="3992CBF8" w14:textId="77777777" w:rsidR="002C3E44" w:rsidRDefault="002C3E44" w:rsidP="002C3E44">
      <w:pPr>
        <w:autoSpaceDE w:val="0"/>
        <w:autoSpaceDN w:val="0"/>
        <w:adjustRightInd w:val="0"/>
        <w:ind w:left="426" w:hanging="426"/>
        <w:jc w:val="both"/>
        <w:rPr>
          <w:lang w:val="en-US"/>
        </w:rPr>
      </w:pPr>
      <w:r>
        <w:t>Venier M and Hites RA (2011). Flame retardants in the serum of pet dogs and in their food. Environ. Sci. Technol., 45, 4602–4608.</w:t>
      </w:r>
    </w:p>
    <w:p w14:paraId="4FA7B6CB" w14:textId="77777777" w:rsidR="002C3E44" w:rsidRDefault="002C3E44" w:rsidP="002C3E44">
      <w:pPr>
        <w:autoSpaceDE w:val="0"/>
        <w:autoSpaceDN w:val="0"/>
        <w:adjustRightInd w:val="0"/>
        <w:ind w:left="426" w:hanging="426"/>
        <w:jc w:val="both"/>
        <w:rPr>
          <w:rFonts w:eastAsia="Calibri"/>
        </w:rPr>
      </w:pPr>
      <w:r>
        <w:rPr>
          <w:rFonts w:eastAsia="Calibri"/>
        </w:rPr>
        <w:t>Vorkamp K and Rigét FF (2014). A review of new and current-use contaminants in the Arctic environment: Evidence of long-range transport and indications of bioaccumulation. Chemosphere, 111, 379–395.</w:t>
      </w:r>
    </w:p>
    <w:p w14:paraId="701C7172" w14:textId="77777777" w:rsidR="002C3E44" w:rsidRDefault="002C3E44" w:rsidP="002C3E44">
      <w:pPr>
        <w:autoSpaceDE w:val="0"/>
        <w:autoSpaceDN w:val="0"/>
        <w:adjustRightInd w:val="0"/>
        <w:ind w:left="426" w:hanging="426"/>
        <w:jc w:val="both"/>
        <w:rPr>
          <w:rFonts w:eastAsiaTheme="minorHAnsi"/>
        </w:rPr>
      </w:pPr>
      <w:r>
        <w:rPr>
          <w:rFonts w:eastAsia="Calibri"/>
        </w:rPr>
        <w:t>Vorkam</w:t>
      </w:r>
      <w:r>
        <w:rPr>
          <w:rFonts w:eastAsiaTheme="minorHAnsi"/>
        </w:rPr>
        <w:t>p K, Bossi R, Riget FF, Skov H, Sonne C and Dietz R (2015). Novel brominated flame retardants and Dechlorane Plus in Greenland air and biota. Environmental Pollution, 196, 284-291.</w:t>
      </w:r>
    </w:p>
    <w:p w14:paraId="0E390B3E" w14:textId="77777777" w:rsidR="002C3E44" w:rsidRDefault="002C3E44" w:rsidP="002C3E44">
      <w:pPr>
        <w:autoSpaceDE w:val="0"/>
        <w:autoSpaceDN w:val="0"/>
        <w:adjustRightInd w:val="0"/>
        <w:ind w:left="426" w:hanging="426"/>
        <w:jc w:val="both"/>
      </w:pPr>
      <w:r>
        <w:rPr>
          <w:rFonts w:eastAsiaTheme="minorHAnsi"/>
        </w:rPr>
        <w:t>Walker LA, Moeckel C, Pereira MG, Potter ED, Chadwick EA and Shore RF (2013). Liver concentrations of flame retardants in Eurasian otters (</w:t>
      </w:r>
      <w:r>
        <w:rPr>
          <w:rFonts w:eastAsiaTheme="minorHAnsi"/>
          <w:i/>
          <w:iCs/>
        </w:rPr>
        <w:t>Luta lutra</w:t>
      </w:r>
      <w:r>
        <w:rPr>
          <w:rFonts w:eastAsiaTheme="minorHAnsi"/>
        </w:rPr>
        <w:t>) collected from Britain in 2010 &amp; 2011: a Predatory Bird Monitoring Scheme (PBMS) Report. Centre for Ecology &amp; Hydrology, Lancaster,</w:t>
      </w:r>
      <w:r>
        <w:t xml:space="preserve"> UK.</w:t>
      </w:r>
    </w:p>
    <w:p w14:paraId="3D71017F" w14:textId="77777777" w:rsidR="002C3E44" w:rsidRDefault="002C3E44" w:rsidP="002C3E44">
      <w:pPr>
        <w:autoSpaceDE w:val="0"/>
        <w:autoSpaceDN w:val="0"/>
        <w:adjustRightInd w:val="0"/>
        <w:ind w:left="426" w:hanging="426"/>
        <w:jc w:val="both"/>
        <w:rPr>
          <w:rFonts w:eastAsia="Calibri"/>
        </w:rPr>
      </w:pPr>
      <w:r>
        <w:rPr>
          <w:rFonts w:eastAsia="Calibri"/>
        </w:rPr>
        <w:t>Wang DG, Yang M, Qi H, Sverko E, Ma WL, Li YF, Alaee M, Reiner EJ and Shen L (2010). An Asia-specific source of Dechlorane Plus: Concentration, isomer profiles, and other related compounds. Environ. Sci. Technol., 44, 6608–6613.</w:t>
      </w:r>
    </w:p>
    <w:p w14:paraId="335332EA" w14:textId="77777777" w:rsidR="002C3E44" w:rsidRDefault="002C3E44" w:rsidP="002C3E44">
      <w:pPr>
        <w:suppressAutoHyphens/>
        <w:ind w:left="426" w:hanging="426"/>
        <w:jc w:val="both"/>
        <w:rPr>
          <w:lang w:val="en-US"/>
        </w:rPr>
      </w:pPr>
      <w:r>
        <w:t>Wang J, Tian M, Chen SJ, Zheng J, Luo XJ, An TC and Mai BX (2011). Dechlorane Plus in house dust from e-waste recycling and urban areas in South China: sources, degradation, and human exposure. Environmental Toxicology and Chemistry, 30, 1965–1972.</w:t>
      </w:r>
    </w:p>
    <w:p w14:paraId="19D50351" w14:textId="77777777" w:rsidR="002C3E44" w:rsidRDefault="002C3E44" w:rsidP="002C3E44">
      <w:pPr>
        <w:autoSpaceDE w:val="0"/>
        <w:autoSpaceDN w:val="0"/>
        <w:adjustRightInd w:val="0"/>
        <w:ind w:left="426" w:hanging="426"/>
        <w:jc w:val="both"/>
        <w:rPr>
          <w:color w:val="000000"/>
        </w:rPr>
      </w:pPr>
      <w:r>
        <w:rPr>
          <w:color w:val="000000"/>
        </w:rPr>
        <w:t>Wang L, Jia H, Liu X, Yang M, Hong W, Sun Y, Su Y, Qi H, Song W, Lin J and Y-F Li (2012). Dechloranes in a river in northeastern China: Spatial trends in multi-matrices and bioaccumulation in fish (</w:t>
      </w:r>
      <w:r>
        <w:rPr>
          <w:i/>
          <w:color w:val="000000"/>
        </w:rPr>
        <w:t>Enchelyopus elongatus</w:t>
      </w:r>
      <w:r>
        <w:rPr>
          <w:color w:val="000000"/>
        </w:rPr>
        <w:t>). Ecotoxicology and Environmental Safety, 84, 262–267.</w:t>
      </w:r>
    </w:p>
    <w:p w14:paraId="1BECF8C5" w14:textId="77777777" w:rsidR="002C3E44" w:rsidRDefault="002C3E44" w:rsidP="002C3E44">
      <w:pPr>
        <w:autoSpaceDE w:val="0"/>
        <w:autoSpaceDN w:val="0"/>
        <w:adjustRightInd w:val="0"/>
        <w:ind w:left="426" w:hanging="426"/>
        <w:jc w:val="both"/>
        <w:rPr>
          <w:color w:val="000000"/>
        </w:rPr>
      </w:pPr>
      <w:r>
        <w:rPr>
          <w:rFonts w:eastAsiaTheme="minorHAnsi"/>
        </w:rPr>
        <w:t>Wang</w:t>
      </w:r>
      <w:r>
        <w:rPr>
          <w:color w:val="000000"/>
        </w:rPr>
        <w:t xml:space="preserve"> D-G, Alaee M, Byer JD, Brimble S and Pacepavicius G (2013a). Human health risk assessment of occupational and residential exposures to dechlorane plus in the manufacturing facility area in China and comparison with e-waste recycling site. Science of the Total Environment, 445–446, 329–336.</w:t>
      </w:r>
    </w:p>
    <w:p w14:paraId="6D1055D6" w14:textId="77777777" w:rsidR="002C3E44" w:rsidRDefault="002C3E44" w:rsidP="002C3E44">
      <w:pPr>
        <w:suppressAutoHyphens/>
        <w:ind w:left="426" w:hanging="426"/>
        <w:jc w:val="both"/>
        <w:rPr>
          <w:lang w:eastAsia="en-GB"/>
        </w:rPr>
      </w:pPr>
      <w:r>
        <w:rPr>
          <w:lang w:eastAsia="en-GB"/>
        </w:rPr>
        <w:t xml:space="preserve">Wang S, Huang J, Yang Y, Yu G, Deng S and Wang B (2013b). Photodegradation of Dechlorane Plus in n-nonane under the irradiation of xenon lamp. Journal of Hazardous Materials, 260, </w:t>
      </w:r>
      <w:r>
        <w:rPr>
          <w:lang w:eastAsia="en-GB"/>
        </w:rPr>
        <w:lastRenderedPageBreak/>
        <w:t>16– 23.</w:t>
      </w:r>
    </w:p>
    <w:p w14:paraId="26B9DC65" w14:textId="77777777" w:rsidR="002C3E44" w:rsidRDefault="002C3E44" w:rsidP="002C3E44">
      <w:pPr>
        <w:suppressAutoHyphens/>
        <w:ind w:left="426" w:hanging="426"/>
        <w:jc w:val="both"/>
        <w:rPr>
          <w:lang w:eastAsia="ar-SA"/>
        </w:rPr>
      </w:pPr>
      <w:r>
        <w:rPr>
          <w:lang w:eastAsia="ar-SA"/>
        </w:rPr>
        <w:t>Wang Y, Xu M, Jin J, He S, Li M and Sun Y (2014). Concentrations and relationships between classes of persistent halogenated organic compounds in pooled human serum samples and air from Laizhou Bay, China. Science of the Total Environment, 482–483, 276–282.</w:t>
      </w:r>
    </w:p>
    <w:p w14:paraId="4348C6AA" w14:textId="77777777" w:rsidR="002C3E44" w:rsidRDefault="002C3E44" w:rsidP="002C3E44">
      <w:pPr>
        <w:suppressAutoHyphens/>
        <w:ind w:left="426" w:hanging="426"/>
        <w:jc w:val="both"/>
        <w:rPr>
          <w:lang w:eastAsia="en-US"/>
        </w:rPr>
      </w:pPr>
      <w:r>
        <w:rPr>
          <w:lang w:eastAsia="ar-SA"/>
        </w:rPr>
        <w:t>Wang</w:t>
      </w:r>
      <w:r>
        <w:rPr>
          <w:color w:val="000000"/>
        </w:rPr>
        <w:t xml:space="preserve"> D-G, Guo M-X, Pei W, Byer JD and Wang Z (2015). Trophic magnification of chlorinated flame retardants and their dechlorinated analogs in a fresh water food web. Chemosphere, 118, 293–300.</w:t>
      </w:r>
    </w:p>
    <w:p w14:paraId="59FA3588" w14:textId="77777777" w:rsidR="002C3E44" w:rsidRPr="00C929E3" w:rsidRDefault="002C3E44" w:rsidP="002C3E44">
      <w:pPr>
        <w:ind w:left="426" w:hanging="426"/>
        <w:jc w:val="both"/>
        <w:rPr>
          <w:lang w:val="de-DE"/>
        </w:rPr>
      </w:pPr>
      <w:r>
        <w:t xml:space="preserve">Wania F (2006). Potential of degradable organic chemicals for absolute and relative enrichment in the Arctic. </w:t>
      </w:r>
      <w:r w:rsidRPr="00C929E3">
        <w:rPr>
          <w:lang w:val="de-DE"/>
        </w:rPr>
        <w:t>Environ. Sci. Technol., 40, 569–577.</w:t>
      </w:r>
    </w:p>
    <w:p w14:paraId="6EE49113" w14:textId="77777777" w:rsidR="002C3E44" w:rsidRDefault="002C3E44" w:rsidP="002C3E44">
      <w:pPr>
        <w:ind w:left="426" w:hanging="426"/>
        <w:jc w:val="both"/>
      </w:pPr>
      <w:r w:rsidRPr="00C929E3">
        <w:rPr>
          <w:lang w:val="de-DE"/>
        </w:rPr>
        <w:t xml:space="preserve">Wegmann F, Cavin L, MacLeod M, Scheringer M and Hungerbühler K (2009). </w:t>
      </w:r>
      <w:r>
        <w:t>The OECD software tool for screening chemicals for persistence and long-range transport potential. Environmental Modeling and Software, 24, 228-237.</w:t>
      </w:r>
    </w:p>
    <w:p w14:paraId="519E6A9B" w14:textId="77777777" w:rsidR="002C3E44" w:rsidRDefault="002C3E44" w:rsidP="002C3E44">
      <w:pPr>
        <w:ind w:left="426" w:hanging="426"/>
        <w:jc w:val="both"/>
      </w:pPr>
      <w:r>
        <w:t xml:space="preserve">WHO [World Health Organisation] (1984a). International Programme On Chemical Safety Environmental Health Criteria 38 Heptachlor. Geneva. </w:t>
      </w:r>
    </w:p>
    <w:p w14:paraId="456C9AF1" w14:textId="77777777" w:rsidR="002C3E44" w:rsidRDefault="002C3E44" w:rsidP="002C3E44">
      <w:pPr>
        <w:ind w:left="426" w:hanging="426"/>
        <w:jc w:val="both"/>
      </w:pPr>
      <w:r>
        <w:t xml:space="preserve">WHO (1984b). International Programme On Chemical Safety Environmental Health Criteria 44 Mirex. Geneva. </w:t>
      </w:r>
    </w:p>
    <w:p w14:paraId="7280F932" w14:textId="77777777" w:rsidR="002C3E44" w:rsidRDefault="002C3E44" w:rsidP="002C3E44">
      <w:pPr>
        <w:ind w:left="426" w:hanging="426"/>
        <w:jc w:val="both"/>
      </w:pPr>
      <w:r>
        <w:t xml:space="preserve">WHO (1984c). International Programme On Chemical Safety Environmental Health Criteria 34 Chlordane. Geneva. </w:t>
      </w:r>
    </w:p>
    <w:p w14:paraId="58E4F7B6" w14:textId="77777777" w:rsidR="002C3E44" w:rsidRDefault="002C3E44" w:rsidP="002C3E44">
      <w:pPr>
        <w:ind w:left="426" w:hanging="426"/>
        <w:jc w:val="both"/>
      </w:pPr>
      <w:r>
        <w:t>WHO (1989). International Programme On Chemical Safety Environmental Health Criteria 91 aldrin and dieldrin. Geneva.</w:t>
      </w:r>
    </w:p>
    <w:p w14:paraId="62FFE764" w14:textId="77777777" w:rsidR="002C3E44" w:rsidRDefault="002C3E44" w:rsidP="002C3E44">
      <w:pPr>
        <w:ind w:left="426" w:hanging="426"/>
        <w:jc w:val="both"/>
      </w:pPr>
      <w:r>
        <w:t xml:space="preserve">WHO (1992). International Programme On Chemical Safety Environmental Health Criteria 130 Endrin. Geneva. </w:t>
      </w:r>
    </w:p>
    <w:p w14:paraId="0E5CE536" w14:textId="77777777" w:rsidR="002C3E44" w:rsidRDefault="002C3E44" w:rsidP="002C3E44">
      <w:pPr>
        <w:ind w:left="426" w:hanging="426"/>
        <w:jc w:val="both"/>
      </w:pPr>
      <w:r>
        <w:t xml:space="preserve">WHO (1995). A review of selected persistent organic pollutants DDT-Aldrin-Dieldrin-Endrin-Chlordane, Heptachlor- Hexachlorobenzene- Mïrex- Toxaphene,  Polychlorinated biphenyls, Dioxins and Furans. PCS/95.39. </w:t>
      </w:r>
    </w:p>
    <w:p w14:paraId="1CD20217" w14:textId="77777777" w:rsidR="002C3E44" w:rsidRDefault="002C3E44" w:rsidP="002C3E44">
      <w:pPr>
        <w:ind w:left="426" w:hanging="426"/>
        <w:jc w:val="both"/>
      </w:pPr>
      <w:r>
        <w:t xml:space="preserve">WHO (1996). International Programme on Chemical Safety Environmental Health Criteria 185 Chlorendic Acid and Anhydride. Geneva. </w:t>
      </w:r>
    </w:p>
    <w:p w14:paraId="3FA6EC0B" w14:textId="77777777" w:rsidR="002C3E44" w:rsidRDefault="002C3E44" w:rsidP="002C3E44">
      <w:pPr>
        <w:ind w:left="426" w:hanging="426"/>
        <w:jc w:val="both"/>
        <w:rPr>
          <w:rFonts w:cs="TimesNewRoman"/>
          <w:lang w:val="en-US"/>
        </w:rPr>
      </w:pPr>
      <w:r>
        <w:rPr>
          <w:rFonts w:cs="TimesNewRoman"/>
        </w:rPr>
        <w:t>Wolschke H, Meng X-Z, Xie Z, Ebinghaus R, Cai M (2015). Novel flame retardants (N-</w:t>
      </w:r>
      <w:r>
        <w:t>FRs</w:t>
      </w:r>
      <w:r>
        <w:rPr>
          <w:rFonts w:cs="TimesNewRoman"/>
        </w:rPr>
        <w:t>), polybrominated diphenyl ethers (PBDEs) and dioxin-like polychlorinated biphenyls (DL-PCBs) in fish, penguin, and skua from King George Island, Antarctica. Mar. Pollut. Bull., 96, 513-518.</w:t>
      </w:r>
    </w:p>
    <w:p w14:paraId="01BA4AFA" w14:textId="77777777" w:rsidR="002C3E44" w:rsidRDefault="002C3E44" w:rsidP="002C3E44">
      <w:pPr>
        <w:ind w:left="426" w:hanging="426"/>
        <w:jc w:val="both"/>
      </w:pPr>
      <w:r>
        <w:t>Wu JP, Zhang Y, Luo XJ, Wang J, Chen SJ, Guan YT and Mai BX (2010). Isomer-specific bioaccumulation and trophic transfer of Dechlorane Plus in the freshwater food web from a highly contaminated site, South China. Environ. Sci. Technol.,  44(2), 606-611.</w:t>
      </w:r>
    </w:p>
    <w:p w14:paraId="62DAF84A" w14:textId="77777777" w:rsidR="002C3E44" w:rsidRPr="00F0628F" w:rsidRDefault="002C3E44" w:rsidP="002C3E44">
      <w:pPr>
        <w:ind w:left="426" w:hanging="426"/>
        <w:jc w:val="both"/>
        <w:rPr>
          <w:lang w:val="fr-FR"/>
        </w:rPr>
      </w:pPr>
      <w:r>
        <w:t xml:space="preserve">Wu B, Liu S, Guo X, Zhang Y, Zhang X, Li M and Cheng S (2012). Responses of mouse liver to dechlorane plus exposure by integrative transcriptomic and metabonomic studies. </w:t>
      </w:r>
      <w:r w:rsidRPr="00F0628F">
        <w:rPr>
          <w:lang w:val="fr-FR"/>
        </w:rPr>
        <w:t>Environ. Sci. Technol., 46, 10758–10764.</w:t>
      </w:r>
    </w:p>
    <w:p w14:paraId="057413D1" w14:textId="77777777" w:rsidR="002C3E44" w:rsidRPr="00F0628F" w:rsidRDefault="002C3E44" w:rsidP="002C3E44">
      <w:pPr>
        <w:ind w:left="426" w:hanging="426"/>
        <w:jc w:val="both"/>
        <w:rPr>
          <w:lang w:val="fr-FR" w:eastAsia="en-GB"/>
        </w:rPr>
      </w:pPr>
      <w:r w:rsidRPr="00F0628F">
        <w:rPr>
          <w:lang w:val="fr-FR" w:eastAsia="en-GB"/>
        </w:rPr>
        <w:t xml:space="preserve">Wu J, She Y, Zhang Y, Peng Y, Mo L, Luo X and Mai B (2013). </w:t>
      </w:r>
      <w:r>
        <w:rPr>
          <w:lang w:eastAsia="en-GB"/>
        </w:rPr>
        <w:t xml:space="preserve">Sex-dependent accumulation and maternal transfer of dechlorane plus flame retardant in fish from an electronic waste recycling site in South China. </w:t>
      </w:r>
      <w:r w:rsidRPr="00F0628F">
        <w:rPr>
          <w:lang w:val="fr-FR" w:eastAsia="en-GB"/>
        </w:rPr>
        <w:t>Environmental Pollution, 177, 150-155.</w:t>
      </w:r>
    </w:p>
    <w:p w14:paraId="5128F6BE" w14:textId="77777777" w:rsidR="002C3E44" w:rsidRDefault="002C3E44" w:rsidP="002C3E44">
      <w:pPr>
        <w:ind w:left="426" w:hanging="426"/>
        <w:jc w:val="both"/>
        <w:rPr>
          <w:lang w:eastAsia="en-US"/>
        </w:rPr>
      </w:pPr>
      <w:r w:rsidRPr="00F0628F">
        <w:rPr>
          <w:lang w:val="fr-FR"/>
        </w:rPr>
        <w:t xml:space="preserve">Xian Q, Siddique S, Li T, Feng Y-L, Takser L and Zhu J  (2011). </w:t>
      </w:r>
      <w:r>
        <w:t>Sources and environmental behavior of dechlorane plus – A review. Environment International, 37, 1273–1284.</w:t>
      </w:r>
    </w:p>
    <w:p w14:paraId="2B8EAB3F" w14:textId="77777777" w:rsidR="002C3E44" w:rsidRPr="00F0628F" w:rsidRDefault="002C3E44" w:rsidP="002C3E44">
      <w:pPr>
        <w:ind w:left="426" w:hanging="426"/>
        <w:jc w:val="both"/>
      </w:pPr>
      <w:r>
        <w:t xml:space="preserve">Xiao H, Shen L, Yushan S, Barresi E, DeJong M, Hung H, Lei Y, Wania F, Reiner E, Sverko E and Kang S (2012). Atmospheric concentrations of halogenated flame </w:t>
      </w:r>
      <w:r w:rsidR="00682033">
        <w:t>retardants</w:t>
      </w:r>
      <w:r>
        <w:t xml:space="preserve"> at two remote locations: the Canadian High Arctic and the Tibetan Plateau. </w:t>
      </w:r>
      <w:r w:rsidRPr="00F0628F">
        <w:t>Environmental Pollution, 161, 154-161.</w:t>
      </w:r>
    </w:p>
    <w:p w14:paraId="1B4C49A9" w14:textId="77777777" w:rsidR="002C3E44" w:rsidRDefault="002C3E44" w:rsidP="002C3E44">
      <w:pPr>
        <w:ind w:left="426" w:hanging="426"/>
        <w:jc w:val="both"/>
      </w:pPr>
      <w:r>
        <w:t xml:space="preserve">Xiao R, Adolfsson-Erici M, Akerman G, McLachlan MS and MacLeod M (2013). A benchmarking method to measure dietary absorption efficiency of chemicals by fish. </w:t>
      </w:r>
      <w:r>
        <w:rPr>
          <w:rFonts w:cs="Arial"/>
        </w:rPr>
        <w:t>Environ. Toxicol. Chem., 32, 2695-2700.</w:t>
      </w:r>
    </w:p>
    <w:p w14:paraId="58B28D98" w14:textId="77777777" w:rsidR="002C3E44" w:rsidRDefault="002C3E44" w:rsidP="002C3E44">
      <w:pPr>
        <w:ind w:left="426" w:hanging="426"/>
        <w:jc w:val="both"/>
        <w:rPr>
          <w:color w:val="000000"/>
          <w:lang w:val="en-US"/>
        </w:rPr>
      </w:pPr>
      <w:r>
        <w:rPr>
          <w:color w:val="000000"/>
        </w:rPr>
        <w:t>Yan X, Zheng J, Chen KH, Yang J, Luo XJ, Yu LH, Chen SJ, Mai BX and Yang ZY (2012). Dechlorane Plus in serum from e-waste recycling workers: influence of gender and potential isomer-specific metabolism. Environ. Int., 49, 31–37.</w:t>
      </w:r>
    </w:p>
    <w:p w14:paraId="54EED8B5" w14:textId="77777777" w:rsidR="002C3E44" w:rsidRDefault="002C3E44" w:rsidP="002C3E44">
      <w:pPr>
        <w:ind w:left="426" w:hanging="426"/>
        <w:jc w:val="both"/>
      </w:pPr>
      <w:r>
        <w:t>Yang M, Jia H, Ma W, Qi H, Cui S and Li Y (2012). Levels, compositions, and gas-particle partitioning of polybrominated diphenyl ethers and dechlorane plus in air in a Chinese northeastern city. Atmospheric Environment, 55, 73-79.</w:t>
      </w:r>
    </w:p>
    <w:p w14:paraId="69FC8572" w14:textId="77777777" w:rsidR="002C3E44" w:rsidRDefault="002C3E44" w:rsidP="002C3E44">
      <w:pPr>
        <w:ind w:left="426" w:hanging="426"/>
        <w:jc w:val="both"/>
      </w:pPr>
      <w:r>
        <w:t>Yang R, Zhang S, Li X, Luo D and Jing C (2016). Dechloranes in lichens from the southeast Tibetan Plateau: Evidence of long-range atmospheric transport. Chemosphere, 144, 446-</w:t>
      </w:r>
      <w:r>
        <w:lastRenderedPageBreak/>
        <w:t>451.</w:t>
      </w:r>
    </w:p>
    <w:p w14:paraId="1798639F" w14:textId="77777777" w:rsidR="002C3E44" w:rsidRPr="00B329D1" w:rsidRDefault="002C3E44" w:rsidP="002C3E44">
      <w:pPr>
        <w:ind w:left="426" w:hanging="426"/>
        <w:jc w:val="both"/>
        <w:rPr>
          <w:lang w:val="fr-FR"/>
        </w:rPr>
      </w:pPr>
      <w:r>
        <w:t xml:space="preserve">Yu L-H, Luo X-J, Wu J-P, Liu L-Y, Song J, Sun Q-H, Zhang X-L, Chen D and Mai B-X (2011). Biomagnification of higher brominated PBDE congeners in an urban terrestrial food web in North China based on field observation of prey deliveries. </w:t>
      </w:r>
      <w:r w:rsidRPr="00B329D1">
        <w:rPr>
          <w:lang w:val="fr-FR"/>
        </w:rPr>
        <w:t>Environmental Science &amp; Technology, 45, 5125–5131.</w:t>
      </w:r>
    </w:p>
    <w:p w14:paraId="4C32923E" w14:textId="77777777" w:rsidR="002C3E44" w:rsidRDefault="002C3E44" w:rsidP="002C3E44">
      <w:pPr>
        <w:ind w:left="426" w:hanging="426"/>
        <w:jc w:val="both"/>
      </w:pPr>
      <w:r w:rsidRPr="00B329D1">
        <w:rPr>
          <w:lang w:val="fr-FR"/>
        </w:rPr>
        <w:t xml:space="preserve">Yu L, Luo X, Zheng X, Zeng Y, Chen D, Wu J and Mai B (2013). </w:t>
      </w:r>
      <w:r>
        <w:t>Occurrence and biomagnification of organohalogen pollutants in two terrestrial predatory food chains. Chemosphere, 93, 506–511.</w:t>
      </w:r>
    </w:p>
    <w:p w14:paraId="4B21394D" w14:textId="77777777" w:rsidR="002C3E44" w:rsidRPr="00F0628F" w:rsidRDefault="002C3E44" w:rsidP="002C3E44">
      <w:pPr>
        <w:ind w:left="426" w:hanging="426"/>
        <w:jc w:val="both"/>
        <w:rPr>
          <w:lang w:val="fr-FR"/>
        </w:rPr>
      </w:pPr>
      <w:r>
        <w:rPr>
          <w:color w:val="000000"/>
        </w:rPr>
        <w:t>Yu L-H, Luo X-J, Liu H-Y, Zeng Y-H, Zheng X-B, Wu J-P, Yu Y-J and B-X Mai</w:t>
      </w:r>
      <w:r>
        <w:t xml:space="preserve"> (2014). Organohalogen contamination in passerine birds from three metropolises in China: Geographical variation and its implication for anthropogenic effects on urban environments. </w:t>
      </w:r>
      <w:r w:rsidRPr="00F0628F">
        <w:rPr>
          <w:lang w:val="fr-FR"/>
        </w:rPr>
        <w:t>Environmental Pollution, 188, 118-123.</w:t>
      </w:r>
    </w:p>
    <w:p w14:paraId="54A02493" w14:textId="77777777" w:rsidR="002C3E44" w:rsidRDefault="002C3E44" w:rsidP="002C3E44">
      <w:pPr>
        <w:ind w:left="426" w:hanging="426"/>
        <w:jc w:val="both"/>
      </w:pPr>
      <w:r w:rsidRPr="00F0628F">
        <w:rPr>
          <w:lang w:val="fr-FR"/>
        </w:rPr>
        <w:t xml:space="preserve">Zeng Y-H, Luo X-J, Tang B, Zheng X-B and Mai B-X (2014a). </w:t>
      </w:r>
      <w:r>
        <w:t>Gastrointestinal absorption, dynamic tissue-specific accumulation, and isomer composition of dechlorane plus and related analogs in common carp by dietary exposure. Ecotoxicology and Environmental Safety, 100, 32–38.</w:t>
      </w:r>
    </w:p>
    <w:p w14:paraId="1EA800EF" w14:textId="77777777" w:rsidR="002C3E44" w:rsidRDefault="002C3E44" w:rsidP="002C3E44">
      <w:pPr>
        <w:ind w:left="426" w:hanging="426"/>
        <w:jc w:val="both"/>
        <w:rPr>
          <w:lang w:val="en-US" w:eastAsia="en-GB"/>
        </w:rPr>
      </w:pPr>
      <w:r>
        <w:rPr>
          <w:lang w:eastAsia="en-GB"/>
        </w:rPr>
        <w:t xml:space="preserve">Zeng Y-H, Luo X-J, Zheng X-B, Tang B, Wu J-P and Mai B-X (2014b). Species-specific bioaccumulation of halogenated organic pollutants and their metabolites in fish serum from an e-waste site, South China. Archives of Environmental Contamination and Toxicology, 67 (3), 348-357. </w:t>
      </w:r>
    </w:p>
    <w:p w14:paraId="2E388906" w14:textId="77777777" w:rsidR="002C3E44" w:rsidRDefault="002C3E44" w:rsidP="002C3E44">
      <w:pPr>
        <w:ind w:left="426" w:hanging="426"/>
        <w:jc w:val="both"/>
        <w:rPr>
          <w:rFonts w:eastAsiaTheme="minorHAnsi" w:cs="AdvOT2e364b11"/>
          <w:lang w:eastAsia="en-US"/>
        </w:rPr>
      </w:pPr>
      <w:r>
        <w:t>Zhang</w:t>
      </w:r>
      <w:r>
        <w:rPr>
          <w:rFonts w:eastAsiaTheme="minorHAnsi" w:cs="AdvOT2e364b11"/>
        </w:rPr>
        <w:t xml:space="preserve"> K, Wan Y, An LH and Hu JY (2010a). Trophodynamics of polybrominated diphenyl ethers and methoxylated polybrominated diphenyl ethers in a marine food web. Environ. Toxicol. Chem., 29, 2792−2799. </w:t>
      </w:r>
    </w:p>
    <w:p w14:paraId="49ED677F" w14:textId="77777777" w:rsidR="002C3E44" w:rsidRDefault="002C3E44" w:rsidP="002C3E44">
      <w:pPr>
        <w:ind w:left="426" w:hanging="426"/>
        <w:jc w:val="both"/>
        <w:rPr>
          <w:lang w:val="en-US" w:eastAsia="en-GB"/>
        </w:rPr>
      </w:pPr>
      <w:r>
        <w:rPr>
          <w:lang w:eastAsia="en-GB"/>
        </w:rPr>
        <w:t>Zhang Y, Luo XJ, Wu JP, Liu J, Wang J, Chen SJ and Mai BX (2010b). Contaminant pattern and bioaccumulation of legacy and emerging organhalogen pollutants in the aquatic biota from an e-waste recycling region in South China. Environmental Toxicology and Chemistry, 29, 852–859.</w:t>
      </w:r>
    </w:p>
    <w:p w14:paraId="33A85572" w14:textId="77777777" w:rsidR="002C3E44" w:rsidRPr="00C929E3" w:rsidRDefault="002C3E44" w:rsidP="002C3E44">
      <w:pPr>
        <w:ind w:left="426" w:hanging="426"/>
        <w:jc w:val="both"/>
        <w:rPr>
          <w:lang w:eastAsia="en-US"/>
        </w:rPr>
      </w:pPr>
      <w:r>
        <w:t xml:space="preserve">Zhang Y, Wu J-P, Luo X-J, Wang J, Chen S-J and Mai B-X (2011a). Tissue distribution of Dechlorane Plus and its dechlorinated analogs in contaminated fish: High affinity to the brain for anti-DP. </w:t>
      </w:r>
      <w:r w:rsidRPr="00C929E3">
        <w:t>Environmental Pollution, 159. 3647-3652.</w:t>
      </w:r>
    </w:p>
    <w:p w14:paraId="5BE2B5E0" w14:textId="77777777" w:rsidR="002C3E44" w:rsidRPr="00F0628F" w:rsidRDefault="002C3E44" w:rsidP="002C3E44">
      <w:pPr>
        <w:ind w:left="426" w:hanging="426"/>
        <w:jc w:val="both"/>
        <w:rPr>
          <w:lang w:val="fr-FR"/>
        </w:rPr>
      </w:pPr>
      <w:r w:rsidRPr="00C929E3">
        <w:t xml:space="preserve">Zhang X-L, Luo X-J, Liu H-Y, Yu L-H, Chen S-J and Mai B-X (2011b). </w:t>
      </w:r>
      <w:r>
        <w:t xml:space="preserve">Brominated flame retardants and Dechlorane Plus in waterbirds from an e-waste recycling region in South China: associated with trophic level and diet sources. </w:t>
      </w:r>
      <w:r w:rsidRPr="00F0628F">
        <w:rPr>
          <w:lang w:val="fr-FR"/>
        </w:rPr>
        <w:t>Environ. Sci. Technol., 45, 400–405.</w:t>
      </w:r>
    </w:p>
    <w:p w14:paraId="23684CCF" w14:textId="77777777" w:rsidR="002C3E44" w:rsidRDefault="002C3E44" w:rsidP="002C3E44">
      <w:pPr>
        <w:ind w:left="426" w:hanging="426"/>
        <w:jc w:val="both"/>
        <w:rPr>
          <w:color w:val="000000"/>
          <w:lang w:eastAsia="en-GB"/>
        </w:rPr>
      </w:pPr>
      <w:r w:rsidRPr="00F0628F">
        <w:rPr>
          <w:lang w:val="fr-FR"/>
        </w:rPr>
        <w:t xml:space="preserve">Zhang Y, Wu J-P, Luo X-J, Sun Y-X, Mo L, Chen S-J and Mai B-X (2011c). </w:t>
      </w:r>
      <w:r>
        <w:t>Biota-</w:t>
      </w:r>
      <w:r>
        <w:rPr>
          <w:color w:val="000000"/>
          <w:lang w:eastAsia="en-GB"/>
        </w:rPr>
        <w:t>sediment accumulation factors for Dechlorane Plus in bottom fish from an electronic waste recycling site, South China. Environment International, 37, 1357–1361.</w:t>
      </w:r>
    </w:p>
    <w:p w14:paraId="73577365" w14:textId="77777777" w:rsidR="002C3E44" w:rsidRPr="00B329D1" w:rsidRDefault="002C3E44" w:rsidP="002C3E44">
      <w:pPr>
        <w:ind w:left="426" w:hanging="426"/>
        <w:jc w:val="both"/>
        <w:rPr>
          <w:lang w:eastAsia="en-US"/>
        </w:rPr>
      </w:pPr>
      <w:r>
        <w:t xml:space="preserve">Zhang K, Wan Y, Jones PD, Wiseman S, Giesy JP and Hu JY (2012). Occurrences and fates of hydroxylated polybrominated diphenyl ethers in marine sediments in relation to trophodynamics. </w:t>
      </w:r>
      <w:r w:rsidRPr="00B329D1">
        <w:t>Environ. Sci. Technol., 46, 2148−2155.</w:t>
      </w:r>
    </w:p>
    <w:p w14:paraId="7CF2CD7E" w14:textId="77777777" w:rsidR="002C3E44" w:rsidRPr="00F0628F" w:rsidRDefault="002C3E44" w:rsidP="002C3E44">
      <w:pPr>
        <w:ind w:left="426" w:hanging="426"/>
        <w:jc w:val="both"/>
        <w:rPr>
          <w:lang w:val="fr-FR"/>
        </w:rPr>
      </w:pPr>
      <w:r w:rsidRPr="00B329D1">
        <w:t xml:space="preserve">Zhang H, Wang P, Li Y, Shang H, Wang Y, Wang T, Zhang Q and Jiang G (2013). </w:t>
      </w:r>
      <w:r>
        <w:t xml:space="preserve">Assessment on the occupational exposure of manufacturing workers to Dechlorane Plus through blood and hair analysis. </w:t>
      </w:r>
      <w:r w:rsidRPr="00F0628F">
        <w:rPr>
          <w:lang w:val="fr-FR"/>
        </w:rPr>
        <w:t>Environ. Sci. Technol., 47, 10567−10573.</w:t>
      </w:r>
    </w:p>
    <w:p w14:paraId="09C258E2" w14:textId="77777777" w:rsidR="002C3E44" w:rsidRDefault="002C3E44" w:rsidP="002C3E44">
      <w:pPr>
        <w:autoSpaceDE w:val="0"/>
        <w:autoSpaceDN w:val="0"/>
        <w:adjustRightInd w:val="0"/>
        <w:ind w:left="426" w:hanging="426"/>
        <w:jc w:val="both"/>
        <w:rPr>
          <w:color w:val="000000"/>
        </w:rPr>
      </w:pPr>
      <w:r w:rsidRPr="00F0628F">
        <w:rPr>
          <w:color w:val="000000"/>
          <w:lang w:val="fr-FR"/>
        </w:rPr>
        <w:t xml:space="preserve">Zhang L, Ji F, Li M, Cui Y and Wu B (2014). </w:t>
      </w:r>
      <w:r>
        <w:rPr>
          <w:color w:val="000000"/>
        </w:rPr>
        <w:t xml:space="preserve">Short-term effects of Dechlorane Plus on the earthworm </w:t>
      </w:r>
      <w:r>
        <w:rPr>
          <w:i/>
          <w:color w:val="000000"/>
        </w:rPr>
        <w:t>Eisenia fetida</w:t>
      </w:r>
      <w:r>
        <w:rPr>
          <w:color w:val="000000"/>
        </w:rPr>
        <w:t xml:space="preserve"> determined by a systems biology approach. Journal of Hazardous Materials, 273, 239–246.</w:t>
      </w:r>
    </w:p>
    <w:p w14:paraId="7FD87E2F" w14:textId="77777777" w:rsidR="002C3E44" w:rsidRDefault="002C3E44" w:rsidP="002C3E44">
      <w:pPr>
        <w:autoSpaceDE w:val="0"/>
        <w:autoSpaceDN w:val="0"/>
        <w:adjustRightInd w:val="0"/>
        <w:ind w:left="426" w:hanging="426"/>
        <w:jc w:val="both"/>
        <w:rPr>
          <w:lang w:val="en-US"/>
        </w:rPr>
      </w:pPr>
      <w:r>
        <w:t>Zhang Y, Luo XJ, Mo L, Wu JP, Mai BX and Peng YH (2015)</w:t>
      </w:r>
      <w:r>
        <w:rPr>
          <w:i/>
        </w:rPr>
        <w:t xml:space="preserve">. </w:t>
      </w:r>
      <w:r>
        <w:t>Bioaccumulation and translocation of polyhalogenated compounds in rice (</w:t>
      </w:r>
      <w:r>
        <w:rPr>
          <w:i/>
        </w:rPr>
        <w:t>Oryza sativa</w:t>
      </w:r>
      <w:r>
        <w:t xml:space="preserve"> L.) planted in paddy soil collected from an electronic waste recycling site, South China. Chemosphere, 137, 25-32.</w:t>
      </w:r>
    </w:p>
    <w:p w14:paraId="2F6DD819" w14:textId="77777777" w:rsidR="002C3E44" w:rsidRDefault="002C3E44" w:rsidP="002C3E44">
      <w:pPr>
        <w:autoSpaceDE w:val="0"/>
        <w:autoSpaceDN w:val="0"/>
        <w:adjustRightInd w:val="0"/>
        <w:ind w:left="426" w:hanging="426"/>
        <w:jc w:val="both"/>
        <w:rPr>
          <w:lang w:eastAsia="en-GB"/>
        </w:rPr>
      </w:pPr>
      <w:r>
        <w:rPr>
          <w:lang w:eastAsia="en-GB"/>
        </w:rPr>
        <w:t xml:space="preserve">Zhao L, Gong N, Mi D, Luan C, Shao K, Jia H and Sun Y (2014). Kinetics of stereoselective enrichment of Dechlorane Plus in </w:t>
      </w:r>
      <w:r>
        <w:rPr>
          <w:i/>
          <w:lang w:eastAsia="en-GB"/>
        </w:rPr>
        <w:t>Ulva pertusa</w:t>
      </w:r>
      <w:r>
        <w:rPr>
          <w:lang w:eastAsia="en-GB"/>
        </w:rPr>
        <w:t xml:space="preserve">. Chemosphere, 111, 580-586. </w:t>
      </w:r>
    </w:p>
    <w:p w14:paraId="2407F6D9" w14:textId="77777777" w:rsidR="002C3E44" w:rsidRPr="00B329D1" w:rsidRDefault="002C3E44" w:rsidP="002C3E44">
      <w:pPr>
        <w:autoSpaceDE w:val="0"/>
        <w:autoSpaceDN w:val="0"/>
        <w:adjustRightInd w:val="0"/>
        <w:ind w:left="426" w:hanging="426"/>
        <w:jc w:val="both"/>
        <w:rPr>
          <w:lang w:eastAsia="en-US"/>
        </w:rPr>
      </w:pPr>
      <w:r>
        <w:t xml:space="preserve">Zheng J, Wang J, Luo XJ, Tian M, He LY, Yuan JG, Mai BX and Yang ZY (2010). Dechlorane Plus in human hair from an e-waste recycling area in south China: </w:t>
      </w:r>
      <w:r>
        <w:rPr>
          <w:color w:val="000000"/>
        </w:rPr>
        <w:t>Comparison</w:t>
      </w:r>
      <w:r>
        <w:t xml:space="preserve"> with dust. </w:t>
      </w:r>
      <w:r w:rsidRPr="00B329D1">
        <w:t>Environ. Sci. Technol., 44 (24), 9298−9303.</w:t>
      </w:r>
    </w:p>
    <w:p w14:paraId="6095AC69" w14:textId="77777777" w:rsidR="002C3E44" w:rsidRPr="00B329D1" w:rsidRDefault="002C3E44" w:rsidP="002C3E44">
      <w:pPr>
        <w:autoSpaceDE w:val="0"/>
        <w:autoSpaceDN w:val="0"/>
        <w:adjustRightInd w:val="0"/>
        <w:ind w:left="426" w:hanging="426"/>
        <w:jc w:val="both"/>
        <w:rPr>
          <w:lang w:val="fr-FR"/>
        </w:rPr>
      </w:pPr>
      <w:r w:rsidRPr="00B329D1">
        <w:rPr>
          <w:color w:val="000000"/>
        </w:rPr>
        <w:t>Zheng</w:t>
      </w:r>
      <w:r w:rsidRPr="00B329D1">
        <w:t xml:space="preserve"> X-B, Wu J-P, Luo X-J, Zeng Y-H, She Y-Z and Mai B-X (2012). </w:t>
      </w:r>
      <w:r>
        <w:t xml:space="preserve">Halogenated flame retardants in home-produced eggs from an electronic waste recycling region in South China: Levels, composition profiles, and human dietary exposure assessment. </w:t>
      </w:r>
      <w:r w:rsidRPr="00B329D1">
        <w:rPr>
          <w:lang w:val="fr-FR"/>
        </w:rPr>
        <w:t>Environment International, 45, 122–128.</w:t>
      </w:r>
    </w:p>
    <w:p w14:paraId="69042038" w14:textId="77777777" w:rsidR="002C3E44" w:rsidRDefault="002C3E44" w:rsidP="002C3E44">
      <w:pPr>
        <w:autoSpaceDE w:val="0"/>
        <w:autoSpaceDN w:val="0"/>
        <w:adjustRightInd w:val="0"/>
        <w:ind w:left="426" w:hanging="426"/>
        <w:jc w:val="both"/>
        <w:rPr>
          <w:lang w:eastAsia="en-GB"/>
        </w:rPr>
      </w:pPr>
      <w:r w:rsidRPr="00B329D1">
        <w:rPr>
          <w:lang w:val="fr-FR" w:eastAsia="en-GB"/>
        </w:rPr>
        <w:lastRenderedPageBreak/>
        <w:t xml:space="preserve">Zheng, X-B, Luo X-J, Zeng Y-H, Wu J-P and Mai B-X (2014a). </w:t>
      </w:r>
      <w:r>
        <w:rPr>
          <w:lang w:eastAsia="en-GB"/>
        </w:rPr>
        <w:t xml:space="preserve">Sources, </w:t>
      </w:r>
      <w:r>
        <w:t>gastrointestinal</w:t>
      </w:r>
      <w:r>
        <w:rPr>
          <w:lang w:eastAsia="en-GB"/>
        </w:rPr>
        <w:t xml:space="preserve"> absorption and stereo-selective and tissue-specific accumulation of Dechlorane Plus (DP) in chicken. Chemosphere, 114, 241-246. </w:t>
      </w:r>
    </w:p>
    <w:p w14:paraId="5E54E9A5" w14:textId="77777777" w:rsidR="002C3E44" w:rsidRDefault="002C3E44" w:rsidP="002C3E44">
      <w:pPr>
        <w:autoSpaceDE w:val="0"/>
        <w:autoSpaceDN w:val="0"/>
        <w:adjustRightInd w:val="0"/>
        <w:ind w:left="426" w:hanging="426"/>
        <w:jc w:val="both"/>
        <w:rPr>
          <w:lang w:eastAsia="en-GB"/>
        </w:rPr>
      </w:pPr>
      <w:r>
        <w:rPr>
          <w:lang w:eastAsia="en-GB"/>
        </w:rPr>
        <w:t xml:space="preserve">Zheng X-B, Luo X-J, Zeng Y-H, Wu J-P, Chen S-J and Mai B-X (2014b). Halogenated flame retardants during egg formation and chicken embryo development: Maternal transfer, possible biotransformation, and tissue distribution. Environmental Toxicology and Chemistry, 33 (8), 1712-1719. </w:t>
      </w:r>
    </w:p>
    <w:p w14:paraId="7A944EF5" w14:textId="77777777" w:rsidR="002C3E44" w:rsidRDefault="002C3E44" w:rsidP="002C3E44">
      <w:pPr>
        <w:autoSpaceDE w:val="0"/>
        <w:autoSpaceDN w:val="0"/>
        <w:adjustRightInd w:val="0"/>
        <w:ind w:left="426" w:hanging="426"/>
        <w:jc w:val="both"/>
        <w:rPr>
          <w:color w:val="0000FF"/>
          <w:lang w:eastAsia="en-US"/>
        </w:rPr>
      </w:pPr>
      <w:r>
        <w:rPr>
          <w:color w:val="000000"/>
        </w:rPr>
        <w:t>Zhou S N, Siddique S, Lavoie L, Takser L, Abdelouahab N and Zhu J (2014). Hexachloronorbornene-based flame retardants in humans: Levels in maternal serum and milk. Environment International, 66, 11–17.</w:t>
      </w:r>
    </w:p>
    <w:p w14:paraId="26A5FC0D" w14:textId="77777777" w:rsidR="002C3E44" w:rsidRDefault="002C3E44" w:rsidP="002C3E44">
      <w:pPr>
        <w:autoSpaceDE w:val="0"/>
        <w:autoSpaceDN w:val="0"/>
        <w:adjustRightInd w:val="0"/>
        <w:ind w:left="426" w:hanging="426"/>
        <w:jc w:val="both"/>
        <w:rPr>
          <w:lang w:val="en-US"/>
        </w:rPr>
      </w:pPr>
      <w:r>
        <w:rPr>
          <w:color w:val="000000"/>
        </w:rPr>
        <w:t>Zhu</w:t>
      </w:r>
      <w:r>
        <w:t xml:space="preserve"> B, Lai NLS, Wai T-C, Leo L. Chan LL, Lam JCW and Lam PKS (2014). Changes of accumulation profiles from PBDEs to brominated and chlorinated alternatives in marine mammals from the South China Sea. Environment International, 66, 65–70.</w:t>
      </w:r>
    </w:p>
    <w:p w14:paraId="48C339B1" w14:textId="77777777" w:rsidR="00C81C2F" w:rsidRPr="00C81C2F" w:rsidRDefault="002C3E44" w:rsidP="00822BE8">
      <w:pPr>
        <w:autoSpaceDE w:val="0"/>
        <w:autoSpaceDN w:val="0"/>
        <w:adjustRightInd w:val="0"/>
        <w:ind w:left="426" w:hanging="426"/>
        <w:jc w:val="both"/>
      </w:pPr>
      <w:r>
        <w:t>Zitko V (1980). The uptake and excretion of mirex and dechloranes by juvenile atlantic salmon. Chemosphere, 9, 73-78.</w:t>
      </w:r>
      <w:r>
        <w:br w:type="page"/>
      </w:r>
    </w:p>
    <w:p w14:paraId="19B4FAFC" w14:textId="34A18811" w:rsidR="00B12C39" w:rsidRDefault="00B12C39" w:rsidP="00980DCA">
      <w:pPr>
        <w:pStyle w:val="NormalItalic"/>
        <w:rPr>
          <w:i w:val="0"/>
        </w:rPr>
      </w:pPr>
    </w:p>
    <w:p w14:paraId="685156BC" w14:textId="137949E9" w:rsidR="00BE7284" w:rsidRPr="00BE7284" w:rsidRDefault="00BE7284" w:rsidP="00F365F8">
      <w:pPr>
        <w:pStyle w:val="NormalItalic"/>
        <w:outlineLvl w:val="0"/>
        <w:rPr>
          <w:b/>
          <w:i w:val="0"/>
          <w:color w:val="0046AD"/>
          <w:sz w:val="28"/>
          <w:lang w:eastAsia="fi-FI"/>
        </w:rPr>
      </w:pPr>
      <w:bookmarkStart w:id="841" w:name="_Toc491862262"/>
      <w:r w:rsidRPr="00BE7284">
        <w:rPr>
          <w:b/>
          <w:i w:val="0"/>
          <w:color w:val="0046AD"/>
          <w:sz w:val="28"/>
          <w:lang w:eastAsia="fi-FI"/>
        </w:rPr>
        <w:t>List of appendices</w:t>
      </w:r>
      <w:bookmarkEnd w:id="841"/>
    </w:p>
    <w:p w14:paraId="2E2F5DF6" w14:textId="496BA88E" w:rsidR="00BE7284" w:rsidRPr="00BE7284" w:rsidRDefault="00BE7284" w:rsidP="00BE7284">
      <w:pPr>
        <w:pStyle w:val="NormalItalic"/>
        <w:rPr>
          <w:i w:val="0"/>
          <w:szCs w:val="20"/>
        </w:rPr>
      </w:pPr>
      <w:r w:rsidRPr="00BE7284">
        <w:rPr>
          <w:i w:val="0"/>
          <w:szCs w:val="20"/>
        </w:rPr>
        <w:t xml:space="preserve">Appendix 1 </w:t>
      </w:r>
      <w:r w:rsidRPr="00BE7284">
        <w:rPr>
          <w:i w:val="0"/>
          <w:szCs w:val="20"/>
        </w:rPr>
        <w:tab/>
        <w:t xml:space="preserve">Detailed summaries of data cited in the main report  </w:t>
      </w:r>
    </w:p>
    <w:p w14:paraId="79EDF105" w14:textId="77777777" w:rsidR="00BE7284" w:rsidRPr="00BE7284" w:rsidRDefault="00BE7284" w:rsidP="00BE7284">
      <w:pPr>
        <w:pStyle w:val="NormalItalic"/>
        <w:rPr>
          <w:i w:val="0"/>
          <w:szCs w:val="20"/>
        </w:rPr>
      </w:pPr>
      <w:r w:rsidRPr="00BE7284">
        <w:rPr>
          <w:i w:val="0"/>
          <w:szCs w:val="20"/>
        </w:rPr>
        <w:t>Appendix 2</w:t>
      </w:r>
      <w:r w:rsidRPr="00BE7284">
        <w:rPr>
          <w:i w:val="0"/>
          <w:szCs w:val="20"/>
        </w:rPr>
        <w:tab/>
        <w:t>Transformation products</w:t>
      </w:r>
    </w:p>
    <w:p w14:paraId="38444168" w14:textId="77777777" w:rsidR="00BE7284" w:rsidRPr="00BE7284" w:rsidRDefault="00BE7284" w:rsidP="00BE7284">
      <w:pPr>
        <w:pStyle w:val="NormalItalic"/>
        <w:rPr>
          <w:i w:val="0"/>
          <w:szCs w:val="20"/>
        </w:rPr>
      </w:pPr>
      <w:r w:rsidRPr="00BE7284">
        <w:rPr>
          <w:i w:val="0"/>
          <w:szCs w:val="20"/>
        </w:rPr>
        <w:t>Appendix 3</w:t>
      </w:r>
      <w:r w:rsidRPr="00BE7284">
        <w:rPr>
          <w:i w:val="0"/>
          <w:szCs w:val="20"/>
        </w:rPr>
        <w:tab/>
        <w:t>Measured concentrations of Dechlorane Plus in biota associated with the aquatic environment</w:t>
      </w:r>
      <w:r w:rsidRPr="00BE7284">
        <w:rPr>
          <w:i w:val="0"/>
          <w:szCs w:val="20"/>
        </w:rPr>
        <w:tab/>
      </w:r>
    </w:p>
    <w:p w14:paraId="2D8DFE89" w14:textId="77777777" w:rsidR="00BE7284" w:rsidRPr="00BE7284" w:rsidRDefault="00BE7284" w:rsidP="00BE7284">
      <w:pPr>
        <w:pStyle w:val="NormalItalic"/>
        <w:rPr>
          <w:i w:val="0"/>
          <w:szCs w:val="20"/>
        </w:rPr>
      </w:pPr>
      <w:r w:rsidRPr="00BE7284">
        <w:rPr>
          <w:i w:val="0"/>
          <w:szCs w:val="20"/>
        </w:rPr>
        <w:t>Appendix 4</w:t>
      </w:r>
      <w:r w:rsidRPr="00BE7284">
        <w:rPr>
          <w:i w:val="0"/>
          <w:szCs w:val="20"/>
        </w:rPr>
        <w:tab/>
        <w:t>Measured concentrations of Dechlorane Plus in biota associated with the terrestrial environment</w:t>
      </w:r>
    </w:p>
    <w:p w14:paraId="3B6A99BF" w14:textId="77777777" w:rsidR="00BE7284" w:rsidRPr="00BE7284" w:rsidRDefault="00BE7284" w:rsidP="00BE7284">
      <w:pPr>
        <w:pStyle w:val="NormalItalic"/>
        <w:rPr>
          <w:i w:val="0"/>
          <w:szCs w:val="20"/>
        </w:rPr>
      </w:pPr>
      <w:r w:rsidRPr="00BE7284">
        <w:rPr>
          <w:i w:val="0"/>
          <w:szCs w:val="20"/>
        </w:rPr>
        <w:t>Appendix 5</w:t>
      </w:r>
      <w:r w:rsidRPr="00BE7284">
        <w:rPr>
          <w:i w:val="0"/>
          <w:szCs w:val="20"/>
        </w:rPr>
        <w:tab/>
        <w:t>Other European monitoring studies</w:t>
      </w:r>
    </w:p>
    <w:p w14:paraId="03991546" w14:textId="77777777" w:rsidR="00BE7284" w:rsidRPr="00BE7284" w:rsidRDefault="00BE7284" w:rsidP="00BE7284">
      <w:pPr>
        <w:pStyle w:val="NormalItalic"/>
        <w:rPr>
          <w:i w:val="0"/>
          <w:szCs w:val="20"/>
        </w:rPr>
      </w:pPr>
      <w:r w:rsidRPr="00BE7284">
        <w:rPr>
          <w:i w:val="0"/>
          <w:szCs w:val="20"/>
        </w:rPr>
        <w:t>Appendix 6</w:t>
      </w:r>
      <w:r w:rsidRPr="00BE7284">
        <w:rPr>
          <w:i w:val="0"/>
          <w:szCs w:val="20"/>
        </w:rPr>
        <w:tab/>
        <w:t>Comparison of laboratory bioconcentration data between substances</w:t>
      </w:r>
    </w:p>
    <w:p w14:paraId="22D1CC96" w14:textId="77777777" w:rsidR="00BE7284" w:rsidRPr="00BE7284" w:rsidRDefault="00BE7284" w:rsidP="00BE7284">
      <w:pPr>
        <w:pStyle w:val="NormalItalic"/>
        <w:rPr>
          <w:i w:val="0"/>
          <w:szCs w:val="20"/>
        </w:rPr>
      </w:pPr>
      <w:r w:rsidRPr="00BE7284">
        <w:rPr>
          <w:i w:val="0"/>
          <w:szCs w:val="20"/>
        </w:rPr>
        <w:t>Appendix 7</w:t>
      </w:r>
      <w:r w:rsidRPr="00BE7284">
        <w:rPr>
          <w:i w:val="0"/>
          <w:szCs w:val="20"/>
        </w:rPr>
        <w:tab/>
        <w:t>Benchmarking of bioaccumulation using Polychlorobiphenyls (PCBs)</w:t>
      </w:r>
    </w:p>
    <w:p w14:paraId="65A26C22" w14:textId="7352144E" w:rsidR="00BE7284" w:rsidRPr="00BE7284" w:rsidRDefault="00F365F8" w:rsidP="00BE7284">
      <w:pPr>
        <w:pStyle w:val="NormalItalic"/>
        <w:rPr>
          <w:i w:val="0"/>
          <w:szCs w:val="20"/>
        </w:rPr>
      </w:pPr>
      <w:r>
        <w:rPr>
          <w:i w:val="0"/>
          <w:szCs w:val="20"/>
        </w:rPr>
        <w:t>Appendix 8</w:t>
      </w:r>
      <w:r>
        <w:rPr>
          <w:i w:val="0"/>
          <w:szCs w:val="20"/>
        </w:rPr>
        <w:tab/>
      </w:r>
      <w:r w:rsidR="00BE7284" w:rsidRPr="00BE7284">
        <w:rPr>
          <w:i w:val="0"/>
          <w:szCs w:val="20"/>
        </w:rPr>
        <w:t>Predicted aquatic toxicity of selected Dechlorane Plus analogues using EPISuite v4.11</w:t>
      </w:r>
    </w:p>
    <w:p w14:paraId="678B40F7" w14:textId="231B45CC" w:rsidR="00BE7284" w:rsidRPr="00BE7284" w:rsidRDefault="00BE7284" w:rsidP="00BE7284">
      <w:pPr>
        <w:pStyle w:val="NormalItalic"/>
        <w:rPr>
          <w:i w:val="0"/>
          <w:szCs w:val="20"/>
        </w:rPr>
      </w:pPr>
      <w:r w:rsidRPr="00BE7284">
        <w:rPr>
          <w:i w:val="0"/>
          <w:szCs w:val="20"/>
        </w:rPr>
        <w:t xml:space="preserve">Appendix 9 </w:t>
      </w:r>
      <w:r w:rsidRPr="00BE7284">
        <w:rPr>
          <w:i w:val="0"/>
          <w:szCs w:val="20"/>
        </w:rPr>
        <w:tab/>
        <w:t>Further references that appear relevant but are not included in the assessment</w:t>
      </w:r>
    </w:p>
    <w:sectPr w:rsidR="00BE7284" w:rsidRPr="00BE7284" w:rsidSect="005450B8">
      <w:footerReference w:type="first" r:id="rId56"/>
      <w:type w:val="continuous"/>
      <w:pgSz w:w="11907" w:h="16840" w:code="9"/>
      <w:pgMar w:top="1418" w:right="1134" w:bottom="1418" w:left="1134" w:header="737"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B4087" w14:textId="77777777" w:rsidR="00873585" w:rsidRDefault="00873585">
      <w:r>
        <w:separator/>
      </w:r>
    </w:p>
  </w:endnote>
  <w:endnote w:type="continuationSeparator" w:id="0">
    <w:p w14:paraId="11A7EB2F" w14:textId="77777777" w:rsidR="00873585" w:rsidRDefault="0087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AdvOT863180fb">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Utopia-Regular">
    <w:panose1 w:val="00000000000000000000"/>
    <w:charset w:val="00"/>
    <w:family w:val="roman"/>
    <w:notTrueType/>
    <w:pitch w:val="default"/>
    <w:sig w:usb0="00000003" w:usb1="00000000" w:usb2="00000000" w:usb3="00000000" w:csb0="00000001" w:csb1="00000000"/>
  </w:font>
  <w:font w:name="ChemBats2">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8070000" w:usb2="00000010" w:usb3="00000000" w:csb0="00020001" w:csb1="00000000"/>
  </w:font>
  <w:font w:name="TimesNewRomanPS-ItalicMT">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AdvOT3c2d9f11">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vGulliv-R">
    <w:altName w:val="MS Mincho"/>
    <w:panose1 w:val="00000000000000000000"/>
    <w:charset w:val="80"/>
    <w:family w:val="auto"/>
    <w:notTrueType/>
    <w:pitch w:val="default"/>
    <w:sig w:usb0="00000003" w:usb1="08070000" w:usb2="00000010" w:usb3="00000000" w:csb0="00020001" w:csb1="00000000"/>
  </w:font>
  <w:font w:name="Times New Roman Bold">
    <w:panose1 w:val="02020803070505020304"/>
    <w:charset w:val="00"/>
    <w:family w:val="roman"/>
    <w:notTrueType/>
    <w:pitch w:val="default"/>
  </w:font>
  <w:font w:name="TimesNewRoman">
    <w:panose1 w:val="00000000000000000000"/>
    <w:charset w:val="00"/>
    <w:family w:val="roman"/>
    <w:notTrueType/>
    <w:pitch w:val="default"/>
    <w:sig w:usb0="00000003" w:usb1="00000000" w:usb2="00000000" w:usb3="00000000" w:csb0="00000001" w:csb1="00000000"/>
  </w:font>
  <w:font w:name="AdvOT8608a8d1+22">
    <w:panose1 w:val="00000000000000000000"/>
    <w:charset w:val="00"/>
    <w:family w:val="swiss"/>
    <w:notTrueType/>
    <w:pitch w:val="default"/>
    <w:sig w:usb0="00000003" w:usb1="00000000" w:usb2="00000000" w:usb3="00000000" w:csb0="00000001" w:csb1="00000000"/>
  </w:font>
  <w:font w:name="AdvOT8608a8d1+03">
    <w:altName w:val="MS Mincho"/>
    <w:panose1 w:val="00000000000000000000"/>
    <w:charset w:val="80"/>
    <w:family w:val="auto"/>
    <w:notTrueType/>
    <w:pitch w:val="default"/>
    <w:sig w:usb0="20000001" w:usb1="08070000" w:usb2="00000010" w:usb3="00000000" w:csb0="00020100" w:csb1="00000000"/>
  </w:font>
  <w:font w:name="GFIJN N+ MTSY">
    <w:altName w:val="Arial Unicode MS"/>
    <w:panose1 w:val="00000000000000000000"/>
    <w:charset w:val="81"/>
    <w:family w:val="swiss"/>
    <w:notTrueType/>
    <w:pitch w:val="default"/>
    <w:sig w:usb0="00000000" w:usb1="09060000" w:usb2="00000010" w:usb3="00000000" w:csb0="00080000" w:csb1="00000000"/>
  </w:font>
  <w:font w:name="AdvOT2e364b11">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D140A" w14:textId="77777777" w:rsidR="00873585" w:rsidRDefault="00873585">
    <w:pPr>
      <w:pStyle w:val="Footer"/>
      <w:pBdr>
        <w:top w:val="single" w:sz="4" w:space="1" w:color="D9D9D9" w:themeColor="background1" w:themeShade="D9"/>
      </w:pBdr>
      <w:jc w:val="right"/>
    </w:pPr>
  </w:p>
  <w:p w14:paraId="07668041" w14:textId="77777777" w:rsidR="00873585" w:rsidRDefault="00873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44020"/>
      <w:docPartObj>
        <w:docPartGallery w:val="Page Numbers (Bottom of Page)"/>
        <w:docPartUnique/>
      </w:docPartObj>
    </w:sdtPr>
    <w:sdtEndPr>
      <w:rPr>
        <w:color w:val="7F7F7F" w:themeColor="background1" w:themeShade="7F"/>
        <w:spacing w:val="60"/>
      </w:rPr>
    </w:sdtEndPr>
    <w:sdtContent>
      <w:p w14:paraId="42AA3485" w14:textId="77777777" w:rsidR="00873585" w:rsidRDefault="00873585">
        <w:pPr>
          <w:pStyle w:val="Footer"/>
          <w:pBdr>
            <w:top w:val="single" w:sz="4" w:space="1" w:color="D9D9D9" w:themeColor="background1" w:themeShade="D9"/>
          </w:pBdr>
          <w:jc w:val="right"/>
        </w:pPr>
        <w:r>
          <w:fldChar w:fldCharType="begin"/>
        </w:r>
        <w:r>
          <w:instrText xml:space="preserve"> PAGE   \* MERGEFORMAT </w:instrText>
        </w:r>
        <w:r>
          <w:fldChar w:fldCharType="separate"/>
        </w:r>
        <w:r w:rsidR="00B329D1">
          <w:rPr>
            <w:noProof/>
          </w:rPr>
          <w:t>64</w:t>
        </w:r>
        <w:r>
          <w:rPr>
            <w:noProof/>
          </w:rPr>
          <w:fldChar w:fldCharType="end"/>
        </w:r>
        <w:r>
          <w:t xml:space="preserve"> </w:t>
        </w:r>
      </w:p>
    </w:sdtContent>
  </w:sdt>
  <w:p w14:paraId="16ADA7E4" w14:textId="77777777" w:rsidR="00873585" w:rsidRDefault="008735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724D0" w14:textId="77777777" w:rsidR="00873585" w:rsidRPr="00DA3B32" w:rsidRDefault="00873585" w:rsidP="00B12C39">
    <w:pPr>
      <w:pStyle w:val="Footer"/>
    </w:pPr>
    <w:r w:rsidRPr="00DA3B32">
      <w:rPr>
        <w:lang w:val="fi-FI"/>
      </w:rPr>
      <w:br/>
    </w:r>
    <w:r w:rsidRPr="00DA3B32">
      <w:rPr>
        <w:lang w:val="fi-FI"/>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66437" w14:textId="77777777" w:rsidR="00873585" w:rsidRDefault="00873585">
      <w:r>
        <w:separator/>
      </w:r>
    </w:p>
  </w:footnote>
  <w:footnote w:type="continuationSeparator" w:id="0">
    <w:p w14:paraId="09C27FEE" w14:textId="77777777" w:rsidR="00873585" w:rsidRDefault="00873585">
      <w:r>
        <w:continuationSeparator/>
      </w:r>
    </w:p>
  </w:footnote>
  <w:footnote w:id="1">
    <w:p w14:paraId="65DF16A6" w14:textId="77777777" w:rsidR="00873585" w:rsidRPr="00356AEA" w:rsidRDefault="00873585" w:rsidP="000321AC">
      <w:pPr>
        <w:widowControl/>
        <w:spacing w:after="120"/>
        <w:jc w:val="both"/>
        <w:rPr>
          <w:rStyle w:val="FootnoteReference"/>
          <w:rFonts w:ascii="Verdana" w:hAnsi="Verdana"/>
          <w:szCs w:val="16"/>
          <w:vertAlign w:val="baseline"/>
        </w:rPr>
      </w:pPr>
      <w:r w:rsidRPr="00356AEA">
        <w:rPr>
          <w:rStyle w:val="FootnoteReference"/>
          <w:rFonts w:ascii="Verdana" w:hAnsi="Verdana"/>
          <w:szCs w:val="16"/>
        </w:rPr>
        <w:footnoteRef/>
      </w:r>
      <w:r w:rsidRPr="00356AEA">
        <w:rPr>
          <w:sz w:val="16"/>
          <w:szCs w:val="16"/>
        </w:rPr>
        <w:t xml:space="preserve"> Mirex (EC no. 219-196-6, CAS no. 2385-85-5) [</w:t>
      </w:r>
      <w:r w:rsidRPr="00356AEA">
        <w:rPr>
          <w:rFonts w:cs="Arial"/>
          <w:sz w:val="16"/>
          <w:szCs w:val="16"/>
          <w:lang w:eastAsia="en-US"/>
        </w:rPr>
        <w:t>also known as Dechlorane and perchloropentacyclodecane] is made using similar starting materials, but has a much more compact carbon skeleton and is fully chlorinated (molecular formula: C</w:t>
      </w:r>
      <w:r w:rsidRPr="00356AEA">
        <w:rPr>
          <w:rFonts w:cs="Arial"/>
          <w:sz w:val="16"/>
          <w:szCs w:val="16"/>
          <w:vertAlign w:val="subscript"/>
          <w:lang w:eastAsia="en-US"/>
        </w:rPr>
        <w:t>10</w:t>
      </w:r>
      <w:r w:rsidRPr="00356AEA">
        <w:rPr>
          <w:rFonts w:cs="Arial"/>
          <w:sz w:val="16"/>
          <w:szCs w:val="16"/>
          <w:lang w:eastAsia="en-US"/>
        </w:rPr>
        <w:t>Cl12; SMILES: C12(C3(C4(C5(C3(C(C1(C5(C2(C4(Cl)Cl)Cl)Cl)Cl)(Cl)Cl)Cl)Cl)Cl)Cl)Cl). It is therefore not a suitable analogue for the purposes of this assessment. Further information can be found in WHO (1984b &amp; 1995).</w:t>
      </w:r>
    </w:p>
  </w:footnote>
  <w:footnote w:id="2">
    <w:p w14:paraId="3A74CBA0" w14:textId="77777777" w:rsidR="00873585" w:rsidRDefault="00873585" w:rsidP="0010322C">
      <w:pPr>
        <w:widowControl/>
        <w:spacing w:after="120"/>
        <w:jc w:val="both"/>
      </w:pPr>
      <w:r w:rsidRPr="00356AEA">
        <w:rPr>
          <w:sz w:val="16"/>
          <w:szCs w:val="16"/>
          <w:vertAlign w:val="superscript"/>
        </w:rPr>
        <w:footnoteRef/>
      </w:r>
      <w:r w:rsidRPr="00356AEA">
        <w:rPr>
          <w:sz w:val="16"/>
          <w:szCs w:val="16"/>
        </w:rPr>
        <w:t xml:space="preserve"> Chlorendic anhydride (EC no. 204-077-3, CAS no. 115-27-5) is another analogue but as it rapidly forms chlorendic acid in contact with water it is not directly relevant for this analysis. </w:t>
      </w:r>
      <w:r w:rsidRPr="00356AEA">
        <w:rPr>
          <w:rFonts w:cs="Arial"/>
          <w:sz w:val="16"/>
          <w:szCs w:val="16"/>
          <w:lang w:eastAsia="en-US"/>
        </w:rPr>
        <w:t>The acid was considered as part of an EU Substance Evaluation of chlorendic anhydride. A decision requesting further information was sent to the Registrant(s) and the data submission deadline was 26 September 2016. The follow-up evaluation is not yet available.</w:t>
      </w:r>
    </w:p>
  </w:footnote>
  <w:footnote w:id="3">
    <w:p w14:paraId="2DB4937D" w14:textId="77777777" w:rsidR="00873585" w:rsidRPr="0001332A" w:rsidRDefault="00873585" w:rsidP="00986027">
      <w:pPr>
        <w:pStyle w:val="Tabletext0"/>
        <w:spacing w:after="120"/>
        <w:ind w:left="0"/>
        <w:rPr>
          <w:sz w:val="16"/>
          <w:szCs w:val="16"/>
        </w:rPr>
      </w:pPr>
      <w:r w:rsidRPr="0001332A">
        <w:rPr>
          <w:rStyle w:val="FootnoteReference"/>
          <w:rFonts w:ascii="Verdana" w:hAnsi="Verdana"/>
          <w:szCs w:val="16"/>
        </w:rPr>
        <w:footnoteRef/>
      </w:r>
      <w:r w:rsidRPr="0001332A">
        <w:rPr>
          <w:sz w:val="16"/>
          <w:szCs w:val="16"/>
        </w:rPr>
        <w:t xml:space="preserve"> Chou </w:t>
      </w:r>
      <w:r w:rsidRPr="0001332A">
        <w:rPr>
          <w:i/>
          <w:sz w:val="16"/>
          <w:szCs w:val="16"/>
        </w:rPr>
        <w:t>et al</w:t>
      </w:r>
      <w:r w:rsidRPr="0001332A">
        <w:rPr>
          <w:sz w:val="16"/>
          <w:szCs w:val="16"/>
        </w:rPr>
        <w:t xml:space="preserve">. (1979) reported mean water solubilities of 207 and 572 ng/L for the two isomers at 22±2.5°C using radiolabelled substance in equilibration with water by slow stirring for six weeks. This is considered unreliable by the Registrant. No reason is provided, but the report concluded that samples in the solubility experiment may have contained particulates, and so estimated a solubility of 44.1±2 ng/L at 22 °C (total for both isomers). </w:t>
      </w:r>
    </w:p>
    <w:p w14:paraId="038AFE80" w14:textId="77777777" w:rsidR="00873585" w:rsidRPr="0001332A" w:rsidRDefault="00873585" w:rsidP="00986027">
      <w:pPr>
        <w:pStyle w:val="Tabletext0"/>
        <w:ind w:left="0"/>
        <w:rPr>
          <w:sz w:val="16"/>
          <w:szCs w:val="16"/>
        </w:rPr>
      </w:pPr>
      <w:r w:rsidRPr="0001332A">
        <w:rPr>
          <w:sz w:val="16"/>
          <w:szCs w:val="16"/>
        </w:rPr>
        <w:t>Water solubilities estimated based on a log K</w:t>
      </w:r>
      <w:r w:rsidRPr="0001332A">
        <w:rPr>
          <w:sz w:val="16"/>
          <w:szCs w:val="16"/>
          <w:vertAlign w:val="subscript"/>
        </w:rPr>
        <w:t>OW</w:t>
      </w:r>
      <w:r w:rsidRPr="0001332A">
        <w:rPr>
          <w:sz w:val="16"/>
          <w:szCs w:val="16"/>
        </w:rPr>
        <w:t xml:space="preserve"> range of 7 to 9 using WSKOWWIN v.1.42 (U.S. EPA, 2012) are 7.5E</w:t>
      </w:r>
      <w:r w:rsidRPr="0001332A">
        <w:rPr>
          <w:sz w:val="16"/>
          <w:szCs w:val="16"/>
        </w:rPr>
        <w:noBreakHyphen/>
        <w:t>05 – 1.5E-06 mg/L [75 – 1.5 ng/L]. The substance is outside the estimation domain of the model because both molecular weight and log K</w:t>
      </w:r>
      <w:r w:rsidRPr="0001332A">
        <w:rPr>
          <w:sz w:val="16"/>
          <w:szCs w:val="16"/>
          <w:vertAlign w:val="subscript"/>
        </w:rPr>
        <w:t>OW</w:t>
      </w:r>
      <w:r w:rsidRPr="0001332A">
        <w:rPr>
          <w:sz w:val="16"/>
          <w:szCs w:val="16"/>
        </w:rPr>
        <w:t xml:space="preserve"> are outside the ranges of these parameters in the training and test sets for the method. A water solubility of 6.5E</w:t>
      </w:r>
      <w:r w:rsidRPr="0001332A">
        <w:rPr>
          <w:sz w:val="16"/>
          <w:szCs w:val="16"/>
        </w:rPr>
        <w:noBreakHyphen/>
        <w:t>07 mg/L [0.65 ng/L] can be estimated using the WaterNT v1.01 fragment method (U.S. EPA, 2012), which does not use log K</w:t>
      </w:r>
      <w:r w:rsidRPr="0001332A">
        <w:rPr>
          <w:sz w:val="16"/>
          <w:szCs w:val="16"/>
          <w:vertAlign w:val="subscript"/>
        </w:rPr>
        <w:t>OW</w:t>
      </w:r>
      <w:r w:rsidRPr="0001332A">
        <w:rPr>
          <w:sz w:val="16"/>
          <w:szCs w:val="16"/>
        </w:rPr>
        <w:t xml:space="preserve"> as an input. The molecular weight is outside the range of this parameter in the training set, but not the test set. The number of aliphatic attached chlorines exceeds the maximum occurrences of this fragment in a single compound in the training set (8 in Dechlorane Plus, maximum 6 in the training set). Therefore, the substance is not considered to be within the estimation domain of the model. </w:t>
      </w:r>
    </w:p>
    <w:p w14:paraId="0652310C" w14:textId="77777777" w:rsidR="00873585" w:rsidRPr="0001332A" w:rsidRDefault="00873585" w:rsidP="00986027">
      <w:pPr>
        <w:pStyle w:val="Tabletext0"/>
        <w:ind w:left="0"/>
        <w:rPr>
          <w:sz w:val="16"/>
          <w:szCs w:val="16"/>
        </w:rPr>
      </w:pPr>
      <w:r w:rsidRPr="0001332A">
        <w:rPr>
          <w:sz w:val="16"/>
          <w:szCs w:val="16"/>
        </w:rPr>
        <w:t>U.S. EPA (2011) reported another measured value of 2.49E-04 mg/L [240 ng/L] at 25</w:t>
      </w:r>
      <w:r>
        <w:rPr>
          <w:sz w:val="16"/>
          <w:szCs w:val="16"/>
        </w:rPr>
        <w:t xml:space="preserve"> </w:t>
      </w:r>
      <w:r w:rsidRPr="0001332A">
        <w:rPr>
          <w:sz w:val="16"/>
          <w:szCs w:val="16"/>
        </w:rPr>
        <w:t>°C (</w:t>
      </w:r>
      <w:r w:rsidRPr="0001332A">
        <w:rPr>
          <w:sz w:val="16"/>
          <w:szCs w:val="16"/>
          <w:lang w:eastAsia="en-GB"/>
        </w:rPr>
        <w:t>Scharf, 1978</w:t>
      </w:r>
      <w:r w:rsidRPr="0001332A">
        <w:rPr>
          <w:sz w:val="16"/>
          <w:szCs w:val="16"/>
        </w:rPr>
        <w:t>). In EPI Suite (U.S. EPA, 2012), a measured water solubility of 4.4E</w:t>
      </w:r>
      <w:r w:rsidRPr="0001332A">
        <w:rPr>
          <w:sz w:val="16"/>
          <w:szCs w:val="16"/>
        </w:rPr>
        <w:noBreakHyphen/>
        <w:t xml:space="preserve">08 mg/L at 25 °C is reported citing a HPV Robust Summary as the source; this result is discounted given the discrepancy between the value quoted and the original source (4.4E-05 mg/L, Chou </w:t>
      </w:r>
      <w:r w:rsidRPr="0001332A">
        <w:rPr>
          <w:i/>
          <w:sz w:val="16"/>
          <w:szCs w:val="16"/>
        </w:rPr>
        <w:t>et al</w:t>
      </w:r>
      <w:r w:rsidRPr="0001332A">
        <w:rPr>
          <w:sz w:val="16"/>
          <w:szCs w:val="16"/>
        </w:rPr>
        <w:t xml:space="preserve">., 1979). </w:t>
      </w:r>
    </w:p>
  </w:footnote>
  <w:footnote w:id="4">
    <w:p w14:paraId="1A3043D9" w14:textId="77777777" w:rsidR="00873585" w:rsidRPr="0001332A" w:rsidRDefault="00873585" w:rsidP="00F56DE6">
      <w:pPr>
        <w:pStyle w:val="FootnoteText"/>
        <w:spacing w:after="120"/>
        <w:jc w:val="both"/>
        <w:rPr>
          <w:sz w:val="16"/>
          <w:szCs w:val="16"/>
        </w:rPr>
      </w:pPr>
      <w:r w:rsidRPr="0001332A">
        <w:rPr>
          <w:rStyle w:val="FootnoteReference"/>
          <w:rFonts w:ascii="Verdana" w:hAnsi="Verdana"/>
          <w:szCs w:val="16"/>
        </w:rPr>
        <w:footnoteRef/>
      </w:r>
      <w:r w:rsidRPr="0001332A">
        <w:rPr>
          <w:sz w:val="16"/>
          <w:szCs w:val="16"/>
        </w:rPr>
        <w:t xml:space="preserve"> Occidental Chemical Company (2004) refers to a study from 1978 that mentions a solubility in n</w:t>
      </w:r>
      <w:r>
        <w:rPr>
          <w:sz w:val="16"/>
          <w:szCs w:val="16"/>
        </w:rPr>
        <w:noBreakHyphen/>
      </w:r>
      <w:r w:rsidRPr="0001332A">
        <w:rPr>
          <w:sz w:val="16"/>
          <w:szCs w:val="16"/>
        </w:rPr>
        <w:t xml:space="preserve">octanol of </w:t>
      </w:r>
      <w:r w:rsidRPr="0001332A">
        <w:rPr>
          <w:sz w:val="16"/>
          <w:szCs w:val="16"/>
          <w:lang w:val="en-US"/>
        </w:rPr>
        <w:t xml:space="preserve">264 </w:t>
      </w:r>
      <w:r w:rsidRPr="0001332A">
        <w:rPr>
          <w:sz w:val="16"/>
          <w:szCs w:val="16"/>
        </w:rPr>
        <w:t xml:space="preserve">- </w:t>
      </w:r>
      <w:r w:rsidRPr="0001332A">
        <w:rPr>
          <w:sz w:val="16"/>
          <w:szCs w:val="16"/>
          <w:lang w:val="en-US"/>
        </w:rPr>
        <w:t xml:space="preserve">346 (average 305) ppb (µg/L) at 25 </w:t>
      </w:r>
      <w:r w:rsidRPr="0001332A">
        <w:rPr>
          <w:sz w:val="16"/>
          <w:szCs w:val="16"/>
        </w:rPr>
        <w:t>°</w:t>
      </w:r>
      <w:r w:rsidRPr="0001332A">
        <w:rPr>
          <w:sz w:val="16"/>
          <w:szCs w:val="16"/>
          <w:lang w:val="en-US"/>
        </w:rPr>
        <w:t>C</w:t>
      </w:r>
      <w:r w:rsidRPr="0001332A">
        <w:rPr>
          <w:sz w:val="16"/>
          <w:szCs w:val="16"/>
        </w:rPr>
        <w:t>. No further details are available, but the result was obtained “after partitioning” (presumably with water, as the data entry is for the water solubility end point) so this is probably not a true solubility value.</w:t>
      </w:r>
    </w:p>
    <w:p w14:paraId="48A78EEF" w14:textId="77777777" w:rsidR="00873585" w:rsidRPr="00AC3E25" w:rsidRDefault="00873585" w:rsidP="00FC0298">
      <w:pPr>
        <w:pStyle w:val="FootnoteText"/>
        <w:spacing w:after="120"/>
        <w:jc w:val="both"/>
        <w:rPr>
          <w:sz w:val="18"/>
          <w:szCs w:val="18"/>
        </w:rPr>
      </w:pPr>
      <w:r w:rsidRPr="0001332A">
        <w:rPr>
          <w:sz w:val="16"/>
          <w:szCs w:val="16"/>
        </w:rPr>
        <w:t>Product literature (OxyChem, 2007) provides further values (all in units of g/100 g solvent at 25 °C) as follows: benzene 2.0, xylene 1.0, styrene 1.8, trichloroethylene 1.4, methyl ethyl ketone 0.7, n-butyl acetate 0.7, hexane 0.1, methyl alcohol [methanol] 0.1. The analytical information provided in the REACH registration dossier mentions that the substance is “insoluble” in methanol, but “soluble” in tetrachloroethane, dichloromethane and tetrahydrofuran.</w:t>
      </w:r>
    </w:p>
  </w:footnote>
  <w:footnote w:id="5">
    <w:p w14:paraId="5F233C04" w14:textId="77777777" w:rsidR="00873585" w:rsidRPr="0014178D" w:rsidRDefault="00873585">
      <w:pPr>
        <w:pStyle w:val="FootnoteText"/>
        <w:rPr>
          <w:sz w:val="16"/>
          <w:szCs w:val="16"/>
        </w:rPr>
      </w:pPr>
      <w:r w:rsidRPr="00890F3E">
        <w:rPr>
          <w:rStyle w:val="FootnoteReference"/>
          <w:rFonts w:ascii="Verdana" w:hAnsi="Verdana"/>
          <w:szCs w:val="16"/>
        </w:rPr>
        <w:footnoteRef/>
      </w:r>
      <w:r w:rsidRPr="0014178D">
        <w:rPr>
          <w:sz w:val="16"/>
          <w:szCs w:val="16"/>
        </w:rPr>
        <w:t xml:space="preserve"> For substances fulfilling this but BIOWIN 3 indicates a value between 2.25 and 2.75 more degradation relevant information is generally warranted.</w:t>
      </w:r>
    </w:p>
  </w:footnote>
  <w:footnote w:id="6">
    <w:p w14:paraId="65C25372" w14:textId="77777777" w:rsidR="00873585" w:rsidRPr="003F4DD6" w:rsidRDefault="00873585" w:rsidP="003F4DD6">
      <w:pPr>
        <w:pStyle w:val="FootnoteText"/>
        <w:spacing w:after="120"/>
        <w:rPr>
          <w:sz w:val="16"/>
          <w:szCs w:val="16"/>
        </w:rPr>
      </w:pPr>
      <w:r w:rsidRPr="003F4DD6">
        <w:rPr>
          <w:rStyle w:val="FootnoteReference"/>
          <w:rFonts w:ascii="Verdana" w:hAnsi="Verdana"/>
          <w:szCs w:val="16"/>
        </w:rPr>
        <w:footnoteRef/>
      </w:r>
      <w:r w:rsidRPr="003F4DD6">
        <w:rPr>
          <w:sz w:val="16"/>
          <w:szCs w:val="16"/>
        </w:rPr>
        <w:t xml:space="preserve"> https://www.echemportal.org/echemportal/index.action</w:t>
      </w:r>
    </w:p>
  </w:footnote>
  <w:footnote w:id="7">
    <w:p w14:paraId="6B082F21" w14:textId="77777777" w:rsidR="00873585" w:rsidRPr="00822BE8" w:rsidRDefault="00873585" w:rsidP="003F4DD6">
      <w:pPr>
        <w:pStyle w:val="BodyText"/>
        <w:jc w:val="both"/>
        <w:rPr>
          <w:sz w:val="16"/>
          <w:szCs w:val="16"/>
          <w:lang w:eastAsia="en-US"/>
        </w:rPr>
      </w:pPr>
      <w:r w:rsidRPr="003F4DD6">
        <w:rPr>
          <w:rStyle w:val="FootnoteReference"/>
          <w:rFonts w:ascii="Verdana" w:hAnsi="Verdana"/>
        </w:rPr>
        <w:footnoteRef/>
      </w:r>
      <w:r w:rsidRPr="003F4DD6">
        <w:t xml:space="preserve"> </w:t>
      </w:r>
      <w:r>
        <w:rPr>
          <w:sz w:val="16"/>
          <w:szCs w:val="16"/>
        </w:rPr>
        <w:t xml:space="preserve">That is, the half-life in water is greater than two months, or the half-life in soil is greater than six months, or the half-life in sediment is greater than six months; or the chemical is otherwise sufficiently </w:t>
      </w:r>
      <w:r w:rsidRPr="00822BE8">
        <w:rPr>
          <w:sz w:val="16"/>
          <w:szCs w:val="16"/>
        </w:rPr>
        <w:t>persistent to justify its consideration within the scope of the Convention.</w:t>
      </w:r>
    </w:p>
  </w:footnote>
  <w:footnote w:id="8">
    <w:p w14:paraId="3404E25A" w14:textId="77777777" w:rsidR="00873585" w:rsidRDefault="00873585">
      <w:pPr>
        <w:pStyle w:val="FootnoteText"/>
      </w:pPr>
      <w:r w:rsidRPr="00215EC0">
        <w:rPr>
          <w:rStyle w:val="FootnoteReference"/>
          <w:szCs w:val="16"/>
        </w:rPr>
        <w:footnoteRef/>
      </w:r>
      <w:r w:rsidRPr="00DA2190">
        <w:rPr>
          <w:sz w:val="16"/>
          <w:szCs w:val="16"/>
        </w:rPr>
        <w:t xml:space="preserve"> Note that only the POP analogues and chlorendic acid are included here as these have measured </w:t>
      </w:r>
      <w:r>
        <w:rPr>
          <w:sz w:val="16"/>
          <w:szCs w:val="16"/>
        </w:rPr>
        <w:t>(</w:t>
      </w:r>
      <w:r w:rsidRPr="00DA2190">
        <w:rPr>
          <w:sz w:val="16"/>
          <w:szCs w:val="16"/>
        </w:rPr>
        <w:t>as well as predicted</w:t>
      </w:r>
      <w:r>
        <w:rPr>
          <w:sz w:val="16"/>
          <w:szCs w:val="16"/>
        </w:rPr>
        <w:t>)</w:t>
      </w:r>
      <w:r w:rsidRPr="00DA2190">
        <w:rPr>
          <w:sz w:val="16"/>
          <w:szCs w:val="16"/>
        </w:rPr>
        <w:t xml:space="preserve"> degradation data available. Aldrin </w:t>
      </w:r>
      <w:r>
        <w:rPr>
          <w:sz w:val="16"/>
          <w:szCs w:val="16"/>
        </w:rPr>
        <w:t>trans</w:t>
      </w:r>
      <w:r w:rsidRPr="00DA2190">
        <w:rPr>
          <w:sz w:val="16"/>
          <w:szCs w:val="16"/>
        </w:rPr>
        <w:t xml:space="preserve">forms </w:t>
      </w:r>
      <w:r>
        <w:rPr>
          <w:sz w:val="16"/>
          <w:szCs w:val="16"/>
        </w:rPr>
        <w:t xml:space="preserve">to </w:t>
      </w:r>
      <w:r w:rsidRPr="00DA2190">
        <w:rPr>
          <w:sz w:val="16"/>
          <w:szCs w:val="16"/>
        </w:rPr>
        <w:t>dieldrin.</w:t>
      </w:r>
    </w:p>
  </w:footnote>
  <w:footnote w:id="9">
    <w:p w14:paraId="3A6C56C2" w14:textId="77777777" w:rsidR="00873585" w:rsidRPr="00356AEA" w:rsidRDefault="00873585" w:rsidP="00310DA6">
      <w:pPr>
        <w:pStyle w:val="FootnoteText"/>
        <w:spacing w:after="120"/>
        <w:jc w:val="both"/>
        <w:rPr>
          <w:sz w:val="16"/>
          <w:szCs w:val="16"/>
        </w:rPr>
      </w:pPr>
      <w:r w:rsidRPr="00356AEA">
        <w:rPr>
          <w:rStyle w:val="FootnoteReference"/>
          <w:rFonts w:ascii="Verdana" w:hAnsi="Verdana"/>
          <w:szCs w:val="16"/>
        </w:rPr>
        <w:footnoteRef/>
      </w:r>
      <w:r w:rsidRPr="00356AEA">
        <w:rPr>
          <w:sz w:val="16"/>
          <w:szCs w:val="16"/>
          <w:vertAlign w:val="superscript"/>
        </w:rPr>
        <w:t xml:space="preserve"> </w:t>
      </w:r>
      <w:r w:rsidRPr="00356AEA">
        <w:rPr>
          <w:sz w:val="16"/>
          <w:szCs w:val="16"/>
        </w:rPr>
        <w:t>Including the draft voluntary assessment of gasoline under the Existing Substances Regulation, and recent assessments submitted to the OECD.</w:t>
      </w:r>
    </w:p>
  </w:footnote>
  <w:footnote w:id="10">
    <w:p w14:paraId="694935ED" w14:textId="77777777" w:rsidR="00873585" w:rsidRPr="00356AEA" w:rsidRDefault="00873585" w:rsidP="00D738FB">
      <w:pPr>
        <w:pStyle w:val="FootnoteText"/>
        <w:spacing w:after="120"/>
        <w:rPr>
          <w:sz w:val="16"/>
          <w:szCs w:val="16"/>
        </w:rPr>
      </w:pPr>
      <w:r w:rsidRPr="00356AEA">
        <w:rPr>
          <w:rStyle w:val="FootnoteReference"/>
          <w:rFonts w:ascii="Verdana" w:hAnsi="Verdana"/>
          <w:szCs w:val="16"/>
        </w:rPr>
        <w:footnoteRef/>
      </w:r>
      <w:r w:rsidRPr="00356AEA">
        <w:rPr>
          <w:sz w:val="16"/>
          <w:szCs w:val="16"/>
          <w:vertAlign w:val="superscript"/>
        </w:rPr>
        <w:t xml:space="preserve"> </w:t>
      </w:r>
      <w:r w:rsidRPr="00356AEA">
        <w:rPr>
          <w:sz w:val="16"/>
          <w:szCs w:val="16"/>
        </w:rPr>
        <w:t>Relevant predicted results for cyclooctane, C1CCCCCCC1, are: log Kow = 4.16, water solubility = 4.9 mg/L and 14.1 mg/L using WSKOW and WATERNT respectively. BIOWIN predictions: BIOWIN2 = 0.80 (Biodegrades Fast); BIOWIN3 = 2.95(weeks); BIOWIN6 = 0.76 (Biodegrades Fast).</w:t>
      </w:r>
    </w:p>
  </w:footnote>
  <w:footnote w:id="11">
    <w:p w14:paraId="38A6C30E" w14:textId="77777777" w:rsidR="00873585" w:rsidRPr="00356AEA" w:rsidRDefault="00873585" w:rsidP="00D738FB">
      <w:pPr>
        <w:pStyle w:val="FootnoteText"/>
        <w:spacing w:after="120"/>
        <w:rPr>
          <w:sz w:val="16"/>
          <w:szCs w:val="16"/>
        </w:rPr>
      </w:pPr>
      <w:r w:rsidRPr="00356AEA">
        <w:rPr>
          <w:rStyle w:val="FootnoteReference"/>
          <w:rFonts w:ascii="Verdana" w:hAnsi="Verdana"/>
          <w:szCs w:val="16"/>
        </w:rPr>
        <w:footnoteRef/>
      </w:r>
      <w:r w:rsidRPr="00356AEA">
        <w:rPr>
          <w:rStyle w:val="FootnoteReference"/>
          <w:rFonts w:ascii="Verdana" w:hAnsi="Verdana"/>
          <w:szCs w:val="16"/>
        </w:rPr>
        <w:t xml:space="preserve"> </w:t>
      </w:r>
      <w:r w:rsidRPr="00356AEA">
        <w:rPr>
          <w:sz w:val="16"/>
          <w:szCs w:val="16"/>
        </w:rPr>
        <w:t>http://eawag-bbd.ethz.ch/predict/</w:t>
      </w:r>
    </w:p>
  </w:footnote>
  <w:footnote w:id="12">
    <w:p w14:paraId="7095B086" w14:textId="77777777" w:rsidR="00873585" w:rsidRPr="0001332A" w:rsidRDefault="00873585" w:rsidP="00802D26">
      <w:pPr>
        <w:pStyle w:val="FootnoteText"/>
        <w:rPr>
          <w:sz w:val="16"/>
          <w:szCs w:val="16"/>
        </w:rPr>
      </w:pPr>
      <w:r w:rsidRPr="00356AEA">
        <w:rPr>
          <w:rStyle w:val="FootnoteReference"/>
          <w:rFonts w:ascii="Verdana" w:hAnsi="Verdana"/>
          <w:szCs w:val="16"/>
        </w:rPr>
        <w:footnoteRef/>
      </w:r>
      <w:r w:rsidRPr="00356AEA">
        <w:rPr>
          <w:rStyle w:val="FootnoteReference"/>
          <w:rFonts w:ascii="Verdana" w:hAnsi="Verdana"/>
          <w:szCs w:val="16"/>
        </w:rPr>
        <w:t xml:space="preserve"> </w:t>
      </w:r>
      <w:r w:rsidRPr="00356AEA">
        <w:rPr>
          <w:sz w:val="16"/>
          <w:szCs w:val="16"/>
        </w:rPr>
        <w:t xml:space="preserve">Secondary aliphatic </w:t>
      </w:r>
      <w:r w:rsidRPr="00356AEA">
        <w:rPr>
          <w:rFonts w:ascii="Arial" w:hAnsi="Arial" w:cs="Arial"/>
          <w:sz w:val="16"/>
          <w:szCs w:val="16"/>
        </w:rPr>
        <w:t>→</w:t>
      </w:r>
      <w:r w:rsidRPr="00356AEA">
        <w:rPr>
          <w:sz w:val="16"/>
          <w:szCs w:val="16"/>
        </w:rPr>
        <w:t xml:space="preserve"> secondary alcohol (bt0242), tertiary aliphatic </w:t>
      </w:r>
      <w:r w:rsidRPr="00356AEA">
        <w:rPr>
          <w:rFonts w:ascii="Arial" w:hAnsi="Arial" w:cs="Arial"/>
          <w:sz w:val="16"/>
          <w:szCs w:val="16"/>
        </w:rPr>
        <w:t>→</w:t>
      </w:r>
      <w:r w:rsidRPr="00356AEA">
        <w:rPr>
          <w:sz w:val="16"/>
          <w:szCs w:val="16"/>
        </w:rPr>
        <w:t xml:space="preserve"> tertiary alcohol (bt0241</w:t>
      </w:r>
      <w:r w:rsidRPr="0001332A">
        <w:rPr>
          <w:sz w:val="16"/>
          <w:szCs w:val="16"/>
        </w:rPr>
        <w:t>).</w:t>
      </w:r>
    </w:p>
  </w:footnote>
  <w:footnote w:id="13">
    <w:p w14:paraId="39A1E69D" w14:textId="77777777" w:rsidR="00873585" w:rsidRPr="0001332A" w:rsidRDefault="00873585" w:rsidP="0001332A">
      <w:pPr>
        <w:pStyle w:val="FootnoteText"/>
        <w:spacing w:after="120"/>
        <w:jc w:val="both"/>
        <w:rPr>
          <w:sz w:val="16"/>
          <w:szCs w:val="16"/>
        </w:rPr>
      </w:pPr>
      <w:r w:rsidRPr="0001332A">
        <w:rPr>
          <w:rStyle w:val="FootnoteReference"/>
          <w:rFonts w:ascii="Verdana" w:hAnsi="Verdana"/>
          <w:szCs w:val="16"/>
        </w:rPr>
        <w:footnoteRef/>
      </w:r>
      <w:r w:rsidRPr="0001332A">
        <w:rPr>
          <w:sz w:val="16"/>
          <w:szCs w:val="16"/>
        </w:rPr>
        <w:t xml:space="preserve"> Transfer efficiency in this model is defined as “the ratio of the deposition mass flux from air to surface media in a region adjacent to the region to which the chemical is released and the mass flux of the chemical emitted to air in the release region”</w:t>
      </w:r>
    </w:p>
  </w:footnote>
  <w:footnote w:id="14">
    <w:p w14:paraId="1318D819" w14:textId="77777777" w:rsidR="00873585" w:rsidRPr="0001332A" w:rsidRDefault="00873585" w:rsidP="008F239E">
      <w:pPr>
        <w:pStyle w:val="FootnoteText"/>
        <w:spacing w:after="120"/>
        <w:rPr>
          <w:sz w:val="16"/>
          <w:szCs w:val="16"/>
        </w:rPr>
      </w:pPr>
      <w:r w:rsidRPr="0001332A">
        <w:rPr>
          <w:rStyle w:val="FootnoteReference"/>
          <w:rFonts w:ascii="Verdana" w:hAnsi="Verdana"/>
          <w:szCs w:val="16"/>
        </w:rPr>
        <w:footnoteRef/>
      </w:r>
      <w:r w:rsidRPr="0001332A">
        <w:rPr>
          <w:sz w:val="16"/>
          <w:szCs w:val="16"/>
        </w:rPr>
        <w:t xml:space="preserve"> This is used to assess equilibrium status of a chemical between two interacting phases, in this case air and water:</w:t>
      </w:r>
    </w:p>
    <w:p w14:paraId="3B27005D" w14:textId="77777777" w:rsidR="00873585" w:rsidRPr="0001332A" w:rsidRDefault="00873585" w:rsidP="00EC25E2">
      <w:pPr>
        <w:pStyle w:val="FootnoteText"/>
        <w:spacing w:after="120"/>
        <w:ind w:firstLine="709"/>
        <w:rPr>
          <w:sz w:val="16"/>
          <w:szCs w:val="16"/>
        </w:rPr>
      </w:pPr>
      <w:r w:rsidRPr="0001332A">
        <w:rPr>
          <w:sz w:val="16"/>
          <w:szCs w:val="16"/>
        </w:rPr>
        <w:t>Fugacity fraction = C</w:t>
      </w:r>
      <w:r w:rsidRPr="0001332A">
        <w:rPr>
          <w:sz w:val="16"/>
          <w:szCs w:val="16"/>
          <w:vertAlign w:val="subscript"/>
        </w:rPr>
        <w:t>A</w:t>
      </w:r>
      <w:r w:rsidRPr="0001332A">
        <w:rPr>
          <w:sz w:val="16"/>
          <w:szCs w:val="16"/>
        </w:rPr>
        <w:t xml:space="preserve"> / (C</w:t>
      </w:r>
      <w:r w:rsidRPr="0001332A">
        <w:rPr>
          <w:sz w:val="16"/>
          <w:szCs w:val="16"/>
          <w:vertAlign w:val="subscript"/>
        </w:rPr>
        <w:t>A</w:t>
      </w:r>
      <w:r w:rsidRPr="0001332A">
        <w:rPr>
          <w:sz w:val="16"/>
          <w:szCs w:val="16"/>
        </w:rPr>
        <w:t xml:space="preserve"> + K</w:t>
      </w:r>
      <w:r w:rsidRPr="0001332A">
        <w:rPr>
          <w:sz w:val="16"/>
          <w:szCs w:val="16"/>
          <w:vertAlign w:val="subscript"/>
        </w:rPr>
        <w:t>AW</w:t>
      </w:r>
      <w:r w:rsidRPr="0001332A">
        <w:rPr>
          <w:sz w:val="16"/>
          <w:szCs w:val="16"/>
        </w:rPr>
        <w:t>C</w:t>
      </w:r>
      <w:r w:rsidRPr="0001332A">
        <w:rPr>
          <w:sz w:val="16"/>
          <w:szCs w:val="16"/>
          <w:vertAlign w:val="subscript"/>
        </w:rPr>
        <w:t>W</w:t>
      </w:r>
      <w:r w:rsidRPr="0001332A">
        <w:rPr>
          <w:sz w:val="16"/>
          <w:szCs w:val="16"/>
        </w:rPr>
        <w:t xml:space="preserve"> )</w:t>
      </w:r>
    </w:p>
    <w:p w14:paraId="6245BBFC" w14:textId="77777777" w:rsidR="00873585" w:rsidRPr="0001332A" w:rsidRDefault="00873585" w:rsidP="00EC25E2">
      <w:pPr>
        <w:autoSpaceDE w:val="0"/>
        <w:autoSpaceDN w:val="0"/>
        <w:adjustRightInd w:val="0"/>
        <w:spacing w:after="120"/>
        <w:ind w:firstLine="709"/>
        <w:jc w:val="both"/>
        <w:rPr>
          <w:sz w:val="16"/>
          <w:szCs w:val="16"/>
        </w:rPr>
      </w:pPr>
      <w:r w:rsidRPr="0001332A">
        <w:rPr>
          <w:sz w:val="16"/>
          <w:szCs w:val="16"/>
        </w:rPr>
        <w:t>where C</w:t>
      </w:r>
      <w:r w:rsidRPr="0001332A">
        <w:rPr>
          <w:sz w:val="16"/>
          <w:szCs w:val="16"/>
          <w:vertAlign w:val="subscript"/>
        </w:rPr>
        <w:t>A</w:t>
      </w:r>
      <w:r w:rsidRPr="0001332A">
        <w:rPr>
          <w:sz w:val="16"/>
          <w:szCs w:val="16"/>
        </w:rPr>
        <w:t xml:space="preserve"> is the air concentration (in pg/m</w:t>
      </w:r>
      <w:r w:rsidRPr="0001332A">
        <w:rPr>
          <w:sz w:val="16"/>
          <w:szCs w:val="16"/>
          <w:vertAlign w:val="superscript"/>
        </w:rPr>
        <w:t>3</w:t>
      </w:r>
      <w:r w:rsidRPr="0001332A">
        <w:rPr>
          <w:sz w:val="16"/>
          <w:szCs w:val="16"/>
        </w:rPr>
        <w:t>), C</w:t>
      </w:r>
      <w:r w:rsidRPr="0001332A">
        <w:rPr>
          <w:sz w:val="16"/>
          <w:szCs w:val="16"/>
          <w:vertAlign w:val="subscript"/>
        </w:rPr>
        <w:t>W</w:t>
      </w:r>
      <w:r w:rsidRPr="0001332A">
        <w:rPr>
          <w:sz w:val="16"/>
          <w:szCs w:val="16"/>
        </w:rPr>
        <w:t xml:space="preserve"> is the water concentration (in pg/L)</w:t>
      </w:r>
    </w:p>
    <w:p w14:paraId="2849A856" w14:textId="77777777" w:rsidR="00873585" w:rsidRPr="00EC25E2" w:rsidRDefault="00873585" w:rsidP="00EC25E2">
      <w:pPr>
        <w:pStyle w:val="FootnoteText"/>
        <w:rPr>
          <w:rFonts w:ascii="Calibri" w:hAnsi="Calibri" w:cs="Calibri"/>
          <w:color w:val="1F497D"/>
        </w:rPr>
      </w:pPr>
      <w:r w:rsidRPr="0001332A">
        <w:rPr>
          <w:sz w:val="16"/>
          <w:szCs w:val="16"/>
        </w:rPr>
        <w:t>Values equal to 0.5 indicate air–water equilibrium and no net gas exchange. Values &lt; 0.5 indicate net volatilization from water, and values &gt; 0.5 indicate net gaseous deposition to water</w:t>
      </w:r>
      <w:r w:rsidRPr="0001332A">
        <w:rPr>
          <w:rFonts w:ascii="Times-Roman" w:hAnsi="Times-Roman" w:cs="Times-Roman"/>
          <w:sz w:val="16"/>
          <w:szCs w:val="16"/>
        </w:rPr>
        <w:t>.</w:t>
      </w:r>
    </w:p>
  </w:footnote>
  <w:footnote w:id="15">
    <w:p w14:paraId="2CCBB366" w14:textId="77777777" w:rsidR="00873585" w:rsidRPr="00356AEA" w:rsidRDefault="00873585" w:rsidP="009D5DD5">
      <w:pPr>
        <w:autoSpaceDE w:val="0"/>
        <w:autoSpaceDN w:val="0"/>
        <w:adjustRightInd w:val="0"/>
        <w:spacing w:after="120"/>
        <w:jc w:val="both"/>
        <w:rPr>
          <w:rFonts w:eastAsiaTheme="minorHAnsi" w:cs="Times-Roman"/>
          <w:sz w:val="16"/>
          <w:szCs w:val="16"/>
        </w:rPr>
      </w:pPr>
      <w:r w:rsidRPr="00356AEA">
        <w:rPr>
          <w:rStyle w:val="FootnoteReference"/>
          <w:rFonts w:ascii="Verdana" w:hAnsi="Verdana"/>
          <w:szCs w:val="16"/>
        </w:rPr>
        <w:footnoteRef/>
      </w:r>
      <w:r w:rsidRPr="00356AEA">
        <w:rPr>
          <w:sz w:val="16"/>
          <w:szCs w:val="16"/>
        </w:rPr>
        <w:t xml:space="preserve"> Sverko </w:t>
      </w:r>
      <w:r w:rsidRPr="00356AEA">
        <w:rPr>
          <w:i/>
          <w:sz w:val="16"/>
          <w:szCs w:val="16"/>
        </w:rPr>
        <w:t>et al</w:t>
      </w:r>
      <w:r w:rsidRPr="00356AEA">
        <w:rPr>
          <w:sz w:val="16"/>
          <w:szCs w:val="16"/>
        </w:rPr>
        <w:t>. (2011) include</w:t>
      </w:r>
      <w:r w:rsidRPr="00356AEA">
        <w:rPr>
          <w:rFonts w:eastAsiaTheme="minorHAnsi"/>
          <w:sz w:val="16"/>
          <w:szCs w:val="16"/>
        </w:rPr>
        <w:t>d estimated biotransformation rate constants with this model to derive BAFs of 5.9 × 10</w:t>
      </w:r>
      <w:r w:rsidRPr="00356AEA">
        <w:rPr>
          <w:rFonts w:eastAsiaTheme="minorHAnsi"/>
          <w:sz w:val="16"/>
          <w:szCs w:val="16"/>
          <w:vertAlign w:val="superscript"/>
        </w:rPr>
        <w:t>4 </w:t>
      </w:r>
      <w:r w:rsidRPr="00356AEA">
        <w:rPr>
          <w:rFonts w:eastAsiaTheme="minorHAnsi"/>
          <w:sz w:val="16"/>
          <w:szCs w:val="16"/>
        </w:rPr>
        <w:t xml:space="preserve">L/kg for the </w:t>
      </w:r>
      <w:r w:rsidRPr="00356AEA">
        <w:rPr>
          <w:rFonts w:eastAsiaTheme="minorHAnsi"/>
          <w:iCs/>
          <w:sz w:val="16"/>
          <w:szCs w:val="16"/>
        </w:rPr>
        <w:t xml:space="preserve">anti- isomer </w:t>
      </w:r>
      <w:r w:rsidRPr="00356AEA">
        <w:rPr>
          <w:rFonts w:eastAsiaTheme="minorHAnsi"/>
          <w:sz w:val="16"/>
          <w:szCs w:val="16"/>
        </w:rPr>
        <w:t>and 1.1 × 10</w:t>
      </w:r>
      <w:r w:rsidRPr="00356AEA">
        <w:rPr>
          <w:rFonts w:eastAsiaTheme="minorHAnsi"/>
          <w:sz w:val="16"/>
          <w:szCs w:val="16"/>
          <w:vertAlign w:val="superscript"/>
        </w:rPr>
        <w:t xml:space="preserve">5 </w:t>
      </w:r>
      <w:r w:rsidRPr="00356AEA">
        <w:rPr>
          <w:rFonts w:eastAsiaTheme="minorHAnsi"/>
          <w:sz w:val="16"/>
          <w:szCs w:val="16"/>
        </w:rPr>
        <w:t xml:space="preserve">L/kg for the </w:t>
      </w:r>
      <w:r w:rsidRPr="00356AEA">
        <w:rPr>
          <w:rFonts w:eastAsiaTheme="minorHAnsi"/>
          <w:iCs/>
          <w:sz w:val="16"/>
          <w:szCs w:val="16"/>
        </w:rPr>
        <w:t>syn-</w:t>
      </w:r>
      <w:r w:rsidRPr="00356AEA">
        <w:rPr>
          <w:rFonts w:eastAsiaTheme="minorHAnsi"/>
          <w:sz w:val="16"/>
          <w:szCs w:val="16"/>
        </w:rPr>
        <w:t xml:space="preserve"> isomer, based on </w:t>
      </w:r>
      <w:r w:rsidRPr="00356AEA">
        <w:rPr>
          <w:rFonts w:eastAsiaTheme="minorHAnsi"/>
          <w:sz w:val="16"/>
          <w:szCs w:val="16"/>
          <w:u w:val="single"/>
        </w:rPr>
        <w:t>total</w:t>
      </w:r>
      <w:r w:rsidRPr="00356AEA">
        <w:rPr>
          <w:rFonts w:eastAsiaTheme="minorHAnsi"/>
          <w:sz w:val="16"/>
          <w:szCs w:val="16"/>
        </w:rPr>
        <w:t xml:space="preserve"> water concentrations. BAFs at the middle and upper trophic levels were higher.</w:t>
      </w:r>
    </w:p>
  </w:footnote>
  <w:footnote w:id="16">
    <w:p w14:paraId="1DAE26D3" w14:textId="77777777" w:rsidR="00873585" w:rsidRPr="00356AEA" w:rsidRDefault="00873585" w:rsidP="009D5DD5">
      <w:pPr>
        <w:pStyle w:val="EABodyText"/>
        <w:spacing w:after="120"/>
        <w:jc w:val="both"/>
        <w:rPr>
          <w:rFonts w:ascii="Verdana" w:hAnsi="Verdana"/>
          <w:sz w:val="16"/>
          <w:szCs w:val="16"/>
        </w:rPr>
      </w:pPr>
      <w:r w:rsidRPr="00356AEA">
        <w:rPr>
          <w:rStyle w:val="FootnoteReference"/>
          <w:rFonts w:ascii="Verdana" w:hAnsi="Verdana"/>
          <w:szCs w:val="16"/>
        </w:rPr>
        <w:footnoteRef/>
      </w:r>
      <w:r w:rsidRPr="00356AEA">
        <w:rPr>
          <w:rFonts w:ascii="Verdana" w:hAnsi="Verdana"/>
          <w:sz w:val="16"/>
          <w:szCs w:val="16"/>
        </w:rPr>
        <w:t xml:space="preserve"> A maximum molecular length greater than 43 Å (4.3 nm) is also mentioned, but EA (2009c) found that the basis for this value was highly dubious so it is not considered further here.</w:t>
      </w:r>
    </w:p>
  </w:footnote>
  <w:footnote w:id="17">
    <w:p w14:paraId="3D142D2B" w14:textId="77777777" w:rsidR="00873585" w:rsidRDefault="00873585" w:rsidP="009D5DD5">
      <w:pPr>
        <w:autoSpaceDE w:val="0"/>
        <w:autoSpaceDN w:val="0"/>
        <w:adjustRightInd w:val="0"/>
        <w:jc w:val="both"/>
        <w:rPr>
          <w:sz w:val="16"/>
          <w:szCs w:val="16"/>
        </w:rPr>
      </w:pPr>
      <w:r w:rsidRPr="00356AEA">
        <w:rPr>
          <w:rStyle w:val="FootnoteReference"/>
          <w:rFonts w:ascii="Verdana" w:hAnsi="Verdana"/>
          <w:szCs w:val="16"/>
        </w:rPr>
        <w:footnoteRef/>
      </w:r>
      <w:r w:rsidRPr="00356AEA">
        <w:rPr>
          <w:sz w:val="16"/>
          <w:szCs w:val="16"/>
        </w:rPr>
        <w:t xml:space="preserve"> Tomy </w:t>
      </w:r>
      <w:r w:rsidRPr="00356AEA">
        <w:rPr>
          <w:i/>
          <w:sz w:val="16"/>
          <w:szCs w:val="16"/>
        </w:rPr>
        <w:t>et al</w:t>
      </w:r>
      <w:r w:rsidRPr="00356AEA">
        <w:rPr>
          <w:sz w:val="16"/>
          <w:szCs w:val="16"/>
        </w:rPr>
        <w:t>. (2008) performed molecular modelling for the global minimum energy conformer of the Dechlorane Plus</w:t>
      </w:r>
      <w:r>
        <w:rPr>
          <w:sz w:val="16"/>
          <w:szCs w:val="16"/>
        </w:rPr>
        <w:t xml:space="preserve"> structure using semi-empirical AM1 calculations in the Spartan ES program. However, as the modelling resulted in the chair conformation for the cyclooctane moiety for both isomers, the calculations may have been unreliable, and so the values for molecular volume and dipole moments are not reported.</w:t>
      </w:r>
    </w:p>
  </w:footnote>
  <w:footnote w:id="18">
    <w:p w14:paraId="4A158D28" w14:textId="77777777" w:rsidR="00873585" w:rsidRPr="00356AEA" w:rsidRDefault="00873585" w:rsidP="00526CD0">
      <w:pPr>
        <w:autoSpaceDE w:val="0"/>
        <w:autoSpaceDN w:val="0"/>
        <w:adjustRightInd w:val="0"/>
        <w:spacing w:after="120"/>
        <w:jc w:val="both"/>
        <w:rPr>
          <w:rFonts w:cs="TimesNewRomanPSMT"/>
          <w:sz w:val="16"/>
          <w:szCs w:val="16"/>
          <w:lang w:eastAsia="en-GB"/>
        </w:rPr>
      </w:pPr>
      <w:r w:rsidRPr="00356AEA">
        <w:rPr>
          <w:rStyle w:val="FootnoteReference"/>
          <w:rFonts w:ascii="Verdana" w:hAnsi="Verdana"/>
          <w:szCs w:val="16"/>
        </w:rPr>
        <w:footnoteRef/>
      </w:r>
      <w:r w:rsidRPr="00356AEA">
        <w:rPr>
          <w:sz w:val="16"/>
          <w:szCs w:val="16"/>
        </w:rPr>
        <w:t xml:space="preserve"> </w:t>
      </w:r>
      <w:r w:rsidRPr="00356AEA">
        <w:rPr>
          <w:rFonts w:cs="TimesNewRomanPSMT"/>
          <w:sz w:val="16"/>
          <w:szCs w:val="16"/>
          <w:lang w:eastAsia="en-GB"/>
        </w:rPr>
        <w:t>Table 2 in the paper reports a depuration rate constant with units of “/d ×10</w:t>
      </w:r>
      <w:r w:rsidRPr="00356AEA">
        <w:rPr>
          <w:rFonts w:cs="TimesNewRomanPSMT"/>
          <w:sz w:val="16"/>
          <w:szCs w:val="16"/>
          <w:vertAlign w:val="superscript"/>
          <w:lang w:eastAsia="en-GB"/>
        </w:rPr>
        <w:t>-2”</w:t>
      </w:r>
      <w:r w:rsidRPr="00356AEA">
        <w:rPr>
          <w:rFonts w:cs="TimesNewRomanPSMT"/>
          <w:sz w:val="16"/>
          <w:szCs w:val="16"/>
          <w:lang w:eastAsia="en-GB"/>
        </w:rPr>
        <w:t xml:space="preserve"> in the header, whereas the main text uses the unit of “/d”. If the value inferred from Table 2 for the </w:t>
      </w:r>
      <w:r w:rsidRPr="00356AEA">
        <w:rPr>
          <w:rFonts w:cs="TimesNewRomanPS-ItalicMT"/>
          <w:i/>
          <w:iCs/>
          <w:sz w:val="16"/>
          <w:szCs w:val="16"/>
          <w:lang w:eastAsia="en-GB"/>
        </w:rPr>
        <w:t>syn</w:t>
      </w:r>
      <w:r w:rsidRPr="00356AEA">
        <w:rPr>
          <w:rFonts w:cs="TimesNewRomanPSMT"/>
          <w:sz w:val="16"/>
          <w:szCs w:val="16"/>
          <w:lang w:eastAsia="en-GB"/>
        </w:rPr>
        <w:t>- isomer were 0.00013 d</w:t>
      </w:r>
      <w:r w:rsidRPr="00356AEA">
        <w:rPr>
          <w:rFonts w:cs="TimesNewRomanPSMT"/>
          <w:sz w:val="16"/>
          <w:szCs w:val="16"/>
          <w:vertAlign w:val="superscript"/>
          <w:lang w:eastAsia="en-GB"/>
        </w:rPr>
        <w:t>-1</w:t>
      </w:r>
      <w:r w:rsidRPr="00356AEA">
        <w:rPr>
          <w:rFonts w:cs="TimesNewRomanPSMT"/>
          <w:sz w:val="16"/>
          <w:szCs w:val="16"/>
          <w:lang w:eastAsia="en-GB"/>
        </w:rPr>
        <w:t>, the half-life would be about 5,300 days. Arnot &amp; Quinn (2015) (supporting information) show that “×10</w:t>
      </w:r>
      <w:r w:rsidRPr="00356AEA">
        <w:rPr>
          <w:rFonts w:cs="TimesNewRomanPSMT"/>
          <w:sz w:val="16"/>
          <w:szCs w:val="16"/>
          <w:vertAlign w:val="superscript"/>
          <w:lang w:eastAsia="en-GB"/>
        </w:rPr>
        <w:t>-2</w:t>
      </w:r>
      <w:r w:rsidRPr="00356AEA">
        <w:rPr>
          <w:rFonts w:cs="TimesNewRomanPSMT"/>
          <w:sz w:val="16"/>
          <w:szCs w:val="16"/>
          <w:lang w:eastAsia="en-GB"/>
        </w:rPr>
        <w:t>” is an error.</w:t>
      </w:r>
    </w:p>
  </w:footnote>
  <w:footnote w:id="19">
    <w:p w14:paraId="37D51CC3" w14:textId="77777777" w:rsidR="00873585" w:rsidRDefault="00873585" w:rsidP="00526CD0">
      <w:pPr>
        <w:autoSpaceDE w:val="0"/>
        <w:autoSpaceDN w:val="0"/>
        <w:adjustRightInd w:val="0"/>
        <w:jc w:val="both"/>
        <w:rPr>
          <w:rFonts w:eastAsiaTheme="minorHAnsi" w:cs="Times-Roman"/>
          <w:sz w:val="16"/>
          <w:szCs w:val="16"/>
          <w:lang w:val="en-US" w:eastAsia="en-US"/>
        </w:rPr>
      </w:pPr>
      <w:r w:rsidRPr="00356AEA">
        <w:rPr>
          <w:rStyle w:val="FootnoteReference"/>
          <w:rFonts w:ascii="Verdana" w:hAnsi="Verdana"/>
          <w:szCs w:val="16"/>
        </w:rPr>
        <w:footnoteRef/>
      </w:r>
      <w:r w:rsidRPr="00356AEA">
        <w:rPr>
          <w:sz w:val="16"/>
          <w:szCs w:val="16"/>
        </w:rPr>
        <w:t xml:space="preserve"> Sverko </w:t>
      </w:r>
      <w:r w:rsidRPr="00356AEA">
        <w:rPr>
          <w:i/>
          <w:sz w:val="16"/>
          <w:szCs w:val="16"/>
        </w:rPr>
        <w:t>et al</w:t>
      </w:r>
      <w:r w:rsidRPr="00356AEA">
        <w:rPr>
          <w:sz w:val="16"/>
          <w:szCs w:val="16"/>
        </w:rPr>
        <w:t xml:space="preserve">. (2011) </w:t>
      </w:r>
      <w:r w:rsidRPr="00356AEA">
        <w:rPr>
          <w:rFonts w:eastAsiaTheme="minorHAnsi" w:cs="Times-Roman"/>
          <w:sz w:val="16"/>
          <w:szCs w:val="16"/>
        </w:rPr>
        <w:t xml:space="preserve">applied the method to estimate </w:t>
      </w:r>
      <w:r w:rsidRPr="00356AEA">
        <w:rPr>
          <w:rFonts w:eastAsiaTheme="minorHAnsi" w:cs="Times-Italic"/>
          <w:i/>
          <w:iCs/>
          <w:sz w:val="16"/>
          <w:szCs w:val="16"/>
        </w:rPr>
        <w:t xml:space="preserve">in vivo </w:t>
      </w:r>
      <w:r w:rsidRPr="00356AEA">
        <w:rPr>
          <w:rFonts w:eastAsiaTheme="minorHAnsi" w:cs="Times-Roman"/>
          <w:sz w:val="16"/>
          <w:szCs w:val="16"/>
        </w:rPr>
        <w:t xml:space="preserve">biotransformation rates in fish developed by Arnot </w:t>
      </w:r>
      <w:r w:rsidRPr="00356AEA">
        <w:rPr>
          <w:rFonts w:eastAsiaTheme="minorHAnsi" w:cs="Times-Roman"/>
          <w:i/>
          <w:sz w:val="16"/>
          <w:szCs w:val="16"/>
        </w:rPr>
        <w:t>et al</w:t>
      </w:r>
      <w:r w:rsidRPr="00356AEA">
        <w:rPr>
          <w:rFonts w:eastAsiaTheme="minorHAnsi" w:cs="Times-Roman"/>
          <w:sz w:val="16"/>
          <w:szCs w:val="16"/>
        </w:rPr>
        <w:t xml:space="preserve">. (2008) to the dietary test data reported by Tomy </w:t>
      </w:r>
      <w:r w:rsidRPr="00356AEA">
        <w:rPr>
          <w:i/>
          <w:sz w:val="16"/>
          <w:szCs w:val="16"/>
        </w:rPr>
        <w:t>et al</w:t>
      </w:r>
      <w:r w:rsidRPr="00356AEA">
        <w:rPr>
          <w:sz w:val="16"/>
          <w:szCs w:val="16"/>
        </w:rPr>
        <w:t>. (2008)</w:t>
      </w:r>
      <w:r w:rsidRPr="00356AEA">
        <w:rPr>
          <w:rFonts w:eastAsiaTheme="minorHAnsi" w:cs="Times-Roman"/>
          <w:sz w:val="16"/>
          <w:szCs w:val="16"/>
        </w:rPr>
        <w:t>. The estimated biotransformation rate constants (normalized to a 10 g fish at 15 ºC) were 0.015 d</w:t>
      </w:r>
      <w:r w:rsidRPr="00356AEA">
        <w:rPr>
          <w:rFonts w:eastAsiaTheme="minorHAnsi" w:cs="Times-Roman"/>
          <w:sz w:val="16"/>
          <w:szCs w:val="16"/>
          <w:vertAlign w:val="superscript"/>
        </w:rPr>
        <w:t>-1</w:t>
      </w:r>
      <w:r w:rsidRPr="00356AEA">
        <w:rPr>
          <w:rFonts w:eastAsiaTheme="minorHAnsi" w:cs="Times-Roman"/>
          <w:sz w:val="16"/>
          <w:szCs w:val="16"/>
        </w:rPr>
        <w:t xml:space="preserve"> and 0.0083 d</w:t>
      </w:r>
      <w:r w:rsidRPr="00356AEA">
        <w:rPr>
          <w:rFonts w:eastAsiaTheme="minorHAnsi" w:cs="Times-Roman"/>
          <w:sz w:val="16"/>
          <w:szCs w:val="16"/>
          <w:vertAlign w:val="superscript"/>
        </w:rPr>
        <w:t>-1</w:t>
      </w:r>
      <w:r w:rsidRPr="00356AEA">
        <w:rPr>
          <w:rFonts w:eastAsiaTheme="minorHAnsi" w:cs="Times-Roman"/>
          <w:sz w:val="16"/>
          <w:szCs w:val="16"/>
        </w:rPr>
        <w:t xml:space="preserve"> for the </w:t>
      </w:r>
      <w:r w:rsidRPr="00356AEA">
        <w:rPr>
          <w:rFonts w:eastAsiaTheme="minorHAnsi" w:cs="Times-Italic"/>
          <w:iCs/>
          <w:sz w:val="16"/>
          <w:szCs w:val="16"/>
        </w:rPr>
        <w:t xml:space="preserve">anti- </w:t>
      </w:r>
      <w:r w:rsidRPr="00356AEA">
        <w:rPr>
          <w:rFonts w:eastAsiaTheme="minorHAnsi" w:cs="Times-Roman"/>
          <w:sz w:val="16"/>
          <w:szCs w:val="16"/>
        </w:rPr>
        <w:t xml:space="preserve">and </w:t>
      </w:r>
      <w:r w:rsidRPr="00356AEA">
        <w:rPr>
          <w:rFonts w:eastAsiaTheme="minorHAnsi" w:cs="Times-Italic"/>
          <w:iCs/>
          <w:sz w:val="16"/>
          <w:szCs w:val="16"/>
        </w:rPr>
        <w:t>syn-</w:t>
      </w:r>
      <w:r w:rsidRPr="00356AEA">
        <w:rPr>
          <w:rFonts w:eastAsiaTheme="minorHAnsi" w:cs="Times-Roman"/>
          <w:sz w:val="16"/>
          <w:szCs w:val="16"/>
        </w:rPr>
        <w:t xml:space="preserve"> isomer, respectively. An uncertainty analysis indicated that 95 % of the expected values are approximately within an order of magnitude of the estimates. The equivalent biotransformation half-life is 47 and 84 days for the </w:t>
      </w:r>
      <w:r w:rsidRPr="00356AEA">
        <w:rPr>
          <w:rFonts w:eastAsiaTheme="minorHAnsi" w:cs="Times-Italic"/>
          <w:iCs/>
          <w:sz w:val="16"/>
          <w:szCs w:val="16"/>
        </w:rPr>
        <w:t xml:space="preserve">anti- </w:t>
      </w:r>
      <w:r w:rsidRPr="00356AEA">
        <w:rPr>
          <w:rFonts w:eastAsiaTheme="minorHAnsi" w:cs="Times-Roman"/>
          <w:sz w:val="16"/>
          <w:szCs w:val="16"/>
        </w:rPr>
        <w:t xml:space="preserve">and </w:t>
      </w:r>
      <w:r w:rsidRPr="00356AEA">
        <w:rPr>
          <w:rFonts w:eastAsiaTheme="minorHAnsi" w:cs="Times-Italic"/>
          <w:iCs/>
          <w:sz w:val="16"/>
          <w:szCs w:val="16"/>
        </w:rPr>
        <w:t>syn-</w:t>
      </w:r>
      <w:r w:rsidRPr="00356AEA">
        <w:rPr>
          <w:rFonts w:eastAsiaTheme="minorHAnsi" w:cs="Times-Roman"/>
          <w:sz w:val="16"/>
          <w:szCs w:val="16"/>
        </w:rPr>
        <w:t xml:space="preserve"> isomer, respectively. </w:t>
      </w:r>
      <w:r w:rsidRPr="00356AEA">
        <w:rPr>
          <w:sz w:val="16"/>
          <w:szCs w:val="16"/>
        </w:rPr>
        <w:t xml:space="preserve">Such biotransformation half-lives are slow, and comparable to biotransformation half-lives associated with chemicals that are known to biomagnify and bioaccumulate in aquatic food webs (Arnot </w:t>
      </w:r>
      <w:r w:rsidRPr="00356AEA">
        <w:rPr>
          <w:i/>
          <w:sz w:val="16"/>
          <w:szCs w:val="16"/>
        </w:rPr>
        <w:t>et al</w:t>
      </w:r>
      <w:r w:rsidRPr="00356AEA">
        <w:rPr>
          <w:sz w:val="16"/>
          <w:szCs w:val="16"/>
        </w:rPr>
        <w:t>., 2009).</w:t>
      </w:r>
      <w:r>
        <w:rPr>
          <w:sz w:val="16"/>
          <w:szCs w:val="16"/>
        </w:rPr>
        <w:t xml:space="preserve"> </w:t>
      </w:r>
    </w:p>
  </w:footnote>
  <w:footnote w:id="20">
    <w:p w14:paraId="05BD2788" w14:textId="77777777" w:rsidR="00873585" w:rsidRPr="00A9101B" w:rsidRDefault="00873585" w:rsidP="00A9101B">
      <w:pPr>
        <w:pStyle w:val="FootnoteText"/>
        <w:spacing w:after="120"/>
        <w:jc w:val="both"/>
        <w:rPr>
          <w:sz w:val="16"/>
          <w:szCs w:val="16"/>
        </w:rPr>
      </w:pPr>
      <w:r w:rsidRPr="00C34826">
        <w:rPr>
          <w:rStyle w:val="FootnoteReference"/>
          <w:rFonts w:ascii="Verdana" w:hAnsi="Verdana"/>
          <w:szCs w:val="16"/>
        </w:rPr>
        <w:footnoteRef/>
      </w:r>
      <w:r w:rsidRPr="00C34826">
        <w:rPr>
          <w:sz w:val="16"/>
          <w:szCs w:val="16"/>
        </w:rPr>
        <w:t xml:space="preserve"> </w:t>
      </w:r>
      <w:r w:rsidRPr="00A9101B">
        <w:rPr>
          <w:sz w:val="16"/>
          <w:szCs w:val="16"/>
        </w:rPr>
        <w:t xml:space="preserve">It is important to distinguish clearly between rates (or more correctly the rate of change) of a process and the rate constant for a process. For example, OECD TG 305 assumes that the rates of uptake, depuration and growth dilution are all first order processes, i.e. the rate of change in concentration is a result of a constant (rate constant) multiplied by the appropriate concentration. Thus, as the accumulation proceeds, the rate of the uptake and depuration changes but the rate constant remains constant. In several places Tomy </w:t>
      </w:r>
      <w:r w:rsidRPr="00A9101B">
        <w:rPr>
          <w:i/>
          <w:sz w:val="16"/>
          <w:szCs w:val="16"/>
        </w:rPr>
        <w:t>et al</w:t>
      </w:r>
      <w:r w:rsidRPr="00A9101B">
        <w:rPr>
          <w:sz w:val="16"/>
          <w:szCs w:val="16"/>
        </w:rPr>
        <w:t xml:space="preserve">. (2008) reported the rate rather than the rate constant. Typically, the rate for the initial phases of a first order process can be approximated to the initial slope of the concentration-versus-time curve. Thus it is possible to estimate approximately the required rate constant from the rate data presented in the Tomy </w:t>
      </w:r>
      <w:r w:rsidRPr="00A9101B">
        <w:rPr>
          <w:i/>
          <w:sz w:val="16"/>
          <w:szCs w:val="16"/>
        </w:rPr>
        <w:t>et al</w:t>
      </w:r>
      <w:r w:rsidRPr="00A9101B">
        <w:rPr>
          <w:sz w:val="16"/>
          <w:szCs w:val="16"/>
        </w:rPr>
        <w:t>. (2008) paper in some instances.</w:t>
      </w:r>
    </w:p>
  </w:footnote>
  <w:footnote w:id="21">
    <w:p w14:paraId="44A232D8" w14:textId="77777777" w:rsidR="00873585" w:rsidRPr="00356AEA" w:rsidRDefault="00873585" w:rsidP="00EF20C3">
      <w:pPr>
        <w:pStyle w:val="FootnoteText"/>
        <w:spacing w:after="120"/>
        <w:rPr>
          <w:sz w:val="16"/>
          <w:szCs w:val="16"/>
        </w:rPr>
      </w:pPr>
      <w:r w:rsidRPr="00356AEA">
        <w:rPr>
          <w:rStyle w:val="FootnoteReference"/>
          <w:rFonts w:ascii="Verdana" w:hAnsi="Verdana"/>
          <w:szCs w:val="16"/>
        </w:rPr>
        <w:footnoteRef/>
      </w:r>
      <w:r w:rsidRPr="00356AEA">
        <w:rPr>
          <w:sz w:val="16"/>
          <w:szCs w:val="16"/>
        </w:rPr>
        <w:t xml:space="preserve"> As noted earlier, it is not clear how the concentrations have been lipid-corrected in this study.</w:t>
      </w:r>
    </w:p>
  </w:footnote>
  <w:footnote w:id="22">
    <w:p w14:paraId="1D856947" w14:textId="77777777" w:rsidR="00873585" w:rsidRDefault="00873585" w:rsidP="00C34826">
      <w:pPr>
        <w:pStyle w:val="FootnoteText"/>
        <w:jc w:val="both"/>
        <w:rPr>
          <w:sz w:val="16"/>
          <w:szCs w:val="16"/>
        </w:rPr>
      </w:pPr>
      <w:r w:rsidRPr="00356AEA">
        <w:rPr>
          <w:rStyle w:val="FootnoteReference"/>
          <w:rFonts w:ascii="Verdana" w:hAnsi="Verdana"/>
          <w:szCs w:val="16"/>
        </w:rPr>
        <w:footnoteRef/>
      </w:r>
      <w:r w:rsidRPr="00356AEA">
        <w:rPr>
          <w:sz w:val="16"/>
          <w:szCs w:val="16"/>
        </w:rPr>
        <w:t xml:space="preserve"> The feeding rate was 0.01 kg food/kg fish (1 % of body weight); if the concentrations are on a lipid basis then the feeding rate on a lipid basis is needed for the calculation. Using the food lipid content of 14.3 % and the lipid content of fish on day 49 of uptake of 6.9 % for anti-DP and 7.5 % for syn-DP the equivalent feeding rate on a kg lipid food/kg lipid fish can be estimated to be around 0.021 for anti-DP and 0.019 for syn-DP.</w:t>
      </w:r>
    </w:p>
  </w:footnote>
  <w:footnote w:id="23">
    <w:p w14:paraId="22249659" w14:textId="77777777" w:rsidR="00873585" w:rsidRDefault="00873585" w:rsidP="00526CD0">
      <w:pPr>
        <w:pStyle w:val="FootnoteText"/>
        <w:rPr>
          <w:sz w:val="16"/>
          <w:szCs w:val="16"/>
        </w:rPr>
      </w:pPr>
      <w:r w:rsidRPr="00C968A8">
        <w:rPr>
          <w:rStyle w:val="FootnoteReference"/>
          <w:rFonts w:ascii="Verdana" w:hAnsi="Verdana"/>
          <w:szCs w:val="16"/>
        </w:rPr>
        <w:footnoteRef/>
      </w:r>
      <w:r>
        <w:rPr>
          <w:sz w:val="16"/>
          <w:szCs w:val="16"/>
        </w:rPr>
        <w:t xml:space="preserve"> The rate of uptake = k</w:t>
      </w:r>
      <w:r>
        <w:rPr>
          <w:sz w:val="16"/>
          <w:szCs w:val="16"/>
          <w:vertAlign w:val="subscript"/>
        </w:rPr>
        <w:t>1</w:t>
      </w:r>
      <w:r>
        <w:rPr>
          <w:sz w:val="16"/>
          <w:szCs w:val="16"/>
        </w:rPr>
        <w:t>×[C</w:t>
      </w:r>
      <w:r>
        <w:rPr>
          <w:sz w:val="16"/>
          <w:szCs w:val="16"/>
          <w:vertAlign w:val="subscript"/>
        </w:rPr>
        <w:t>food</w:t>
      </w:r>
      <w:r>
        <w:rPr>
          <w:sz w:val="16"/>
          <w:szCs w:val="16"/>
        </w:rPr>
        <w:t>] -  k</w:t>
      </w:r>
      <w:r>
        <w:rPr>
          <w:sz w:val="16"/>
          <w:szCs w:val="16"/>
          <w:vertAlign w:val="subscript"/>
        </w:rPr>
        <w:t>2</w:t>
      </w:r>
      <w:r>
        <w:rPr>
          <w:sz w:val="16"/>
          <w:szCs w:val="16"/>
        </w:rPr>
        <w:t>×[C</w:t>
      </w:r>
      <w:r>
        <w:rPr>
          <w:sz w:val="16"/>
          <w:szCs w:val="16"/>
          <w:vertAlign w:val="subscript"/>
        </w:rPr>
        <w:t>fish</w:t>
      </w:r>
      <w:r>
        <w:rPr>
          <w:sz w:val="16"/>
          <w:szCs w:val="16"/>
        </w:rPr>
        <w:t>]. At the early stages of the uptake where the concentrations in fish are low the term k</w:t>
      </w:r>
      <w:r>
        <w:rPr>
          <w:sz w:val="16"/>
          <w:szCs w:val="16"/>
          <w:vertAlign w:val="subscript"/>
        </w:rPr>
        <w:t>2</w:t>
      </w:r>
      <w:r>
        <w:rPr>
          <w:sz w:val="16"/>
          <w:szCs w:val="16"/>
        </w:rPr>
        <w:t>×[C</w:t>
      </w:r>
      <w:r>
        <w:rPr>
          <w:sz w:val="16"/>
          <w:szCs w:val="16"/>
          <w:vertAlign w:val="subscript"/>
        </w:rPr>
        <w:t>fish</w:t>
      </w:r>
      <w:r>
        <w:rPr>
          <w:sz w:val="16"/>
          <w:szCs w:val="16"/>
        </w:rPr>
        <w:t>] is small compared with the term k</w:t>
      </w:r>
      <w:r>
        <w:rPr>
          <w:sz w:val="16"/>
          <w:szCs w:val="16"/>
          <w:vertAlign w:val="subscript"/>
        </w:rPr>
        <w:t>1</w:t>
      </w:r>
      <w:r>
        <w:rPr>
          <w:sz w:val="16"/>
          <w:szCs w:val="16"/>
        </w:rPr>
        <w:t>×[C</w:t>
      </w:r>
      <w:r>
        <w:rPr>
          <w:sz w:val="16"/>
          <w:szCs w:val="16"/>
          <w:vertAlign w:val="subscript"/>
        </w:rPr>
        <w:t>food</w:t>
      </w:r>
      <w:r>
        <w:rPr>
          <w:sz w:val="16"/>
          <w:szCs w:val="16"/>
        </w:rPr>
        <w:t>] and so the intial rate of uptake approximates to k</w:t>
      </w:r>
      <w:r>
        <w:rPr>
          <w:sz w:val="16"/>
          <w:szCs w:val="16"/>
          <w:vertAlign w:val="subscript"/>
        </w:rPr>
        <w:t>1</w:t>
      </w:r>
      <w:r>
        <w:rPr>
          <w:sz w:val="16"/>
          <w:szCs w:val="16"/>
        </w:rPr>
        <w:t>×[C</w:t>
      </w:r>
      <w:r>
        <w:rPr>
          <w:sz w:val="16"/>
          <w:szCs w:val="16"/>
          <w:vertAlign w:val="subscript"/>
        </w:rPr>
        <w:t>food</w:t>
      </w:r>
      <w:r>
        <w:rPr>
          <w:sz w:val="16"/>
          <w:szCs w:val="16"/>
        </w:rPr>
        <w:t>].</w:t>
      </w:r>
    </w:p>
  </w:footnote>
  <w:footnote w:id="24">
    <w:p w14:paraId="70A887BB" w14:textId="77777777" w:rsidR="00873585" w:rsidRPr="001208E7" w:rsidRDefault="00873585" w:rsidP="001208E7">
      <w:pPr>
        <w:pStyle w:val="FootnoteText"/>
        <w:spacing w:after="120"/>
        <w:rPr>
          <w:sz w:val="16"/>
          <w:szCs w:val="16"/>
        </w:rPr>
      </w:pPr>
      <w:r w:rsidRPr="001208E7">
        <w:rPr>
          <w:rStyle w:val="FootnoteReference"/>
          <w:rFonts w:ascii="Verdana" w:hAnsi="Verdana"/>
          <w:szCs w:val="16"/>
        </w:rPr>
        <w:footnoteRef/>
      </w:r>
      <w:r w:rsidRPr="001208E7">
        <w:rPr>
          <w:sz w:val="16"/>
          <w:szCs w:val="16"/>
        </w:rPr>
        <w:t xml:space="preserve"> The BMF = feeding rate</w:t>
      </w:r>
      <w:r>
        <w:rPr>
          <w:sz w:val="16"/>
          <w:szCs w:val="16"/>
        </w:rPr>
        <w:t xml:space="preserve"> </w:t>
      </w:r>
      <w:r w:rsidRPr="001208E7">
        <w:rPr>
          <w:sz w:val="16"/>
          <w:szCs w:val="16"/>
        </w:rPr>
        <w:t>×</w:t>
      </w:r>
      <w:r>
        <w:rPr>
          <w:sz w:val="16"/>
          <w:szCs w:val="16"/>
        </w:rPr>
        <w:t xml:space="preserve"> </w:t>
      </w:r>
      <w:r w:rsidRPr="001208E7">
        <w:rPr>
          <w:sz w:val="16"/>
          <w:szCs w:val="16"/>
        </w:rPr>
        <w:t>assimilation efficiency/depuration rate constant. Thus assuming the assimilation efficiency and depuration rate constant do not vary much with feeding rate, doubling the feeding rate should double the BMF.</w:t>
      </w:r>
    </w:p>
  </w:footnote>
  <w:footnote w:id="25">
    <w:p w14:paraId="0C6C0201" w14:textId="77777777" w:rsidR="00873585" w:rsidRPr="00DF3BE4" w:rsidRDefault="00873585" w:rsidP="00312C3D">
      <w:pPr>
        <w:pStyle w:val="FootnoteText"/>
        <w:spacing w:after="120"/>
        <w:rPr>
          <w:sz w:val="16"/>
          <w:szCs w:val="16"/>
        </w:rPr>
      </w:pPr>
      <w:r w:rsidRPr="00DF3BE4">
        <w:rPr>
          <w:rStyle w:val="FootnoteReference"/>
          <w:rFonts w:ascii="Verdana" w:hAnsi="Verdana"/>
          <w:szCs w:val="16"/>
        </w:rPr>
        <w:footnoteRef/>
      </w:r>
      <w:r w:rsidRPr="00DF3BE4">
        <w:rPr>
          <w:sz w:val="16"/>
          <w:szCs w:val="16"/>
        </w:rPr>
        <w:t xml:space="preserve"> Equivalent to depuration half-lives above around 8-10 days, assuming first order kinetics.</w:t>
      </w:r>
    </w:p>
  </w:footnote>
  <w:footnote w:id="26">
    <w:p w14:paraId="26959796" w14:textId="77777777" w:rsidR="00873585" w:rsidRPr="00DF3BE4" w:rsidRDefault="00873585" w:rsidP="008354DB">
      <w:pPr>
        <w:pStyle w:val="FootnoteText"/>
        <w:spacing w:after="120"/>
        <w:jc w:val="both"/>
        <w:rPr>
          <w:bCs/>
          <w:sz w:val="16"/>
          <w:szCs w:val="16"/>
        </w:rPr>
      </w:pPr>
      <w:r w:rsidRPr="00DF3BE4">
        <w:rPr>
          <w:rStyle w:val="FootnoteReference"/>
          <w:rFonts w:ascii="Verdana" w:hAnsi="Verdana"/>
          <w:szCs w:val="16"/>
        </w:rPr>
        <w:footnoteRef/>
      </w:r>
      <w:r w:rsidRPr="00DF3BE4">
        <w:rPr>
          <w:sz w:val="16"/>
          <w:szCs w:val="16"/>
        </w:rPr>
        <w:t xml:space="preserve"> </w:t>
      </w:r>
      <w:r w:rsidRPr="00DF3BE4">
        <w:rPr>
          <w:bCs/>
          <w:sz w:val="16"/>
          <w:szCs w:val="16"/>
        </w:rPr>
        <w:t xml:space="preserve">Goss </w:t>
      </w:r>
      <w:r w:rsidRPr="00DF3BE4">
        <w:rPr>
          <w:bCs/>
          <w:i/>
          <w:sz w:val="16"/>
          <w:szCs w:val="16"/>
        </w:rPr>
        <w:t>et al</w:t>
      </w:r>
      <w:r w:rsidRPr="00DF3BE4">
        <w:rPr>
          <w:bCs/>
          <w:sz w:val="16"/>
          <w:szCs w:val="16"/>
        </w:rPr>
        <w:t xml:space="preserve">. (2013) </w:t>
      </w:r>
      <w:r w:rsidRPr="00DF3BE4">
        <w:rPr>
          <w:sz w:val="16"/>
          <w:szCs w:val="16"/>
        </w:rPr>
        <w:t>also</w:t>
      </w:r>
      <w:r w:rsidRPr="00DF3BE4">
        <w:rPr>
          <w:bCs/>
          <w:sz w:val="16"/>
          <w:szCs w:val="16"/>
        </w:rPr>
        <w:t xml:space="preserve"> consider the use of elimination half-life data in bioaccumulation assessment, taking a first principles approach without considering actual data. The proposed half-life corresponding to a BMF of 1 is 70 days assuming 100 % assimilation efficiency (longer if the assimilation rate goes down).</w:t>
      </w:r>
    </w:p>
  </w:footnote>
  <w:footnote w:id="27">
    <w:p w14:paraId="53E52A4F" w14:textId="77777777" w:rsidR="00873585" w:rsidRPr="00DF3BE4" w:rsidRDefault="00873585" w:rsidP="00312C3D">
      <w:pPr>
        <w:pStyle w:val="FootnoteText"/>
        <w:spacing w:after="120"/>
        <w:jc w:val="both"/>
        <w:rPr>
          <w:sz w:val="16"/>
          <w:szCs w:val="16"/>
        </w:rPr>
      </w:pPr>
      <w:r w:rsidRPr="00DF3BE4">
        <w:rPr>
          <w:rStyle w:val="FootnoteReference"/>
          <w:rFonts w:ascii="Verdana" w:hAnsi="Verdana"/>
          <w:szCs w:val="16"/>
        </w:rPr>
        <w:footnoteRef/>
      </w:r>
      <w:r w:rsidRPr="00DF3BE4">
        <w:rPr>
          <w:sz w:val="16"/>
          <w:szCs w:val="16"/>
        </w:rPr>
        <w:t xml:space="preserve"> Arnot &amp; Quinn (2015) estimated a growth-corrected </w:t>
      </w:r>
      <w:r w:rsidRPr="00DF3BE4">
        <w:rPr>
          <w:sz w:val="16"/>
          <w:szCs w:val="16"/>
          <w:lang w:eastAsia="en-GB"/>
        </w:rPr>
        <w:t xml:space="preserve">depuration half-life of about 100 days for a ca. 15 g fish with 5 % lipid content using the results of the </w:t>
      </w:r>
      <w:r w:rsidRPr="00DF3BE4">
        <w:rPr>
          <w:sz w:val="16"/>
          <w:szCs w:val="16"/>
        </w:rPr>
        <w:t xml:space="preserve">Zitko (1980) </w:t>
      </w:r>
      <w:r w:rsidRPr="00DF3BE4">
        <w:rPr>
          <w:sz w:val="16"/>
          <w:szCs w:val="16"/>
          <w:lang w:eastAsia="en-GB"/>
        </w:rPr>
        <w:t>study</w:t>
      </w:r>
      <w:r w:rsidRPr="00DF3BE4">
        <w:rPr>
          <w:sz w:val="16"/>
          <w:szCs w:val="16"/>
        </w:rPr>
        <w:t xml:space="preserve"> with Atlantic Salmon </w:t>
      </w:r>
      <w:r w:rsidRPr="00DF3BE4">
        <w:rPr>
          <w:i/>
          <w:sz w:val="16"/>
          <w:szCs w:val="16"/>
        </w:rPr>
        <w:t>S. salar</w:t>
      </w:r>
      <w:r w:rsidRPr="00DF3BE4">
        <w:rPr>
          <w:sz w:val="16"/>
          <w:szCs w:val="16"/>
          <w:lang w:eastAsia="en-GB"/>
        </w:rPr>
        <w:t xml:space="preserve">. However, this study is not </w:t>
      </w:r>
      <w:r w:rsidRPr="00DF3BE4">
        <w:rPr>
          <w:sz w:val="16"/>
          <w:szCs w:val="16"/>
        </w:rPr>
        <w:t>valid</w:t>
      </w:r>
      <w:r w:rsidRPr="00DF3BE4">
        <w:rPr>
          <w:sz w:val="16"/>
          <w:szCs w:val="16"/>
          <w:lang w:eastAsia="en-GB"/>
        </w:rPr>
        <w:t xml:space="preserve"> </w:t>
      </w:r>
      <w:r w:rsidRPr="00DF3BE4">
        <w:rPr>
          <w:sz w:val="16"/>
          <w:szCs w:val="16"/>
        </w:rPr>
        <w:t>for a variety of reasons: in particular co-exposure to other related substances might have affected the uptake or metabolism of Dechlorane Plus, as well as the health of the fish.</w:t>
      </w:r>
    </w:p>
  </w:footnote>
  <w:footnote w:id="28">
    <w:p w14:paraId="19950A38" w14:textId="77777777" w:rsidR="00873585" w:rsidRPr="007E1C2C" w:rsidRDefault="00873585" w:rsidP="007E1C2C">
      <w:pPr>
        <w:pStyle w:val="FootnoteText"/>
        <w:jc w:val="both"/>
        <w:rPr>
          <w:sz w:val="16"/>
          <w:szCs w:val="16"/>
        </w:rPr>
      </w:pPr>
      <w:r w:rsidRPr="00822BE8">
        <w:rPr>
          <w:rStyle w:val="FootnoteReference"/>
          <w:szCs w:val="16"/>
        </w:rPr>
        <w:footnoteRef/>
      </w:r>
      <w:r w:rsidRPr="007E1C2C">
        <w:rPr>
          <w:sz w:val="16"/>
          <w:szCs w:val="16"/>
        </w:rPr>
        <w:t xml:space="preserve"> Fish BSAFs are </w:t>
      </w:r>
      <w:r w:rsidRPr="007E1C2C">
        <w:rPr>
          <w:sz w:val="16"/>
          <w:szCs w:val="16"/>
          <w:lang w:val="en-US"/>
        </w:rPr>
        <w:t>defined as the lipid normalized concentration in the fish divided by the organic carbon normalized sediment concentration.</w:t>
      </w:r>
    </w:p>
  </w:footnote>
  <w:footnote w:id="29">
    <w:p w14:paraId="05B5C0F1" w14:textId="77777777" w:rsidR="00873585" w:rsidRPr="00DF3BE4" w:rsidRDefault="00873585" w:rsidP="00204ACB">
      <w:pPr>
        <w:pStyle w:val="FootnoteText"/>
        <w:rPr>
          <w:sz w:val="16"/>
          <w:szCs w:val="16"/>
        </w:rPr>
      </w:pPr>
      <w:r w:rsidRPr="00DF3BE4">
        <w:rPr>
          <w:rStyle w:val="FootnoteReference"/>
          <w:rFonts w:ascii="Verdana" w:hAnsi="Verdana"/>
          <w:szCs w:val="16"/>
        </w:rPr>
        <w:footnoteRef/>
      </w:r>
      <w:r w:rsidRPr="00DF3BE4">
        <w:rPr>
          <w:sz w:val="16"/>
          <w:szCs w:val="16"/>
        </w:rPr>
        <w:t xml:space="preserve"> Chyme is partly digested food that is expelled by the stomach into the duodenum.</w:t>
      </w:r>
    </w:p>
  </w:footnote>
  <w:footnote w:id="30">
    <w:p w14:paraId="28B792AD" w14:textId="77777777" w:rsidR="00873585" w:rsidRPr="00DF3BE4" w:rsidRDefault="00873585" w:rsidP="00DD468E">
      <w:pPr>
        <w:pStyle w:val="FootnoteText"/>
        <w:jc w:val="both"/>
        <w:rPr>
          <w:sz w:val="16"/>
          <w:szCs w:val="16"/>
        </w:rPr>
      </w:pPr>
      <w:r w:rsidRPr="00DF3BE4">
        <w:rPr>
          <w:rStyle w:val="FootnoteReference"/>
          <w:rFonts w:ascii="Verdana" w:hAnsi="Verdana"/>
          <w:szCs w:val="16"/>
        </w:rPr>
        <w:footnoteRef/>
      </w:r>
      <w:r w:rsidRPr="00DF3BE4">
        <w:rPr>
          <w:sz w:val="16"/>
          <w:szCs w:val="16"/>
        </w:rPr>
        <w:t xml:space="preserve"> </w:t>
      </w:r>
      <w:r w:rsidRPr="00DF3BE4">
        <w:rPr>
          <w:sz w:val="16"/>
          <w:szCs w:val="16"/>
          <w:lang w:eastAsia="en-GB"/>
        </w:rPr>
        <w:t>Nine eggs that had not been incubated were also divided into albumin and yolk for analysis. However, n</w:t>
      </w:r>
      <w:r w:rsidRPr="00DF3BE4">
        <w:rPr>
          <w:color w:val="000000"/>
          <w:sz w:val="16"/>
          <w:szCs w:val="16"/>
        </w:rPr>
        <w:t>o significant differences were found between levels in eggs from 0 d after the onset of incubation and these nine eggs (</w:t>
      </w:r>
      <w:r w:rsidRPr="00DF3BE4">
        <w:rPr>
          <w:i/>
          <w:color w:val="000000"/>
          <w:sz w:val="16"/>
          <w:szCs w:val="16"/>
        </w:rPr>
        <w:t>t</w:t>
      </w:r>
      <w:r w:rsidRPr="00DF3BE4">
        <w:rPr>
          <w:color w:val="000000"/>
          <w:sz w:val="16"/>
          <w:szCs w:val="16"/>
        </w:rPr>
        <w:t xml:space="preserve"> test, </w:t>
      </w:r>
      <w:r w:rsidRPr="00DF3BE4">
        <w:rPr>
          <w:i/>
          <w:color w:val="000000"/>
          <w:sz w:val="16"/>
          <w:szCs w:val="16"/>
        </w:rPr>
        <w:t>p </w:t>
      </w:r>
      <w:r w:rsidRPr="00DF3BE4">
        <w:rPr>
          <w:color w:val="000000"/>
          <w:sz w:val="16"/>
          <w:szCs w:val="16"/>
        </w:rPr>
        <w:t>&gt; 0.05) so their results are not provided in the paper.</w:t>
      </w:r>
    </w:p>
  </w:footnote>
  <w:footnote w:id="31">
    <w:p w14:paraId="2582C85F" w14:textId="77777777" w:rsidR="00873585" w:rsidRPr="00DF3BE4" w:rsidRDefault="00873585" w:rsidP="00312A11">
      <w:pPr>
        <w:pStyle w:val="FootnoteText"/>
        <w:spacing w:after="120"/>
        <w:jc w:val="both"/>
        <w:rPr>
          <w:sz w:val="16"/>
          <w:szCs w:val="16"/>
        </w:rPr>
      </w:pPr>
      <w:r w:rsidRPr="00DF3BE4">
        <w:rPr>
          <w:rStyle w:val="FootnoteReference"/>
          <w:rFonts w:ascii="Verdana" w:hAnsi="Verdana"/>
          <w:szCs w:val="16"/>
        </w:rPr>
        <w:footnoteRef/>
      </w:r>
      <w:r w:rsidRPr="00DF3BE4">
        <w:rPr>
          <w:sz w:val="16"/>
          <w:szCs w:val="16"/>
        </w:rPr>
        <w:t xml:space="preserve"> </w:t>
      </w:r>
      <w:r w:rsidRPr="00DF3BE4">
        <w:rPr>
          <w:color w:val="000000"/>
          <w:sz w:val="16"/>
          <w:szCs w:val="16"/>
        </w:rPr>
        <w:t>The lipid contents in chick muscle and liver (6.3±1.7 % and 13.1±2.8 %, respectively) were significantly lower than that in eggs (14.3±2.9 %) (</w:t>
      </w:r>
      <w:r w:rsidRPr="00DF3BE4">
        <w:rPr>
          <w:i/>
          <w:color w:val="000000"/>
          <w:sz w:val="16"/>
          <w:szCs w:val="16"/>
        </w:rPr>
        <w:t>p</w:t>
      </w:r>
      <w:r w:rsidRPr="00DF3BE4">
        <w:rPr>
          <w:color w:val="000000"/>
          <w:sz w:val="16"/>
          <w:szCs w:val="16"/>
        </w:rPr>
        <w:t> &lt; 0.05).</w:t>
      </w:r>
    </w:p>
  </w:footnote>
  <w:footnote w:id="32">
    <w:p w14:paraId="254DAFF7" w14:textId="77777777" w:rsidR="00873585" w:rsidRPr="00DF3BE4" w:rsidRDefault="00873585" w:rsidP="00312A11">
      <w:pPr>
        <w:pStyle w:val="FootnoteText"/>
        <w:jc w:val="both"/>
        <w:rPr>
          <w:sz w:val="16"/>
          <w:szCs w:val="16"/>
        </w:rPr>
      </w:pPr>
      <w:r w:rsidRPr="00DF3BE4">
        <w:rPr>
          <w:rStyle w:val="FootnoteReference"/>
          <w:rFonts w:ascii="Verdana" w:hAnsi="Verdana"/>
          <w:szCs w:val="16"/>
        </w:rPr>
        <w:footnoteRef/>
      </w:r>
      <w:r w:rsidRPr="00DF3BE4">
        <w:rPr>
          <w:sz w:val="16"/>
          <w:szCs w:val="16"/>
        </w:rPr>
        <w:t xml:space="preserve"> The lipid content of the eggs was 15 ± 4, 14 ± 2 and 15 ± 4 per cent on days 0, 7 and 14 of incubation, respectively.</w:t>
      </w:r>
    </w:p>
  </w:footnote>
  <w:footnote w:id="33">
    <w:p w14:paraId="30646D33" w14:textId="77777777" w:rsidR="00873585" w:rsidRPr="00DF3BE4" w:rsidRDefault="00873585" w:rsidP="00157A97">
      <w:pPr>
        <w:autoSpaceDE w:val="0"/>
        <w:autoSpaceDN w:val="0"/>
        <w:adjustRightInd w:val="0"/>
        <w:spacing w:after="120"/>
        <w:jc w:val="both"/>
        <w:rPr>
          <w:sz w:val="16"/>
          <w:szCs w:val="16"/>
        </w:rPr>
      </w:pPr>
      <w:r w:rsidRPr="00DF3BE4">
        <w:rPr>
          <w:rStyle w:val="FootnoteReference"/>
          <w:rFonts w:ascii="Verdana" w:hAnsi="Verdana"/>
          <w:szCs w:val="16"/>
        </w:rPr>
        <w:footnoteRef/>
      </w:r>
      <w:r w:rsidRPr="00DF3BE4">
        <w:rPr>
          <w:sz w:val="16"/>
          <w:szCs w:val="16"/>
        </w:rPr>
        <w:t xml:space="preserve"> Wang </w:t>
      </w:r>
      <w:r w:rsidRPr="00DF3BE4">
        <w:rPr>
          <w:i/>
          <w:sz w:val="16"/>
          <w:szCs w:val="16"/>
        </w:rPr>
        <w:t>et al</w:t>
      </w:r>
      <w:r w:rsidRPr="00DF3BE4">
        <w:rPr>
          <w:sz w:val="16"/>
          <w:szCs w:val="16"/>
        </w:rPr>
        <w:t>. (2010) reported soil concentrations in the range 377 – 13,400 µg/kg dw from sampling sites within 0.5 km of the Chinese manufacturing site (decreasing by an order of magnitude within 7.5 km).</w:t>
      </w:r>
    </w:p>
  </w:footnote>
  <w:footnote w:id="34">
    <w:p w14:paraId="17BE0889" w14:textId="77777777" w:rsidR="00873585" w:rsidRPr="00DF3BE4" w:rsidRDefault="00873585" w:rsidP="00CC0495">
      <w:pPr>
        <w:rPr>
          <w:color w:val="222222"/>
          <w:sz w:val="16"/>
          <w:szCs w:val="16"/>
          <w:lang w:eastAsia="en-GB"/>
        </w:rPr>
      </w:pPr>
      <w:r w:rsidRPr="00DF3BE4">
        <w:rPr>
          <w:rStyle w:val="FootnoteReference"/>
          <w:rFonts w:ascii="Verdana" w:hAnsi="Verdana"/>
          <w:szCs w:val="16"/>
        </w:rPr>
        <w:footnoteRef/>
      </w:r>
      <w:r w:rsidRPr="00DF3BE4">
        <w:rPr>
          <w:sz w:val="16"/>
          <w:szCs w:val="16"/>
        </w:rPr>
        <w:t xml:space="preserve"> </w:t>
      </w:r>
      <w:r w:rsidRPr="00DF3BE4">
        <w:rPr>
          <w:color w:val="222222"/>
          <w:sz w:val="16"/>
          <w:szCs w:val="16"/>
          <w:lang w:eastAsia="en-GB"/>
        </w:rPr>
        <w:t>A substance fulfils the vP criterion when the half-life is higher than:</w:t>
      </w:r>
    </w:p>
    <w:p w14:paraId="705A1C6D" w14:textId="77777777" w:rsidR="00873585" w:rsidRPr="00DF3BE4" w:rsidRDefault="00873585" w:rsidP="00CC0495">
      <w:pPr>
        <w:rPr>
          <w:color w:val="222222"/>
          <w:sz w:val="16"/>
          <w:szCs w:val="16"/>
          <w:lang w:eastAsia="en-GB"/>
        </w:rPr>
      </w:pPr>
    </w:p>
    <w:p w14:paraId="4C016554" w14:textId="77777777" w:rsidR="00873585" w:rsidRPr="00DF3BE4" w:rsidRDefault="00873585" w:rsidP="002E74C1">
      <w:pPr>
        <w:ind w:left="567"/>
        <w:rPr>
          <w:color w:val="222222"/>
          <w:sz w:val="16"/>
          <w:szCs w:val="16"/>
          <w:lang w:eastAsia="en-GB"/>
        </w:rPr>
      </w:pPr>
      <w:r w:rsidRPr="00DF3BE4">
        <w:rPr>
          <w:color w:val="222222"/>
          <w:sz w:val="16"/>
          <w:szCs w:val="16"/>
          <w:lang w:eastAsia="en-GB"/>
        </w:rPr>
        <w:t>- 60 days in marine, fresh- or estuarine water, or</w:t>
      </w:r>
    </w:p>
    <w:p w14:paraId="6C99185C" w14:textId="77777777" w:rsidR="00873585" w:rsidRPr="00DF3BE4" w:rsidRDefault="00873585" w:rsidP="002E74C1">
      <w:pPr>
        <w:ind w:left="567"/>
        <w:rPr>
          <w:color w:val="222222"/>
          <w:sz w:val="16"/>
          <w:szCs w:val="16"/>
          <w:lang w:eastAsia="en-GB"/>
        </w:rPr>
      </w:pPr>
      <w:r w:rsidRPr="00DF3BE4">
        <w:rPr>
          <w:color w:val="222222"/>
          <w:sz w:val="16"/>
          <w:szCs w:val="16"/>
          <w:lang w:eastAsia="en-GB"/>
        </w:rPr>
        <w:t>- 180 days in marine, fresh- or estuarine water sediment, or</w:t>
      </w:r>
    </w:p>
    <w:p w14:paraId="48488140" w14:textId="77777777" w:rsidR="00873585" w:rsidRPr="00DF3BE4" w:rsidRDefault="00873585" w:rsidP="002E74C1">
      <w:pPr>
        <w:ind w:left="567"/>
        <w:rPr>
          <w:color w:val="222222"/>
          <w:sz w:val="16"/>
          <w:szCs w:val="16"/>
          <w:lang w:eastAsia="en-GB"/>
        </w:rPr>
      </w:pPr>
      <w:r w:rsidRPr="00DF3BE4">
        <w:rPr>
          <w:color w:val="222222"/>
          <w:sz w:val="16"/>
          <w:szCs w:val="16"/>
          <w:lang w:eastAsia="en-GB"/>
        </w:rPr>
        <w:t>- 180 days in soil.</w:t>
      </w:r>
    </w:p>
    <w:p w14:paraId="20934998" w14:textId="77777777" w:rsidR="00873585" w:rsidRPr="00DF3BE4" w:rsidRDefault="00873585" w:rsidP="00CC0495">
      <w:pPr>
        <w:rPr>
          <w:color w:val="222222"/>
          <w:sz w:val="16"/>
          <w:szCs w:val="16"/>
          <w:lang w:eastAsia="en-GB"/>
        </w:rPr>
      </w:pPr>
    </w:p>
    <w:p w14:paraId="4D7B21C9" w14:textId="77777777" w:rsidR="00873585" w:rsidRPr="00DF3BE4" w:rsidRDefault="00873585" w:rsidP="00DF3BE4">
      <w:pPr>
        <w:rPr>
          <w:color w:val="222222"/>
          <w:sz w:val="16"/>
          <w:szCs w:val="16"/>
          <w:lang w:eastAsia="en-GB"/>
        </w:rPr>
      </w:pPr>
      <w:r w:rsidRPr="00DF3BE4">
        <w:rPr>
          <w:color w:val="222222"/>
          <w:sz w:val="16"/>
          <w:szCs w:val="16"/>
          <w:lang w:eastAsia="en-GB"/>
        </w:rPr>
        <w:t>These are the same as the</w:t>
      </w:r>
      <w:r>
        <w:rPr>
          <w:color w:val="222222"/>
          <w:sz w:val="16"/>
          <w:szCs w:val="16"/>
          <w:lang w:eastAsia="en-GB"/>
        </w:rPr>
        <w:t xml:space="preserve"> Stockholm Convention criteria.</w:t>
      </w:r>
    </w:p>
  </w:footnote>
  <w:footnote w:id="35">
    <w:p w14:paraId="07CC067F" w14:textId="77777777" w:rsidR="00873585" w:rsidRPr="006565CC" w:rsidRDefault="00873585" w:rsidP="00E53FCE">
      <w:pPr>
        <w:pStyle w:val="FootnoteText"/>
        <w:spacing w:after="120"/>
        <w:jc w:val="both"/>
        <w:rPr>
          <w:sz w:val="18"/>
          <w:szCs w:val="18"/>
        </w:rPr>
      </w:pPr>
      <w:r w:rsidRPr="00DF3BE4">
        <w:rPr>
          <w:rStyle w:val="FootnoteReference"/>
          <w:szCs w:val="16"/>
        </w:rPr>
        <w:footnoteRef/>
      </w:r>
      <w:r w:rsidRPr="00DF3BE4">
        <w:rPr>
          <w:sz w:val="16"/>
          <w:szCs w:val="16"/>
        </w:rPr>
        <w:t xml:space="preserve"> Arnot &amp; Quinn (2015) estimated a growth-corrected </w:t>
      </w:r>
      <w:r w:rsidRPr="00DF3BE4">
        <w:rPr>
          <w:sz w:val="16"/>
          <w:szCs w:val="16"/>
          <w:lang w:eastAsia="en-GB"/>
        </w:rPr>
        <w:t xml:space="preserve">depuration half-life of about 100 days for a ca. 15 g fish with 5 % lipid content using the results of the </w:t>
      </w:r>
      <w:r w:rsidRPr="00DF3BE4">
        <w:rPr>
          <w:sz w:val="16"/>
          <w:szCs w:val="16"/>
        </w:rPr>
        <w:t xml:space="preserve">Zitko (1980) </w:t>
      </w:r>
      <w:r w:rsidRPr="00DF3BE4">
        <w:rPr>
          <w:sz w:val="16"/>
          <w:szCs w:val="16"/>
          <w:lang w:eastAsia="en-GB"/>
        </w:rPr>
        <w:t>study</w:t>
      </w:r>
      <w:r w:rsidRPr="00DF3BE4">
        <w:rPr>
          <w:sz w:val="16"/>
          <w:szCs w:val="16"/>
        </w:rPr>
        <w:t xml:space="preserve"> with Atlantic Salmon </w:t>
      </w:r>
      <w:r w:rsidRPr="00DF3BE4">
        <w:rPr>
          <w:i/>
          <w:sz w:val="16"/>
          <w:szCs w:val="16"/>
        </w:rPr>
        <w:t>S. salar</w:t>
      </w:r>
      <w:r w:rsidRPr="00DF3BE4">
        <w:rPr>
          <w:sz w:val="16"/>
          <w:szCs w:val="16"/>
          <w:lang w:eastAsia="en-GB"/>
        </w:rPr>
        <w:t xml:space="preserve">. However, this study is not </w:t>
      </w:r>
      <w:r w:rsidRPr="00DF3BE4">
        <w:rPr>
          <w:sz w:val="16"/>
          <w:szCs w:val="16"/>
        </w:rPr>
        <w:t>valid</w:t>
      </w:r>
      <w:r w:rsidRPr="00DF3BE4">
        <w:rPr>
          <w:sz w:val="16"/>
          <w:szCs w:val="16"/>
          <w:lang w:eastAsia="en-GB"/>
        </w:rPr>
        <w:t xml:space="preserve"> </w:t>
      </w:r>
      <w:r w:rsidRPr="00DF3BE4">
        <w:rPr>
          <w:sz w:val="16"/>
          <w:szCs w:val="16"/>
        </w:rPr>
        <w:t>for a variety of reasons: in particular co-exposure to other related substances might have affected the uptake or metabolism of Dechlorane Plus, as well as the health of the fish.</w:t>
      </w:r>
    </w:p>
  </w:footnote>
  <w:footnote w:id="36">
    <w:p w14:paraId="3921EDE2" w14:textId="77777777" w:rsidR="00873585" w:rsidRPr="004C4FC5" w:rsidRDefault="00873585" w:rsidP="00C61C75">
      <w:pPr>
        <w:pStyle w:val="CM1"/>
        <w:spacing w:before="200" w:after="200"/>
        <w:jc w:val="both"/>
        <w:rPr>
          <w:rFonts w:ascii="Verdana" w:hAnsi="Verdana"/>
          <w:sz w:val="16"/>
          <w:szCs w:val="16"/>
          <w:lang w:eastAsia="fi-FI"/>
        </w:rPr>
      </w:pPr>
      <w:r w:rsidRPr="004C4FC5">
        <w:rPr>
          <w:rFonts w:ascii="Verdana" w:hAnsi="Verdana"/>
          <w:sz w:val="16"/>
          <w:szCs w:val="16"/>
          <w:vertAlign w:val="superscript"/>
          <w:lang w:eastAsia="fi-FI"/>
        </w:rPr>
        <w:footnoteRef/>
      </w:r>
      <w:r w:rsidRPr="004C4FC5">
        <w:rPr>
          <w:rFonts w:ascii="Verdana" w:hAnsi="Verdana"/>
          <w:sz w:val="16"/>
          <w:szCs w:val="16"/>
          <w:vertAlign w:val="superscript"/>
          <w:lang w:eastAsia="fi-FI"/>
        </w:rPr>
        <w:t xml:space="preserve"> </w:t>
      </w:r>
      <w:r w:rsidRPr="004C4FC5">
        <w:rPr>
          <w:rFonts w:ascii="Verdana" w:hAnsi="Verdana"/>
          <w:sz w:val="16"/>
          <w:szCs w:val="16"/>
          <w:lang w:eastAsia="fi-FI"/>
        </w:rPr>
        <w:t xml:space="preserve">A substance fulfils the vB criterion when the BCF in aquatic species is higher than 5 000 L/kg; or other information on the bioaccumulation potential [is available] … such as: </w:t>
      </w:r>
    </w:p>
    <w:p w14:paraId="65AFD655" w14:textId="77777777" w:rsidR="00873585" w:rsidRPr="004C4FC5" w:rsidRDefault="00873585" w:rsidP="00C61C75">
      <w:pPr>
        <w:widowControl/>
        <w:autoSpaceDE w:val="0"/>
        <w:autoSpaceDN w:val="0"/>
        <w:adjustRightInd w:val="0"/>
        <w:spacing w:before="60" w:after="60"/>
        <w:jc w:val="both"/>
        <w:rPr>
          <w:sz w:val="16"/>
          <w:szCs w:val="16"/>
        </w:rPr>
      </w:pPr>
      <w:r w:rsidRPr="004C4FC5">
        <w:rPr>
          <w:sz w:val="16"/>
          <w:szCs w:val="16"/>
        </w:rPr>
        <w:t xml:space="preserve">- Results from a bioaccumulation study in terrestrial species; </w:t>
      </w:r>
    </w:p>
    <w:p w14:paraId="25BE75EA" w14:textId="77777777" w:rsidR="00873585" w:rsidRPr="004C4FC5" w:rsidRDefault="00873585" w:rsidP="00C61C75">
      <w:pPr>
        <w:widowControl/>
        <w:autoSpaceDE w:val="0"/>
        <w:autoSpaceDN w:val="0"/>
        <w:adjustRightInd w:val="0"/>
        <w:spacing w:before="60" w:after="60"/>
        <w:jc w:val="both"/>
        <w:rPr>
          <w:sz w:val="16"/>
          <w:szCs w:val="16"/>
        </w:rPr>
      </w:pPr>
      <w:r w:rsidRPr="004C4FC5">
        <w:rPr>
          <w:sz w:val="16"/>
          <w:szCs w:val="16"/>
        </w:rPr>
        <w:t xml:space="preserve">- Data from scientific analysis of human body fluids or tissues, such as blood, milk, or fat; </w:t>
      </w:r>
    </w:p>
    <w:p w14:paraId="16BE4F3A" w14:textId="77777777" w:rsidR="00873585" w:rsidRPr="004C4FC5" w:rsidRDefault="00873585" w:rsidP="00C61C75">
      <w:pPr>
        <w:widowControl/>
        <w:autoSpaceDE w:val="0"/>
        <w:autoSpaceDN w:val="0"/>
        <w:adjustRightInd w:val="0"/>
        <w:spacing w:before="60" w:after="60"/>
        <w:jc w:val="both"/>
        <w:rPr>
          <w:sz w:val="16"/>
          <w:szCs w:val="16"/>
        </w:rPr>
      </w:pPr>
      <w:r w:rsidRPr="004C4FC5">
        <w:rPr>
          <w:sz w:val="16"/>
          <w:szCs w:val="16"/>
        </w:rPr>
        <w:t xml:space="preserve">- Detection of elevated levels in biota, in particular in endangered species or in vulnerable populations, compared to levels in their surrounding environment; </w:t>
      </w:r>
    </w:p>
    <w:p w14:paraId="1DF226E9" w14:textId="77777777" w:rsidR="00873585" w:rsidRPr="004C4FC5" w:rsidRDefault="00873585" w:rsidP="00C61C75">
      <w:pPr>
        <w:widowControl/>
        <w:autoSpaceDE w:val="0"/>
        <w:autoSpaceDN w:val="0"/>
        <w:adjustRightInd w:val="0"/>
        <w:spacing w:before="60" w:after="60"/>
        <w:jc w:val="both"/>
        <w:rPr>
          <w:sz w:val="16"/>
          <w:szCs w:val="16"/>
        </w:rPr>
      </w:pPr>
      <w:r w:rsidRPr="004C4FC5">
        <w:rPr>
          <w:sz w:val="16"/>
          <w:szCs w:val="16"/>
        </w:rPr>
        <w:t xml:space="preserve">- Results from a chronic toxicity study on animals; </w:t>
      </w:r>
    </w:p>
    <w:p w14:paraId="6DCB6D04" w14:textId="77777777" w:rsidR="00873585" w:rsidRPr="004C4FC5" w:rsidRDefault="00873585" w:rsidP="00C61C75">
      <w:pPr>
        <w:widowControl/>
        <w:autoSpaceDE w:val="0"/>
        <w:autoSpaceDN w:val="0"/>
        <w:adjustRightInd w:val="0"/>
        <w:spacing w:before="60" w:after="60"/>
        <w:jc w:val="both"/>
        <w:rPr>
          <w:sz w:val="16"/>
          <w:szCs w:val="16"/>
        </w:rPr>
      </w:pPr>
      <w:r w:rsidRPr="004C4FC5">
        <w:rPr>
          <w:sz w:val="16"/>
          <w:szCs w:val="16"/>
        </w:rPr>
        <w:t xml:space="preserve">- Assessment of the toxicokinetic behaviour of the substance; </w:t>
      </w:r>
    </w:p>
    <w:p w14:paraId="30223162" w14:textId="77777777" w:rsidR="00873585" w:rsidRPr="00DF3BE4" w:rsidRDefault="00873585" w:rsidP="00C61C75">
      <w:pPr>
        <w:jc w:val="both"/>
        <w:rPr>
          <w:sz w:val="16"/>
          <w:szCs w:val="16"/>
        </w:rPr>
      </w:pPr>
      <w:r w:rsidRPr="004C4FC5">
        <w:rPr>
          <w:sz w:val="16"/>
          <w:szCs w:val="16"/>
        </w:rPr>
        <w:t>- Information on the ability of the substance to biomagnify in the food chain, where possible expressed by biomagnification factors or</w:t>
      </w:r>
      <w:r>
        <w:rPr>
          <w:sz w:val="16"/>
          <w:szCs w:val="16"/>
        </w:rPr>
        <w:t xml:space="preserve"> trophic magnification factors.</w:t>
      </w:r>
    </w:p>
  </w:footnote>
  <w:footnote w:id="37">
    <w:p w14:paraId="2ACD4B0E" w14:textId="77777777" w:rsidR="00873585" w:rsidRPr="00AB1BB3" w:rsidRDefault="00873585" w:rsidP="00CC0495">
      <w:pPr>
        <w:jc w:val="both"/>
        <w:rPr>
          <w:color w:val="1F497D"/>
          <w:sz w:val="16"/>
          <w:szCs w:val="16"/>
        </w:rPr>
      </w:pPr>
      <w:r w:rsidRPr="00AB1BB3">
        <w:rPr>
          <w:rStyle w:val="FootnoteReference"/>
          <w:rFonts w:ascii="Verdana" w:hAnsi="Verdana"/>
          <w:szCs w:val="16"/>
        </w:rPr>
        <w:footnoteRef/>
      </w:r>
      <w:r w:rsidRPr="00AB1BB3">
        <w:rPr>
          <w:sz w:val="16"/>
          <w:szCs w:val="16"/>
        </w:rPr>
        <w:t xml:space="preserve"> Indications of effects on growth of Sea Lettuce (</w:t>
      </w:r>
      <w:r w:rsidRPr="00AB1BB3">
        <w:rPr>
          <w:i/>
          <w:iCs/>
          <w:sz w:val="16"/>
          <w:szCs w:val="16"/>
        </w:rPr>
        <w:t>Ulva pertusa</w:t>
      </w:r>
      <w:r w:rsidRPr="00AB1BB3">
        <w:rPr>
          <w:sz w:val="16"/>
          <w:szCs w:val="16"/>
        </w:rPr>
        <w:t xml:space="preserve">) have been reported in a 14-d bioconcentration study by Zhao </w:t>
      </w:r>
      <w:r w:rsidRPr="00AB1BB3">
        <w:rPr>
          <w:i/>
          <w:iCs/>
          <w:sz w:val="16"/>
          <w:szCs w:val="16"/>
        </w:rPr>
        <w:t>et al</w:t>
      </w:r>
      <w:r w:rsidRPr="00AB1BB3">
        <w:rPr>
          <w:sz w:val="16"/>
          <w:szCs w:val="16"/>
        </w:rPr>
        <w:t>. (2014). However, the results of this study are not considered to be sufficiently robust to conclude that the T criterion is met.</w:t>
      </w:r>
    </w:p>
  </w:footnote>
  <w:footnote w:id="38">
    <w:p w14:paraId="20C51262" w14:textId="77777777" w:rsidR="00873585" w:rsidRPr="00DF3BE4" w:rsidRDefault="00873585" w:rsidP="00781D60">
      <w:pPr>
        <w:pStyle w:val="FootnoteText"/>
        <w:spacing w:after="120"/>
        <w:rPr>
          <w:sz w:val="16"/>
          <w:szCs w:val="16"/>
        </w:rPr>
      </w:pPr>
      <w:r w:rsidRPr="00DF3BE4">
        <w:rPr>
          <w:rStyle w:val="FootnoteReference"/>
          <w:rFonts w:ascii="Verdana" w:hAnsi="Verdana"/>
          <w:szCs w:val="16"/>
        </w:rPr>
        <w:footnoteRef/>
      </w:r>
      <w:r w:rsidRPr="00DF3BE4">
        <w:rPr>
          <w:sz w:val="16"/>
          <w:szCs w:val="16"/>
        </w:rPr>
        <w:t xml:space="preserve"> </w:t>
      </w:r>
      <w:hyperlink r:id="rId1" w:history="1">
        <w:r w:rsidRPr="00DF3BE4">
          <w:rPr>
            <w:rStyle w:val="Hyperlink"/>
            <w:sz w:val="16"/>
            <w:szCs w:val="16"/>
          </w:rPr>
          <w:t>https://echa.europa.eu/registration-dossier/-/registered-dossier/11906/1</w:t>
        </w:r>
      </w:hyperlink>
      <w:r w:rsidRPr="00DF3BE4" w:rsidDel="000C281D">
        <w:rPr>
          <w:sz w:val="16"/>
          <w:szCs w:val="16"/>
        </w:rPr>
        <w:t xml:space="preserve"> </w:t>
      </w:r>
      <w:r w:rsidRPr="00DF3BE4">
        <w:rPr>
          <w:sz w:val="16"/>
          <w:szCs w:val="16"/>
        </w:rPr>
        <w:t>(accessed 04/07/2017)</w:t>
      </w:r>
    </w:p>
  </w:footnote>
  <w:footnote w:id="39">
    <w:p w14:paraId="435EF937" w14:textId="77777777" w:rsidR="00873585" w:rsidRPr="00DF3BE4" w:rsidRDefault="00873585" w:rsidP="00781D60">
      <w:pPr>
        <w:pStyle w:val="FootnoteText"/>
        <w:spacing w:after="120"/>
        <w:rPr>
          <w:sz w:val="16"/>
          <w:szCs w:val="16"/>
        </w:rPr>
      </w:pPr>
      <w:r w:rsidRPr="00DF3BE4">
        <w:rPr>
          <w:rStyle w:val="FootnoteReference"/>
          <w:rFonts w:ascii="Verdana" w:hAnsi="Verdana"/>
          <w:szCs w:val="16"/>
        </w:rPr>
        <w:footnoteRef/>
      </w:r>
      <w:r w:rsidRPr="00DF3BE4">
        <w:rPr>
          <w:sz w:val="16"/>
          <w:szCs w:val="16"/>
        </w:rPr>
        <w:t xml:space="preserve"> C&amp;L Inventory database, </w:t>
      </w:r>
      <w:hyperlink r:id="rId2" w:history="1">
        <w:r w:rsidRPr="00DF3BE4">
          <w:rPr>
            <w:rStyle w:val="Hyperlink"/>
            <w:sz w:val="16"/>
            <w:szCs w:val="16"/>
          </w:rPr>
          <w:t>http://echa.europa.eu/web/guest/information-on-chemicals/cl-inventory-database</w:t>
        </w:r>
      </w:hyperlink>
      <w:r w:rsidRPr="00DF3BE4">
        <w:rPr>
          <w:sz w:val="16"/>
          <w:szCs w:val="16"/>
        </w:rPr>
        <w:t xml:space="preserve"> (accessed 13/07/2017)</w:t>
      </w:r>
    </w:p>
  </w:footnote>
  <w:footnote w:id="40">
    <w:p w14:paraId="2D8B94FD" w14:textId="77777777" w:rsidR="00873585" w:rsidRPr="00DF3BE4" w:rsidRDefault="00873585" w:rsidP="00781D60">
      <w:pPr>
        <w:pStyle w:val="FootnoteText"/>
        <w:spacing w:after="120"/>
        <w:rPr>
          <w:sz w:val="16"/>
          <w:szCs w:val="16"/>
        </w:rPr>
      </w:pPr>
      <w:r w:rsidRPr="00DF3BE4">
        <w:rPr>
          <w:rStyle w:val="FootnoteReference"/>
          <w:rFonts w:ascii="Verdana" w:hAnsi="Verdana"/>
          <w:szCs w:val="16"/>
        </w:rPr>
        <w:footnoteRef/>
      </w:r>
      <w:r w:rsidRPr="00DF3BE4">
        <w:rPr>
          <w:sz w:val="16"/>
          <w:szCs w:val="16"/>
        </w:rPr>
        <w:t xml:space="preserve"> </w:t>
      </w:r>
      <w:hyperlink r:id="rId3" w:history="1">
        <w:r w:rsidRPr="00DF3BE4">
          <w:rPr>
            <w:rStyle w:val="Hyperlink"/>
            <w:sz w:val="16"/>
            <w:szCs w:val="16"/>
          </w:rPr>
          <w:t>https://echa.europa.eu/registration-dossier/-/registered-dossier/11906/1</w:t>
        </w:r>
      </w:hyperlink>
      <w:r w:rsidRPr="00DF3BE4" w:rsidDel="000C281D">
        <w:rPr>
          <w:sz w:val="16"/>
          <w:szCs w:val="16"/>
        </w:rPr>
        <w:t xml:space="preserve"> </w:t>
      </w:r>
      <w:r w:rsidRPr="00DF3BE4">
        <w:rPr>
          <w:sz w:val="16"/>
          <w:szCs w:val="16"/>
        </w:rPr>
        <w:t>(accessed 04/07/2017)</w:t>
      </w:r>
    </w:p>
  </w:footnote>
  <w:footnote w:id="41">
    <w:p w14:paraId="5EDF77DD" w14:textId="77777777" w:rsidR="00873585" w:rsidRPr="00DF3BE4" w:rsidRDefault="00873585" w:rsidP="00B467B2">
      <w:pPr>
        <w:pStyle w:val="FootnoteText"/>
        <w:rPr>
          <w:sz w:val="16"/>
          <w:szCs w:val="16"/>
        </w:rPr>
      </w:pPr>
      <w:r w:rsidRPr="00DF3BE4">
        <w:rPr>
          <w:rStyle w:val="FootnoteReference"/>
          <w:rFonts w:ascii="Verdana" w:hAnsi="Verdana"/>
          <w:szCs w:val="16"/>
        </w:rPr>
        <w:footnoteRef/>
      </w:r>
      <w:r w:rsidRPr="00DF3BE4">
        <w:rPr>
          <w:sz w:val="16"/>
          <w:szCs w:val="16"/>
        </w:rPr>
        <w:t xml:space="preserve"> Ren </w:t>
      </w:r>
      <w:r w:rsidRPr="00DF3BE4">
        <w:rPr>
          <w:i/>
          <w:sz w:val="16"/>
          <w:szCs w:val="16"/>
        </w:rPr>
        <w:t>et al</w:t>
      </w:r>
      <w:r w:rsidRPr="00DF3BE4">
        <w:rPr>
          <w:sz w:val="16"/>
          <w:szCs w:val="16"/>
        </w:rPr>
        <w:t>., 2009</w:t>
      </w:r>
      <w:r w:rsidRPr="00DF3BE4">
        <w:rPr>
          <w:i/>
          <w:sz w:val="16"/>
          <w:szCs w:val="16"/>
        </w:rPr>
        <w:t>.</w:t>
      </w:r>
    </w:p>
  </w:footnote>
  <w:footnote w:id="42">
    <w:p w14:paraId="3E063DD7" w14:textId="77777777" w:rsidR="00873585" w:rsidRPr="00DF3BE4" w:rsidRDefault="00873585" w:rsidP="006852C0">
      <w:pPr>
        <w:autoSpaceDE w:val="0"/>
        <w:autoSpaceDN w:val="0"/>
        <w:adjustRightInd w:val="0"/>
        <w:spacing w:after="120"/>
        <w:rPr>
          <w:sz w:val="16"/>
          <w:szCs w:val="16"/>
        </w:rPr>
      </w:pPr>
      <w:r w:rsidRPr="00DF3BE4">
        <w:rPr>
          <w:rStyle w:val="FootnoteReference"/>
          <w:rFonts w:ascii="Verdana" w:hAnsi="Verdana"/>
          <w:szCs w:val="16"/>
        </w:rPr>
        <w:footnoteRef/>
      </w:r>
      <w:r w:rsidRPr="00DF3BE4">
        <w:rPr>
          <w:sz w:val="16"/>
          <w:szCs w:val="16"/>
        </w:rPr>
        <w:t xml:space="preserve"> http://www.oxy.com/OurBusinesses/Chemicals/Products/Documents/dechloraneplus/ dechlorane_plus.pdf. Another major producer mentioned in the scientific literature is </w:t>
      </w:r>
      <w:r w:rsidRPr="00DF3BE4">
        <w:rPr>
          <w:rFonts w:cs="Arial"/>
          <w:sz w:val="16"/>
          <w:szCs w:val="16"/>
        </w:rPr>
        <w:t>Anpon Electrochemical Co., Ltd in Jiangsu, China.</w:t>
      </w:r>
    </w:p>
  </w:footnote>
  <w:footnote w:id="43">
    <w:p w14:paraId="107F31CE" w14:textId="77777777" w:rsidR="00873585" w:rsidRPr="00DF3BE4" w:rsidRDefault="00873585" w:rsidP="006852C0">
      <w:pPr>
        <w:pStyle w:val="FootnoteText"/>
        <w:spacing w:after="120"/>
        <w:rPr>
          <w:sz w:val="16"/>
          <w:szCs w:val="16"/>
        </w:rPr>
      </w:pPr>
      <w:r w:rsidRPr="00DF3BE4">
        <w:rPr>
          <w:rStyle w:val="FootnoteReference"/>
          <w:rFonts w:ascii="Verdana" w:hAnsi="Verdana"/>
          <w:szCs w:val="16"/>
        </w:rPr>
        <w:footnoteRef/>
      </w:r>
      <w:r w:rsidRPr="00DF3BE4">
        <w:rPr>
          <w:sz w:val="16"/>
          <w:szCs w:val="16"/>
        </w:rPr>
        <w:t xml:space="preserve"> http://www.epa.gov/hpv/pubs/summaries/dechlorp/c15635.pdf</w:t>
      </w:r>
    </w:p>
  </w:footnote>
  <w:footnote w:id="44">
    <w:p w14:paraId="7AA6775C" w14:textId="77777777" w:rsidR="00873585" w:rsidRPr="00DF3BE4" w:rsidRDefault="00873585" w:rsidP="006852C0">
      <w:pPr>
        <w:pStyle w:val="FootnoteText"/>
        <w:spacing w:after="120"/>
        <w:rPr>
          <w:sz w:val="16"/>
          <w:szCs w:val="16"/>
        </w:rPr>
      </w:pPr>
      <w:r w:rsidRPr="00DF3BE4">
        <w:rPr>
          <w:rStyle w:val="FootnoteReference"/>
          <w:rFonts w:ascii="Verdana" w:hAnsi="Verdana"/>
          <w:szCs w:val="16"/>
        </w:rPr>
        <w:footnoteRef/>
      </w:r>
      <w:r w:rsidRPr="00DF3BE4">
        <w:rPr>
          <w:sz w:val="16"/>
          <w:szCs w:val="16"/>
        </w:rPr>
        <w:t xml:space="preserve"> Non-confidential extracts of registration dossier for Dechlorane Plus, published (disseminated) by ECHA via its Registered Substances information web pages, </w:t>
      </w:r>
      <w:hyperlink r:id="rId4" w:history="1">
        <w:r w:rsidRPr="00DF3BE4">
          <w:rPr>
            <w:rStyle w:val="Hyperlink"/>
            <w:sz w:val="16"/>
            <w:szCs w:val="16"/>
          </w:rPr>
          <w:t>http://apps.echa.europa.eu/registered/data/dossiers/DISS-dffb4072-e357-47ae-e044-00144f67d031/DISS-dffb4072-e357-47ae-e044-00144f67d031_DISS-dffb4072-e357-47ae-e044-00144f67d031.html</w:t>
        </w:r>
      </w:hyperlink>
      <w:r w:rsidRPr="00DF3BE4">
        <w:rPr>
          <w:sz w:val="16"/>
          <w:szCs w:val="16"/>
        </w:rPr>
        <w:t>, accessed August 2017.</w:t>
      </w:r>
    </w:p>
  </w:footnote>
  <w:footnote w:id="45">
    <w:p w14:paraId="5F3E0838" w14:textId="77777777" w:rsidR="00873585" w:rsidRDefault="00873585">
      <w:pPr>
        <w:pStyle w:val="FootnoteText"/>
      </w:pPr>
      <w:r w:rsidRPr="00DF3BE4">
        <w:rPr>
          <w:rStyle w:val="FootnoteReference"/>
          <w:rFonts w:ascii="Verdana" w:hAnsi="Verdana"/>
          <w:szCs w:val="16"/>
        </w:rPr>
        <w:footnoteRef/>
      </w:r>
      <w:r w:rsidRPr="00DF3BE4">
        <w:rPr>
          <w:sz w:val="16"/>
          <w:szCs w:val="16"/>
        </w:rPr>
        <w:t xml:space="preserve"> </w:t>
      </w:r>
      <w:hyperlink r:id="rId5" w:history="1">
        <w:r w:rsidRPr="00DF3BE4">
          <w:rPr>
            <w:rStyle w:val="Hyperlink"/>
            <w:sz w:val="16"/>
            <w:szCs w:val="16"/>
          </w:rPr>
          <w:t>http://spin2000.net/</w:t>
        </w:r>
      </w:hyperlink>
      <w:r w:rsidRPr="00DF3BE4">
        <w:rPr>
          <w:sz w:val="16"/>
          <w:szCs w:val="16"/>
        </w:rPr>
        <w:t xml:space="preserve"> accessed August 2017.</w:t>
      </w:r>
    </w:p>
  </w:footnote>
  <w:footnote w:id="46">
    <w:p w14:paraId="69CE39A9" w14:textId="77777777" w:rsidR="00873585" w:rsidRDefault="00873585" w:rsidP="002C3E44">
      <w:pPr>
        <w:autoSpaceDE w:val="0"/>
        <w:autoSpaceDN w:val="0"/>
        <w:adjustRightInd w:val="0"/>
        <w:jc w:val="both"/>
        <w:rPr>
          <w:sz w:val="16"/>
          <w:szCs w:val="16"/>
          <w:lang w:val="en-US"/>
        </w:rPr>
      </w:pPr>
      <w:r>
        <w:rPr>
          <w:sz w:val="16"/>
          <w:szCs w:val="16"/>
          <w:vertAlign w:val="superscript"/>
        </w:rPr>
        <w:footnoteRef/>
      </w:r>
      <w:r>
        <w:rPr>
          <w:sz w:val="16"/>
          <w:szCs w:val="16"/>
          <w:vertAlign w:val="superscript"/>
        </w:rPr>
        <w:t xml:space="preserve"> </w:t>
      </w:r>
      <w:r>
        <w:rPr>
          <w:sz w:val="16"/>
          <w:szCs w:val="16"/>
        </w:rPr>
        <w:t xml:space="preserve">This appears to have been a poster, previously downloadable from http://www.xcdtech.com/dioxin2010/pdf/1505.pdf. However, this link no longer works, and the www.dioxin20xx.org/ website does not have any further information.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3BF51" w14:textId="77777777" w:rsidR="00873585" w:rsidRDefault="00873585" w:rsidP="00A23CC5">
    <w:pPr>
      <w:pStyle w:val="Header"/>
      <w:pBdr>
        <w:bottom w:val="thickThinSmallGap" w:sz="24" w:space="1" w:color="622423" w:themeColor="accent2" w:themeShade="7F"/>
      </w:pBdr>
      <w:jc w:val="center"/>
    </w:pPr>
    <w:r>
      <w:t>ANNEX XV – IDENTIFICATION OF DECHLORANE PLUS AS SVHC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43C"/>
    <w:multiLevelType w:val="hybridMultilevel"/>
    <w:tmpl w:val="B25C0430"/>
    <w:lvl w:ilvl="0" w:tplc="E362E32E">
      <w:start w:val="1"/>
      <w:numFmt w:val="bullet"/>
      <w:pStyle w:val="Tabletext-list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04834"/>
    <w:multiLevelType w:val="multilevel"/>
    <w:tmpl w:val="7458B1CA"/>
    <w:lvl w:ilvl="0">
      <w:start w:val="6"/>
      <w:numFmt w:val="decimal"/>
      <w:lvlText w:val="%1"/>
      <w:lvlJc w:val="left"/>
      <w:pPr>
        <w:ind w:left="825" w:hanging="825"/>
      </w:pPr>
      <w:rPr>
        <w:rFonts w:hint="default"/>
      </w:rPr>
    </w:lvl>
    <w:lvl w:ilvl="1">
      <w:start w:val="2"/>
      <w:numFmt w:val="decimal"/>
      <w:lvlText w:val="%1.%2"/>
      <w:lvlJc w:val="left"/>
      <w:pPr>
        <w:ind w:left="872" w:hanging="825"/>
      </w:pPr>
      <w:rPr>
        <w:rFonts w:hint="default"/>
      </w:rPr>
    </w:lvl>
    <w:lvl w:ilvl="2">
      <w:start w:val="1"/>
      <w:numFmt w:val="decimal"/>
      <w:lvlText w:val="%1.%2.%3"/>
      <w:lvlJc w:val="left"/>
      <w:pPr>
        <w:ind w:left="1174" w:hanging="1080"/>
      </w:pPr>
      <w:rPr>
        <w:rFonts w:hint="default"/>
      </w:rPr>
    </w:lvl>
    <w:lvl w:ilvl="3">
      <w:start w:val="3"/>
      <w:numFmt w:val="decimal"/>
      <w:lvlText w:val="%1.%2.%3.%4"/>
      <w:lvlJc w:val="left"/>
      <w:pPr>
        <w:ind w:left="1221" w:hanging="1080"/>
      </w:pPr>
      <w:rPr>
        <w:rFonts w:hint="default"/>
      </w:rPr>
    </w:lvl>
    <w:lvl w:ilvl="4">
      <w:start w:val="1"/>
      <w:numFmt w:val="decimal"/>
      <w:lvlText w:val="%1.%2.%3.%4.%5"/>
      <w:lvlJc w:val="left"/>
      <w:pPr>
        <w:ind w:left="1628" w:hanging="1440"/>
      </w:pPr>
      <w:rPr>
        <w:rFonts w:hint="default"/>
      </w:rPr>
    </w:lvl>
    <w:lvl w:ilvl="5">
      <w:start w:val="1"/>
      <w:numFmt w:val="decimal"/>
      <w:lvlText w:val="%1.%2.%3.%4.%5.%6"/>
      <w:lvlJc w:val="left"/>
      <w:pPr>
        <w:ind w:left="2035" w:hanging="1800"/>
      </w:pPr>
      <w:rPr>
        <w:rFonts w:hint="default"/>
      </w:rPr>
    </w:lvl>
    <w:lvl w:ilvl="6">
      <w:start w:val="1"/>
      <w:numFmt w:val="decimal"/>
      <w:lvlText w:val="%1.%2.%3.%4.%5.%6.%7"/>
      <w:lvlJc w:val="left"/>
      <w:pPr>
        <w:ind w:left="2442" w:hanging="2160"/>
      </w:pPr>
      <w:rPr>
        <w:rFonts w:hint="default"/>
      </w:rPr>
    </w:lvl>
    <w:lvl w:ilvl="7">
      <w:start w:val="1"/>
      <w:numFmt w:val="decimal"/>
      <w:lvlText w:val="%1.%2.%3.%4.%5.%6.%7.%8"/>
      <w:lvlJc w:val="left"/>
      <w:pPr>
        <w:ind w:left="2489" w:hanging="2160"/>
      </w:pPr>
      <w:rPr>
        <w:rFonts w:hint="default"/>
      </w:rPr>
    </w:lvl>
    <w:lvl w:ilvl="8">
      <w:start w:val="1"/>
      <w:numFmt w:val="decimal"/>
      <w:lvlText w:val="%1.%2.%3.%4.%5.%6.%7.%8.%9"/>
      <w:lvlJc w:val="left"/>
      <w:pPr>
        <w:ind w:left="2896" w:hanging="2520"/>
      </w:pPr>
      <w:rPr>
        <w:rFonts w:hint="default"/>
      </w:rPr>
    </w:lvl>
  </w:abstractNum>
  <w:abstractNum w:abstractNumId="2" w15:restartNumberingAfterBreak="0">
    <w:nsid w:val="022746FA"/>
    <w:multiLevelType w:val="hybridMultilevel"/>
    <w:tmpl w:val="58EA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33DCE"/>
    <w:multiLevelType w:val="hybridMultilevel"/>
    <w:tmpl w:val="07A6B3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C256E9"/>
    <w:multiLevelType w:val="hybridMultilevel"/>
    <w:tmpl w:val="00DC5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0732C"/>
    <w:multiLevelType w:val="hybridMultilevel"/>
    <w:tmpl w:val="4CD2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0D6221"/>
    <w:multiLevelType w:val="hybridMultilevel"/>
    <w:tmpl w:val="A2BEDAAC"/>
    <w:lvl w:ilvl="0" w:tplc="490809D6">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FC08BA"/>
    <w:multiLevelType w:val="hybridMultilevel"/>
    <w:tmpl w:val="EC36809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A026EF"/>
    <w:multiLevelType w:val="hybridMultilevel"/>
    <w:tmpl w:val="E498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AD7ED3"/>
    <w:multiLevelType w:val="hybridMultilevel"/>
    <w:tmpl w:val="5E36D17A"/>
    <w:lvl w:ilvl="0" w:tplc="C84E037E">
      <w:start w:val="1"/>
      <w:numFmt w:val="bullet"/>
      <w:pStyle w:val="ListBullet"/>
      <w:lvlText w:val=""/>
      <w:lvlJc w:val="left"/>
      <w:pPr>
        <w:tabs>
          <w:tab w:val="num" w:pos="425"/>
        </w:tabs>
        <w:ind w:left="425" w:hanging="425"/>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135711"/>
    <w:multiLevelType w:val="hybridMultilevel"/>
    <w:tmpl w:val="713EE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ED608F"/>
    <w:multiLevelType w:val="multilevel"/>
    <w:tmpl w:val="08090025"/>
    <w:lvl w:ilvl="0">
      <w:start w:val="1"/>
      <w:numFmt w:val="decimal"/>
      <w:lvlText w:val="%1"/>
      <w:lvlJc w:val="left"/>
      <w:pPr>
        <w:ind w:left="574" w:hanging="432"/>
      </w:pPr>
      <w:rPr>
        <w:rFonts w:hint="default"/>
        <w:b/>
        <w:i w:val="0"/>
        <w:sz w:val="28"/>
      </w:rPr>
    </w:lvl>
    <w:lvl w:ilvl="1">
      <w:start w:val="1"/>
      <w:numFmt w:val="decimal"/>
      <w:lvlText w:val="%1.%2"/>
      <w:lvlJc w:val="left"/>
      <w:pPr>
        <w:ind w:left="576" w:hanging="576"/>
      </w:pPr>
      <w:rPr>
        <w:rFonts w:hint="default"/>
        <w:b/>
        <w:i w:val="0"/>
        <w:sz w:val="24"/>
      </w:rPr>
    </w:lvl>
    <w:lvl w:ilvl="2">
      <w:start w:val="1"/>
      <w:numFmt w:val="decimal"/>
      <w:lvlText w:val="%1.%2.%3"/>
      <w:lvlJc w:val="left"/>
      <w:pPr>
        <w:ind w:left="720" w:hanging="720"/>
      </w:pPr>
      <w:rPr>
        <w:rFonts w:hint="default"/>
        <w:b/>
        <w:i w:val="0"/>
        <w:sz w:val="24"/>
      </w:rPr>
    </w:lvl>
    <w:lvl w:ilvl="3">
      <w:start w:val="1"/>
      <w:numFmt w:val="decimal"/>
      <w:lvlText w:val="%1.%2.%3.%4"/>
      <w:lvlJc w:val="left"/>
      <w:pPr>
        <w:ind w:left="1006" w:hanging="864"/>
      </w:pPr>
      <w:rPr>
        <w:rFonts w:hint="default"/>
        <w:b/>
        <w:i w:val="0"/>
        <w:sz w:val="24"/>
      </w:rPr>
    </w:lvl>
    <w:lvl w:ilvl="4">
      <w:start w:val="1"/>
      <w:numFmt w:val="decimal"/>
      <w:lvlText w:val="%1.%2.%3.%4.%5"/>
      <w:lvlJc w:val="left"/>
      <w:pPr>
        <w:ind w:left="1008" w:hanging="1008"/>
      </w:pPr>
      <w:rPr>
        <w:rFonts w:hint="default"/>
        <w:b/>
        <w:i w:val="0"/>
        <w:sz w:val="24"/>
      </w:rPr>
    </w:lvl>
    <w:lvl w:ilvl="5">
      <w:start w:val="1"/>
      <w:numFmt w:val="decimal"/>
      <w:lvlText w:val="%1.%2.%3.%4.%5.%6"/>
      <w:lvlJc w:val="left"/>
      <w:pPr>
        <w:ind w:left="1152" w:hanging="1152"/>
      </w:pPr>
      <w:rPr>
        <w:rFonts w:hint="default"/>
        <w:b/>
        <w:i w: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0BC7E26"/>
    <w:multiLevelType w:val="hybridMultilevel"/>
    <w:tmpl w:val="5E8A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7452A5"/>
    <w:multiLevelType w:val="hybridMultilevel"/>
    <w:tmpl w:val="A4480E40"/>
    <w:lvl w:ilvl="0" w:tplc="490809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B81669"/>
    <w:multiLevelType w:val="hybridMultilevel"/>
    <w:tmpl w:val="CC7E9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6108CF"/>
    <w:multiLevelType w:val="hybridMultilevel"/>
    <w:tmpl w:val="397EF1C2"/>
    <w:lvl w:ilvl="0" w:tplc="16DEA2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575F02"/>
    <w:multiLevelType w:val="hybridMultilevel"/>
    <w:tmpl w:val="461C1D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C4625B"/>
    <w:multiLevelType w:val="hybridMultilevel"/>
    <w:tmpl w:val="ED22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1D7F7C"/>
    <w:multiLevelType w:val="hybridMultilevel"/>
    <w:tmpl w:val="398AB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296A82"/>
    <w:multiLevelType w:val="hybridMultilevel"/>
    <w:tmpl w:val="AB3CC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A71122"/>
    <w:multiLevelType w:val="hybridMultilevel"/>
    <w:tmpl w:val="EB34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9769A7"/>
    <w:multiLevelType w:val="multilevel"/>
    <w:tmpl w:val="F37E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911A0E"/>
    <w:multiLevelType w:val="hybridMultilevel"/>
    <w:tmpl w:val="788E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506235"/>
    <w:multiLevelType w:val="hybridMultilevel"/>
    <w:tmpl w:val="A07E7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53B465B6"/>
    <w:multiLevelType w:val="hybridMultilevel"/>
    <w:tmpl w:val="7D720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1B0430"/>
    <w:multiLevelType w:val="hybridMultilevel"/>
    <w:tmpl w:val="AA1449B2"/>
    <w:lvl w:ilvl="0" w:tplc="02F49E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D862C5"/>
    <w:multiLevelType w:val="hybridMultilevel"/>
    <w:tmpl w:val="E7F2ABCA"/>
    <w:lvl w:ilvl="0" w:tplc="E4C872C0">
      <w:numFmt w:val="bullet"/>
      <w:lvlText w:val="-"/>
      <w:lvlJc w:val="left"/>
      <w:pPr>
        <w:ind w:left="720" w:hanging="360"/>
      </w:pPr>
      <w:rPr>
        <w:rFonts w:ascii="Verdana" w:eastAsia="Times New Roman" w:hAnsi="Verdana" w:cs="Times New Roman" w:hint="default"/>
      </w:rPr>
    </w:lvl>
    <w:lvl w:ilvl="1" w:tplc="F3ACCED6">
      <w:numFmt w:val="bullet"/>
      <w:lvlText w:val=""/>
      <w:lvlJc w:val="left"/>
      <w:pPr>
        <w:ind w:left="1440" w:hanging="360"/>
      </w:pPr>
      <w:rPr>
        <w:rFonts w:ascii="Symbol" w:eastAsia="Times New Roman"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E22753"/>
    <w:multiLevelType w:val="hybridMultilevel"/>
    <w:tmpl w:val="8794C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C5E31"/>
    <w:multiLevelType w:val="hybridMultilevel"/>
    <w:tmpl w:val="B8AE9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D3011F"/>
    <w:multiLevelType w:val="hybridMultilevel"/>
    <w:tmpl w:val="448C307C"/>
    <w:name w:val="WW8Num37"/>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2"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2"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2"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482286"/>
    <w:multiLevelType w:val="hybridMultilevel"/>
    <w:tmpl w:val="7474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416B90"/>
    <w:multiLevelType w:val="multilevel"/>
    <w:tmpl w:val="CC1CFA68"/>
    <w:lvl w:ilvl="0">
      <w:start w:val="1"/>
      <w:numFmt w:val="upperRoman"/>
      <w:pStyle w:val="Heading"/>
      <w:lvlText w:val="Annex %1"/>
      <w:lvlJc w:val="left"/>
      <w:pPr>
        <w:tabs>
          <w:tab w:val="num" w:pos="1077"/>
        </w:tabs>
        <w:ind w:left="1077" w:hanging="1077"/>
      </w:pPr>
      <w:rPr>
        <w:rFonts w:ascii="Verdana" w:hAnsi="Verdana" w:cs="Times New Roman" w:hint="default"/>
        <w:b/>
        <w:i w:val="0"/>
        <w:sz w:val="28"/>
      </w:rPr>
    </w:lvl>
    <w:lvl w:ilvl="1">
      <w:start w:val="1"/>
      <w:numFmt w:val="decimal"/>
      <w:lvlText w:val="%1.%2"/>
      <w:lvlJc w:val="left"/>
      <w:pPr>
        <w:tabs>
          <w:tab w:val="num" w:pos="1077"/>
        </w:tabs>
        <w:ind w:left="1077" w:hanging="1077"/>
      </w:pPr>
      <w:rPr>
        <w:rFonts w:ascii="Times New Roman" w:hAnsi="Times New Roman" w:cs="Times New Roman" w:hint="default"/>
        <w:b/>
        <w:i w:val="0"/>
        <w:sz w:val="24"/>
      </w:rPr>
    </w:lvl>
    <w:lvl w:ilvl="2">
      <w:start w:val="1"/>
      <w:numFmt w:val="decimal"/>
      <w:lvlText w:val="%1.%2.%3"/>
      <w:lvlJc w:val="left"/>
      <w:pPr>
        <w:tabs>
          <w:tab w:val="num" w:pos="1077"/>
        </w:tabs>
        <w:ind w:left="1077" w:hanging="1077"/>
      </w:pPr>
      <w:rPr>
        <w:rFonts w:ascii="Times New Roman" w:hAnsi="Times New Roman" w:cs="Times New Roman" w:hint="default"/>
        <w:b/>
        <w:i w:val="0"/>
        <w:sz w:val="24"/>
      </w:rPr>
    </w:lvl>
    <w:lvl w:ilvl="3">
      <w:start w:val="1"/>
      <w:numFmt w:val="decimal"/>
      <w:lvlText w:val="%1.%2.%3.%4"/>
      <w:lvlJc w:val="left"/>
      <w:pPr>
        <w:tabs>
          <w:tab w:val="num" w:pos="1077"/>
        </w:tabs>
        <w:ind w:left="1304" w:hanging="1020"/>
      </w:pPr>
      <w:rPr>
        <w:rFonts w:ascii="Times New Roman" w:hAnsi="Times New Roman" w:cs="Times New Roman" w:hint="default"/>
        <w:b/>
        <w:i w:val="0"/>
        <w:sz w:val="24"/>
      </w:rPr>
    </w:lvl>
    <w:lvl w:ilvl="4">
      <w:start w:val="1"/>
      <w:numFmt w:val="decimal"/>
      <w:lvlText w:val="%1.%2.%3.%4.%5"/>
      <w:lvlJc w:val="left"/>
      <w:pPr>
        <w:tabs>
          <w:tab w:val="num" w:pos="1843"/>
        </w:tabs>
        <w:ind w:left="1843" w:hanging="1843"/>
      </w:pPr>
      <w:rPr>
        <w:rFonts w:ascii="Times New Roman" w:hAnsi="Times New Roman" w:cs="Times New Roman" w:hint="default"/>
        <w:b/>
        <w:i w:val="0"/>
        <w:sz w:val="24"/>
      </w:rPr>
    </w:lvl>
    <w:lvl w:ilvl="5">
      <w:start w:val="1"/>
      <w:numFmt w:val="none"/>
      <w:lvlText w:val="%1.%2.%3.%4.%5.%61."/>
      <w:lvlJc w:val="left"/>
      <w:pPr>
        <w:tabs>
          <w:tab w:val="num" w:pos="1843"/>
        </w:tabs>
        <w:ind w:left="1843" w:hanging="1843"/>
      </w:pPr>
      <w:rPr>
        <w:rFonts w:cs="Times New Roman" w:hint="default"/>
        <w:b/>
        <w:i w:val="0"/>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78245282"/>
    <w:multiLevelType w:val="hybridMultilevel"/>
    <w:tmpl w:val="02CA488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5" w15:restartNumberingAfterBreak="0">
    <w:nsid w:val="7AF13613"/>
    <w:multiLevelType w:val="multilevel"/>
    <w:tmpl w:val="50205FB4"/>
    <w:lvl w:ilvl="0">
      <w:start w:val="6"/>
      <w:numFmt w:val="decimal"/>
      <w:lvlText w:val="%1"/>
      <w:lvlJc w:val="left"/>
      <w:pPr>
        <w:ind w:left="1125" w:hanging="1125"/>
      </w:pPr>
      <w:rPr>
        <w:rFonts w:hint="default"/>
      </w:rPr>
    </w:lvl>
    <w:lvl w:ilvl="1">
      <w:start w:val="2"/>
      <w:numFmt w:val="decimal"/>
      <w:lvlText w:val="%1.%2"/>
      <w:lvlJc w:val="left"/>
      <w:pPr>
        <w:ind w:left="1125" w:hanging="1125"/>
      </w:pPr>
      <w:rPr>
        <w:rFonts w:hint="default"/>
      </w:rPr>
    </w:lvl>
    <w:lvl w:ilvl="2">
      <w:start w:val="1"/>
      <w:numFmt w:val="decimal"/>
      <w:lvlText w:val="%1.%2.%3"/>
      <w:lvlJc w:val="left"/>
      <w:pPr>
        <w:ind w:left="1125" w:hanging="1125"/>
      </w:pPr>
      <w:rPr>
        <w:rFonts w:hint="default"/>
      </w:rPr>
    </w:lvl>
    <w:lvl w:ilvl="3">
      <w:start w:val="3"/>
      <w:numFmt w:val="decimal"/>
      <w:lvlText w:val="%1.%2.%3.%4"/>
      <w:lvlJc w:val="left"/>
      <w:pPr>
        <w:ind w:left="1125" w:hanging="1125"/>
      </w:pPr>
      <w:rPr>
        <w:rFonts w:hint="default"/>
      </w:rPr>
    </w:lvl>
    <w:lvl w:ilvl="4">
      <w:start w:val="2"/>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15:restartNumberingAfterBreak="0">
    <w:nsid w:val="7BFA6B4D"/>
    <w:multiLevelType w:val="multilevel"/>
    <w:tmpl w:val="99E6AFE0"/>
    <w:lvl w:ilvl="0">
      <w:start w:val="1"/>
      <w:numFmt w:val="decimal"/>
      <w:pStyle w:val="Heading1"/>
      <w:suff w:val="space"/>
      <w:lvlText w:val="%1."/>
      <w:lvlJc w:val="left"/>
      <w:pPr>
        <w:ind w:left="0" w:firstLine="0"/>
      </w:pPr>
      <w:rPr>
        <w:rFonts w:ascii="Verdana" w:hAnsi="Verdana" w:cs="Times New Roman" w:hint="default"/>
        <w:b/>
        <w:i w:val="0"/>
        <w:color w:val="0046AD"/>
        <w:sz w:val="28"/>
      </w:rPr>
    </w:lvl>
    <w:lvl w:ilvl="1">
      <w:start w:val="1"/>
      <w:numFmt w:val="decimal"/>
      <w:lvlText w:val="%2.1"/>
      <w:lvlJc w:val="left"/>
      <w:pPr>
        <w:tabs>
          <w:tab w:val="num" w:pos="360"/>
        </w:tabs>
        <w:ind w:left="0" w:firstLine="0"/>
      </w:pPr>
      <w:rPr>
        <w:rFonts w:cs="Times New Roman" w:hint="default"/>
      </w:rPr>
    </w:lvl>
    <w:lvl w:ilvl="2">
      <w:numFmt w:val="none"/>
      <w:pStyle w:val="Heading3"/>
      <w:lvlText w:val=""/>
      <w:lvlJc w:val="left"/>
      <w:pPr>
        <w:tabs>
          <w:tab w:val="num" w:pos="360"/>
        </w:tabs>
        <w:ind w:left="0" w:firstLine="0"/>
      </w:pPr>
      <w:rPr>
        <w:rFonts w:cs="Times New Roman" w:hint="default"/>
      </w:rPr>
    </w:lvl>
    <w:lvl w:ilvl="3">
      <w:numFmt w:val="decimal"/>
      <w:pStyle w:val="Heading4"/>
      <w:lvlText w:val=""/>
      <w:lvlJc w:val="left"/>
      <w:pPr>
        <w:ind w:left="0" w:firstLine="0"/>
      </w:pPr>
      <w:rPr>
        <w:rFonts w:cs="Times New Roman" w:hint="default"/>
      </w:rPr>
    </w:lvl>
    <w:lvl w:ilvl="4">
      <w:numFmt w:val="decimal"/>
      <w:pStyle w:val="Heading5"/>
      <w:lvlText w:val=""/>
      <w:lvlJc w:val="left"/>
      <w:pPr>
        <w:ind w:left="0" w:firstLine="0"/>
      </w:pPr>
      <w:rPr>
        <w:rFonts w:cs="Times New Roman" w:hint="default"/>
      </w:rPr>
    </w:lvl>
    <w:lvl w:ilvl="5">
      <w:numFmt w:val="decimal"/>
      <w:pStyle w:val="Heading6"/>
      <w:lvlText w:val=""/>
      <w:lvlJc w:val="left"/>
      <w:pPr>
        <w:ind w:left="0" w:firstLine="0"/>
      </w:pPr>
      <w:rPr>
        <w:rFonts w:cs="Times New Roman" w:hint="default"/>
      </w:rPr>
    </w:lvl>
    <w:lvl w:ilvl="6">
      <w:numFmt w:val="decimal"/>
      <w:pStyle w:val="Heading7"/>
      <w:lvlText w:val=""/>
      <w:lvlJc w:val="left"/>
      <w:pPr>
        <w:ind w:left="0" w:firstLine="0"/>
      </w:pPr>
      <w:rPr>
        <w:rFonts w:cs="Times New Roman" w:hint="default"/>
      </w:rPr>
    </w:lvl>
    <w:lvl w:ilvl="7">
      <w:numFmt w:val="decimal"/>
      <w:pStyle w:val="Heading8"/>
      <w:lvlText w:val=""/>
      <w:lvlJc w:val="left"/>
      <w:pPr>
        <w:ind w:left="0" w:firstLine="0"/>
      </w:pPr>
      <w:rPr>
        <w:rFonts w:cs="Times New Roman" w:hint="default"/>
      </w:rPr>
    </w:lvl>
    <w:lvl w:ilvl="8">
      <w:numFmt w:val="decimal"/>
      <w:pStyle w:val="Heading9"/>
      <w:lvlText w:val=""/>
      <w:lvlJc w:val="left"/>
      <w:pPr>
        <w:ind w:left="0" w:firstLine="0"/>
      </w:pPr>
      <w:rPr>
        <w:rFonts w:cs="Times New Roman" w:hint="default"/>
      </w:rPr>
    </w:lvl>
  </w:abstractNum>
  <w:abstractNum w:abstractNumId="37" w15:restartNumberingAfterBreak="0">
    <w:nsid w:val="7C871AFA"/>
    <w:multiLevelType w:val="multilevel"/>
    <w:tmpl w:val="250224A4"/>
    <w:lvl w:ilvl="0">
      <w:numFmt w:val="decimal"/>
      <w:pStyle w:val="BulletedList1-usermanu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E5B3528"/>
    <w:multiLevelType w:val="hybridMultilevel"/>
    <w:tmpl w:val="1CCAEF32"/>
    <w:lvl w:ilvl="0" w:tplc="0809000F">
      <w:start w:val="1"/>
      <w:numFmt w:val="decimal"/>
      <w:lvlText w:val="%1."/>
      <w:lvlJc w:val="left"/>
      <w:pPr>
        <w:ind w:left="36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6"/>
  </w:num>
  <w:num w:numId="2">
    <w:abstractNumId w:val="22"/>
  </w:num>
  <w:num w:numId="3">
    <w:abstractNumId w:val="25"/>
  </w:num>
  <w:num w:numId="4">
    <w:abstractNumId w:val="37"/>
  </w:num>
  <w:num w:numId="5">
    <w:abstractNumId w:val="33"/>
  </w:num>
  <w:num w:numId="6">
    <w:abstractNumId w:val="23"/>
  </w:num>
  <w:num w:numId="7">
    <w:abstractNumId w:val="36"/>
    <w:lvlOverride w:ilvl="0">
      <w:startOverride w:val="7"/>
    </w:lvlOverride>
    <w:lvlOverride w:ilvl="1">
      <w:startOverride w:val="7"/>
    </w:lvlOverride>
    <w:lvlOverride w:ilvl="2"/>
    <w:lvlOverride w:ilvl="3"/>
    <w:lvlOverride w:ilvl="4"/>
    <w:lvlOverride w:ilvl="5"/>
    <w:lvlOverride w:ilvl="6"/>
    <w:lvlOverride w:ilvl="7"/>
    <w:lvlOverride w:ilvl="8"/>
  </w:num>
  <w:num w:numId="8">
    <w:abstractNumId w:val="9"/>
  </w:num>
  <w:num w:numId="9">
    <w:abstractNumId w:val="12"/>
  </w:num>
  <w:num w:numId="10">
    <w:abstractNumId w:val="6"/>
  </w:num>
  <w:num w:numId="11">
    <w:abstractNumId w:val="13"/>
  </w:num>
  <w:num w:numId="12">
    <w:abstractNumId w:val="30"/>
  </w:num>
  <w:num w:numId="13">
    <w:abstractNumId w:val="0"/>
  </w:num>
  <w:num w:numId="14">
    <w:abstractNumId w:val="1"/>
  </w:num>
  <w:num w:numId="15">
    <w:abstractNumId w:val="35"/>
  </w:num>
  <w:num w:numId="16">
    <w:abstractNumId w:val="29"/>
  </w:num>
  <w:num w:numId="17">
    <w:abstractNumId w:val="17"/>
  </w:num>
  <w:num w:numId="18">
    <w:abstractNumId w:val="10"/>
  </w:num>
  <w:num w:numId="19">
    <w:abstractNumId w:val="31"/>
  </w:num>
  <w:num w:numId="20">
    <w:abstractNumId w:val="14"/>
  </w:num>
  <w:num w:numId="21">
    <w:abstractNumId w:val="12"/>
  </w:num>
  <w:num w:numId="22">
    <w:abstractNumId w:val="18"/>
  </w:num>
  <w:num w:numId="23">
    <w:abstractNumId w:val="8"/>
  </w:num>
  <w:num w:numId="24">
    <w:abstractNumId w:val="24"/>
  </w:num>
  <w:num w:numId="25">
    <w:abstractNumId w:val="36"/>
  </w:num>
  <w:num w:numId="26">
    <w:abstractNumId w:val="27"/>
  </w:num>
  <w:num w:numId="27">
    <w:abstractNumId w:val="21"/>
  </w:num>
  <w:num w:numId="28">
    <w:abstractNumId w:val="11"/>
  </w:num>
  <w:num w:numId="29">
    <w:abstractNumId w:val="7"/>
  </w:num>
  <w:num w:numId="30">
    <w:abstractNumId w:val="38"/>
  </w:num>
  <w:num w:numId="31">
    <w:abstractNumId w:val="15"/>
  </w:num>
  <w:num w:numId="32">
    <w:abstractNumId w:val="2"/>
  </w:num>
  <w:num w:numId="33">
    <w:abstractNumId w:val="3"/>
  </w:num>
  <w:num w:numId="34">
    <w:abstractNumId w:val="32"/>
  </w:num>
  <w:num w:numId="35">
    <w:abstractNumId w:val="34"/>
  </w:num>
  <w:num w:numId="36">
    <w:abstractNumId w:val="26"/>
  </w:num>
  <w:num w:numId="37">
    <w:abstractNumId w:val="20"/>
  </w:num>
  <w:num w:numId="38">
    <w:abstractNumId w:val="16"/>
  </w:num>
  <w:num w:numId="39">
    <w:abstractNumId w:val="4"/>
  </w:num>
  <w:num w:numId="40">
    <w:abstractNumId w:val="28"/>
  </w:num>
  <w:num w:numId="41">
    <w:abstractNumId w:val="19"/>
  </w:num>
  <w:num w:numId="42">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displayBackgroundShape/>
  <w:bordersDoNotSurroundHeader/>
  <w:bordersDoNotSurroundFooter/>
  <w:hideSpellingErrors/>
  <w:stylePaneFormatFilter w:val="3201" w:allStyles="1" w:customStyles="0" w:latentStyles="0" w:stylesInUse="0" w:headingStyles="0" w:numberingStyles="0" w:tableStyles="0" w:directFormattingOnRuns="0" w:directFormattingOnParagraphs="1" w:directFormattingOnNumbering="0" w:directFormattingOnTables="0" w:clearFormatting="1" w:top3HeadingStyles="1" w:visibleStyles="0" w:alternateStyleNames="0"/>
  <w:documentProtection w:edit="readOnly" w:enforcement="0"/>
  <w:defaultTabStop w:val="1304"/>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32"/>
    <w:rsid w:val="0000063E"/>
    <w:rsid w:val="000011FB"/>
    <w:rsid w:val="0000234D"/>
    <w:rsid w:val="00003293"/>
    <w:rsid w:val="00004D57"/>
    <w:rsid w:val="0000628B"/>
    <w:rsid w:val="00007F2B"/>
    <w:rsid w:val="00010C9D"/>
    <w:rsid w:val="00011FED"/>
    <w:rsid w:val="0001332A"/>
    <w:rsid w:val="00013416"/>
    <w:rsid w:val="00013440"/>
    <w:rsid w:val="000134CC"/>
    <w:rsid w:val="00014B0D"/>
    <w:rsid w:val="00014F3F"/>
    <w:rsid w:val="00015362"/>
    <w:rsid w:val="000173ED"/>
    <w:rsid w:val="00017D65"/>
    <w:rsid w:val="00020A21"/>
    <w:rsid w:val="0002109D"/>
    <w:rsid w:val="00021FE4"/>
    <w:rsid w:val="000239AA"/>
    <w:rsid w:val="0002406A"/>
    <w:rsid w:val="00024269"/>
    <w:rsid w:val="0002427A"/>
    <w:rsid w:val="00024E93"/>
    <w:rsid w:val="00025C99"/>
    <w:rsid w:val="00026CFF"/>
    <w:rsid w:val="0002715F"/>
    <w:rsid w:val="000308A0"/>
    <w:rsid w:val="00031925"/>
    <w:rsid w:val="00031C0C"/>
    <w:rsid w:val="000321AC"/>
    <w:rsid w:val="000322E6"/>
    <w:rsid w:val="0003279A"/>
    <w:rsid w:val="0003344B"/>
    <w:rsid w:val="000366C4"/>
    <w:rsid w:val="000366E9"/>
    <w:rsid w:val="000374E6"/>
    <w:rsid w:val="0004212E"/>
    <w:rsid w:val="000423CE"/>
    <w:rsid w:val="0004256D"/>
    <w:rsid w:val="00042A57"/>
    <w:rsid w:val="00043E96"/>
    <w:rsid w:val="00044012"/>
    <w:rsid w:val="000441F4"/>
    <w:rsid w:val="00044951"/>
    <w:rsid w:val="00044A20"/>
    <w:rsid w:val="00045D28"/>
    <w:rsid w:val="000516C0"/>
    <w:rsid w:val="000518E7"/>
    <w:rsid w:val="00051E87"/>
    <w:rsid w:val="000523A0"/>
    <w:rsid w:val="000533B1"/>
    <w:rsid w:val="00054D4F"/>
    <w:rsid w:val="00054FEE"/>
    <w:rsid w:val="000550DB"/>
    <w:rsid w:val="00055983"/>
    <w:rsid w:val="000575CF"/>
    <w:rsid w:val="000610AB"/>
    <w:rsid w:val="00061796"/>
    <w:rsid w:val="0006181B"/>
    <w:rsid w:val="00062090"/>
    <w:rsid w:val="0006225C"/>
    <w:rsid w:val="00062527"/>
    <w:rsid w:val="00062A33"/>
    <w:rsid w:val="000634C2"/>
    <w:rsid w:val="00063715"/>
    <w:rsid w:val="00064C58"/>
    <w:rsid w:val="00065EBE"/>
    <w:rsid w:val="000661C4"/>
    <w:rsid w:val="00071167"/>
    <w:rsid w:val="000721AD"/>
    <w:rsid w:val="0007332F"/>
    <w:rsid w:val="00075E83"/>
    <w:rsid w:val="000763F7"/>
    <w:rsid w:val="00076478"/>
    <w:rsid w:val="00076778"/>
    <w:rsid w:val="00076B0A"/>
    <w:rsid w:val="00076FF0"/>
    <w:rsid w:val="00077780"/>
    <w:rsid w:val="000803D3"/>
    <w:rsid w:val="00080EB6"/>
    <w:rsid w:val="000840E2"/>
    <w:rsid w:val="000843FE"/>
    <w:rsid w:val="00084FD5"/>
    <w:rsid w:val="00086315"/>
    <w:rsid w:val="00087BDD"/>
    <w:rsid w:val="0009008C"/>
    <w:rsid w:val="0009282A"/>
    <w:rsid w:val="00093C7A"/>
    <w:rsid w:val="00093F94"/>
    <w:rsid w:val="00093FE6"/>
    <w:rsid w:val="00094D1A"/>
    <w:rsid w:val="00096110"/>
    <w:rsid w:val="00096A17"/>
    <w:rsid w:val="00096A9A"/>
    <w:rsid w:val="000970A2"/>
    <w:rsid w:val="000A05CE"/>
    <w:rsid w:val="000A07B3"/>
    <w:rsid w:val="000A124E"/>
    <w:rsid w:val="000A192F"/>
    <w:rsid w:val="000A1A6A"/>
    <w:rsid w:val="000A1F9D"/>
    <w:rsid w:val="000A2B57"/>
    <w:rsid w:val="000A3009"/>
    <w:rsid w:val="000A300D"/>
    <w:rsid w:val="000A392D"/>
    <w:rsid w:val="000A3AE3"/>
    <w:rsid w:val="000A3DEB"/>
    <w:rsid w:val="000A601C"/>
    <w:rsid w:val="000A775C"/>
    <w:rsid w:val="000A7F7D"/>
    <w:rsid w:val="000B0AF1"/>
    <w:rsid w:val="000B1F71"/>
    <w:rsid w:val="000B2E04"/>
    <w:rsid w:val="000B342A"/>
    <w:rsid w:val="000B3A1D"/>
    <w:rsid w:val="000B43E9"/>
    <w:rsid w:val="000B5BD9"/>
    <w:rsid w:val="000B6317"/>
    <w:rsid w:val="000B6BC6"/>
    <w:rsid w:val="000B745E"/>
    <w:rsid w:val="000B75D0"/>
    <w:rsid w:val="000B75DA"/>
    <w:rsid w:val="000B7823"/>
    <w:rsid w:val="000B7BBE"/>
    <w:rsid w:val="000B7D2E"/>
    <w:rsid w:val="000C1678"/>
    <w:rsid w:val="000C1E7C"/>
    <w:rsid w:val="000C22AB"/>
    <w:rsid w:val="000C281D"/>
    <w:rsid w:val="000C389E"/>
    <w:rsid w:val="000C3CB8"/>
    <w:rsid w:val="000C49F5"/>
    <w:rsid w:val="000C6044"/>
    <w:rsid w:val="000C6530"/>
    <w:rsid w:val="000C797A"/>
    <w:rsid w:val="000C7D2E"/>
    <w:rsid w:val="000D0078"/>
    <w:rsid w:val="000D10EF"/>
    <w:rsid w:val="000D25F5"/>
    <w:rsid w:val="000D26BA"/>
    <w:rsid w:val="000D302B"/>
    <w:rsid w:val="000E1F5B"/>
    <w:rsid w:val="000E2D00"/>
    <w:rsid w:val="000E3105"/>
    <w:rsid w:val="000E35B3"/>
    <w:rsid w:val="000E4CAC"/>
    <w:rsid w:val="000E5312"/>
    <w:rsid w:val="000E6FFA"/>
    <w:rsid w:val="000F20D8"/>
    <w:rsid w:val="000F274B"/>
    <w:rsid w:val="000F28D2"/>
    <w:rsid w:val="000F2DF2"/>
    <w:rsid w:val="000F3DA5"/>
    <w:rsid w:val="000F41A0"/>
    <w:rsid w:val="000F619F"/>
    <w:rsid w:val="000F7C56"/>
    <w:rsid w:val="00100AB6"/>
    <w:rsid w:val="00101887"/>
    <w:rsid w:val="00101A8D"/>
    <w:rsid w:val="001030AC"/>
    <w:rsid w:val="0010322C"/>
    <w:rsid w:val="0010600C"/>
    <w:rsid w:val="001100D9"/>
    <w:rsid w:val="0011105F"/>
    <w:rsid w:val="00112108"/>
    <w:rsid w:val="00112253"/>
    <w:rsid w:val="00112CE4"/>
    <w:rsid w:val="00112E50"/>
    <w:rsid w:val="00113FCA"/>
    <w:rsid w:val="00114399"/>
    <w:rsid w:val="00114628"/>
    <w:rsid w:val="00115722"/>
    <w:rsid w:val="00115C1E"/>
    <w:rsid w:val="00115EC3"/>
    <w:rsid w:val="0011783E"/>
    <w:rsid w:val="001206E6"/>
    <w:rsid w:val="001208E7"/>
    <w:rsid w:val="001215C2"/>
    <w:rsid w:val="00121CD9"/>
    <w:rsid w:val="001221A8"/>
    <w:rsid w:val="001223AF"/>
    <w:rsid w:val="00123653"/>
    <w:rsid w:val="00124BA8"/>
    <w:rsid w:val="00127DF0"/>
    <w:rsid w:val="001303DB"/>
    <w:rsid w:val="001340DF"/>
    <w:rsid w:val="001350F4"/>
    <w:rsid w:val="00136859"/>
    <w:rsid w:val="001405A9"/>
    <w:rsid w:val="001411DD"/>
    <w:rsid w:val="0014178D"/>
    <w:rsid w:val="001419E0"/>
    <w:rsid w:val="00141B05"/>
    <w:rsid w:val="00142BFC"/>
    <w:rsid w:val="00142D00"/>
    <w:rsid w:val="00145D80"/>
    <w:rsid w:val="0014609D"/>
    <w:rsid w:val="00146738"/>
    <w:rsid w:val="00146989"/>
    <w:rsid w:val="0015015F"/>
    <w:rsid w:val="00151E72"/>
    <w:rsid w:val="00151FC4"/>
    <w:rsid w:val="00152D24"/>
    <w:rsid w:val="001541EF"/>
    <w:rsid w:val="001560FE"/>
    <w:rsid w:val="00156D5E"/>
    <w:rsid w:val="00157044"/>
    <w:rsid w:val="00157789"/>
    <w:rsid w:val="00157A97"/>
    <w:rsid w:val="00157ADA"/>
    <w:rsid w:val="00157B3D"/>
    <w:rsid w:val="00160086"/>
    <w:rsid w:val="0016056A"/>
    <w:rsid w:val="0016072C"/>
    <w:rsid w:val="00160C38"/>
    <w:rsid w:val="00160E01"/>
    <w:rsid w:val="00161248"/>
    <w:rsid w:val="00161DF2"/>
    <w:rsid w:val="00162E15"/>
    <w:rsid w:val="00163684"/>
    <w:rsid w:val="00164CB5"/>
    <w:rsid w:val="001658CA"/>
    <w:rsid w:val="00167A6D"/>
    <w:rsid w:val="00167CC0"/>
    <w:rsid w:val="00171229"/>
    <w:rsid w:val="001723D9"/>
    <w:rsid w:val="00172ABA"/>
    <w:rsid w:val="00173012"/>
    <w:rsid w:val="00173976"/>
    <w:rsid w:val="00173D06"/>
    <w:rsid w:val="00176845"/>
    <w:rsid w:val="00181DCE"/>
    <w:rsid w:val="00182E5E"/>
    <w:rsid w:val="00184135"/>
    <w:rsid w:val="0018708A"/>
    <w:rsid w:val="001878C4"/>
    <w:rsid w:val="00187999"/>
    <w:rsid w:val="001908AC"/>
    <w:rsid w:val="00191E47"/>
    <w:rsid w:val="001922B4"/>
    <w:rsid w:val="00192A2A"/>
    <w:rsid w:val="00193388"/>
    <w:rsid w:val="001935E8"/>
    <w:rsid w:val="00194092"/>
    <w:rsid w:val="001955DC"/>
    <w:rsid w:val="00195E28"/>
    <w:rsid w:val="00197D96"/>
    <w:rsid w:val="001A26B9"/>
    <w:rsid w:val="001A3B94"/>
    <w:rsid w:val="001A4430"/>
    <w:rsid w:val="001A4898"/>
    <w:rsid w:val="001A60CE"/>
    <w:rsid w:val="001A7031"/>
    <w:rsid w:val="001B06FB"/>
    <w:rsid w:val="001B0E6F"/>
    <w:rsid w:val="001B222B"/>
    <w:rsid w:val="001B23E4"/>
    <w:rsid w:val="001B2D85"/>
    <w:rsid w:val="001B3789"/>
    <w:rsid w:val="001B439F"/>
    <w:rsid w:val="001B6A8D"/>
    <w:rsid w:val="001B6BD9"/>
    <w:rsid w:val="001B7A61"/>
    <w:rsid w:val="001C2A27"/>
    <w:rsid w:val="001C2B0A"/>
    <w:rsid w:val="001C2D84"/>
    <w:rsid w:val="001C30D9"/>
    <w:rsid w:val="001C3DCB"/>
    <w:rsid w:val="001C6662"/>
    <w:rsid w:val="001C7341"/>
    <w:rsid w:val="001C7618"/>
    <w:rsid w:val="001D2D78"/>
    <w:rsid w:val="001D3478"/>
    <w:rsid w:val="001D39B1"/>
    <w:rsid w:val="001D3C6F"/>
    <w:rsid w:val="001D3D5A"/>
    <w:rsid w:val="001D556F"/>
    <w:rsid w:val="001D59DC"/>
    <w:rsid w:val="001D5C42"/>
    <w:rsid w:val="001D604D"/>
    <w:rsid w:val="001D61B0"/>
    <w:rsid w:val="001D6360"/>
    <w:rsid w:val="001D6877"/>
    <w:rsid w:val="001D736D"/>
    <w:rsid w:val="001D7BB0"/>
    <w:rsid w:val="001E0BB9"/>
    <w:rsid w:val="001E1808"/>
    <w:rsid w:val="001E1AAE"/>
    <w:rsid w:val="001E2D7F"/>
    <w:rsid w:val="001E3220"/>
    <w:rsid w:val="001E584C"/>
    <w:rsid w:val="001E639A"/>
    <w:rsid w:val="001F1363"/>
    <w:rsid w:val="001F13EB"/>
    <w:rsid w:val="001F1EF3"/>
    <w:rsid w:val="001F1F11"/>
    <w:rsid w:val="001F2944"/>
    <w:rsid w:val="001F2FA5"/>
    <w:rsid w:val="001F43ED"/>
    <w:rsid w:val="001F53EB"/>
    <w:rsid w:val="001F5783"/>
    <w:rsid w:val="001F595C"/>
    <w:rsid w:val="001F65E6"/>
    <w:rsid w:val="001F76BF"/>
    <w:rsid w:val="00200975"/>
    <w:rsid w:val="00200EA7"/>
    <w:rsid w:val="00203A65"/>
    <w:rsid w:val="00204017"/>
    <w:rsid w:val="00204425"/>
    <w:rsid w:val="00204ACB"/>
    <w:rsid w:val="00205E7E"/>
    <w:rsid w:val="00207DF2"/>
    <w:rsid w:val="00211D38"/>
    <w:rsid w:val="00212038"/>
    <w:rsid w:val="00212524"/>
    <w:rsid w:val="00212A4E"/>
    <w:rsid w:val="0021592A"/>
    <w:rsid w:val="002159AC"/>
    <w:rsid w:val="00215EC0"/>
    <w:rsid w:val="00215ECB"/>
    <w:rsid w:val="002164EE"/>
    <w:rsid w:val="00216D78"/>
    <w:rsid w:val="0022402E"/>
    <w:rsid w:val="002243E0"/>
    <w:rsid w:val="00224B99"/>
    <w:rsid w:val="002270D2"/>
    <w:rsid w:val="00227E24"/>
    <w:rsid w:val="00230703"/>
    <w:rsid w:val="00232BB4"/>
    <w:rsid w:val="00232D4A"/>
    <w:rsid w:val="00232DA6"/>
    <w:rsid w:val="002336A2"/>
    <w:rsid w:val="00235085"/>
    <w:rsid w:val="002350F3"/>
    <w:rsid w:val="00235D87"/>
    <w:rsid w:val="00235F14"/>
    <w:rsid w:val="002375B7"/>
    <w:rsid w:val="0023797E"/>
    <w:rsid w:val="00240940"/>
    <w:rsid w:val="002429A4"/>
    <w:rsid w:val="00246403"/>
    <w:rsid w:val="0024747B"/>
    <w:rsid w:val="002504D8"/>
    <w:rsid w:val="00251960"/>
    <w:rsid w:val="0025511B"/>
    <w:rsid w:val="002551BD"/>
    <w:rsid w:val="00255B24"/>
    <w:rsid w:val="00256AC2"/>
    <w:rsid w:val="0025714C"/>
    <w:rsid w:val="00257DA6"/>
    <w:rsid w:val="00261963"/>
    <w:rsid w:val="002622F2"/>
    <w:rsid w:val="00262493"/>
    <w:rsid w:val="00262AF9"/>
    <w:rsid w:val="00262E79"/>
    <w:rsid w:val="00263F3A"/>
    <w:rsid w:val="00264345"/>
    <w:rsid w:val="0026566E"/>
    <w:rsid w:val="0026744B"/>
    <w:rsid w:val="002709B5"/>
    <w:rsid w:val="00270DA9"/>
    <w:rsid w:val="002714C6"/>
    <w:rsid w:val="00272C6F"/>
    <w:rsid w:val="00273349"/>
    <w:rsid w:val="0027585A"/>
    <w:rsid w:val="002768E3"/>
    <w:rsid w:val="002770C2"/>
    <w:rsid w:val="002774C8"/>
    <w:rsid w:val="00277BCF"/>
    <w:rsid w:val="00277F71"/>
    <w:rsid w:val="00280AA9"/>
    <w:rsid w:val="00281744"/>
    <w:rsid w:val="0028291E"/>
    <w:rsid w:val="002833BB"/>
    <w:rsid w:val="002836E3"/>
    <w:rsid w:val="0028471E"/>
    <w:rsid w:val="0028559C"/>
    <w:rsid w:val="00285968"/>
    <w:rsid w:val="002863B3"/>
    <w:rsid w:val="00290E50"/>
    <w:rsid w:val="002921DD"/>
    <w:rsid w:val="0029259B"/>
    <w:rsid w:val="00293438"/>
    <w:rsid w:val="00294045"/>
    <w:rsid w:val="00294D99"/>
    <w:rsid w:val="00295E9B"/>
    <w:rsid w:val="002975AC"/>
    <w:rsid w:val="002A08D7"/>
    <w:rsid w:val="002A2076"/>
    <w:rsid w:val="002A3AEE"/>
    <w:rsid w:val="002A54C0"/>
    <w:rsid w:val="002A61B5"/>
    <w:rsid w:val="002A658A"/>
    <w:rsid w:val="002A77D1"/>
    <w:rsid w:val="002B0800"/>
    <w:rsid w:val="002B15FD"/>
    <w:rsid w:val="002B2D0A"/>
    <w:rsid w:val="002B3BDB"/>
    <w:rsid w:val="002B58B6"/>
    <w:rsid w:val="002B6230"/>
    <w:rsid w:val="002B7411"/>
    <w:rsid w:val="002C099F"/>
    <w:rsid w:val="002C0BBF"/>
    <w:rsid w:val="002C3053"/>
    <w:rsid w:val="002C3E44"/>
    <w:rsid w:val="002C475F"/>
    <w:rsid w:val="002C4CFC"/>
    <w:rsid w:val="002C5D9B"/>
    <w:rsid w:val="002C6A7C"/>
    <w:rsid w:val="002C700E"/>
    <w:rsid w:val="002D039F"/>
    <w:rsid w:val="002D217D"/>
    <w:rsid w:val="002D23F2"/>
    <w:rsid w:val="002D3337"/>
    <w:rsid w:val="002D3951"/>
    <w:rsid w:val="002D4A61"/>
    <w:rsid w:val="002D5713"/>
    <w:rsid w:val="002D5819"/>
    <w:rsid w:val="002D669D"/>
    <w:rsid w:val="002E01E5"/>
    <w:rsid w:val="002E2095"/>
    <w:rsid w:val="002E288C"/>
    <w:rsid w:val="002E2BE4"/>
    <w:rsid w:val="002E323D"/>
    <w:rsid w:val="002E36FF"/>
    <w:rsid w:val="002E3BB8"/>
    <w:rsid w:val="002E3D62"/>
    <w:rsid w:val="002E43DD"/>
    <w:rsid w:val="002E5045"/>
    <w:rsid w:val="002E6725"/>
    <w:rsid w:val="002E6952"/>
    <w:rsid w:val="002E74C1"/>
    <w:rsid w:val="002E765F"/>
    <w:rsid w:val="002E785A"/>
    <w:rsid w:val="002E7A7E"/>
    <w:rsid w:val="002F0015"/>
    <w:rsid w:val="002F12D4"/>
    <w:rsid w:val="002F18A1"/>
    <w:rsid w:val="002F1DA3"/>
    <w:rsid w:val="002F255D"/>
    <w:rsid w:val="002F25D9"/>
    <w:rsid w:val="002F2C81"/>
    <w:rsid w:val="002F309C"/>
    <w:rsid w:val="002F3CDC"/>
    <w:rsid w:val="002F50D5"/>
    <w:rsid w:val="002F523C"/>
    <w:rsid w:val="002F560E"/>
    <w:rsid w:val="002F572F"/>
    <w:rsid w:val="002F7A7E"/>
    <w:rsid w:val="00300300"/>
    <w:rsid w:val="003005FF"/>
    <w:rsid w:val="003006F9"/>
    <w:rsid w:val="00300992"/>
    <w:rsid w:val="00301909"/>
    <w:rsid w:val="00302930"/>
    <w:rsid w:val="00304028"/>
    <w:rsid w:val="003044C5"/>
    <w:rsid w:val="003050A1"/>
    <w:rsid w:val="00305644"/>
    <w:rsid w:val="003058AA"/>
    <w:rsid w:val="003059D0"/>
    <w:rsid w:val="00306E7A"/>
    <w:rsid w:val="00310DA6"/>
    <w:rsid w:val="003122B0"/>
    <w:rsid w:val="00312A11"/>
    <w:rsid w:val="00312C3D"/>
    <w:rsid w:val="00312D0D"/>
    <w:rsid w:val="00313376"/>
    <w:rsid w:val="00314D9F"/>
    <w:rsid w:val="0031577D"/>
    <w:rsid w:val="00315E3E"/>
    <w:rsid w:val="00315FEA"/>
    <w:rsid w:val="003160C5"/>
    <w:rsid w:val="003160F9"/>
    <w:rsid w:val="00317BA7"/>
    <w:rsid w:val="00317E34"/>
    <w:rsid w:val="00320847"/>
    <w:rsid w:val="00320D25"/>
    <w:rsid w:val="0032120F"/>
    <w:rsid w:val="003215DB"/>
    <w:rsid w:val="0032353B"/>
    <w:rsid w:val="00324AFC"/>
    <w:rsid w:val="00324C4F"/>
    <w:rsid w:val="0032516E"/>
    <w:rsid w:val="00325F67"/>
    <w:rsid w:val="00326BC8"/>
    <w:rsid w:val="00327FE7"/>
    <w:rsid w:val="00330875"/>
    <w:rsid w:val="0033254C"/>
    <w:rsid w:val="00335776"/>
    <w:rsid w:val="0033693E"/>
    <w:rsid w:val="00336A1B"/>
    <w:rsid w:val="00336C84"/>
    <w:rsid w:val="003379F8"/>
    <w:rsid w:val="00341775"/>
    <w:rsid w:val="00341CE2"/>
    <w:rsid w:val="003423BD"/>
    <w:rsid w:val="00342651"/>
    <w:rsid w:val="00342B0F"/>
    <w:rsid w:val="00345B98"/>
    <w:rsid w:val="00345FD7"/>
    <w:rsid w:val="0034612B"/>
    <w:rsid w:val="00347163"/>
    <w:rsid w:val="0035182B"/>
    <w:rsid w:val="00352992"/>
    <w:rsid w:val="003537C9"/>
    <w:rsid w:val="003549FC"/>
    <w:rsid w:val="00355484"/>
    <w:rsid w:val="00356576"/>
    <w:rsid w:val="00356A58"/>
    <w:rsid w:val="00356AEA"/>
    <w:rsid w:val="003579E3"/>
    <w:rsid w:val="0036263D"/>
    <w:rsid w:val="00362EF1"/>
    <w:rsid w:val="00363105"/>
    <w:rsid w:val="00365013"/>
    <w:rsid w:val="00365C7B"/>
    <w:rsid w:val="0036652E"/>
    <w:rsid w:val="00366EE8"/>
    <w:rsid w:val="00366F87"/>
    <w:rsid w:val="00367703"/>
    <w:rsid w:val="00372310"/>
    <w:rsid w:val="00372B89"/>
    <w:rsid w:val="00372CB0"/>
    <w:rsid w:val="00373846"/>
    <w:rsid w:val="003740C1"/>
    <w:rsid w:val="00374A01"/>
    <w:rsid w:val="00374DDB"/>
    <w:rsid w:val="00375935"/>
    <w:rsid w:val="00376709"/>
    <w:rsid w:val="0037675C"/>
    <w:rsid w:val="00380975"/>
    <w:rsid w:val="00380E39"/>
    <w:rsid w:val="003814C7"/>
    <w:rsid w:val="003817A3"/>
    <w:rsid w:val="003819B8"/>
    <w:rsid w:val="0038266E"/>
    <w:rsid w:val="00382C98"/>
    <w:rsid w:val="0038440E"/>
    <w:rsid w:val="00384EB0"/>
    <w:rsid w:val="00385D96"/>
    <w:rsid w:val="003877C2"/>
    <w:rsid w:val="003901FF"/>
    <w:rsid w:val="003905C6"/>
    <w:rsid w:val="003909BD"/>
    <w:rsid w:val="00390A44"/>
    <w:rsid w:val="00390ED5"/>
    <w:rsid w:val="003925E9"/>
    <w:rsid w:val="00394D29"/>
    <w:rsid w:val="00395238"/>
    <w:rsid w:val="00395CC2"/>
    <w:rsid w:val="00395D7D"/>
    <w:rsid w:val="003A00D9"/>
    <w:rsid w:val="003A0519"/>
    <w:rsid w:val="003A22A4"/>
    <w:rsid w:val="003A2F50"/>
    <w:rsid w:val="003A3554"/>
    <w:rsid w:val="003A5B5D"/>
    <w:rsid w:val="003A66F2"/>
    <w:rsid w:val="003A7FB0"/>
    <w:rsid w:val="003B0BC7"/>
    <w:rsid w:val="003B13E5"/>
    <w:rsid w:val="003B1B52"/>
    <w:rsid w:val="003B20A9"/>
    <w:rsid w:val="003B276D"/>
    <w:rsid w:val="003B305E"/>
    <w:rsid w:val="003B371E"/>
    <w:rsid w:val="003B3DF8"/>
    <w:rsid w:val="003B4361"/>
    <w:rsid w:val="003B5A41"/>
    <w:rsid w:val="003B6C91"/>
    <w:rsid w:val="003B6FD6"/>
    <w:rsid w:val="003B7422"/>
    <w:rsid w:val="003B7B69"/>
    <w:rsid w:val="003B7E0C"/>
    <w:rsid w:val="003C0010"/>
    <w:rsid w:val="003C1CA9"/>
    <w:rsid w:val="003C25B7"/>
    <w:rsid w:val="003C2C56"/>
    <w:rsid w:val="003C3C62"/>
    <w:rsid w:val="003C419D"/>
    <w:rsid w:val="003C4693"/>
    <w:rsid w:val="003C4782"/>
    <w:rsid w:val="003C50BE"/>
    <w:rsid w:val="003C5298"/>
    <w:rsid w:val="003C52AB"/>
    <w:rsid w:val="003C5310"/>
    <w:rsid w:val="003C5777"/>
    <w:rsid w:val="003C70C9"/>
    <w:rsid w:val="003D0A5F"/>
    <w:rsid w:val="003D2CEA"/>
    <w:rsid w:val="003D36EB"/>
    <w:rsid w:val="003D5772"/>
    <w:rsid w:val="003D7802"/>
    <w:rsid w:val="003D7950"/>
    <w:rsid w:val="003E00E5"/>
    <w:rsid w:val="003E3436"/>
    <w:rsid w:val="003E45AA"/>
    <w:rsid w:val="003E7C02"/>
    <w:rsid w:val="003F16A5"/>
    <w:rsid w:val="003F2F19"/>
    <w:rsid w:val="003F3D8A"/>
    <w:rsid w:val="003F4D36"/>
    <w:rsid w:val="003F4DD6"/>
    <w:rsid w:val="003F4EA3"/>
    <w:rsid w:val="003F583B"/>
    <w:rsid w:val="003F7641"/>
    <w:rsid w:val="0040013B"/>
    <w:rsid w:val="00401702"/>
    <w:rsid w:val="00401A2B"/>
    <w:rsid w:val="0040241E"/>
    <w:rsid w:val="0040313B"/>
    <w:rsid w:val="00403196"/>
    <w:rsid w:val="00403ED6"/>
    <w:rsid w:val="00404A83"/>
    <w:rsid w:val="00405B73"/>
    <w:rsid w:val="00407EC7"/>
    <w:rsid w:val="0041055E"/>
    <w:rsid w:val="0041075B"/>
    <w:rsid w:val="00410EA2"/>
    <w:rsid w:val="004112D9"/>
    <w:rsid w:val="00411636"/>
    <w:rsid w:val="00420ACA"/>
    <w:rsid w:val="004212E6"/>
    <w:rsid w:val="00421450"/>
    <w:rsid w:val="00421DF4"/>
    <w:rsid w:val="00421EA9"/>
    <w:rsid w:val="00422057"/>
    <w:rsid w:val="004222C6"/>
    <w:rsid w:val="004230D4"/>
    <w:rsid w:val="00423B44"/>
    <w:rsid w:val="004255E8"/>
    <w:rsid w:val="00426447"/>
    <w:rsid w:val="00431F42"/>
    <w:rsid w:val="004320BB"/>
    <w:rsid w:val="00432307"/>
    <w:rsid w:val="00432D9A"/>
    <w:rsid w:val="00433182"/>
    <w:rsid w:val="00433378"/>
    <w:rsid w:val="004346EA"/>
    <w:rsid w:val="0043784E"/>
    <w:rsid w:val="00440171"/>
    <w:rsid w:val="004413AA"/>
    <w:rsid w:val="00443DC9"/>
    <w:rsid w:val="00443EAE"/>
    <w:rsid w:val="004440E3"/>
    <w:rsid w:val="00444889"/>
    <w:rsid w:val="004448DE"/>
    <w:rsid w:val="00444B2B"/>
    <w:rsid w:val="00446174"/>
    <w:rsid w:val="00446D60"/>
    <w:rsid w:val="004500A2"/>
    <w:rsid w:val="00450975"/>
    <w:rsid w:val="00450AC4"/>
    <w:rsid w:val="00451129"/>
    <w:rsid w:val="004516B1"/>
    <w:rsid w:val="00453835"/>
    <w:rsid w:val="00453F5D"/>
    <w:rsid w:val="00454075"/>
    <w:rsid w:val="004547A0"/>
    <w:rsid w:val="00454A6E"/>
    <w:rsid w:val="004569E8"/>
    <w:rsid w:val="00456AEB"/>
    <w:rsid w:val="00456B7E"/>
    <w:rsid w:val="00457899"/>
    <w:rsid w:val="00457FAB"/>
    <w:rsid w:val="004607CB"/>
    <w:rsid w:val="00460D31"/>
    <w:rsid w:val="00461AF3"/>
    <w:rsid w:val="00461EB8"/>
    <w:rsid w:val="004624BD"/>
    <w:rsid w:val="00462718"/>
    <w:rsid w:val="004640D5"/>
    <w:rsid w:val="0046529D"/>
    <w:rsid w:val="004660E9"/>
    <w:rsid w:val="00466C14"/>
    <w:rsid w:val="004703C8"/>
    <w:rsid w:val="00471B4F"/>
    <w:rsid w:val="00473363"/>
    <w:rsid w:val="00473F8A"/>
    <w:rsid w:val="00474002"/>
    <w:rsid w:val="00475193"/>
    <w:rsid w:val="00481010"/>
    <w:rsid w:val="00481689"/>
    <w:rsid w:val="00482ED6"/>
    <w:rsid w:val="0048562D"/>
    <w:rsid w:val="00485E4B"/>
    <w:rsid w:val="0048631D"/>
    <w:rsid w:val="0048725B"/>
    <w:rsid w:val="004904C2"/>
    <w:rsid w:val="004908C2"/>
    <w:rsid w:val="00491C41"/>
    <w:rsid w:val="004921F5"/>
    <w:rsid w:val="00492855"/>
    <w:rsid w:val="004933D8"/>
    <w:rsid w:val="00494BD9"/>
    <w:rsid w:val="004954E7"/>
    <w:rsid w:val="00496488"/>
    <w:rsid w:val="00496513"/>
    <w:rsid w:val="004968F1"/>
    <w:rsid w:val="00496CA2"/>
    <w:rsid w:val="004971AC"/>
    <w:rsid w:val="00497825"/>
    <w:rsid w:val="004A04F2"/>
    <w:rsid w:val="004A116C"/>
    <w:rsid w:val="004A16A9"/>
    <w:rsid w:val="004A3DA0"/>
    <w:rsid w:val="004A5E5D"/>
    <w:rsid w:val="004A7767"/>
    <w:rsid w:val="004A7A37"/>
    <w:rsid w:val="004B1742"/>
    <w:rsid w:val="004B4E9E"/>
    <w:rsid w:val="004B501A"/>
    <w:rsid w:val="004B6974"/>
    <w:rsid w:val="004B6CF1"/>
    <w:rsid w:val="004B71AA"/>
    <w:rsid w:val="004B738B"/>
    <w:rsid w:val="004B77FA"/>
    <w:rsid w:val="004C095C"/>
    <w:rsid w:val="004C1658"/>
    <w:rsid w:val="004C1BDE"/>
    <w:rsid w:val="004C3C40"/>
    <w:rsid w:val="004C3DE6"/>
    <w:rsid w:val="004C41C9"/>
    <w:rsid w:val="004C4D5B"/>
    <w:rsid w:val="004C4FC5"/>
    <w:rsid w:val="004C6B32"/>
    <w:rsid w:val="004C7600"/>
    <w:rsid w:val="004C7639"/>
    <w:rsid w:val="004D02B9"/>
    <w:rsid w:val="004D0A0B"/>
    <w:rsid w:val="004D2FB9"/>
    <w:rsid w:val="004D4758"/>
    <w:rsid w:val="004D4A3C"/>
    <w:rsid w:val="004D51BA"/>
    <w:rsid w:val="004D5610"/>
    <w:rsid w:val="004D5CC4"/>
    <w:rsid w:val="004D5F5E"/>
    <w:rsid w:val="004D69A2"/>
    <w:rsid w:val="004E0725"/>
    <w:rsid w:val="004E0BFD"/>
    <w:rsid w:val="004E18BA"/>
    <w:rsid w:val="004E23DB"/>
    <w:rsid w:val="004E2402"/>
    <w:rsid w:val="004E7566"/>
    <w:rsid w:val="004E79C4"/>
    <w:rsid w:val="004E7C03"/>
    <w:rsid w:val="004E7D1A"/>
    <w:rsid w:val="004F0C0F"/>
    <w:rsid w:val="004F0C11"/>
    <w:rsid w:val="004F0EE2"/>
    <w:rsid w:val="004F174D"/>
    <w:rsid w:val="004F19C3"/>
    <w:rsid w:val="004F4641"/>
    <w:rsid w:val="004F47AE"/>
    <w:rsid w:val="004F56EB"/>
    <w:rsid w:val="004F679E"/>
    <w:rsid w:val="004F68C4"/>
    <w:rsid w:val="004F7A95"/>
    <w:rsid w:val="004F7F75"/>
    <w:rsid w:val="0050087C"/>
    <w:rsid w:val="00502B69"/>
    <w:rsid w:val="00502FBC"/>
    <w:rsid w:val="00504024"/>
    <w:rsid w:val="00504304"/>
    <w:rsid w:val="00504931"/>
    <w:rsid w:val="005050AF"/>
    <w:rsid w:val="0050559B"/>
    <w:rsid w:val="00506345"/>
    <w:rsid w:val="0050686B"/>
    <w:rsid w:val="00507748"/>
    <w:rsid w:val="005119CB"/>
    <w:rsid w:val="00512044"/>
    <w:rsid w:val="00513404"/>
    <w:rsid w:val="005151C1"/>
    <w:rsid w:val="00516CAB"/>
    <w:rsid w:val="00517999"/>
    <w:rsid w:val="005210D0"/>
    <w:rsid w:val="0052131E"/>
    <w:rsid w:val="00521B2E"/>
    <w:rsid w:val="00521DB6"/>
    <w:rsid w:val="005239C4"/>
    <w:rsid w:val="00523C96"/>
    <w:rsid w:val="00525EFA"/>
    <w:rsid w:val="00526CD0"/>
    <w:rsid w:val="00526D39"/>
    <w:rsid w:val="00527BD9"/>
    <w:rsid w:val="00527CF7"/>
    <w:rsid w:val="00527E99"/>
    <w:rsid w:val="0053184F"/>
    <w:rsid w:val="005326A6"/>
    <w:rsid w:val="00532EEA"/>
    <w:rsid w:val="00535C04"/>
    <w:rsid w:val="0054006B"/>
    <w:rsid w:val="00540EB1"/>
    <w:rsid w:val="00541022"/>
    <w:rsid w:val="005414F6"/>
    <w:rsid w:val="00542577"/>
    <w:rsid w:val="005427C8"/>
    <w:rsid w:val="00542BD6"/>
    <w:rsid w:val="00543150"/>
    <w:rsid w:val="005433F3"/>
    <w:rsid w:val="00544FD6"/>
    <w:rsid w:val="005450B8"/>
    <w:rsid w:val="0054522D"/>
    <w:rsid w:val="0054665E"/>
    <w:rsid w:val="005503AF"/>
    <w:rsid w:val="005506F8"/>
    <w:rsid w:val="00550964"/>
    <w:rsid w:val="00550A4C"/>
    <w:rsid w:val="00551D67"/>
    <w:rsid w:val="00552243"/>
    <w:rsid w:val="00554DC9"/>
    <w:rsid w:val="0055550A"/>
    <w:rsid w:val="00555E72"/>
    <w:rsid w:val="005569B2"/>
    <w:rsid w:val="00562EB7"/>
    <w:rsid w:val="00563ABB"/>
    <w:rsid w:val="00563F8E"/>
    <w:rsid w:val="0056423F"/>
    <w:rsid w:val="00564B60"/>
    <w:rsid w:val="005654BE"/>
    <w:rsid w:val="0056649D"/>
    <w:rsid w:val="00567072"/>
    <w:rsid w:val="0056731F"/>
    <w:rsid w:val="00567920"/>
    <w:rsid w:val="00571547"/>
    <w:rsid w:val="0057188A"/>
    <w:rsid w:val="00574F32"/>
    <w:rsid w:val="00575F09"/>
    <w:rsid w:val="00576DC2"/>
    <w:rsid w:val="00577AFB"/>
    <w:rsid w:val="005806A6"/>
    <w:rsid w:val="00581032"/>
    <w:rsid w:val="00581FAB"/>
    <w:rsid w:val="00582121"/>
    <w:rsid w:val="00583AE3"/>
    <w:rsid w:val="005847AA"/>
    <w:rsid w:val="005857D8"/>
    <w:rsid w:val="00585ACD"/>
    <w:rsid w:val="00586FBB"/>
    <w:rsid w:val="0058714A"/>
    <w:rsid w:val="00587775"/>
    <w:rsid w:val="00587EB0"/>
    <w:rsid w:val="00590F1E"/>
    <w:rsid w:val="00591BCF"/>
    <w:rsid w:val="0059208A"/>
    <w:rsid w:val="00594EC8"/>
    <w:rsid w:val="00594EE1"/>
    <w:rsid w:val="00595534"/>
    <w:rsid w:val="0059573C"/>
    <w:rsid w:val="00595AAA"/>
    <w:rsid w:val="0059641B"/>
    <w:rsid w:val="005967EE"/>
    <w:rsid w:val="00597567"/>
    <w:rsid w:val="00597BC0"/>
    <w:rsid w:val="005A01FD"/>
    <w:rsid w:val="005A1732"/>
    <w:rsid w:val="005A2DCE"/>
    <w:rsid w:val="005A2E17"/>
    <w:rsid w:val="005A3EE6"/>
    <w:rsid w:val="005A50C3"/>
    <w:rsid w:val="005A6164"/>
    <w:rsid w:val="005A67C1"/>
    <w:rsid w:val="005A762F"/>
    <w:rsid w:val="005A7764"/>
    <w:rsid w:val="005A7ACA"/>
    <w:rsid w:val="005B02C3"/>
    <w:rsid w:val="005B0315"/>
    <w:rsid w:val="005B1101"/>
    <w:rsid w:val="005B212C"/>
    <w:rsid w:val="005B33FE"/>
    <w:rsid w:val="005B35AD"/>
    <w:rsid w:val="005B3854"/>
    <w:rsid w:val="005B3F87"/>
    <w:rsid w:val="005B4375"/>
    <w:rsid w:val="005B566A"/>
    <w:rsid w:val="005B7042"/>
    <w:rsid w:val="005C1CFB"/>
    <w:rsid w:val="005C2552"/>
    <w:rsid w:val="005C2D8A"/>
    <w:rsid w:val="005C4AA4"/>
    <w:rsid w:val="005C5627"/>
    <w:rsid w:val="005C6284"/>
    <w:rsid w:val="005C6506"/>
    <w:rsid w:val="005C6D9A"/>
    <w:rsid w:val="005C7059"/>
    <w:rsid w:val="005D06C4"/>
    <w:rsid w:val="005D1BC4"/>
    <w:rsid w:val="005D1D94"/>
    <w:rsid w:val="005D1E25"/>
    <w:rsid w:val="005D7271"/>
    <w:rsid w:val="005D74C6"/>
    <w:rsid w:val="005D7FFE"/>
    <w:rsid w:val="005E0049"/>
    <w:rsid w:val="005E0C5F"/>
    <w:rsid w:val="005E1F7E"/>
    <w:rsid w:val="005E230A"/>
    <w:rsid w:val="005E320C"/>
    <w:rsid w:val="005E37A1"/>
    <w:rsid w:val="005E3E4F"/>
    <w:rsid w:val="005E6402"/>
    <w:rsid w:val="005E725D"/>
    <w:rsid w:val="005F2172"/>
    <w:rsid w:val="005F226D"/>
    <w:rsid w:val="005F37A2"/>
    <w:rsid w:val="005F4ABE"/>
    <w:rsid w:val="005F51E1"/>
    <w:rsid w:val="005F5662"/>
    <w:rsid w:val="005F5F86"/>
    <w:rsid w:val="005F6353"/>
    <w:rsid w:val="00600F6A"/>
    <w:rsid w:val="006013F9"/>
    <w:rsid w:val="006016ED"/>
    <w:rsid w:val="006019A6"/>
    <w:rsid w:val="00601FFA"/>
    <w:rsid w:val="00602707"/>
    <w:rsid w:val="00603A4D"/>
    <w:rsid w:val="00604535"/>
    <w:rsid w:val="00604834"/>
    <w:rsid w:val="00605707"/>
    <w:rsid w:val="0060701F"/>
    <w:rsid w:val="00610122"/>
    <w:rsid w:val="0061035F"/>
    <w:rsid w:val="006105D4"/>
    <w:rsid w:val="00610A2C"/>
    <w:rsid w:val="00612E77"/>
    <w:rsid w:val="00616445"/>
    <w:rsid w:val="00616A78"/>
    <w:rsid w:val="00616A99"/>
    <w:rsid w:val="00617D84"/>
    <w:rsid w:val="00620C22"/>
    <w:rsid w:val="00620D0F"/>
    <w:rsid w:val="00621076"/>
    <w:rsid w:val="00621242"/>
    <w:rsid w:val="006215F2"/>
    <w:rsid w:val="00622D6A"/>
    <w:rsid w:val="00625426"/>
    <w:rsid w:val="00626669"/>
    <w:rsid w:val="00631EFD"/>
    <w:rsid w:val="00633F93"/>
    <w:rsid w:val="006358C1"/>
    <w:rsid w:val="00636F07"/>
    <w:rsid w:val="0063729A"/>
    <w:rsid w:val="00637A05"/>
    <w:rsid w:val="00640F56"/>
    <w:rsid w:val="00641064"/>
    <w:rsid w:val="006411E6"/>
    <w:rsid w:val="00643C6B"/>
    <w:rsid w:val="00644376"/>
    <w:rsid w:val="006479F7"/>
    <w:rsid w:val="00647A13"/>
    <w:rsid w:val="00650002"/>
    <w:rsid w:val="00650D3E"/>
    <w:rsid w:val="0065139C"/>
    <w:rsid w:val="00651B0A"/>
    <w:rsid w:val="00652276"/>
    <w:rsid w:val="006526D8"/>
    <w:rsid w:val="0065299D"/>
    <w:rsid w:val="00652B7A"/>
    <w:rsid w:val="006538DF"/>
    <w:rsid w:val="00653EBA"/>
    <w:rsid w:val="00654037"/>
    <w:rsid w:val="006559EC"/>
    <w:rsid w:val="006605D9"/>
    <w:rsid w:val="00660D10"/>
    <w:rsid w:val="00661804"/>
    <w:rsid w:val="0066195B"/>
    <w:rsid w:val="00662BA4"/>
    <w:rsid w:val="006631F9"/>
    <w:rsid w:val="00665935"/>
    <w:rsid w:val="00665BD9"/>
    <w:rsid w:val="006663A1"/>
    <w:rsid w:val="00666D4E"/>
    <w:rsid w:val="006670F9"/>
    <w:rsid w:val="00667291"/>
    <w:rsid w:val="00670052"/>
    <w:rsid w:val="0067016F"/>
    <w:rsid w:val="00672AA9"/>
    <w:rsid w:val="00673373"/>
    <w:rsid w:val="00673519"/>
    <w:rsid w:val="00673EB3"/>
    <w:rsid w:val="00674099"/>
    <w:rsid w:val="00674754"/>
    <w:rsid w:val="00675339"/>
    <w:rsid w:val="00675F8E"/>
    <w:rsid w:val="00676A0F"/>
    <w:rsid w:val="00677455"/>
    <w:rsid w:val="00680FA5"/>
    <w:rsid w:val="00682033"/>
    <w:rsid w:val="00683C15"/>
    <w:rsid w:val="00683CE9"/>
    <w:rsid w:val="00683E2D"/>
    <w:rsid w:val="00684388"/>
    <w:rsid w:val="006852C0"/>
    <w:rsid w:val="00686834"/>
    <w:rsid w:val="00686BB1"/>
    <w:rsid w:val="00690039"/>
    <w:rsid w:val="00692366"/>
    <w:rsid w:val="00693A60"/>
    <w:rsid w:val="00696826"/>
    <w:rsid w:val="00696FD0"/>
    <w:rsid w:val="006A18DF"/>
    <w:rsid w:val="006A1B9A"/>
    <w:rsid w:val="006A272E"/>
    <w:rsid w:val="006A2807"/>
    <w:rsid w:val="006A66FD"/>
    <w:rsid w:val="006A6D40"/>
    <w:rsid w:val="006B12AE"/>
    <w:rsid w:val="006B29B7"/>
    <w:rsid w:val="006B3BD3"/>
    <w:rsid w:val="006B4E3C"/>
    <w:rsid w:val="006B55A1"/>
    <w:rsid w:val="006B5A7C"/>
    <w:rsid w:val="006B5C14"/>
    <w:rsid w:val="006B695A"/>
    <w:rsid w:val="006B7925"/>
    <w:rsid w:val="006C0C30"/>
    <w:rsid w:val="006C1C3F"/>
    <w:rsid w:val="006C1CDF"/>
    <w:rsid w:val="006C3689"/>
    <w:rsid w:val="006C46B3"/>
    <w:rsid w:val="006C49B8"/>
    <w:rsid w:val="006C6083"/>
    <w:rsid w:val="006C7052"/>
    <w:rsid w:val="006C716B"/>
    <w:rsid w:val="006C7304"/>
    <w:rsid w:val="006C7AB8"/>
    <w:rsid w:val="006D4162"/>
    <w:rsid w:val="006D5031"/>
    <w:rsid w:val="006D5426"/>
    <w:rsid w:val="006D5FB1"/>
    <w:rsid w:val="006D6192"/>
    <w:rsid w:val="006D6700"/>
    <w:rsid w:val="006D6A68"/>
    <w:rsid w:val="006D6B4F"/>
    <w:rsid w:val="006D7EDF"/>
    <w:rsid w:val="006E0787"/>
    <w:rsid w:val="006E1A6D"/>
    <w:rsid w:val="006E2209"/>
    <w:rsid w:val="006E3166"/>
    <w:rsid w:val="006E5206"/>
    <w:rsid w:val="006E529C"/>
    <w:rsid w:val="006E5E60"/>
    <w:rsid w:val="006E735A"/>
    <w:rsid w:val="006E78B8"/>
    <w:rsid w:val="006F082C"/>
    <w:rsid w:val="006F208B"/>
    <w:rsid w:val="006F2F0E"/>
    <w:rsid w:val="006F4458"/>
    <w:rsid w:val="006F4B04"/>
    <w:rsid w:val="006F4FF6"/>
    <w:rsid w:val="006F58E8"/>
    <w:rsid w:val="006F6BE0"/>
    <w:rsid w:val="007002EE"/>
    <w:rsid w:val="00701920"/>
    <w:rsid w:val="00701B88"/>
    <w:rsid w:val="007030F7"/>
    <w:rsid w:val="00703CC7"/>
    <w:rsid w:val="00703D97"/>
    <w:rsid w:val="007046E8"/>
    <w:rsid w:val="00704861"/>
    <w:rsid w:val="00704E05"/>
    <w:rsid w:val="007064AA"/>
    <w:rsid w:val="007068E9"/>
    <w:rsid w:val="007108AE"/>
    <w:rsid w:val="00711DE8"/>
    <w:rsid w:val="00711E84"/>
    <w:rsid w:val="00712492"/>
    <w:rsid w:val="00713C4F"/>
    <w:rsid w:val="00714842"/>
    <w:rsid w:val="0071507F"/>
    <w:rsid w:val="007155A8"/>
    <w:rsid w:val="0071655C"/>
    <w:rsid w:val="00716967"/>
    <w:rsid w:val="00717721"/>
    <w:rsid w:val="007177B2"/>
    <w:rsid w:val="007201B5"/>
    <w:rsid w:val="007208CE"/>
    <w:rsid w:val="00721BE0"/>
    <w:rsid w:val="00722785"/>
    <w:rsid w:val="00724938"/>
    <w:rsid w:val="00725169"/>
    <w:rsid w:val="007269D5"/>
    <w:rsid w:val="00726B71"/>
    <w:rsid w:val="00726C82"/>
    <w:rsid w:val="00727777"/>
    <w:rsid w:val="007300ED"/>
    <w:rsid w:val="007302E2"/>
    <w:rsid w:val="00731667"/>
    <w:rsid w:val="007318D3"/>
    <w:rsid w:val="00732495"/>
    <w:rsid w:val="00732868"/>
    <w:rsid w:val="00732DD3"/>
    <w:rsid w:val="00733454"/>
    <w:rsid w:val="00734124"/>
    <w:rsid w:val="0073413C"/>
    <w:rsid w:val="00734FD9"/>
    <w:rsid w:val="00735F74"/>
    <w:rsid w:val="007367AF"/>
    <w:rsid w:val="007368DF"/>
    <w:rsid w:val="00737260"/>
    <w:rsid w:val="007377C6"/>
    <w:rsid w:val="00737B85"/>
    <w:rsid w:val="00737FE1"/>
    <w:rsid w:val="00740C7F"/>
    <w:rsid w:val="00740F2D"/>
    <w:rsid w:val="00742FB6"/>
    <w:rsid w:val="00743430"/>
    <w:rsid w:val="00744591"/>
    <w:rsid w:val="007464DB"/>
    <w:rsid w:val="007464DC"/>
    <w:rsid w:val="0074772C"/>
    <w:rsid w:val="0074799F"/>
    <w:rsid w:val="00747EFF"/>
    <w:rsid w:val="007504F4"/>
    <w:rsid w:val="00750B5D"/>
    <w:rsid w:val="00750CD9"/>
    <w:rsid w:val="00752947"/>
    <w:rsid w:val="00752B70"/>
    <w:rsid w:val="007567FC"/>
    <w:rsid w:val="00757457"/>
    <w:rsid w:val="007604D8"/>
    <w:rsid w:val="00760800"/>
    <w:rsid w:val="00760F49"/>
    <w:rsid w:val="00762019"/>
    <w:rsid w:val="00763471"/>
    <w:rsid w:val="00764D1E"/>
    <w:rsid w:val="0076557B"/>
    <w:rsid w:val="00765D2E"/>
    <w:rsid w:val="00765EDD"/>
    <w:rsid w:val="007668BC"/>
    <w:rsid w:val="00766A05"/>
    <w:rsid w:val="00770DA9"/>
    <w:rsid w:val="00772EB4"/>
    <w:rsid w:val="00773948"/>
    <w:rsid w:val="00773E1D"/>
    <w:rsid w:val="00775002"/>
    <w:rsid w:val="00775EFA"/>
    <w:rsid w:val="00776A3F"/>
    <w:rsid w:val="00777E56"/>
    <w:rsid w:val="00780FA6"/>
    <w:rsid w:val="00781976"/>
    <w:rsid w:val="00781D60"/>
    <w:rsid w:val="0078287B"/>
    <w:rsid w:val="00782976"/>
    <w:rsid w:val="00782B33"/>
    <w:rsid w:val="00782B5E"/>
    <w:rsid w:val="0078439C"/>
    <w:rsid w:val="00784B34"/>
    <w:rsid w:val="00784D95"/>
    <w:rsid w:val="00785575"/>
    <w:rsid w:val="00786085"/>
    <w:rsid w:val="00786908"/>
    <w:rsid w:val="007874D7"/>
    <w:rsid w:val="00791219"/>
    <w:rsid w:val="0079223F"/>
    <w:rsid w:val="00792A82"/>
    <w:rsid w:val="00794E68"/>
    <w:rsid w:val="00794E80"/>
    <w:rsid w:val="007968ED"/>
    <w:rsid w:val="007973EA"/>
    <w:rsid w:val="007A06FF"/>
    <w:rsid w:val="007A07A2"/>
    <w:rsid w:val="007A0CD7"/>
    <w:rsid w:val="007A0CFD"/>
    <w:rsid w:val="007A0F80"/>
    <w:rsid w:val="007A25BC"/>
    <w:rsid w:val="007A3294"/>
    <w:rsid w:val="007A3303"/>
    <w:rsid w:val="007A3365"/>
    <w:rsid w:val="007A3D36"/>
    <w:rsid w:val="007A4CB9"/>
    <w:rsid w:val="007A5413"/>
    <w:rsid w:val="007A64CE"/>
    <w:rsid w:val="007A772C"/>
    <w:rsid w:val="007B04E3"/>
    <w:rsid w:val="007B2537"/>
    <w:rsid w:val="007B2C47"/>
    <w:rsid w:val="007B2E3D"/>
    <w:rsid w:val="007B377D"/>
    <w:rsid w:val="007B3F15"/>
    <w:rsid w:val="007B525F"/>
    <w:rsid w:val="007B567F"/>
    <w:rsid w:val="007B5979"/>
    <w:rsid w:val="007B7032"/>
    <w:rsid w:val="007C0014"/>
    <w:rsid w:val="007C0131"/>
    <w:rsid w:val="007C0A10"/>
    <w:rsid w:val="007C1505"/>
    <w:rsid w:val="007C1673"/>
    <w:rsid w:val="007C23F8"/>
    <w:rsid w:val="007C263B"/>
    <w:rsid w:val="007C384C"/>
    <w:rsid w:val="007C3CAD"/>
    <w:rsid w:val="007C63B9"/>
    <w:rsid w:val="007C6AC3"/>
    <w:rsid w:val="007C79EF"/>
    <w:rsid w:val="007D00DA"/>
    <w:rsid w:val="007D1D0B"/>
    <w:rsid w:val="007D1D9C"/>
    <w:rsid w:val="007D1F60"/>
    <w:rsid w:val="007D2165"/>
    <w:rsid w:val="007D2758"/>
    <w:rsid w:val="007D2940"/>
    <w:rsid w:val="007D40C4"/>
    <w:rsid w:val="007D460D"/>
    <w:rsid w:val="007D4C2B"/>
    <w:rsid w:val="007D6CB6"/>
    <w:rsid w:val="007D6EBA"/>
    <w:rsid w:val="007D726B"/>
    <w:rsid w:val="007D73E8"/>
    <w:rsid w:val="007D76A1"/>
    <w:rsid w:val="007D7BB2"/>
    <w:rsid w:val="007E0896"/>
    <w:rsid w:val="007E09B9"/>
    <w:rsid w:val="007E1C2C"/>
    <w:rsid w:val="007E2392"/>
    <w:rsid w:val="007E4663"/>
    <w:rsid w:val="007E4704"/>
    <w:rsid w:val="007E4821"/>
    <w:rsid w:val="007E4E57"/>
    <w:rsid w:val="007E5861"/>
    <w:rsid w:val="007E6272"/>
    <w:rsid w:val="007E6629"/>
    <w:rsid w:val="007F0F94"/>
    <w:rsid w:val="007F219F"/>
    <w:rsid w:val="007F2A12"/>
    <w:rsid w:val="007F3960"/>
    <w:rsid w:val="007F5947"/>
    <w:rsid w:val="007F6509"/>
    <w:rsid w:val="007F733C"/>
    <w:rsid w:val="007F752B"/>
    <w:rsid w:val="00800499"/>
    <w:rsid w:val="00800A1E"/>
    <w:rsid w:val="008011B7"/>
    <w:rsid w:val="0080138E"/>
    <w:rsid w:val="00802437"/>
    <w:rsid w:val="00802D26"/>
    <w:rsid w:val="008036AD"/>
    <w:rsid w:val="00803871"/>
    <w:rsid w:val="00803D3E"/>
    <w:rsid w:val="0080531B"/>
    <w:rsid w:val="00805DA0"/>
    <w:rsid w:val="008123A6"/>
    <w:rsid w:val="00812E8C"/>
    <w:rsid w:val="0081318C"/>
    <w:rsid w:val="008131E5"/>
    <w:rsid w:val="00814088"/>
    <w:rsid w:val="008141C2"/>
    <w:rsid w:val="008143E2"/>
    <w:rsid w:val="00814509"/>
    <w:rsid w:val="00815240"/>
    <w:rsid w:val="008160BF"/>
    <w:rsid w:val="008164BF"/>
    <w:rsid w:val="00817292"/>
    <w:rsid w:val="0081788C"/>
    <w:rsid w:val="00821902"/>
    <w:rsid w:val="00822BE8"/>
    <w:rsid w:val="0082331B"/>
    <w:rsid w:val="00823935"/>
    <w:rsid w:val="00825664"/>
    <w:rsid w:val="00825C5B"/>
    <w:rsid w:val="00825C5C"/>
    <w:rsid w:val="0082735D"/>
    <w:rsid w:val="0083052D"/>
    <w:rsid w:val="0083153F"/>
    <w:rsid w:val="00833709"/>
    <w:rsid w:val="008338B5"/>
    <w:rsid w:val="008354DB"/>
    <w:rsid w:val="008359A7"/>
    <w:rsid w:val="00835BE1"/>
    <w:rsid w:val="00836021"/>
    <w:rsid w:val="00836815"/>
    <w:rsid w:val="00837732"/>
    <w:rsid w:val="00837E56"/>
    <w:rsid w:val="00840007"/>
    <w:rsid w:val="008413DE"/>
    <w:rsid w:val="00841AFD"/>
    <w:rsid w:val="00842B6B"/>
    <w:rsid w:val="00844C31"/>
    <w:rsid w:val="00845FF6"/>
    <w:rsid w:val="008476D2"/>
    <w:rsid w:val="00847A18"/>
    <w:rsid w:val="0085040F"/>
    <w:rsid w:val="00851B8C"/>
    <w:rsid w:val="00852117"/>
    <w:rsid w:val="0085240A"/>
    <w:rsid w:val="008524A6"/>
    <w:rsid w:val="00853E4F"/>
    <w:rsid w:val="00854EBC"/>
    <w:rsid w:val="00856A02"/>
    <w:rsid w:val="00856D21"/>
    <w:rsid w:val="0085799D"/>
    <w:rsid w:val="0086067D"/>
    <w:rsid w:val="00860A30"/>
    <w:rsid w:val="00862846"/>
    <w:rsid w:val="00863774"/>
    <w:rsid w:val="00864F85"/>
    <w:rsid w:val="00865DF7"/>
    <w:rsid w:val="00866044"/>
    <w:rsid w:val="00866C88"/>
    <w:rsid w:val="00867C01"/>
    <w:rsid w:val="00871ED7"/>
    <w:rsid w:val="00872415"/>
    <w:rsid w:val="00872E18"/>
    <w:rsid w:val="008732EF"/>
    <w:rsid w:val="00873585"/>
    <w:rsid w:val="00873750"/>
    <w:rsid w:val="00875087"/>
    <w:rsid w:val="00875193"/>
    <w:rsid w:val="00876587"/>
    <w:rsid w:val="00876A13"/>
    <w:rsid w:val="008833B5"/>
    <w:rsid w:val="00883419"/>
    <w:rsid w:val="00883470"/>
    <w:rsid w:val="00884A1E"/>
    <w:rsid w:val="00886C8E"/>
    <w:rsid w:val="00887B18"/>
    <w:rsid w:val="0089087B"/>
    <w:rsid w:val="00890F3E"/>
    <w:rsid w:val="00891184"/>
    <w:rsid w:val="00892750"/>
    <w:rsid w:val="0089291E"/>
    <w:rsid w:val="008930FC"/>
    <w:rsid w:val="008962CC"/>
    <w:rsid w:val="00896A52"/>
    <w:rsid w:val="00896E8C"/>
    <w:rsid w:val="008A23DA"/>
    <w:rsid w:val="008A350D"/>
    <w:rsid w:val="008A3A1A"/>
    <w:rsid w:val="008A3E90"/>
    <w:rsid w:val="008A438B"/>
    <w:rsid w:val="008A4EF7"/>
    <w:rsid w:val="008A4FDB"/>
    <w:rsid w:val="008A5C1E"/>
    <w:rsid w:val="008B00B4"/>
    <w:rsid w:val="008B0192"/>
    <w:rsid w:val="008B0F9C"/>
    <w:rsid w:val="008B10C4"/>
    <w:rsid w:val="008B1607"/>
    <w:rsid w:val="008B161C"/>
    <w:rsid w:val="008B1AC8"/>
    <w:rsid w:val="008B3262"/>
    <w:rsid w:val="008B4A04"/>
    <w:rsid w:val="008B5027"/>
    <w:rsid w:val="008B670C"/>
    <w:rsid w:val="008B7566"/>
    <w:rsid w:val="008C08D5"/>
    <w:rsid w:val="008C0C97"/>
    <w:rsid w:val="008C17CD"/>
    <w:rsid w:val="008C2E81"/>
    <w:rsid w:val="008C496D"/>
    <w:rsid w:val="008C64FF"/>
    <w:rsid w:val="008C6C74"/>
    <w:rsid w:val="008C6EE6"/>
    <w:rsid w:val="008C6FCC"/>
    <w:rsid w:val="008D0DBB"/>
    <w:rsid w:val="008D15BF"/>
    <w:rsid w:val="008D261F"/>
    <w:rsid w:val="008D29FA"/>
    <w:rsid w:val="008D2A00"/>
    <w:rsid w:val="008D3538"/>
    <w:rsid w:val="008D3677"/>
    <w:rsid w:val="008D59DA"/>
    <w:rsid w:val="008D73CB"/>
    <w:rsid w:val="008D76D2"/>
    <w:rsid w:val="008E01E4"/>
    <w:rsid w:val="008E0CC6"/>
    <w:rsid w:val="008E3101"/>
    <w:rsid w:val="008E3D11"/>
    <w:rsid w:val="008E4E65"/>
    <w:rsid w:val="008E617A"/>
    <w:rsid w:val="008F0679"/>
    <w:rsid w:val="008F239E"/>
    <w:rsid w:val="008F3123"/>
    <w:rsid w:val="008F3ABE"/>
    <w:rsid w:val="008F3F84"/>
    <w:rsid w:val="008F49B1"/>
    <w:rsid w:val="008F54C6"/>
    <w:rsid w:val="008F59EF"/>
    <w:rsid w:val="008F5CC4"/>
    <w:rsid w:val="008F5DC4"/>
    <w:rsid w:val="008F6463"/>
    <w:rsid w:val="008F7272"/>
    <w:rsid w:val="008F75CD"/>
    <w:rsid w:val="009013E0"/>
    <w:rsid w:val="009024CD"/>
    <w:rsid w:val="0090297A"/>
    <w:rsid w:val="009029EF"/>
    <w:rsid w:val="00903250"/>
    <w:rsid w:val="009054CA"/>
    <w:rsid w:val="00905A53"/>
    <w:rsid w:val="00905F38"/>
    <w:rsid w:val="009063AB"/>
    <w:rsid w:val="00906888"/>
    <w:rsid w:val="00906A9A"/>
    <w:rsid w:val="00907B5F"/>
    <w:rsid w:val="00907EC4"/>
    <w:rsid w:val="00911138"/>
    <w:rsid w:val="00911E6C"/>
    <w:rsid w:val="00915B7A"/>
    <w:rsid w:val="00916E14"/>
    <w:rsid w:val="00917ACF"/>
    <w:rsid w:val="00917B86"/>
    <w:rsid w:val="0092043B"/>
    <w:rsid w:val="00921129"/>
    <w:rsid w:val="0092167B"/>
    <w:rsid w:val="00921D2D"/>
    <w:rsid w:val="009224E4"/>
    <w:rsid w:val="00925387"/>
    <w:rsid w:val="00925A33"/>
    <w:rsid w:val="00930B4F"/>
    <w:rsid w:val="00931037"/>
    <w:rsid w:val="00931099"/>
    <w:rsid w:val="0093125F"/>
    <w:rsid w:val="00931AF6"/>
    <w:rsid w:val="00931FC3"/>
    <w:rsid w:val="009320EC"/>
    <w:rsid w:val="00932264"/>
    <w:rsid w:val="00932471"/>
    <w:rsid w:val="00932E1B"/>
    <w:rsid w:val="00932EE1"/>
    <w:rsid w:val="009334EF"/>
    <w:rsid w:val="00933CBA"/>
    <w:rsid w:val="00933FC6"/>
    <w:rsid w:val="0093462F"/>
    <w:rsid w:val="00935699"/>
    <w:rsid w:val="00935F19"/>
    <w:rsid w:val="00936989"/>
    <w:rsid w:val="009374E0"/>
    <w:rsid w:val="00937AFB"/>
    <w:rsid w:val="00937CDA"/>
    <w:rsid w:val="00937D73"/>
    <w:rsid w:val="0094108B"/>
    <w:rsid w:val="00941BE5"/>
    <w:rsid w:val="00941C1C"/>
    <w:rsid w:val="00942845"/>
    <w:rsid w:val="00942AD7"/>
    <w:rsid w:val="00942FDA"/>
    <w:rsid w:val="009454D6"/>
    <w:rsid w:val="0094568D"/>
    <w:rsid w:val="00945BD6"/>
    <w:rsid w:val="00945F44"/>
    <w:rsid w:val="009462B4"/>
    <w:rsid w:val="00950343"/>
    <w:rsid w:val="00950F72"/>
    <w:rsid w:val="0095112C"/>
    <w:rsid w:val="00951773"/>
    <w:rsid w:val="00953226"/>
    <w:rsid w:val="00953959"/>
    <w:rsid w:val="00953D94"/>
    <w:rsid w:val="00955922"/>
    <w:rsid w:val="00955DAD"/>
    <w:rsid w:val="00955E6B"/>
    <w:rsid w:val="00956B3C"/>
    <w:rsid w:val="00956E7D"/>
    <w:rsid w:val="009579C3"/>
    <w:rsid w:val="00957E55"/>
    <w:rsid w:val="00960955"/>
    <w:rsid w:val="0096145D"/>
    <w:rsid w:val="00961C4C"/>
    <w:rsid w:val="00961E05"/>
    <w:rsid w:val="009644FC"/>
    <w:rsid w:val="00966586"/>
    <w:rsid w:val="00966CD1"/>
    <w:rsid w:val="0096746C"/>
    <w:rsid w:val="00970456"/>
    <w:rsid w:val="00971B09"/>
    <w:rsid w:val="009739E4"/>
    <w:rsid w:val="00973DEA"/>
    <w:rsid w:val="009745EB"/>
    <w:rsid w:val="00975396"/>
    <w:rsid w:val="00975A5C"/>
    <w:rsid w:val="0097682F"/>
    <w:rsid w:val="0097785C"/>
    <w:rsid w:val="00980DCA"/>
    <w:rsid w:val="0098119F"/>
    <w:rsid w:val="009812B3"/>
    <w:rsid w:val="00981877"/>
    <w:rsid w:val="00982C8A"/>
    <w:rsid w:val="00983B98"/>
    <w:rsid w:val="00983CAA"/>
    <w:rsid w:val="0098411E"/>
    <w:rsid w:val="0098425C"/>
    <w:rsid w:val="009849AE"/>
    <w:rsid w:val="00985039"/>
    <w:rsid w:val="00986027"/>
    <w:rsid w:val="00986ED7"/>
    <w:rsid w:val="00987317"/>
    <w:rsid w:val="0098768A"/>
    <w:rsid w:val="00987E35"/>
    <w:rsid w:val="0099037E"/>
    <w:rsid w:val="00990571"/>
    <w:rsid w:val="009907F6"/>
    <w:rsid w:val="00990CA9"/>
    <w:rsid w:val="0099322E"/>
    <w:rsid w:val="009932BF"/>
    <w:rsid w:val="00993579"/>
    <w:rsid w:val="009950B1"/>
    <w:rsid w:val="00995456"/>
    <w:rsid w:val="009973D5"/>
    <w:rsid w:val="009974D8"/>
    <w:rsid w:val="009A0757"/>
    <w:rsid w:val="009A1730"/>
    <w:rsid w:val="009A1D09"/>
    <w:rsid w:val="009A23BF"/>
    <w:rsid w:val="009A45D1"/>
    <w:rsid w:val="009A4BC5"/>
    <w:rsid w:val="009A4C54"/>
    <w:rsid w:val="009A5369"/>
    <w:rsid w:val="009A60EB"/>
    <w:rsid w:val="009A71F5"/>
    <w:rsid w:val="009A71F6"/>
    <w:rsid w:val="009A737B"/>
    <w:rsid w:val="009A7474"/>
    <w:rsid w:val="009A782A"/>
    <w:rsid w:val="009B03B5"/>
    <w:rsid w:val="009B0A0D"/>
    <w:rsid w:val="009B1673"/>
    <w:rsid w:val="009B2102"/>
    <w:rsid w:val="009B2360"/>
    <w:rsid w:val="009B49E1"/>
    <w:rsid w:val="009B5109"/>
    <w:rsid w:val="009B77E9"/>
    <w:rsid w:val="009C010F"/>
    <w:rsid w:val="009C04D8"/>
    <w:rsid w:val="009C0556"/>
    <w:rsid w:val="009C1791"/>
    <w:rsid w:val="009C4BF4"/>
    <w:rsid w:val="009C5CF2"/>
    <w:rsid w:val="009C5D63"/>
    <w:rsid w:val="009C7751"/>
    <w:rsid w:val="009C7AE8"/>
    <w:rsid w:val="009C7F3A"/>
    <w:rsid w:val="009D00AA"/>
    <w:rsid w:val="009D04E5"/>
    <w:rsid w:val="009D1C1E"/>
    <w:rsid w:val="009D1CCE"/>
    <w:rsid w:val="009D2030"/>
    <w:rsid w:val="009D344A"/>
    <w:rsid w:val="009D3BC1"/>
    <w:rsid w:val="009D4EA2"/>
    <w:rsid w:val="009D5D11"/>
    <w:rsid w:val="009D5DD5"/>
    <w:rsid w:val="009D5EC6"/>
    <w:rsid w:val="009D601C"/>
    <w:rsid w:val="009D6DA2"/>
    <w:rsid w:val="009E0108"/>
    <w:rsid w:val="009E0412"/>
    <w:rsid w:val="009E2316"/>
    <w:rsid w:val="009E3EE0"/>
    <w:rsid w:val="009E6BE7"/>
    <w:rsid w:val="009F20EF"/>
    <w:rsid w:val="009F2950"/>
    <w:rsid w:val="009F3F8A"/>
    <w:rsid w:val="009F572D"/>
    <w:rsid w:val="009F65E6"/>
    <w:rsid w:val="00A001BD"/>
    <w:rsid w:val="00A00ADF"/>
    <w:rsid w:val="00A00D99"/>
    <w:rsid w:val="00A03429"/>
    <w:rsid w:val="00A047BA"/>
    <w:rsid w:val="00A05A55"/>
    <w:rsid w:val="00A06D2F"/>
    <w:rsid w:val="00A106EB"/>
    <w:rsid w:val="00A10AD4"/>
    <w:rsid w:val="00A13E2B"/>
    <w:rsid w:val="00A144F8"/>
    <w:rsid w:val="00A15397"/>
    <w:rsid w:val="00A15742"/>
    <w:rsid w:val="00A15D4F"/>
    <w:rsid w:val="00A16E78"/>
    <w:rsid w:val="00A172E7"/>
    <w:rsid w:val="00A200F9"/>
    <w:rsid w:val="00A22024"/>
    <w:rsid w:val="00A2385D"/>
    <w:rsid w:val="00A23CC5"/>
    <w:rsid w:val="00A263F4"/>
    <w:rsid w:val="00A2775F"/>
    <w:rsid w:val="00A314D0"/>
    <w:rsid w:val="00A319B7"/>
    <w:rsid w:val="00A324ED"/>
    <w:rsid w:val="00A32CAD"/>
    <w:rsid w:val="00A35A9F"/>
    <w:rsid w:val="00A36A2F"/>
    <w:rsid w:val="00A36C5F"/>
    <w:rsid w:val="00A36E3E"/>
    <w:rsid w:val="00A37285"/>
    <w:rsid w:val="00A37786"/>
    <w:rsid w:val="00A4058C"/>
    <w:rsid w:val="00A4060F"/>
    <w:rsid w:val="00A40651"/>
    <w:rsid w:val="00A408F0"/>
    <w:rsid w:val="00A4233D"/>
    <w:rsid w:val="00A43267"/>
    <w:rsid w:val="00A436EB"/>
    <w:rsid w:val="00A45FF1"/>
    <w:rsid w:val="00A4696A"/>
    <w:rsid w:val="00A51194"/>
    <w:rsid w:val="00A51685"/>
    <w:rsid w:val="00A51E4C"/>
    <w:rsid w:val="00A525D1"/>
    <w:rsid w:val="00A5496E"/>
    <w:rsid w:val="00A54DF0"/>
    <w:rsid w:val="00A55E0F"/>
    <w:rsid w:val="00A5627E"/>
    <w:rsid w:val="00A5668B"/>
    <w:rsid w:val="00A56AEE"/>
    <w:rsid w:val="00A6182C"/>
    <w:rsid w:val="00A63C8C"/>
    <w:rsid w:val="00A642E5"/>
    <w:rsid w:val="00A64816"/>
    <w:rsid w:val="00A64D1F"/>
    <w:rsid w:val="00A64D56"/>
    <w:rsid w:val="00A7009C"/>
    <w:rsid w:val="00A72517"/>
    <w:rsid w:val="00A74769"/>
    <w:rsid w:val="00A74FE9"/>
    <w:rsid w:val="00A77084"/>
    <w:rsid w:val="00A770AD"/>
    <w:rsid w:val="00A77701"/>
    <w:rsid w:val="00A77D07"/>
    <w:rsid w:val="00A808C8"/>
    <w:rsid w:val="00A80958"/>
    <w:rsid w:val="00A81C91"/>
    <w:rsid w:val="00A86884"/>
    <w:rsid w:val="00A8753C"/>
    <w:rsid w:val="00A90E19"/>
    <w:rsid w:val="00A9101B"/>
    <w:rsid w:val="00A92451"/>
    <w:rsid w:val="00A92D19"/>
    <w:rsid w:val="00A954AE"/>
    <w:rsid w:val="00A956A0"/>
    <w:rsid w:val="00A95893"/>
    <w:rsid w:val="00A95F9D"/>
    <w:rsid w:val="00AA00A2"/>
    <w:rsid w:val="00AA1A4B"/>
    <w:rsid w:val="00AA1BF2"/>
    <w:rsid w:val="00AA1ED1"/>
    <w:rsid w:val="00AA219A"/>
    <w:rsid w:val="00AA259D"/>
    <w:rsid w:val="00AA38A5"/>
    <w:rsid w:val="00AA4055"/>
    <w:rsid w:val="00AA5255"/>
    <w:rsid w:val="00AA67ED"/>
    <w:rsid w:val="00AB1197"/>
    <w:rsid w:val="00AB1697"/>
    <w:rsid w:val="00AB1BB3"/>
    <w:rsid w:val="00AB1BF1"/>
    <w:rsid w:val="00AB2133"/>
    <w:rsid w:val="00AB2CE7"/>
    <w:rsid w:val="00AB49B9"/>
    <w:rsid w:val="00AB51D2"/>
    <w:rsid w:val="00AB6B40"/>
    <w:rsid w:val="00AB770D"/>
    <w:rsid w:val="00AB77F6"/>
    <w:rsid w:val="00AC092B"/>
    <w:rsid w:val="00AC2CA3"/>
    <w:rsid w:val="00AC30A5"/>
    <w:rsid w:val="00AC36C5"/>
    <w:rsid w:val="00AC3A7E"/>
    <w:rsid w:val="00AC3E25"/>
    <w:rsid w:val="00AC69CA"/>
    <w:rsid w:val="00AC733E"/>
    <w:rsid w:val="00AD01C5"/>
    <w:rsid w:val="00AD370B"/>
    <w:rsid w:val="00AD4322"/>
    <w:rsid w:val="00AD4ECA"/>
    <w:rsid w:val="00AE0DED"/>
    <w:rsid w:val="00AF02E0"/>
    <w:rsid w:val="00AF09C4"/>
    <w:rsid w:val="00AF0A57"/>
    <w:rsid w:val="00AF260E"/>
    <w:rsid w:val="00AF27C6"/>
    <w:rsid w:val="00AF46B4"/>
    <w:rsid w:val="00AF4E06"/>
    <w:rsid w:val="00AF4EBA"/>
    <w:rsid w:val="00AF4F79"/>
    <w:rsid w:val="00AF50AA"/>
    <w:rsid w:val="00AF5464"/>
    <w:rsid w:val="00AF5A0C"/>
    <w:rsid w:val="00AF6C2A"/>
    <w:rsid w:val="00AF7273"/>
    <w:rsid w:val="00AF7C93"/>
    <w:rsid w:val="00B00613"/>
    <w:rsid w:val="00B00799"/>
    <w:rsid w:val="00B00D2F"/>
    <w:rsid w:val="00B016BA"/>
    <w:rsid w:val="00B02247"/>
    <w:rsid w:val="00B02A4C"/>
    <w:rsid w:val="00B02C78"/>
    <w:rsid w:val="00B03CEC"/>
    <w:rsid w:val="00B04C12"/>
    <w:rsid w:val="00B05510"/>
    <w:rsid w:val="00B064EB"/>
    <w:rsid w:val="00B06688"/>
    <w:rsid w:val="00B06E74"/>
    <w:rsid w:val="00B07452"/>
    <w:rsid w:val="00B07819"/>
    <w:rsid w:val="00B07E39"/>
    <w:rsid w:val="00B10373"/>
    <w:rsid w:val="00B110D7"/>
    <w:rsid w:val="00B12610"/>
    <w:rsid w:val="00B12C39"/>
    <w:rsid w:val="00B133A9"/>
    <w:rsid w:val="00B13ACE"/>
    <w:rsid w:val="00B159B6"/>
    <w:rsid w:val="00B16207"/>
    <w:rsid w:val="00B16C8B"/>
    <w:rsid w:val="00B17246"/>
    <w:rsid w:val="00B172F0"/>
    <w:rsid w:val="00B21D38"/>
    <w:rsid w:val="00B2300D"/>
    <w:rsid w:val="00B23165"/>
    <w:rsid w:val="00B233B5"/>
    <w:rsid w:val="00B2365C"/>
    <w:rsid w:val="00B25391"/>
    <w:rsid w:val="00B256E1"/>
    <w:rsid w:val="00B25952"/>
    <w:rsid w:val="00B26295"/>
    <w:rsid w:val="00B27114"/>
    <w:rsid w:val="00B273CC"/>
    <w:rsid w:val="00B31F64"/>
    <w:rsid w:val="00B322A4"/>
    <w:rsid w:val="00B329D1"/>
    <w:rsid w:val="00B32BE8"/>
    <w:rsid w:val="00B34B3D"/>
    <w:rsid w:val="00B34B7F"/>
    <w:rsid w:val="00B35B48"/>
    <w:rsid w:val="00B36E57"/>
    <w:rsid w:val="00B40606"/>
    <w:rsid w:val="00B411A1"/>
    <w:rsid w:val="00B41A10"/>
    <w:rsid w:val="00B45D1F"/>
    <w:rsid w:val="00B467B2"/>
    <w:rsid w:val="00B468C9"/>
    <w:rsid w:val="00B47866"/>
    <w:rsid w:val="00B50339"/>
    <w:rsid w:val="00B52577"/>
    <w:rsid w:val="00B52C33"/>
    <w:rsid w:val="00B5561F"/>
    <w:rsid w:val="00B61257"/>
    <w:rsid w:val="00B62285"/>
    <w:rsid w:val="00B62893"/>
    <w:rsid w:val="00B6376F"/>
    <w:rsid w:val="00B63C35"/>
    <w:rsid w:val="00B658C7"/>
    <w:rsid w:val="00B65EC1"/>
    <w:rsid w:val="00B664C2"/>
    <w:rsid w:val="00B67213"/>
    <w:rsid w:val="00B67A4D"/>
    <w:rsid w:val="00B711C8"/>
    <w:rsid w:val="00B71EAA"/>
    <w:rsid w:val="00B74651"/>
    <w:rsid w:val="00B747ED"/>
    <w:rsid w:val="00B74A6C"/>
    <w:rsid w:val="00B74CC5"/>
    <w:rsid w:val="00B75C66"/>
    <w:rsid w:val="00B76533"/>
    <w:rsid w:val="00B76614"/>
    <w:rsid w:val="00B769E5"/>
    <w:rsid w:val="00B77C8C"/>
    <w:rsid w:val="00B80E7F"/>
    <w:rsid w:val="00B8216D"/>
    <w:rsid w:val="00B83AAE"/>
    <w:rsid w:val="00B84600"/>
    <w:rsid w:val="00B85145"/>
    <w:rsid w:val="00B853E6"/>
    <w:rsid w:val="00B85BE6"/>
    <w:rsid w:val="00B85CE8"/>
    <w:rsid w:val="00B8728A"/>
    <w:rsid w:val="00B87534"/>
    <w:rsid w:val="00B87B25"/>
    <w:rsid w:val="00B90D14"/>
    <w:rsid w:val="00B90D3E"/>
    <w:rsid w:val="00B90D86"/>
    <w:rsid w:val="00B9223F"/>
    <w:rsid w:val="00B93727"/>
    <w:rsid w:val="00B93989"/>
    <w:rsid w:val="00B93DD0"/>
    <w:rsid w:val="00B93E27"/>
    <w:rsid w:val="00B96DDE"/>
    <w:rsid w:val="00B96E48"/>
    <w:rsid w:val="00BA03FB"/>
    <w:rsid w:val="00BA0E34"/>
    <w:rsid w:val="00BA14DE"/>
    <w:rsid w:val="00BA212C"/>
    <w:rsid w:val="00BA25A1"/>
    <w:rsid w:val="00BA3E35"/>
    <w:rsid w:val="00BA476E"/>
    <w:rsid w:val="00BA53A3"/>
    <w:rsid w:val="00BA580B"/>
    <w:rsid w:val="00BA62DD"/>
    <w:rsid w:val="00BA6382"/>
    <w:rsid w:val="00BA6E5E"/>
    <w:rsid w:val="00BA7AC6"/>
    <w:rsid w:val="00BB0C44"/>
    <w:rsid w:val="00BB28AA"/>
    <w:rsid w:val="00BB4037"/>
    <w:rsid w:val="00BB50C6"/>
    <w:rsid w:val="00BB5D2F"/>
    <w:rsid w:val="00BB5DA6"/>
    <w:rsid w:val="00BB6734"/>
    <w:rsid w:val="00BB68D1"/>
    <w:rsid w:val="00BB6DC1"/>
    <w:rsid w:val="00BB7BE9"/>
    <w:rsid w:val="00BC010D"/>
    <w:rsid w:val="00BC07D4"/>
    <w:rsid w:val="00BC0999"/>
    <w:rsid w:val="00BC1449"/>
    <w:rsid w:val="00BC1D62"/>
    <w:rsid w:val="00BC2700"/>
    <w:rsid w:val="00BC39B9"/>
    <w:rsid w:val="00BC6E86"/>
    <w:rsid w:val="00BC769A"/>
    <w:rsid w:val="00BC76A0"/>
    <w:rsid w:val="00BC7A84"/>
    <w:rsid w:val="00BD1805"/>
    <w:rsid w:val="00BD1CE6"/>
    <w:rsid w:val="00BD2574"/>
    <w:rsid w:val="00BD279C"/>
    <w:rsid w:val="00BD5605"/>
    <w:rsid w:val="00BD5963"/>
    <w:rsid w:val="00BE0CE0"/>
    <w:rsid w:val="00BE130F"/>
    <w:rsid w:val="00BE1F28"/>
    <w:rsid w:val="00BE2340"/>
    <w:rsid w:val="00BE265E"/>
    <w:rsid w:val="00BE2A0A"/>
    <w:rsid w:val="00BE415A"/>
    <w:rsid w:val="00BE4948"/>
    <w:rsid w:val="00BE4D92"/>
    <w:rsid w:val="00BE6497"/>
    <w:rsid w:val="00BE6A53"/>
    <w:rsid w:val="00BE717E"/>
    <w:rsid w:val="00BE7284"/>
    <w:rsid w:val="00BE7FC6"/>
    <w:rsid w:val="00BF3D71"/>
    <w:rsid w:val="00BF4B2D"/>
    <w:rsid w:val="00BF69ED"/>
    <w:rsid w:val="00BF78CF"/>
    <w:rsid w:val="00C00D50"/>
    <w:rsid w:val="00C03BCD"/>
    <w:rsid w:val="00C048F7"/>
    <w:rsid w:val="00C061FC"/>
    <w:rsid w:val="00C0658C"/>
    <w:rsid w:val="00C06FDE"/>
    <w:rsid w:val="00C07CEF"/>
    <w:rsid w:val="00C1066F"/>
    <w:rsid w:val="00C10B8A"/>
    <w:rsid w:val="00C117A7"/>
    <w:rsid w:val="00C11E53"/>
    <w:rsid w:val="00C12050"/>
    <w:rsid w:val="00C12A0F"/>
    <w:rsid w:val="00C13CD6"/>
    <w:rsid w:val="00C160E6"/>
    <w:rsid w:val="00C16200"/>
    <w:rsid w:val="00C164AB"/>
    <w:rsid w:val="00C168CB"/>
    <w:rsid w:val="00C16D6F"/>
    <w:rsid w:val="00C173D9"/>
    <w:rsid w:val="00C17668"/>
    <w:rsid w:val="00C176D7"/>
    <w:rsid w:val="00C17B13"/>
    <w:rsid w:val="00C201C3"/>
    <w:rsid w:val="00C2045C"/>
    <w:rsid w:val="00C211E6"/>
    <w:rsid w:val="00C22988"/>
    <w:rsid w:val="00C249AA"/>
    <w:rsid w:val="00C26FF3"/>
    <w:rsid w:val="00C302B2"/>
    <w:rsid w:val="00C308C7"/>
    <w:rsid w:val="00C30F4C"/>
    <w:rsid w:val="00C3101A"/>
    <w:rsid w:val="00C318BE"/>
    <w:rsid w:val="00C321ED"/>
    <w:rsid w:val="00C325D7"/>
    <w:rsid w:val="00C3352B"/>
    <w:rsid w:val="00C34826"/>
    <w:rsid w:val="00C34C07"/>
    <w:rsid w:val="00C35BE4"/>
    <w:rsid w:val="00C37EB3"/>
    <w:rsid w:val="00C40AD6"/>
    <w:rsid w:val="00C4134F"/>
    <w:rsid w:val="00C4183A"/>
    <w:rsid w:val="00C42A79"/>
    <w:rsid w:val="00C42CB2"/>
    <w:rsid w:val="00C42D6A"/>
    <w:rsid w:val="00C431FF"/>
    <w:rsid w:val="00C438A4"/>
    <w:rsid w:val="00C458C2"/>
    <w:rsid w:val="00C51D55"/>
    <w:rsid w:val="00C5246D"/>
    <w:rsid w:val="00C526E8"/>
    <w:rsid w:val="00C527FC"/>
    <w:rsid w:val="00C53E75"/>
    <w:rsid w:val="00C5614F"/>
    <w:rsid w:val="00C5660E"/>
    <w:rsid w:val="00C57200"/>
    <w:rsid w:val="00C57AD9"/>
    <w:rsid w:val="00C57BD3"/>
    <w:rsid w:val="00C609A1"/>
    <w:rsid w:val="00C61174"/>
    <w:rsid w:val="00C61C75"/>
    <w:rsid w:val="00C61FA6"/>
    <w:rsid w:val="00C642E4"/>
    <w:rsid w:val="00C65B64"/>
    <w:rsid w:val="00C7072D"/>
    <w:rsid w:val="00C7124D"/>
    <w:rsid w:val="00C713B0"/>
    <w:rsid w:val="00C72E6B"/>
    <w:rsid w:val="00C73717"/>
    <w:rsid w:val="00C741DB"/>
    <w:rsid w:val="00C748EF"/>
    <w:rsid w:val="00C7691B"/>
    <w:rsid w:val="00C77B69"/>
    <w:rsid w:val="00C77E99"/>
    <w:rsid w:val="00C80117"/>
    <w:rsid w:val="00C804E8"/>
    <w:rsid w:val="00C80990"/>
    <w:rsid w:val="00C81A21"/>
    <w:rsid w:val="00C81C2F"/>
    <w:rsid w:val="00C821B5"/>
    <w:rsid w:val="00C83629"/>
    <w:rsid w:val="00C85225"/>
    <w:rsid w:val="00C85A85"/>
    <w:rsid w:val="00C860C0"/>
    <w:rsid w:val="00C86568"/>
    <w:rsid w:val="00C8727E"/>
    <w:rsid w:val="00C904DC"/>
    <w:rsid w:val="00C90A64"/>
    <w:rsid w:val="00C919B0"/>
    <w:rsid w:val="00C929E3"/>
    <w:rsid w:val="00C93F58"/>
    <w:rsid w:val="00C94560"/>
    <w:rsid w:val="00C945FA"/>
    <w:rsid w:val="00C94F15"/>
    <w:rsid w:val="00C952E7"/>
    <w:rsid w:val="00C968A8"/>
    <w:rsid w:val="00C96CC9"/>
    <w:rsid w:val="00C9750E"/>
    <w:rsid w:val="00CA049E"/>
    <w:rsid w:val="00CA36B0"/>
    <w:rsid w:val="00CA3C66"/>
    <w:rsid w:val="00CA420F"/>
    <w:rsid w:val="00CA4847"/>
    <w:rsid w:val="00CA4884"/>
    <w:rsid w:val="00CA4F43"/>
    <w:rsid w:val="00CA56BB"/>
    <w:rsid w:val="00CA63DF"/>
    <w:rsid w:val="00CA6B85"/>
    <w:rsid w:val="00CA6F26"/>
    <w:rsid w:val="00CB1F4E"/>
    <w:rsid w:val="00CB1F8E"/>
    <w:rsid w:val="00CB30B5"/>
    <w:rsid w:val="00CB47B3"/>
    <w:rsid w:val="00CB77D8"/>
    <w:rsid w:val="00CC0495"/>
    <w:rsid w:val="00CC06FE"/>
    <w:rsid w:val="00CC2632"/>
    <w:rsid w:val="00CC3E3B"/>
    <w:rsid w:val="00CC4B6E"/>
    <w:rsid w:val="00CC53BB"/>
    <w:rsid w:val="00CC594F"/>
    <w:rsid w:val="00CC7BB1"/>
    <w:rsid w:val="00CD0831"/>
    <w:rsid w:val="00CD08A8"/>
    <w:rsid w:val="00CD0CC3"/>
    <w:rsid w:val="00CD0DF9"/>
    <w:rsid w:val="00CD171B"/>
    <w:rsid w:val="00CD1D37"/>
    <w:rsid w:val="00CD2095"/>
    <w:rsid w:val="00CD22FC"/>
    <w:rsid w:val="00CD2F3D"/>
    <w:rsid w:val="00CD3676"/>
    <w:rsid w:val="00CD46CA"/>
    <w:rsid w:val="00CD5A6A"/>
    <w:rsid w:val="00CD6F1C"/>
    <w:rsid w:val="00CE1453"/>
    <w:rsid w:val="00CE17C9"/>
    <w:rsid w:val="00CE228A"/>
    <w:rsid w:val="00CE2A6F"/>
    <w:rsid w:val="00CE34D2"/>
    <w:rsid w:val="00CE417A"/>
    <w:rsid w:val="00CE498A"/>
    <w:rsid w:val="00CE4DE5"/>
    <w:rsid w:val="00CE5280"/>
    <w:rsid w:val="00CE5695"/>
    <w:rsid w:val="00CE6304"/>
    <w:rsid w:val="00CE6A0C"/>
    <w:rsid w:val="00CE6ECE"/>
    <w:rsid w:val="00CF16D1"/>
    <w:rsid w:val="00CF1E26"/>
    <w:rsid w:val="00CF3A2D"/>
    <w:rsid w:val="00CF51E0"/>
    <w:rsid w:val="00CF54D1"/>
    <w:rsid w:val="00CF5EF3"/>
    <w:rsid w:val="00CF6F1B"/>
    <w:rsid w:val="00CF74E6"/>
    <w:rsid w:val="00D006CE"/>
    <w:rsid w:val="00D01A33"/>
    <w:rsid w:val="00D02660"/>
    <w:rsid w:val="00D0397F"/>
    <w:rsid w:val="00D0549E"/>
    <w:rsid w:val="00D073B2"/>
    <w:rsid w:val="00D07757"/>
    <w:rsid w:val="00D07A50"/>
    <w:rsid w:val="00D10FA8"/>
    <w:rsid w:val="00D123E2"/>
    <w:rsid w:val="00D1390C"/>
    <w:rsid w:val="00D13DAD"/>
    <w:rsid w:val="00D14C74"/>
    <w:rsid w:val="00D1733E"/>
    <w:rsid w:val="00D17A7B"/>
    <w:rsid w:val="00D21686"/>
    <w:rsid w:val="00D21FF5"/>
    <w:rsid w:val="00D22437"/>
    <w:rsid w:val="00D23EDA"/>
    <w:rsid w:val="00D242EB"/>
    <w:rsid w:val="00D2442B"/>
    <w:rsid w:val="00D27B3C"/>
    <w:rsid w:val="00D30CBA"/>
    <w:rsid w:val="00D3264A"/>
    <w:rsid w:val="00D327B3"/>
    <w:rsid w:val="00D329AE"/>
    <w:rsid w:val="00D33DC2"/>
    <w:rsid w:val="00D351CE"/>
    <w:rsid w:val="00D3543D"/>
    <w:rsid w:val="00D36041"/>
    <w:rsid w:val="00D36E3B"/>
    <w:rsid w:val="00D41CDA"/>
    <w:rsid w:val="00D428AB"/>
    <w:rsid w:val="00D42D97"/>
    <w:rsid w:val="00D44AD8"/>
    <w:rsid w:val="00D469DE"/>
    <w:rsid w:val="00D46A51"/>
    <w:rsid w:val="00D52365"/>
    <w:rsid w:val="00D53DBD"/>
    <w:rsid w:val="00D54361"/>
    <w:rsid w:val="00D55CB7"/>
    <w:rsid w:val="00D56183"/>
    <w:rsid w:val="00D60710"/>
    <w:rsid w:val="00D639F5"/>
    <w:rsid w:val="00D641E2"/>
    <w:rsid w:val="00D64438"/>
    <w:rsid w:val="00D644CD"/>
    <w:rsid w:val="00D65F6D"/>
    <w:rsid w:val="00D67DBA"/>
    <w:rsid w:val="00D70F5E"/>
    <w:rsid w:val="00D712B5"/>
    <w:rsid w:val="00D721C0"/>
    <w:rsid w:val="00D729DD"/>
    <w:rsid w:val="00D738FB"/>
    <w:rsid w:val="00D749E4"/>
    <w:rsid w:val="00D76665"/>
    <w:rsid w:val="00D7760D"/>
    <w:rsid w:val="00D81391"/>
    <w:rsid w:val="00D83654"/>
    <w:rsid w:val="00D8533B"/>
    <w:rsid w:val="00D8557A"/>
    <w:rsid w:val="00D85ACA"/>
    <w:rsid w:val="00D87DCE"/>
    <w:rsid w:val="00D93146"/>
    <w:rsid w:val="00D93796"/>
    <w:rsid w:val="00D93E54"/>
    <w:rsid w:val="00D965F0"/>
    <w:rsid w:val="00D97D1B"/>
    <w:rsid w:val="00DA09B5"/>
    <w:rsid w:val="00DA2190"/>
    <w:rsid w:val="00DA339B"/>
    <w:rsid w:val="00DA3B32"/>
    <w:rsid w:val="00DA46BC"/>
    <w:rsid w:val="00DA4E33"/>
    <w:rsid w:val="00DA4EC5"/>
    <w:rsid w:val="00DA5683"/>
    <w:rsid w:val="00DA676C"/>
    <w:rsid w:val="00DA7DC2"/>
    <w:rsid w:val="00DB37F4"/>
    <w:rsid w:val="00DB6D63"/>
    <w:rsid w:val="00DB7126"/>
    <w:rsid w:val="00DC0175"/>
    <w:rsid w:val="00DC09F0"/>
    <w:rsid w:val="00DC0C67"/>
    <w:rsid w:val="00DC4079"/>
    <w:rsid w:val="00DC47F5"/>
    <w:rsid w:val="00DC4926"/>
    <w:rsid w:val="00DC4E8A"/>
    <w:rsid w:val="00DC4FA4"/>
    <w:rsid w:val="00DC5E29"/>
    <w:rsid w:val="00DC6A9C"/>
    <w:rsid w:val="00DC7648"/>
    <w:rsid w:val="00DC7A60"/>
    <w:rsid w:val="00DD103F"/>
    <w:rsid w:val="00DD1227"/>
    <w:rsid w:val="00DD20B5"/>
    <w:rsid w:val="00DD3552"/>
    <w:rsid w:val="00DD36C7"/>
    <w:rsid w:val="00DD454D"/>
    <w:rsid w:val="00DD468E"/>
    <w:rsid w:val="00DD55CE"/>
    <w:rsid w:val="00DD6AB2"/>
    <w:rsid w:val="00DD6E1D"/>
    <w:rsid w:val="00DE0EAB"/>
    <w:rsid w:val="00DE1007"/>
    <w:rsid w:val="00DE1DFA"/>
    <w:rsid w:val="00DE439C"/>
    <w:rsid w:val="00DE5A88"/>
    <w:rsid w:val="00DE71E3"/>
    <w:rsid w:val="00DF12DB"/>
    <w:rsid w:val="00DF2B2D"/>
    <w:rsid w:val="00DF2F3D"/>
    <w:rsid w:val="00DF3BE4"/>
    <w:rsid w:val="00DF3DF3"/>
    <w:rsid w:val="00DF47C9"/>
    <w:rsid w:val="00DF55AA"/>
    <w:rsid w:val="00DF6536"/>
    <w:rsid w:val="00DF76D5"/>
    <w:rsid w:val="00E020C5"/>
    <w:rsid w:val="00E0275B"/>
    <w:rsid w:val="00E02B8A"/>
    <w:rsid w:val="00E02D05"/>
    <w:rsid w:val="00E030CD"/>
    <w:rsid w:val="00E03719"/>
    <w:rsid w:val="00E04389"/>
    <w:rsid w:val="00E06677"/>
    <w:rsid w:val="00E071E4"/>
    <w:rsid w:val="00E10027"/>
    <w:rsid w:val="00E1054E"/>
    <w:rsid w:val="00E105D5"/>
    <w:rsid w:val="00E10A39"/>
    <w:rsid w:val="00E114F1"/>
    <w:rsid w:val="00E11D8C"/>
    <w:rsid w:val="00E16918"/>
    <w:rsid w:val="00E20137"/>
    <w:rsid w:val="00E21157"/>
    <w:rsid w:val="00E223ED"/>
    <w:rsid w:val="00E2323D"/>
    <w:rsid w:val="00E24A49"/>
    <w:rsid w:val="00E24DE6"/>
    <w:rsid w:val="00E26626"/>
    <w:rsid w:val="00E26860"/>
    <w:rsid w:val="00E26FE8"/>
    <w:rsid w:val="00E30B3C"/>
    <w:rsid w:val="00E324A3"/>
    <w:rsid w:val="00E32AA0"/>
    <w:rsid w:val="00E32EEA"/>
    <w:rsid w:val="00E347AB"/>
    <w:rsid w:val="00E351CE"/>
    <w:rsid w:val="00E35213"/>
    <w:rsid w:val="00E353BD"/>
    <w:rsid w:val="00E36000"/>
    <w:rsid w:val="00E36948"/>
    <w:rsid w:val="00E37767"/>
    <w:rsid w:val="00E400C9"/>
    <w:rsid w:val="00E40D52"/>
    <w:rsid w:val="00E41F56"/>
    <w:rsid w:val="00E42790"/>
    <w:rsid w:val="00E43F1D"/>
    <w:rsid w:val="00E44388"/>
    <w:rsid w:val="00E45157"/>
    <w:rsid w:val="00E45915"/>
    <w:rsid w:val="00E474CE"/>
    <w:rsid w:val="00E47B90"/>
    <w:rsid w:val="00E5034B"/>
    <w:rsid w:val="00E511DD"/>
    <w:rsid w:val="00E5191B"/>
    <w:rsid w:val="00E52645"/>
    <w:rsid w:val="00E53717"/>
    <w:rsid w:val="00E53FCE"/>
    <w:rsid w:val="00E54BC2"/>
    <w:rsid w:val="00E55DE1"/>
    <w:rsid w:val="00E55F67"/>
    <w:rsid w:val="00E5642C"/>
    <w:rsid w:val="00E56BD3"/>
    <w:rsid w:val="00E57DC7"/>
    <w:rsid w:val="00E625CC"/>
    <w:rsid w:val="00E62DFB"/>
    <w:rsid w:val="00E63149"/>
    <w:rsid w:val="00E644C4"/>
    <w:rsid w:val="00E67A3F"/>
    <w:rsid w:val="00E702EF"/>
    <w:rsid w:val="00E710E5"/>
    <w:rsid w:val="00E72908"/>
    <w:rsid w:val="00E72B77"/>
    <w:rsid w:val="00E73CAF"/>
    <w:rsid w:val="00E74E6F"/>
    <w:rsid w:val="00E76397"/>
    <w:rsid w:val="00E76730"/>
    <w:rsid w:val="00E76A84"/>
    <w:rsid w:val="00E76D84"/>
    <w:rsid w:val="00E8289D"/>
    <w:rsid w:val="00E8502C"/>
    <w:rsid w:val="00E850B3"/>
    <w:rsid w:val="00E863A4"/>
    <w:rsid w:val="00E92023"/>
    <w:rsid w:val="00E936AE"/>
    <w:rsid w:val="00E94F1B"/>
    <w:rsid w:val="00E951A3"/>
    <w:rsid w:val="00E957BD"/>
    <w:rsid w:val="00E95BCD"/>
    <w:rsid w:val="00E96B22"/>
    <w:rsid w:val="00E97142"/>
    <w:rsid w:val="00EA005D"/>
    <w:rsid w:val="00EA0911"/>
    <w:rsid w:val="00EA21B7"/>
    <w:rsid w:val="00EA32BE"/>
    <w:rsid w:val="00EA5041"/>
    <w:rsid w:val="00EA53E2"/>
    <w:rsid w:val="00EA7117"/>
    <w:rsid w:val="00EB052E"/>
    <w:rsid w:val="00EB168E"/>
    <w:rsid w:val="00EB21FE"/>
    <w:rsid w:val="00EB2248"/>
    <w:rsid w:val="00EB3592"/>
    <w:rsid w:val="00EB3C29"/>
    <w:rsid w:val="00EB4C64"/>
    <w:rsid w:val="00EB7171"/>
    <w:rsid w:val="00EB71FE"/>
    <w:rsid w:val="00EB76E9"/>
    <w:rsid w:val="00EC203A"/>
    <w:rsid w:val="00EC24DA"/>
    <w:rsid w:val="00EC25E2"/>
    <w:rsid w:val="00EC29CA"/>
    <w:rsid w:val="00EC2BE8"/>
    <w:rsid w:val="00EC2E2D"/>
    <w:rsid w:val="00EC3724"/>
    <w:rsid w:val="00EC4C15"/>
    <w:rsid w:val="00EC5610"/>
    <w:rsid w:val="00EC5BA8"/>
    <w:rsid w:val="00EC69AE"/>
    <w:rsid w:val="00EC7846"/>
    <w:rsid w:val="00ED0077"/>
    <w:rsid w:val="00ED060A"/>
    <w:rsid w:val="00ED0AE0"/>
    <w:rsid w:val="00ED0C73"/>
    <w:rsid w:val="00ED0E3A"/>
    <w:rsid w:val="00ED5AB2"/>
    <w:rsid w:val="00ED67F6"/>
    <w:rsid w:val="00ED6A49"/>
    <w:rsid w:val="00ED6BA3"/>
    <w:rsid w:val="00EE4047"/>
    <w:rsid w:val="00EE43A1"/>
    <w:rsid w:val="00EE6678"/>
    <w:rsid w:val="00EE6C21"/>
    <w:rsid w:val="00EE748D"/>
    <w:rsid w:val="00EF1AE1"/>
    <w:rsid w:val="00EF20C3"/>
    <w:rsid w:val="00EF21C3"/>
    <w:rsid w:val="00EF2545"/>
    <w:rsid w:val="00EF312A"/>
    <w:rsid w:val="00EF461D"/>
    <w:rsid w:val="00EF6590"/>
    <w:rsid w:val="00EF6F3E"/>
    <w:rsid w:val="00EF7C91"/>
    <w:rsid w:val="00F00392"/>
    <w:rsid w:val="00F026DE"/>
    <w:rsid w:val="00F030C7"/>
    <w:rsid w:val="00F04606"/>
    <w:rsid w:val="00F0579E"/>
    <w:rsid w:val="00F0628F"/>
    <w:rsid w:val="00F10B1F"/>
    <w:rsid w:val="00F10B3C"/>
    <w:rsid w:val="00F11008"/>
    <w:rsid w:val="00F1156A"/>
    <w:rsid w:val="00F1157C"/>
    <w:rsid w:val="00F13E1A"/>
    <w:rsid w:val="00F14073"/>
    <w:rsid w:val="00F14539"/>
    <w:rsid w:val="00F147A5"/>
    <w:rsid w:val="00F14D99"/>
    <w:rsid w:val="00F156D9"/>
    <w:rsid w:val="00F15EAD"/>
    <w:rsid w:val="00F16578"/>
    <w:rsid w:val="00F165F2"/>
    <w:rsid w:val="00F17301"/>
    <w:rsid w:val="00F17E26"/>
    <w:rsid w:val="00F213D0"/>
    <w:rsid w:val="00F22002"/>
    <w:rsid w:val="00F23C8D"/>
    <w:rsid w:val="00F305A5"/>
    <w:rsid w:val="00F32650"/>
    <w:rsid w:val="00F329C1"/>
    <w:rsid w:val="00F34572"/>
    <w:rsid w:val="00F34C8A"/>
    <w:rsid w:val="00F3504B"/>
    <w:rsid w:val="00F365DE"/>
    <w:rsid w:val="00F365F8"/>
    <w:rsid w:val="00F37CF8"/>
    <w:rsid w:val="00F4112B"/>
    <w:rsid w:val="00F41992"/>
    <w:rsid w:val="00F43BBC"/>
    <w:rsid w:val="00F4458A"/>
    <w:rsid w:val="00F4576B"/>
    <w:rsid w:val="00F47088"/>
    <w:rsid w:val="00F47608"/>
    <w:rsid w:val="00F478B7"/>
    <w:rsid w:val="00F47C10"/>
    <w:rsid w:val="00F47C98"/>
    <w:rsid w:val="00F510D5"/>
    <w:rsid w:val="00F51677"/>
    <w:rsid w:val="00F5197E"/>
    <w:rsid w:val="00F52ED5"/>
    <w:rsid w:val="00F535D3"/>
    <w:rsid w:val="00F53D09"/>
    <w:rsid w:val="00F54D1C"/>
    <w:rsid w:val="00F558AF"/>
    <w:rsid w:val="00F560A1"/>
    <w:rsid w:val="00F5631F"/>
    <w:rsid w:val="00F56672"/>
    <w:rsid w:val="00F56DE6"/>
    <w:rsid w:val="00F60742"/>
    <w:rsid w:val="00F6079D"/>
    <w:rsid w:val="00F637E4"/>
    <w:rsid w:val="00F6559D"/>
    <w:rsid w:val="00F66757"/>
    <w:rsid w:val="00F668B6"/>
    <w:rsid w:val="00F66DF8"/>
    <w:rsid w:val="00F67026"/>
    <w:rsid w:val="00F670E4"/>
    <w:rsid w:val="00F67A15"/>
    <w:rsid w:val="00F70CAE"/>
    <w:rsid w:val="00F71442"/>
    <w:rsid w:val="00F736D4"/>
    <w:rsid w:val="00F7392F"/>
    <w:rsid w:val="00F73D90"/>
    <w:rsid w:val="00F7542E"/>
    <w:rsid w:val="00F75C97"/>
    <w:rsid w:val="00F76A4F"/>
    <w:rsid w:val="00F77A9D"/>
    <w:rsid w:val="00F77D01"/>
    <w:rsid w:val="00F80352"/>
    <w:rsid w:val="00F81F77"/>
    <w:rsid w:val="00F8208A"/>
    <w:rsid w:val="00F8236F"/>
    <w:rsid w:val="00F8436D"/>
    <w:rsid w:val="00F84B3C"/>
    <w:rsid w:val="00F855A4"/>
    <w:rsid w:val="00F875A6"/>
    <w:rsid w:val="00F8781F"/>
    <w:rsid w:val="00F87881"/>
    <w:rsid w:val="00F87EF5"/>
    <w:rsid w:val="00F9075C"/>
    <w:rsid w:val="00F91429"/>
    <w:rsid w:val="00F93149"/>
    <w:rsid w:val="00F940E1"/>
    <w:rsid w:val="00F943F0"/>
    <w:rsid w:val="00F966ED"/>
    <w:rsid w:val="00F9690F"/>
    <w:rsid w:val="00FA0DAD"/>
    <w:rsid w:val="00FA353D"/>
    <w:rsid w:val="00FA3892"/>
    <w:rsid w:val="00FA4417"/>
    <w:rsid w:val="00FA5B19"/>
    <w:rsid w:val="00FA5DB7"/>
    <w:rsid w:val="00FA6B80"/>
    <w:rsid w:val="00FA6F76"/>
    <w:rsid w:val="00FA7C56"/>
    <w:rsid w:val="00FB0FF6"/>
    <w:rsid w:val="00FB1D0A"/>
    <w:rsid w:val="00FB5019"/>
    <w:rsid w:val="00FB52E4"/>
    <w:rsid w:val="00FB5AF3"/>
    <w:rsid w:val="00FB69BA"/>
    <w:rsid w:val="00FB752F"/>
    <w:rsid w:val="00FC0298"/>
    <w:rsid w:val="00FC1FE9"/>
    <w:rsid w:val="00FC3392"/>
    <w:rsid w:val="00FC3757"/>
    <w:rsid w:val="00FC4EAA"/>
    <w:rsid w:val="00FC4ED4"/>
    <w:rsid w:val="00FC5726"/>
    <w:rsid w:val="00FC5D4E"/>
    <w:rsid w:val="00FC725E"/>
    <w:rsid w:val="00FD0428"/>
    <w:rsid w:val="00FD04C7"/>
    <w:rsid w:val="00FD3BAC"/>
    <w:rsid w:val="00FD606E"/>
    <w:rsid w:val="00FD794F"/>
    <w:rsid w:val="00FE1631"/>
    <w:rsid w:val="00FE4E3C"/>
    <w:rsid w:val="00FE57A2"/>
    <w:rsid w:val="00FE5DAA"/>
    <w:rsid w:val="00FE60F6"/>
    <w:rsid w:val="00FE6203"/>
    <w:rsid w:val="00FE65CA"/>
    <w:rsid w:val="00FE7AD5"/>
    <w:rsid w:val="00FF058E"/>
    <w:rsid w:val="00FF0FF1"/>
    <w:rsid w:val="00FF1302"/>
    <w:rsid w:val="00FF26EF"/>
    <w:rsid w:val="00FF3BC4"/>
    <w:rsid w:val="00FF3DFB"/>
    <w:rsid w:val="00FF4FAF"/>
    <w:rsid w:val="00FF542C"/>
    <w:rsid w:val="00FF688C"/>
    <w:rsid w:val="00FF6E1C"/>
    <w:rsid w:val="00FF6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B47273C"/>
  <w15:docId w15:val="{BCA44A4E-329F-416C-8891-53CEE478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Verdana"/>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66E"/>
    <w:pPr>
      <w:widowControl w:val="0"/>
    </w:pPr>
    <w:rPr>
      <w:rFonts w:cs="Times New Roman"/>
      <w:lang w:eastAsia="fi-FI"/>
    </w:rPr>
  </w:style>
  <w:style w:type="paragraph" w:styleId="Heading1">
    <w:name w:val="heading 1"/>
    <w:aliases w:val="ECHA Heading 1"/>
    <w:basedOn w:val="Normal"/>
    <w:next w:val="BodyText"/>
    <w:link w:val="Heading1Char"/>
    <w:uiPriority w:val="99"/>
    <w:qFormat/>
    <w:pPr>
      <w:keepNext/>
      <w:keepLines/>
      <w:numPr>
        <w:numId w:val="1"/>
      </w:numPr>
      <w:spacing w:after="240"/>
      <w:outlineLvl w:val="0"/>
    </w:pPr>
    <w:rPr>
      <w:b/>
      <w:color w:val="0046AD"/>
      <w:sz w:val="28"/>
      <w:szCs w:val="24"/>
    </w:rPr>
  </w:style>
  <w:style w:type="paragraph" w:styleId="Heading2">
    <w:name w:val="heading 2"/>
    <w:aliases w:val="ECHA Heading 2"/>
    <w:basedOn w:val="Heading1"/>
    <w:next w:val="BodyText"/>
    <w:link w:val="Heading2Char"/>
    <w:uiPriority w:val="9"/>
    <w:qFormat/>
    <w:pPr>
      <w:numPr>
        <w:numId w:val="0"/>
      </w:numPr>
      <w:outlineLvl w:val="1"/>
    </w:pPr>
    <w:rPr>
      <w:rFonts w:cs="Arial"/>
      <w:sz w:val="24"/>
      <w:szCs w:val="22"/>
    </w:rPr>
  </w:style>
  <w:style w:type="paragraph" w:styleId="Heading3">
    <w:name w:val="heading 3"/>
    <w:aliases w:val="ECHA Heading 3,SAR sub section 1.1.1"/>
    <w:basedOn w:val="Heading2"/>
    <w:next w:val="BodyText"/>
    <w:link w:val="Heading3Char"/>
    <w:uiPriority w:val="99"/>
    <w:qFormat/>
    <w:pPr>
      <w:numPr>
        <w:ilvl w:val="2"/>
        <w:numId w:val="1"/>
      </w:numPr>
      <w:outlineLvl w:val="2"/>
    </w:pPr>
    <w:rPr>
      <w:bCs/>
      <w:color w:val="000000"/>
      <w:sz w:val="22"/>
    </w:rPr>
  </w:style>
  <w:style w:type="paragraph" w:styleId="Heading4">
    <w:name w:val="heading 4"/>
    <w:aliases w:val="ECHA Heading 4"/>
    <w:basedOn w:val="Heading3"/>
    <w:next w:val="BodyText"/>
    <w:link w:val="Heading4Char"/>
    <w:uiPriority w:val="9"/>
    <w:qFormat/>
    <w:pPr>
      <w:numPr>
        <w:ilvl w:val="3"/>
      </w:numPr>
      <w:outlineLvl w:val="3"/>
    </w:pPr>
    <w:rPr>
      <w:b w:val="0"/>
      <w:bCs w:val="0"/>
      <w:szCs w:val="28"/>
    </w:rPr>
  </w:style>
  <w:style w:type="paragraph" w:styleId="Heading5">
    <w:name w:val="heading 5"/>
    <w:aliases w:val="ECHA Heading 5"/>
    <w:basedOn w:val="Heading3"/>
    <w:next w:val="BodyText"/>
    <w:link w:val="Heading5Char"/>
    <w:qFormat/>
    <w:pPr>
      <w:numPr>
        <w:ilvl w:val="4"/>
      </w:numPr>
      <w:outlineLvl w:val="4"/>
    </w:pPr>
    <w:rPr>
      <w:bCs w:val="0"/>
      <w:iCs/>
      <w:sz w:val="20"/>
      <w:szCs w:val="26"/>
    </w:rPr>
  </w:style>
  <w:style w:type="paragraph" w:styleId="Heading6">
    <w:name w:val="heading 6"/>
    <w:aliases w:val="ECHA Heading 6"/>
    <w:basedOn w:val="Heading5"/>
    <w:next w:val="BodyText"/>
    <w:link w:val="Heading6Char"/>
    <w:qFormat/>
    <w:pPr>
      <w:numPr>
        <w:ilvl w:val="5"/>
      </w:numPr>
      <w:outlineLvl w:val="5"/>
    </w:pPr>
    <w:rPr>
      <w:bCs/>
      <w:szCs w:val="22"/>
    </w:rPr>
  </w:style>
  <w:style w:type="paragraph" w:styleId="Heading7">
    <w:name w:val="heading 7"/>
    <w:aliases w:val="ECHA Heading 7"/>
    <w:basedOn w:val="Heading5"/>
    <w:next w:val="BodyText"/>
    <w:link w:val="Heading7Char"/>
    <w:qFormat/>
    <w:pPr>
      <w:numPr>
        <w:ilvl w:val="6"/>
      </w:numPr>
      <w:outlineLvl w:val="6"/>
    </w:pPr>
    <w:rPr>
      <w:szCs w:val="24"/>
    </w:rPr>
  </w:style>
  <w:style w:type="paragraph" w:styleId="Heading8">
    <w:name w:val="heading 8"/>
    <w:aliases w:val="ECHA Heading 8"/>
    <w:basedOn w:val="Heading5"/>
    <w:next w:val="BodyText"/>
    <w:link w:val="Heading8Char"/>
    <w:qFormat/>
    <w:pPr>
      <w:numPr>
        <w:ilvl w:val="7"/>
      </w:numPr>
      <w:outlineLvl w:val="7"/>
    </w:pPr>
    <w:rPr>
      <w:iCs w:val="0"/>
      <w:szCs w:val="24"/>
    </w:rPr>
  </w:style>
  <w:style w:type="paragraph" w:styleId="Heading9">
    <w:name w:val="heading 9"/>
    <w:aliases w:val="ECHA Heading 9"/>
    <w:basedOn w:val="Heading5"/>
    <w:next w:val="BodyText"/>
    <w:link w:val="Heading9Char"/>
    <w:qFormat/>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HA Heading 1 Char"/>
    <w:basedOn w:val="DefaultParagraphFont"/>
    <w:link w:val="Heading1"/>
    <w:uiPriority w:val="99"/>
    <w:locked/>
    <w:rPr>
      <w:rFonts w:cs="Times New Roman"/>
      <w:b/>
      <w:color w:val="0046AD"/>
      <w:sz w:val="28"/>
      <w:szCs w:val="24"/>
      <w:lang w:eastAsia="fi-FI"/>
    </w:rPr>
  </w:style>
  <w:style w:type="character" w:customStyle="1" w:styleId="Heading2Char">
    <w:name w:val="Heading 2 Char"/>
    <w:aliases w:val="ECHA Heading 2 Char"/>
    <w:basedOn w:val="DefaultParagraphFont"/>
    <w:link w:val="Heading2"/>
    <w:locked/>
    <w:rPr>
      <w:rFonts w:ascii="Cambria" w:hAnsi="Cambria"/>
      <w:b/>
      <w:i/>
      <w:sz w:val="28"/>
      <w:lang w:val="x-none" w:eastAsia="fi-FI"/>
    </w:rPr>
  </w:style>
  <w:style w:type="character" w:customStyle="1" w:styleId="Heading3Char">
    <w:name w:val="Heading 3 Char"/>
    <w:aliases w:val="ECHA Heading 3 Char,SAR sub section 1.1.1 Char"/>
    <w:basedOn w:val="DefaultParagraphFont"/>
    <w:link w:val="Heading3"/>
    <w:uiPriority w:val="99"/>
    <w:locked/>
    <w:rPr>
      <w:rFonts w:cs="Arial"/>
      <w:b/>
      <w:bCs/>
      <w:color w:val="000000"/>
      <w:sz w:val="22"/>
      <w:szCs w:val="22"/>
      <w:lang w:eastAsia="fi-FI"/>
    </w:rPr>
  </w:style>
  <w:style w:type="character" w:customStyle="1" w:styleId="Heading4Char">
    <w:name w:val="Heading 4 Char"/>
    <w:aliases w:val="ECHA Heading 4 Char"/>
    <w:basedOn w:val="DefaultParagraphFont"/>
    <w:link w:val="Heading4"/>
    <w:uiPriority w:val="9"/>
    <w:locked/>
    <w:rPr>
      <w:rFonts w:cs="Arial"/>
      <w:color w:val="000000"/>
      <w:sz w:val="22"/>
      <w:szCs w:val="28"/>
      <w:lang w:eastAsia="fi-FI"/>
    </w:rPr>
  </w:style>
  <w:style w:type="character" w:customStyle="1" w:styleId="Heading5Char">
    <w:name w:val="Heading 5 Char"/>
    <w:aliases w:val="ECHA Heading 5 Char"/>
    <w:basedOn w:val="DefaultParagraphFont"/>
    <w:link w:val="Heading5"/>
    <w:locked/>
    <w:rPr>
      <w:rFonts w:cs="Arial"/>
      <w:b/>
      <w:iCs/>
      <w:color w:val="000000"/>
      <w:szCs w:val="26"/>
      <w:lang w:eastAsia="fi-FI"/>
    </w:rPr>
  </w:style>
  <w:style w:type="character" w:customStyle="1" w:styleId="Heading6Char">
    <w:name w:val="Heading 6 Char"/>
    <w:aliases w:val="ECHA Heading 6 Char"/>
    <w:basedOn w:val="DefaultParagraphFont"/>
    <w:link w:val="Heading6"/>
    <w:locked/>
    <w:rPr>
      <w:rFonts w:cs="Arial"/>
      <w:b/>
      <w:bCs/>
      <w:iCs/>
      <w:color w:val="000000"/>
      <w:szCs w:val="22"/>
      <w:lang w:eastAsia="fi-FI"/>
    </w:rPr>
  </w:style>
  <w:style w:type="character" w:customStyle="1" w:styleId="Heading7Char">
    <w:name w:val="Heading 7 Char"/>
    <w:aliases w:val="ECHA Heading 7 Char"/>
    <w:basedOn w:val="DefaultParagraphFont"/>
    <w:link w:val="Heading7"/>
    <w:locked/>
    <w:rPr>
      <w:rFonts w:cs="Arial"/>
      <w:b/>
      <w:iCs/>
      <w:color w:val="000000"/>
      <w:szCs w:val="24"/>
      <w:lang w:eastAsia="fi-FI"/>
    </w:rPr>
  </w:style>
  <w:style w:type="character" w:customStyle="1" w:styleId="Heading8Char">
    <w:name w:val="Heading 8 Char"/>
    <w:aliases w:val="ECHA Heading 8 Char"/>
    <w:basedOn w:val="DefaultParagraphFont"/>
    <w:link w:val="Heading8"/>
    <w:locked/>
    <w:rPr>
      <w:rFonts w:cs="Arial"/>
      <w:b/>
      <w:color w:val="000000"/>
      <w:szCs w:val="24"/>
      <w:lang w:eastAsia="fi-FI"/>
    </w:rPr>
  </w:style>
  <w:style w:type="character" w:customStyle="1" w:styleId="Heading9Char">
    <w:name w:val="Heading 9 Char"/>
    <w:aliases w:val="ECHA Heading 9 Char"/>
    <w:basedOn w:val="DefaultParagraphFont"/>
    <w:link w:val="Heading9"/>
    <w:locked/>
    <w:rPr>
      <w:rFonts w:cs="Arial"/>
      <w:b/>
      <w:iCs/>
      <w:color w:val="000000"/>
      <w:szCs w:val="22"/>
      <w:lang w:eastAsia="fi-FI"/>
    </w:rPr>
  </w:style>
  <w:style w:type="paragraph" w:styleId="Header">
    <w:name w:val="header"/>
    <w:basedOn w:val="Normal"/>
    <w:link w:val="HeaderChar"/>
    <w:pPr>
      <w:tabs>
        <w:tab w:val="left" w:pos="4536"/>
        <w:tab w:val="left" w:pos="7088"/>
        <w:tab w:val="left" w:pos="8789"/>
      </w:tabs>
      <w:jc w:val="right"/>
    </w:pPr>
  </w:style>
  <w:style w:type="character" w:customStyle="1" w:styleId="HeaderChar">
    <w:name w:val="Header Char"/>
    <w:basedOn w:val="DefaultParagraphFont"/>
    <w:link w:val="Header"/>
    <w:locked/>
    <w:rPr>
      <w:lang w:val="x-none" w:eastAsia="fi-FI"/>
    </w:rPr>
  </w:style>
  <w:style w:type="paragraph" w:styleId="Footer">
    <w:name w:val="footer"/>
    <w:basedOn w:val="Normal"/>
    <w:link w:val="FooterChar"/>
    <w:pPr>
      <w:spacing w:line="160" w:lineRule="exact"/>
    </w:pPr>
    <w:rPr>
      <w:spacing w:val="2"/>
      <w:sz w:val="13"/>
    </w:rPr>
  </w:style>
  <w:style w:type="character" w:customStyle="1" w:styleId="FooterChar">
    <w:name w:val="Footer Char"/>
    <w:basedOn w:val="DefaultParagraphFont"/>
    <w:link w:val="Footer"/>
    <w:uiPriority w:val="99"/>
    <w:locked/>
    <w:rPr>
      <w:spacing w:val="2"/>
      <w:sz w:val="13"/>
      <w:lang w:val="x-none" w:eastAsia="fi-FI"/>
    </w:rPr>
  </w:style>
  <w:style w:type="character" w:styleId="PageNumber">
    <w:name w:val="page number"/>
    <w:basedOn w:val="DefaultParagraphFont"/>
    <w:rPr>
      <w:rFonts w:ascii="Verdana" w:hAnsi="Verdana"/>
      <w:sz w:val="20"/>
    </w:rPr>
  </w:style>
  <w:style w:type="character" w:customStyle="1" w:styleId="Italic">
    <w:name w:val="Italic"/>
    <w:rPr>
      <w:rFonts w:ascii="Verdana" w:hAnsi="Verdana"/>
      <w:i/>
      <w:sz w:val="20"/>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x-none" w:eastAsia="fi-FI"/>
    </w:rPr>
  </w:style>
  <w:style w:type="paragraph" w:styleId="TOC1">
    <w:name w:val="toc 1"/>
    <w:basedOn w:val="Normal"/>
    <w:next w:val="Normal"/>
    <w:autoRedefine/>
    <w:uiPriority w:val="39"/>
    <w:rsid w:val="0036652E"/>
    <w:pPr>
      <w:tabs>
        <w:tab w:val="right" w:leader="dot" w:pos="9629"/>
      </w:tabs>
      <w:spacing w:before="120" w:after="120"/>
    </w:pPr>
    <w:rPr>
      <w:rFonts w:ascii="Calibri" w:hAnsi="Calibri" w:cs="Calibri"/>
      <w:b/>
      <w:bCs/>
      <w:caps/>
    </w:rPr>
  </w:style>
  <w:style w:type="paragraph" w:styleId="TOC2">
    <w:name w:val="toc 2"/>
    <w:basedOn w:val="Normal"/>
    <w:next w:val="Normal"/>
    <w:autoRedefine/>
    <w:uiPriority w:val="39"/>
    <w:rsid w:val="0059641B"/>
    <w:pPr>
      <w:tabs>
        <w:tab w:val="right" w:leader="dot" w:pos="9629"/>
      </w:tabs>
      <w:ind w:left="567" w:hanging="367"/>
    </w:pPr>
    <w:rPr>
      <w:rFonts w:ascii="Calibri" w:hAnsi="Calibri" w:cs="Calibri"/>
    </w:rPr>
  </w:style>
  <w:style w:type="paragraph" w:styleId="TOC3">
    <w:name w:val="toc 3"/>
    <w:basedOn w:val="Normal"/>
    <w:next w:val="Normal"/>
    <w:autoRedefine/>
    <w:uiPriority w:val="39"/>
    <w:pPr>
      <w:ind w:left="400"/>
    </w:pPr>
    <w:rPr>
      <w:rFonts w:ascii="Calibri" w:hAnsi="Calibri" w:cs="Calibri"/>
      <w:i/>
      <w:iCs/>
    </w:rPr>
  </w:style>
  <w:style w:type="character" w:styleId="Hyperlink">
    <w:name w:val="Hyperlink"/>
    <w:basedOn w:val="DefaultParagraphFont"/>
    <w:uiPriority w:val="99"/>
    <w:rPr>
      <w:rFonts w:ascii="Verdana" w:hAnsi="Verdana"/>
      <w:color w:val="0000FF"/>
      <w:sz w:val="20"/>
      <w:u w:val="single"/>
    </w:rPr>
  </w:style>
  <w:style w:type="paragraph" w:customStyle="1" w:styleId="Leipteksti1">
    <w:name w:val="Leipäteksti1"/>
    <w:basedOn w:val="Normal"/>
    <w:semiHidden/>
    <w:pPr>
      <w:ind w:left="2608"/>
    </w:pPr>
    <w:rPr>
      <w:szCs w:val="24"/>
    </w:rPr>
  </w:style>
  <w:style w:type="character" w:styleId="CommentReference">
    <w:name w:val="annotation reference"/>
    <w:basedOn w:val="DefaultParagraphFont"/>
    <w:uiPriority w:val="99"/>
    <w:rPr>
      <w:sz w:val="16"/>
    </w:rPr>
  </w:style>
  <w:style w:type="paragraph" w:styleId="CommentText">
    <w:name w:val="annotation text"/>
    <w:aliases w:val=" Char Char Char Char, Char Char Char Char Char,Char Char Char Char,Char Char Char Char Char,Char Char Char Char Char Char Char Char Char Char Char Char,Char Char Char Char Char Char Char Char Char Char,Char,Char Car,Cha,Char Car , Cha"/>
    <w:basedOn w:val="Normal"/>
    <w:link w:val="CommentTextChar"/>
    <w:uiPriority w:val="99"/>
  </w:style>
  <w:style w:type="character" w:customStyle="1" w:styleId="CommentTextChar">
    <w:name w:val="Comment Text Char"/>
    <w:aliases w:val=" Char Char Char Char Char1, Char Char Char Char Char Char,Char Char Char Char Char1,Char Char Char Char Char Char,Char Char Char Char Char Char Char Char Char Char Char Char Char,Char Char Char Char Char Char Char Char Char Char Char"/>
    <w:basedOn w:val="DefaultParagraphFont"/>
    <w:link w:val="CommentText"/>
    <w:uiPriority w:val="99"/>
    <w:locked/>
    <w:rPr>
      <w:lang w:val="x-none" w:eastAsia="fi-FI"/>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uiPriority w:val="99"/>
    <w:semiHidden/>
    <w:locked/>
    <w:rPr>
      <w:b/>
      <w:lang w:val="x-none" w:eastAsia="fi-FI"/>
    </w:rPr>
  </w:style>
  <w:style w:type="character" w:styleId="FollowedHyperlink">
    <w:name w:val="FollowedHyperlink"/>
    <w:aliases w:val="Hyperlink opened"/>
    <w:basedOn w:val="DefaultParagraphFont"/>
    <w:rPr>
      <w:rFonts w:ascii="Verdana" w:hAnsi="Verdana"/>
      <w:color w:val="800080"/>
      <w:sz w:val="20"/>
      <w:u w:val="single"/>
    </w:rPr>
  </w:style>
  <w:style w:type="paragraph" w:styleId="BodyText">
    <w:name w:val="Body Text"/>
    <w:aliases w:val="Text, Car,Car,Char1, Char"/>
    <w:basedOn w:val="Normal"/>
    <w:link w:val="BodyTextChar"/>
    <w:pPr>
      <w:spacing w:after="240"/>
    </w:pPr>
  </w:style>
  <w:style w:type="character" w:customStyle="1" w:styleId="BodyTextChar">
    <w:name w:val="Body Text Char"/>
    <w:aliases w:val="Text Char, Car Char,Car Char,Char1 Char, Char Char"/>
    <w:basedOn w:val="DefaultParagraphFont"/>
    <w:link w:val="BodyText"/>
    <w:locked/>
    <w:rsid w:val="006358C1"/>
    <w:rPr>
      <w:lang w:val="x-none" w:eastAsia="fi-FI"/>
    </w:rPr>
  </w:style>
  <w:style w:type="paragraph" w:styleId="BodyTextFirstIndent">
    <w:name w:val="Body Text First Indent"/>
    <w:basedOn w:val="BodyText"/>
    <w:link w:val="BodyTextFirstIndentChar"/>
    <w:uiPriority w:val="99"/>
    <w:semiHidden/>
    <w:pPr>
      <w:spacing w:after="120"/>
      <w:ind w:firstLine="210"/>
    </w:pPr>
  </w:style>
  <w:style w:type="character" w:customStyle="1" w:styleId="BodyTextFirstIndentChar">
    <w:name w:val="Body Text First Indent Char"/>
    <w:basedOn w:val="BodyTextChar"/>
    <w:link w:val="BodyTextFirstIndent"/>
    <w:uiPriority w:val="99"/>
    <w:semiHidden/>
    <w:locked/>
    <w:rPr>
      <w:lang w:val="x-none" w:eastAsia="fi-FI"/>
    </w:rPr>
  </w:style>
  <w:style w:type="character" w:customStyle="1" w:styleId="Bold">
    <w:name w:val="Bold"/>
    <w:rPr>
      <w:rFonts w:ascii="Verdana" w:hAnsi="Verdana"/>
      <w:b/>
      <w:sz w:val="20"/>
    </w:rPr>
  </w:style>
  <w:style w:type="paragraph" w:customStyle="1" w:styleId="BulletedList1-usermanual">
    <w:name w:val="Bulleted List 1 - user manual"/>
    <w:basedOn w:val="Normal"/>
    <w:pPr>
      <w:numPr>
        <w:numId w:val="4"/>
      </w:numPr>
      <w:spacing w:line="360" w:lineRule="auto"/>
    </w:pPr>
  </w:style>
  <w:style w:type="paragraph" w:styleId="Title">
    <w:name w:val="Title"/>
    <w:aliases w:val="ECHA Heading"/>
    <w:basedOn w:val="Heading1"/>
    <w:next w:val="BodyText"/>
    <w:link w:val="TitleChar"/>
    <w:qFormat/>
    <w:rPr>
      <w:rFonts w:cs="Arial"/>
      <w:bCs/>
      <w:szCs w:val="32"/>
    </w:rPr>
  </w:style>
  <w:style w:type="character" w:customStyle="1" w:styleId="TitleChar">
    <w:name w:val="Title Char"/>
    <w:aliases w:val="ECHA Heading Char"/>
    <w:basedOn w:val="DefaultParagraphFont"/>
    <w:link w:val="Title"/>
    <w:locked/>
    <w:rPr>
      <w:rFonts w:cs="Arial"/>
      <w:b/>
      <w:bCs/>
      <w:color w:val="0046AD"/>
      <w:sz w:val="28"/>
      <w:szCs w:val="32"/>
      <w:lang w:eastAsia="fi-FI"/>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lang w:val="x-none" w:eastAsia="fi-FI"/>
    </w:rPr>
  </w:style>
  <w:style w:type="paragraph" w:styleId="BodyTextFirstIndent2">
    <w:name w:val="Body Text First Indent 2"/>
    <w:basedOn w:val="Normal"/>
    <w:link w:val="BodyTextFirstIndent2Char"/>
    <w:uiPriority w:val="99"/>
    <w:semiHidden/>
    <w:pPr>
      <w:spacing w:after="120"/>
      <w:ind w:left="283" w:firstLine="210"/>
    </w:pPr>
  </w:style>
  <w:style w:type="character" w:customStyle="1" w:styleId="BodyTextFirstIndent2Char">
    <w:name w:val="Body Text First Indent 2 Char"/>
    <w:basedOn w:val="BodyTextIndentChar"/>
    <w:link w:val="BodyTextFirstIndent2"/>
    <w:uiPriority w:val="99"/>
    <w:semiHidden/>
    <w:locked/>
    <w:rPr>
      <w:lang w:val="x-none" w:eastAsia="fi-FI"/>
    </w:rPr>
  </w:style>
  <w:style w:type="paragraph" w:customStyle="1" w:styleId="Footnotes">
    <w:name w:val="Footnotes"/>
    <w:basedOn w:val="BodyText"/>
    <w:rPr>
      <w:rFonts w:ascii="Georgia" w:hAnsi="Georgia"/>
      <w:sz w:val="18"/>
    </w:rPr>
  </w:style>
  <w:style w:type="paragraph" w:customStyle="1" w:styleId="Disclaimer">
    <w:name w:val="Disclaimer"/>
    <w:basedOn w:val="Footer"/>
    <w:pPr>
      <w:spacing w:before="120" w:line="140" w:lineRule="exact"/>
    </w:pPr>
    <w:rPr>
      <w:spacing w:val="0"/>
      <w:sz w:val="11"/>
    </w:rPr>
  </w:style>
  <w:style w:type="table" w:styleId="TableGrid">
    <w:name w:val="Table Grid"/>
    <w:basedOn w:val="TableNormal"/>
    <w:uiPriority w:val="39"/>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w:basedOn w:val="Normal"/>
    <w:link w:val="FootnoteTextChar"/>
    <w:uiPriority w:val="99"/>
  </w:style>
  <w:style w:type="character" w:customStyle="1" w:styleId="FootnoteTextChar">
    <w:name w:val="Footnote Text Char"/>
    <w:aliases w:val="Footnote Text Char Char Char"/>
    <w:basedOn w:val="DefaultParagraphFont"/>
    <w:link w:val="FootnoteText"/>
    <w:uiPriority w:val="99"/>
    <w:locked/>
    <w:rPr>
      <w:lang w:val="x-none" w:eastAsia="fi-FI"/>
    </w:rPr>
  </w:style>
  <w:style w:type="character" w:styleId="FootnoteReference">
    <w:name w:val="footnote reference"/>
    <w:aliases w:val="Footnote,Footnote Reference/"/>
    <w:basedOn w:val="DefaultParagraphFont"/>
    <w:uiPriority w:val="99"/>
    <w:rPr>
      <w:rFonts w:ascii="Georgia" w:hAnsi="Georgia"/>
      <w:sz w:val="16"/>
      <w:vertAlign w:val="superscript"/>
    </w:rPr>
  </w:style>
  <w:style w:type="paragraph" w:customStyle="1" w:styleId="Tableheader">
    <w:name w:val="Table header"/>
    <w:basedOn w:val="BodyText"/>
    <w:pPr>
      <w:spacing w:after="120"/>
    </w:pPr>
    <w:rPr>
      <w:b/>
      <w:color w:val="FFCC00"/>
      <w:sz w:val="18"/>
      <w:szCs w:val="18"/>
    </w:rPr>
  </w:style>
  <w:style w:type="paragraph" w:customStyle="1" w:styleId="Tabletext">
    <w:name w:val="Tabletext"/>
    <w:basedOn w:val="BodyText"/>
    <w:link w:val="TabletextChar"/>
    <w:pPr>
      <w:spacing w:after="0"/>
    </w:pPr>
    <w:rPr>
      <w:sz w:val="18"/>
    </w:rPr>
  </w:style>
  <w:style w:type="paragraph" w:customStyle="1" w:styleId="Covertitle">
    <w:name w:val="Cover title"/>
    <w:basedOn w:val="Normal"/>
    <w:link w:val="CovertitleChar"/>
    <w:qFormat/>
    <w:pPr>
      <w:widowControl/>
      <w:spacing w:before="2160" w:after="240"/>
      <w:jc w:val="center"/>
    </w:pPr>
    <w:rPr>
      <w:b/>
      <w:sz w:val="32"/>
      <w:szCs w:val="24"/>
      <w:lang w:eastAsia="en-US"/>
    </w:rPr>
  </w:style>
  <w:style w:type="paragraph" w:customStyle="1" w:styleId="NormalItalic">
    <w:name w:val="Normal Italic"/>
    <w:basedOn w:val="Normal"/>
    <w:link w:val="NormalItalicCharChar"/>
    <w:pPr>
      <w:widowControl/>
      <w:spacing w:after="180"/>
      <w:jc w:val="both"/>
    </w:pPr>
    <w:rPr>
      <w:i/>
      <w:szCs w:val="24"/>
      <w:lang w:eastAsia="en-US"/>
    </w:rPr>
  </w:style>
  <w:style w:type="character" w:customStyle="1" w:styleId="CovertitleChar">
    <w:name w:val="Cover title Char"/>
    <w:link w:val="Covertitle"/>
    <w:locked/>
    <w:rPr>
      <w:b/>
      <w:sz w:val="24"/>
      <w:lang w:val="x-none" w:eastAsia="en-US"/>
    </w:rPr>
  </w:style>
  <w:style w:type="character" w:customStyle="1" w:styleId="NormalItalicCharChar">
    <w:name w:val="Normal Italic Char Char"/>
    <w:link w:val="NormalItalic"/>
    <w:locked/>
    <w:rPr>
      <w:i/>
      <w:sz w:val="24"/>
      <w:lang w:val="x-none" w:eastAsia="en-US"/>
    </w:rPr>
  </w:style>
  <w:style w:type="paragraph" w:customStyle="1" w:styleId="Sectiontitle">
    <w:name w:val="Section title"/>
    <w:basedOn w:val="Normal"/>
    <w:next w:val="Normal"/>
    <w:link w:val="SectiontitleChar"/>
    <w:pPr>
      <w:widowControl/>
      <w:spacing w:before="240" w:after="360"/>
      <w:jc w:val="center"/>
    </w:pPr>
    <w:rPr>
      <w:b/>
      <w:caps/>
      <w:sz w:val="32"/>
      <w:szCs w:val="32"/>
      <w:lang w:eastAsia="en-US"/>
    </w:rPr>
  </w:style>
  <w:style w:type="character" w:customStyle="1" w:styleId="SectiontitleChar">
    <w:name w:val="Section title Char"/>
    <w:link w:val="Sectiontitle"/>
    <w:locked/>
    <w:rPr>
      <w:b/>
      <w:caps/>
      <w:sz w:val="32"/>
      <w:lang w:val="x-none" w:eastAsia="en-US"/>
    </w:rPr>
  </w:style>
  <w:style w:type="paragraph" w:styleId="Caption">
    <w:name w:val="caption"/>
    <w:aliases w:val="Caption Table"/>
    <w:basedOn w:val="Normal"/>
    <w:next w:val="Normal"/>
    <w:link w:val="CaptionChar"/>
    <w:qFormat/>
    <w:pPr>
      <w:keepNext/>
      <w:widowControl/>
      <w:spacing w:before="120" w:after="90"/>
      <w:ind w:left="57"/>
      <w:jc w:val="both"/>
    </w:pPr>
    <w:rPr>
      <w:bCs/>
      <w:sz w:val="22"/>
      <w:szCs w:val="24"/>
      <w:lang w:eastAsia="en-US"/>
    </w:rPr>
  </w:style>
  <w:style w:type="character" w:customStyle="1" w:styleId="CaptionChar">
    <w:name w:val="Caption Char"/>
    <w:aliases w:val="Caption Table Char"/>
    <w:link w:val="Caption"/>
    <w:locked/>
    <w:rPr>
      <w:sz w:val="24"/>
      <w:lang w:val="x-none" w:eastAsia="en-US"/>
    </w:rPr>
  </w:style>
  <w:style w:type="paragraph" w:customStyle="1" w:styleId="TableRowHeader">
    <w:name w:val="Table Row Header"/>
    <w:basedOn w:val="Normal"/>
    <w:pPr>
      <w:keepNext/>
      <w:keepLines/>
      <w:widowControl/>
      <w:spacing w:before="54" w:after="54"/>
      <w:ind w:left="113"/>
      <w:jc w:val="both"/>
    </w:pPr>
    <w:rPr>
      <w:b/>
      <w:bCs/>
      <w:szCs w:val="22"/>
      <w:lang w:eastAsia="da-DK"/>
    </w:rPr>
  </w:style>
  <w:style w:type="paragraph" w:customStyle="1" w:styleId="StyleTabletextItalic">
    <w:name w:val="Style Table text + Italic"/>
    <w:basedOn w:val="Normal"/>
    <w:pPr>
      <w:keepNext/>
      <w:keepLines/>
      <w:widowControl/>
      <w:spacing w:before="54" w:after="54"/>
      <w:ind w:left="113"/>
      <w:jc w:val="both"/>
    </w:pPr>
    <w:rPr>
      <w:i/>
      <w:iCs/>
      <w:szCs w:val="24"/>
      <w:lang w:eastAsia="da-DK"/>
    </w:rPr>
  </w:style>
  <w:style w:type="paragraph" w:customStyle="1" w:styleId="StyleTableRowHeaderItalic">
    <w:name w:val="Style Table Row Header + Italic"/>
    <w:basedOn w:val="TableRowHeader"/>
    <w:rPr>
      <w:i/>
      <w:iCs/>
    </w:rPr>
  </w:style>
  <w:style w:type="paragraph" w:customStyle="1" w:styleId="TableColumnHeader">
    <w:name w:val="Table Column Header"/>
    <w:basedOn w:val="Normal"/>
    <w:pPr>
      <w:keepNext/>
      <w:keepLines/>
      <w:widowControl/>
      <w:spacing w:before="54" w:after="54"/>
      <w:ind w:left="113"/>
      <w:jc w:val="center"/>
    </w:pPr>
    <w:rPr>
      <w:b/>
      <w:bCs/>
      <w:szCs w:val="22"/>
      <w:lang w:eastAsia="da-DK"/>
    </w:rPr>
  </w:style>
  <w:style w:type="paragraph" w:customStyle="1" w:styleId="Tablenote">
    <w:name w:val="Table note"/>
    <w:next w:val="BodyText"/>
    <w:pPr>
      <w:spacing w:before="90"/>
      <w:ind w:left="839"/>
      <w:jc w:val="both"/>
    </w:pPr>
    <w:rPr>
      <w:rFonts w:ascii="Times New Roman" w:hAnsi="Times New Roman" w:cs="Times New Roman"/>
      <w:spacing w:val="-3"/>
      <w:lang w:val="en-US" w:eastAsia="en-US"/>
    </w:rPr>
  </w:style>
  <w:style w:type="paragraph" w:customStyle="1" w:styleId="Tabletext0">
    <w:name w:val="Table text"/>
    <w:basedOn w:val="Normal"/>
    <w:link w:val="TabletextCar"/>
    <w:qFormat/>
    <w:pPr>
      <w:keepNext/>
      <w:keepLines/>
      <w:widowControl/>
      <w:spacing w:before="54" w:after="54"/>
      <w:ind w:left="113"/>
      <w:jc w:val="both"/>
    </w:pPr>
    <w:rPr>
      <w:szCs w:val="24"/>
      <w:lang w:eastAsia="da-DK"/>
    </w:rPr>
  </w:style>
  <w:style w:type="character" w:customStyle="1" w:styleId="TabletextCar">
    <w:name w:val="Table text Car"/>
    <w:link w:val="Tabletext0"/>
    <w:locked/>
    <w:rPr>
      <w:sz w:val="24"/>
      <w:lang w:val="x-none" w:eastAsia="da-DK"/>
    </w:rPr>
  </w:style>
  <w:style w:type="paragraph" w:customStyle="1" w:styleId="Normalbold">
    <w:name w:val="Normal bold"/>
    <w:basedOn w:val="Normal"/>
    <w:link w:val="NormalboldChar"/>
    <w:pPr>
      <w:widowControl/>
      <w:spacing w:after="180"/>
      <w:jc w:val="both"/>
    </w:pPr>
    <w:rPr>
      <w:b/>
      <w:szCs w:val="24"/>
      <w:lang w:eastAsia="en-US"/>
    </w:rPr>
  </w:style>
  <w:style w:type="paragraph" w:customStyle="1" w:styleId="Tablenumbers">
    <w:name w:val="Table numbers"/>
    <w:basedOn w:val="Tabletext0"/>
    <w:link w:val="TablenumbersChar"/>
    <w:pPr>
      <w:jc w:val="center"/>
    </w:pPr>
  </w:style>
  <w:style w:type="character" w:customStyle="1" w:styleId="TablenumbersChar">
    <w:name w:val="Table numbers Char"/>
    <w:link w:val="Tablenumbers"/>
    <w:locked/>
    <w:rPr>
      <w:sz w:val="24"/>
      <w:lang w:val="x-none" w:eastAsia="da-DK"/>
    </w:rPr>
  </w:style>
  <w:style w:type="paragraph" w:customStyle="1" w:styleId="Figure">
    <w:name w:val="Figure"/>
    <w:basedOn w:val="Normal"/>
    <w:next w:val="CaptionFigure"/>
    <w:pPr>
      <w:widowControl/>
      <w:spacing w:before="360" w:after="180"/>
      <w:jc w:val="center"/>
    </w:pPr>
    <w:rPr>
      <w:szCs w:val="24"/>
      <w:lang w:eastAsia="en-US"/>
    </w:rPr>
  </w:style>
  <w:style w:type="paragraph" w:customStyle="1" w:styleId="CaptionFigure">
    <w:name w:val="Caption Figure"/>
    <w:basedOn w:val="Caption"/>
    <w:pPr>
      <w:jc w:val="center"/>
    </w:pPr>
    <w:rPr>
      <w:sz w:val="24"/>
    </w:rPr>
  </w:style>
  <w:style w:type="character" w:customStyle="1" w:styleId="NormalboldChar">
    <w:name w:val="Normal bold Char"/>
    <w:link w:val="Normalbold"/>
    <w:locked/>
    <w:rPr>
      <w:b/>
      <w:sz w:val="24"/>
      <w:lang w:val="x-none" w:eastAsia="en-US"/>
    </w:rPr>
  </w:style>
  <w:style w:type="paragraph" w:customStyle="1" w:styleId="References">
    <w:name w:val="References"/>
    <w:basedOn w:val="Normal"/>
    <w:pPr>
      <w:widowControl/>
      <w:spacing w:after="180"/>
      <w:ind w:left="720" w:hanging="720"/>
      <w:jc w:val="both"/>
    </w:pPr>
    <w:rPr>
      <w:szCs w:val="24"/>
      <w:lang w:eastAsia="en-US"/>
    </w:rPr>
  </w:style>
  <w:style w:type="paragraph" w:customStyle="1" w:styleId="Heading">
    <w:name w:val="Heading"/>
    <w:basedOn w:val="Normal"/>
    <w:next w:val="Normal"/>
    <w:link w:val="HeadingChar"/>
    <w:pPr>
      <w:keepNext/>
      <w:widowControl/>
      <w:numPr>
        <w:numId w:val="5"/>
      </w:numPr>
      <w:suppressAutoHyphens/>
      <w:spacing w:before="240" w:after="120"/>
    </w:pPr>
    <w:rPr>
      <w:rFonts w:eastAsia="SimSun"/>
      <w:b/>
      <w:caps/>
      <w:szCs w:val="28"/>
      <w:lang w:eastAsia="ar-SA"/>
    </w:rPr>
  </w:style>
  <w:style w:type="paragraph" w:styleId="TableofFigures">
    <w:name w:val="table of figures"/>
    <w:basedOn w:val="Normal"/>
    <w:next w:val="Normal"/>
    <w:uiPriority w:val="99"/>
  </w:style>
  <w:style w:type="paragraph" w:styleId="TOC4">
    <w:name w:val="toc 4"/>
    <w:basedOn w:val="Normal"/>
    <w:next w:val="Normal"/>
    <w:autoRedefine/>
    <w:uiPriority w:val="39"/>
    <w:pPr>
      <w:ind w:left="600"/>
    </w:pPr>
    <w:rPr>
      <w:rFonts w:ascii="Calibri" w:hAnsi="Calibri" w:cs="Calibri"/>
      <w:sz w:val="18"/>
      <w:szCs w:val="18"/>
    </w:rPr>
  </w:style>
  <w:style w:type="paragraph" w:styleId="TOC5">
    <w:name w:val="toc 5"/>
    <w:basedOn w:val="Normal"/>
    <w:next w:val="Normal"/>
    <w:autoRedefine/>
    <w:uiPriority w:val="39"/>
    <w:pPr>
      <w:ind w:left="800"/>
    </w:pPr>
    <w:rPr>
      <w:rFonts w:ascii="Calibri" w:hAnsi="Calibri" w:cs="Calibri"/>
      <w:sz w:val="18"/>
      <w:szCs w:val="18"/>
    </w:rPr>
  </w:style>
  <w:style w:type="paragraph" w:styleId="TOC6">
    <w:name w:val="toc 6"/>
    <w:basedOn w:val="Normal"/>
    <w:next w:val="Normal"/>
    <w:autoRedefine/>
    <w:uiPriority w:val="39"/>
    <w:pPr>
      <w:ind w:left="1000"/>
    </w:pPr>
    <w:rPr>
      <w:rFonts w:ascii="Calibri" w:hAnsi="Calibri" w:cs="Calibri"/>
      <w:sz w:val="18"/>
      <w:szCs w:val="18"/>
    </w:rPr>
  </w:style>
  <w:style w:type="paragraph" w:styleId="TOC7">
    <w:name w:val="toc 7"/>
    <w:basedOn w:val="Normal"/>
    <w:next w:val="Normal"/>
    <w:autoRedefine/>
    <w:uiPriority w:val="39"/>
    <w:pPr>
      <w:ind w:left="1200"/>
    </w:pPr>
    <w:rPr>
      <w:rFonts w:ascii="Calibri" w:hAnsi="Calibri" w:cs="Calibri"/>
      <w:sz w:val="18"/>
      <w:szCs w:val="18"/>
    </w:rPr>
  </w:style>
  <w:style w:type="paragraph" w:styleId="TOC8">
    <w:name w:val="toc 8"/>
    <w:basedOn w:val="Normal"/>
    <w:next w:val="Normal"/>
    <w:autoRedefine/>
    <w:uiPriority w:val="39"/>
    <w:pPr>
      <w:spacing w:before="120" w:after="120"/>
    </w:pPr>
    <w:rPr>
      <w:rFonts w:ascii="Calibri" w:hAnsi="Calibri" w:cs="Calibri"/>
      <w:b/>
      <w:caps/>
      <w:szCs w:val="18"/>
    </w:rPr>
  </w:style>
  <w:style w:type="paragraph" w:styleId="TOC9">
    <w:name w:val="toc 9"/>
    <w:basedOn w:val="Normal"/>
    <w:next w:val="Normal"/>
    <w:autoRedefine/>
    <w:uiPriority w:val="39"/>
    <w:pPr>
      <w:tabs>
        <w:tab w:val="left" w:pos="2412"/>
        <w:tab w:val="right" w:leader="dot" w:pos="9629"/>
      </w:tabs>
    </w:pPr>
    <w:rPr>
      <w:rFonts w:ascii="Calibri" w:hAnsi="Calibri" w:cs="Calibri"/>
      <w:szCs w:val="18"/>
    </w:rPr>
  </w:style>
  <w:style w:type="paragraph" w:customStyle="1" w:styleId="Titleintro">
    <w:name w:val="Title intro"/>
    <w:basedOn w:val="Sectiontitle"/>
    <w:link w:val="TitleintroChar"/>
    <w:qFormat/>
  </w:style>
  <w:style w:type="paragraph" w:customStyle="1" w:styleId="ANNEX">
    <w:name w:val="ANNEX"/>
    <w:basedOn w:val="Heading"/>
    <w:link w:val="ANNEXChar"/>
    <w:qFormat/>
    <w:pPr>
      <w:ind w:left="0" w:firstLine="1077"/>
    </w:pPr>
  </w:style>
  <w:style w:type="character" w:customStyle="1" w:styleId="TitleintroChar">
    <w:name w:val="Title intro Char"/>
    <w:link w:val="Titleintro"/>
    <w:locked/>
    <w:rPr>
      <w:b/>
      <w:caps/>
      <w:sz w:val="32"/>
      <w:lang w:val="x-none" w:eastAsia="en-US"/>
    </w:rPr>
  </w:style>
  <w:style w:type="character" w:styleId="Strong">
    <w:name w:val="Strong"/>
    <w:basedOn w:val="DefaultParagraphFont"/>
    <w:uiPriority w:val="22"/>
    <w:qFormat/>
    <w:rPr>
      <w:b/>
    </w:rPr>
  </w:style>
  <w:style w:type="character" w:customStyle="1" w:styleId="HeadingChar">
    <w:name w:val="Heading Char"/>
    <w:link w:val="Heading"/>
    <w:locked/>
    <w:rPr>
      <w:rFonts w:eastAsia="SimSun" w:cs="Times New Roman"/>
      <w:b/>
      <w:caps/>
      <w:szCs w:val="28"/>
      <w:lang w:eastAsia="ar-SA"/>
    </w:rPr>
  </w:style>
  <w:style w:type="character" w:customStyle="1" w:styleId="ANNEXChar">
    <w:name w:val="ANNEX Char"/>
    <w:link w:val="ANNEX"/>
    <w:locked/>
    <w:rPr>
      <w:rFonts w:eastAsia="SimSun" w:cs="Times New Roman"/>
      <w:b/>
      <w:caps/>
      <w:szCs w:val="28"/>
      <w:lang w:eastAsia="ar-SA"/>
    </w:rPr>
  </w:style>
  <w:style w:type="paragraph" w:customStyle="1" w:styleId="Referencetitle">
    <w:name w:val="Reference title"/>
    <w:basedOn w:val="Titleintro"/>
    <w:link w:val="ReferencetitleChar"/>
    <w:qFormat/>
  </w:style>
  <w:style w:type="paragraph" w:customStyle="1" w:styleId="CM1">
    <w:name w:val="CM1"/>
    <w:basedOn w:val="Normal"/>
    <w:next w:val="Normal"/>
    <w:uiPriority w:val="99"/>
    <w:pPr>
      <w:widowControl/>
      <w:autoSpaceDE w:val="0"/>
      <w:autoSpaceDN w:val="0"/>
      <w:adjustRightInd w:val="0"/>
    </w:pPr>
    <w:rPr>
      <w:rFonts w:ascii="Times New Roman" w:hAnsi="Times New Roman"/>
      <w:sz w:val="24"/>
      <w:szCs w:val="24"/>
      <w:lang w:eastAsia="en-GB"/>
    </w:rPr>
  </w:style>
  <w:style w:type="character" w:customStyle="1" w:styleId="ReferencetitleChar">
    <w:name w:val="Reference title Char"/>
    <w:link w:val="Referencetitle"/>
    <w:locked/>
  </w:style>
  <w:style w:type="paragraph" w:customStyle="1" w:styleId="CM3">
    <w:name w:val="CM3"/>
    <w:basedOn w:val="Normal"/>
    <w:next w:val="Normal"/>
    <w:uiPriority w:val="99"/>
    <w:pPr>
      <w:widowControl/>
      <w:autoSpaceDE w:val="0"/>
      <w:autoSpaceDN w:val="0"/>
      <w:adjustRightInd w:val="0"/>
    </w:pPr>
    <w:rPr>
      <w:rFonts w:ascii="Times New Roman" w:hAnsi="Times New Roman"/>
      <w:sz w:val="24"/>
      <w:szCs w:val="24"/>
      <w:lang w:eastAsia="en-GB"/>
    </w:rPr>
  </w:style>
  <w:style w:type="paragraph" w:customStyle="1" w:styleId="CM4">
    <w:name w:val="CM4"/>
    <w:basedOn w:val="Normal"/>
    <w:next w:val="Normal"/>
    <w:uiPriority w:val="99"/>
    <w:pPr>
      <w:widowControl/>
      <w:autoSpaceDE w:val="0"/>
      <w:autoSpaceDN w:val="0"/>
      <w:adjustRightInd w:val="0"/>
    </w:pPr>
    <w:rPr>
      <w:rFonts w:ascii="Times New Roman" w:hAnsi="Times New Roman"/>
      <w:sz w:val="24"/>
      <w:szCs w:val="24"/>
      <w:lang w:eastAsia="en-GB"/>
    </w:rPr>
  </w:style>
  <w:style w:type="paragraph" w:styleId="PlainText">
    <w:name w:val="Plain Text"/>
    <w:basedOn w:val="Normal"/>
    <w:link w:val="PlainTextChar"/>
    <w:uiPriority w:val="99"/>
    <w:unhideWhenUsed/>
    <w:pPr>
      <w:widowControl/>
    </w:pPr>
    <w:rPr>
      <w:szCs w:val="21"/>
      <w:lang w:eastAsia="en-US"/>
    </w:rPr>
  </w:style>
  <w:style w:type="character" w:customStyle="1" w:styleId="PlainTextChar">
    <w:name w:val="Plain Text Char"/>
    <w:basedOn w:val="DefaultParagraphFont"/>
    <w:link w:val="PlainText"/>
    <w:uiPriority w:val="99"/>
    <w:locked/>
    <w:rPr>
      <w:rFonts w:eastAsia="Times New Roman"/>
      <w:sz w:val="21"/>
      <w:lang w:val="x-none" w:eastAsia="en-US"/>
    </w:rPr>
  </w:style>
  <w:style w:type="paragraph" w:customStyle="1" w:styleId="Sisllysluettelonotsikko">
    <w:name w:val="Sisällysluettelon otsikko"/>
    <w:basedOn w:val="Heading1"/>
    <w:next w:val="Normal"/>
    <w:uiPriority w:val="39"/>
    <w:semiHidden/>
    <w:unhideWhenUsed/>
    <w:qFormat/>
    <w:pPr>
      <w:widowControl/>
      <w:numPr>
        <w:numId w:val="0"/>
      </w:numPr>
      <w:spacing w:before="480" w:after="0" w:line="276" w:lineRule="auto"/>
      <w:outlineLvl w:val="9"/>
    </w:pPr>
    <w:rPr>
      <w:rFonts w:ascii="Cambria" w:eastAsia="MS Gothic" w:hAnsi="Cambria"/>
      <w:bCs/>
      <w:color w:val="365F91"/>
      <w:szCs w:val="28"/>
      <w:lang w:val="en-US" w:eastAsia="ja-JP"/>
    </w:rPr>
  </w:style>
  <w:style w:type="paragraph" w:styleId="TOCHeading">
    <w:name w:val="TOC Heading"/>
    <w:basedOn w:val="Heading1"/>
    <w:next w:val="Normal"/>
    <w:uiPriority w:val="39"/>
    <w:qFormat/>
    <w:rsid w:val="00B6376F"/>
    <w:pPr>
      <w:widowControl/>
      <w:numPr>
        <w:numId w:val="0"/>
      </w:numPr>
      <w:spacing w:before="480" w:after="0" w:line="276" w:lineRule="auto"/>
      <w:outlineLvl w:val="9"/>
    </w:pPr>
    <w:rPr>
      <w:rFonts w:ascii="Cambria" w:eastAsia="MS Gothic" w:hAnsi="Cambria"/>
      <w:bCs/>
      <w:color w:val="365F91"/>
      <w:szCs w:val="28"/>
      <w:lang w:val="en-US" w:eastAsia="ja-JP"/>
    </w:rPr>
  </w:style>
  <w:style w:type="paragraph" w:styleId="Revision">
    <w:name w:val="Revision"/>
    <w:hidden/>
    <w:uiPriority w:val="99"/>
    <w:semiHidden/>
    <w:rsid w:val="00473F8A"/>
    <w:rPr>
      <w:rFonts w:cs="Times New Roman"/>
      <w:lang w:eastAsia="fi-FI"/>
    </w:rPr>
  </w:style>
  <w:style w:type="paragraph" w:styleId="NoSpacing">
    <w:name w:val="No Spacing"/>
    <w:uiPriority w:val="1"/>
    <w:qFormat/>
    <w:rsid w:val="001F5783"/>
    <w:pPr>
      <w:widowControl w:val="0"/>
    </w:pPr>
    <w:rPr>
      <w:rFonts w:cs="Times New Roman"/>
      <w:lang w:eastAsia="fi-FI"/>
    </w:rPr>
  </w:style>
  <w:style w:type="paragraph" w:styleId="ListParagraph">
    <w:name w:val="List Paragraph"/>
    <w:basedOn w:val="Normal"/>
    <w:uiPriority w:val="34"/>
    <w:qFormat/>
    <w:rsid w:val="003909BD"/>
    <w:pPr>
      <w:ind w:left="720"/>
    </w:pPr>
  </w:style>
  <w:style w:type="paragraph" w:customStyle="1" w:styleId="Default">
    <w:name w:val="Default"/>
    <w:rsid w:val="00B61257"/>
    <w:pPr>
      <w:autoSpaceDE w:val="0"/>
      <w:autoSpaceDN w:val="0"/>
      <w:adjustRightInd w:val="0"/>
    </w:pPr>
    <w:rPr>
      <w:rFonts w:ascii="Symbol" w:hAnsi="Symbol" w:cs="Symbol"/>
      <w:color w:val="000000"/>
      <w:sz w:val="24"/>
      <w:szCs w:val="24"/>
    </w:rPr>
  </w:style>
  <w:style w:type="numbering" w:customStyle="1" w:styleId="ECHABulletlist">
    <w:name w:val="ECHA Bullet list"/>
    <w:pPr>
      <w:numPr>
        <w:numId w:val="2"/>
      </w:numPr>
    </w:pPr>
  </w:style>
  <w:style w:type="numbering" w:customStyle="1" w:styleId="ECHANumberlist">
    <w:name w:val="ECHA Number list"/>
    <w:pPr>
      <w:numPr>
        <w:numId w:val="3"/>
      </w:numPr>
    </w:pPr>
  </w:style>
  <w:style w:type="character" w:customStyle="1" w:styleId="value1">
    <w:name w:val="value1"/>
    <w:rsid w:val="00554DC9"/>
    <w:rPr>
      <w:vanish w:val="0"/>
      <w:webHidden w:val="0"/>
      <w:color w:val="4A6463"/>
      <w:sz w:val="29"/>
      <w:szCs w:val="29"/>
      <w:specVanish w:val="0"/>
    </w:rPr>
  </w:style>
  <w:style w:type="paragraph" w:styleId="ListBullet">
    <w:name w:val="List Bullet"/>
    <w:next w:val="BodyText"/>
    <w:rsid w:val="00AF4F79"/>
    <w:pPr>
      <w:numPr>
        <w:numId w:val="8"/>
      </w:numPr>
      <w:tabs>
        <w:tab w:val="clear" w:pos="425"/>
        <w:tab w:val="left" w:pos="357"/>
      </w:tabs>
      <w:ind w:left="357" w:hanging="357"/>
      <w:jc w:val="both"/>
    </w:pPr>
    <w:rPr>
      <w:rFonts w:ascii="Times New Roman" w:hAnsi="Times New Roman" w:cs="Times New Roman"/>
      <w:sz w:val="24"/>
      <w:lang w:eastAsia="en-US"/>
    </w:rPr>
  </w:style>
  <w:style w:type="character" w:customStyle="1" w:styleId="reflink">
    <w:name w:val="reflink"/>
    <w:rsid w:val="005C2D8A"/>
  </w:style>
  <w:style w:type="paragraph" w:customStyle="1" w:styleId="para">
    <w:name w:val="para"/>
    <w:basedOn w:val="Normal"/>
    <w:rsid w:val="00EC5BA8"/>
    <w:pPr>
      <w:widowControl/>
      <w:spacing w:before="100" w:beforeAutospacing="1" w:after="100" w:afterAutospacing="1"/>
    </w:pPr>
    <w:rPr>
      <w:rFonts w:ascii="Times New Roman" w:hAnsi="Times New Roman"/>
      <w:sz w:val="24"/>
      <w:szCs w:val="24"/>
      <w:lang w:eastAsia="en-GB"/>
    </w:rPr>
  </w:style>
  <w:style w:type="paragraph" w:styleId="NormalWeb">
    <w:name w:val="Normal (Web)"/>
    <w:basedOn w:val="Normal"/>
    <w:uiPriority w:val="99"/>
    <w:unhideWhenUsed/>
    <w:rsid w:val="00CC0495"/>
    <w:pPr>
      <w:widowControl/>
      <w:spacing w:before="100" w:beforeAutospacing="1" w:after="100" w:afterAutospacing="1"/>
    </w:pPr>
    <w:rPr>
      <w:rFonts w:ascii="Times New Roman" w:hAnsi="Times New Roman"/>
      <w:sz w:val="24"/>
      <w:szCs w:val="24"/>
      <w:lang w:eastAsia="en-GB"/>
    </w:rPr>
  </w:style>
  <w:style w:type="paragraph" w:customStyle="1" w:styleId="TableHeading">
    <w:name w:val="Table Heading"/>
    <w:basedOn w:val="Normal"/>
    <w:next w:val="Normal"/>
    <w:uiPriority w:val="1"/>
    <w:qFormat/>
    <w:rsid w:val="003B13E5"/>
    <w:pPr>
      <w:keepNext/>
      <w:keepLines/>
      <w:widowControl/>
      <w:spacing w:before="54" w:after="54"/>
    </w:pPr>
    <w:rPr>
      <w:rFonts w:ascii="Times New Roman" w:hAnsi="Times New Roman"/>
      <w:b/>
      <w:bCs/>
      <w:sz w:val="24"/>
      <w:szCs w:val="24"/>
      <w:lang w:val="en-US" w:eastAsia="da-DK"/>
    </w:rPr>
  </w:style>
  <w:style w:type="paragraph" w:customStyle="1" w:styleId="EABodyText">
    <w:name w:val="EA Body Text"/>
    <w:basedOn w:val="Normal"/>
    <w:rsid w:val="00BC2700"/>
    <w:pPr>
      <w:widowControl/>
      <w:suppressAutoHyphens/>
    </w:pPr>
    <w:rPr>
      <w:rFonts w:ascii="Arial" w:hAnsi="Arial"/>
      <w:kern w:val="1"/>
      <w:sz w:val="24"/>
      <w:szCs w:val="24"/>
      <w:lang w:eastAsia="ar-SA"/>
    </w:rPr>
  </w:style>
  <w:style w:type="character" w:customStyle="1" w:styleId="st1">
    <w:name w:val="st1"/>
    <w:basedOn w:val="DefaultParagraphFont"/>
    <w:rsid w:val="001658CA"/>
  </w:style>
  <w:style w:type="character" w:customStyle="1" w:styleId="value">
    <w:name w:val="value"/>
    <w:rsid w:val="00B16C8B"/>
  </w:style>
  <w:style w:type="character" w:styleId="Emphasis">
    <w:name w:val="Emphasis"/>
    <w:basedOn w:val="DefaultParagraphFont"/>
    <w:uiPriority w:val="20"/>
    <w:qFormat/>
    <w:rsid w:val="00B16C8B"/>
    <w:rPr>
      <w:i/>
      <w:iCs/>
    </w:rPr>
  </w:style>
  <w:style w:type="paragraph" w:customStyle="1" w:styleId="Tabletext-listbullet">
    <w:name w:val="Table text-list bullet"/>
    <w:basedOn w:val="Tabletext0"/>
    <w:rsid w:val="000366E9"/>
    <w:pPr>
      <w:numPr>
        <w:numId w:val="13"/>
      </w:numPr>
      <w:tabs>
        <w:tab w:val="clear" w:pos="960"/>
        <w:tab w:val="num" w:pos="357"/>
      </w:tabs>
      <w:ind w:left="357" w:hanging="357"/>
      <w:jc w:val="left"/>
    </w:pPr>
    <w:rPr>
      <w:rFonts w:ascii="Times New Roman" w:hAnsi="Times New Roman"/>
      <w:snapToGrid w:val="0"/>
      <w:szCs w:val="20"/>
      <w:lang w:val="en-US"/>
    </w:rPr>
  </w:style>
  <w:style w:type="paragraph" w:styleId="BodyText3">
    <w:name w:val="Body Text 3"/>
    <w:basedOn w:val="Normal"/>
    <w:link w:val="BodyText3Char"/>
    <w:rsid w:val="000366E9"/>
    <w:pPr>
      <w:widowControl/>
      <w:spacing w:after="120"/>
    </w:pPr>
    <w:rPr>
      <w:rFonts w:ascii="Times New Roman" w:hAnsi="Times New Roman"/>
      <w:sz w:val="16"/>
      <w:szCs w:val="16"/>
      <w:lang w:val="en-US" w:eastAsia="en-US"/>
    </w:rPr>
  </w:style>
  <w:style w:type="character" w:customStyle="1" w:styleId="BodyText3Char">
    <w:name w:val="Body Text 3 Char"/>
    <w:basedOn w:val="DefaultParagraphFont"/>
    <w:link w:val="BodyText3"/>
    <w:rsid w:val="000366E9"/>
    <w:rPr>
      <w:rFonts w:ascii="Times New Roman" w:hAnsi="Times New Roman" w:cs="Times New Roman"/>
      <w:sz w:val="16"/>
      <w:szCs w:val="16"/>
      <w:lang w:val="en-US" w:eastAsia="en-US"/>
    </w:rPr>
  </w:style>
  <w:style w:type="paragraph" w:customStyle="1" w:styleId="Tabletitle">
    <w:name w:val="Table title"/>
    <w:basedOn w:val="Normal"/>
    <w:next w:val="Normal"/>
    <w:rsid w:val="000366E9"/>
    <w:pPr>
      <w:widowControl/>
    </w:pPr>
    <w:rPr>
      <w:rFonts w:ascii="Times New Roman" w:hAnsi="Times New Roman"/>
      <w:sz w:val="24"/>
      <w:szCs w:val="24"/>
      <w:lang w:val="en-US" w:eastAsia="en-US"/>
    </w:rPr>
  </w:style>
  <w:style w:type="paragraph" w:customStyle="1" w:styleId="StyleBodyTextCarCarLeftBefore25ptAfter25pt">
    <w:name w:val="Style Body Text CarCar + Left Before:  2.5 pt After:  2.5 pt"/>
    <w:basedOn w:val="BodyText"/>
    <w:rsid w:val="000366E9"/>
    <w:pPr>
      <w:widowControl/>
      <w:spacing w:before="50" w:after="50"/>
    </w:pPr>
    <w:rPr>
      <w:rFonts w:ascii="Times New Roman" w:hAnsi="Times New Roman"/>
      <w:sz w:val="24"/>
      <w:lang w:eastAsia="en-US"/>
    </w:rPr>
  </w:style>
  <w:style w:type="character" w:customStyle="1" w:styleId="BodyTextChar2">
    <w:name w:val="Body Text Char2"/>
    <w:aliases w:val="Car Char1,Char1 Char1, Car Char1"/>
    <w:uiPriority w:val="99"/>
    <w:locked/>
    <w:rsid w:val="000366E9"/>
    <w:rPr>
      <w:sz w:val="24"/>
      <w:lang w:val="en-GB" w:eastAsia="en-US"/>
    </w:rPr>
  </w:style>
  <w:style w:type="paragraph" w:styleId="DocumentMap">
    <w:name w:val="Document Map"/>
    <w:basedOn w:val="Normal"/>
    <w:link w:val="DocumentMapChar"/>
    <w:rsid w:val="000366E9"/>
    <w:pPr>
      <w:widowControl/>
      <w:spacing w:after="180"/>
    </w:pPr>
    <w:rPr>
      <w:rFonts w:ascii="Tahoma" w:hAnsi="Tahoma"/>
      <w:sz w:val="16"/>
      <w:szCs w:val="16"/>
      <w:lang w:val="en-US" w:eastAsia="en-US"/>
    </w:rPr>
  </w:style>
  <w:style w:type="character" w:customStyle="1" w:styleId="DocumentMapChar">
    <w:name w:val="Document Map Char"/>
    <w:basedOn w:val="DefaultParagraphFont"/>
    <w:link w:val="DocumentMap"/>
    <w:rsid w:val="000366E9"/>
    <w:rPr>
      <w:rFonts w:ascii="Tahoma" w:hAnsi="Tahoma" w:cs="Times New Roman"/>
      <w:sz w:val="16"/>
      <w:szCs w:val="16"/>
      <w:lang w:val="en-US" w:eastAsia="en-US"/>
    </w:rPr>
  </w:style>
  <w:style w:type="character" w:customStyle="1" w:styleId="medium">
    <w:name w:val="medium"/>
    <w:rsid w:val="000366E9"/>
  </w:style>
  <w:style w:type="paragraph" w:styleId="EndnoteText">
    <w:name w:val="endnote text"/>
    <w:basedOn w:val="Normal"/>
    <w:link w:val="EndnoteTextChar"/>
    <w:rsid w:val="000366E9"/>
    <w:pPr>
      <w:widowControl/>
      <w:spacing w:after="180"/>
    </w:pPr>
    <w:rPr>
      <w:rFonts w:ascii="Times New Roman" w:hAnsi="Times New Roman"/>
      <w:lang w:val="en-US" w:eastAsia="en-US"/>
    </w:rPr>
  </w:style>
  <w:style w:type="character" w:customStyle="1" w:styleId="EndnoteTextChar">
    <w:name w:val="Endnote Text Char"/>
    <w:basedOn w:val="DefaultParagraphFont"/>
    <w:link w:val="EndnoteText"/>
    <w:rsid w:val="000366E9"/>
    <w:rPr>
      <w:rFonts w:ascii="Times New Roman" w:hAnsi="Times New Roman" w:cs="Times New Roman"/>
      <w:lang w:val="en-US" w:eastAsia="en-US"/>
    </w:rPr>
  </w:style>
  <w:style w:type="character" w:styleId="EndnoteReference">
    <w:name w:val="endnote reference"/>
    <w:rsid w:val="000366E9"/>
    <w:rPr>
      <w:vertAlign w:val="superscript"/>
    </w:rPr>
  </w:style>
  <w:style w:type="paragraph" w:customStyle="1" w:styleId="EAHeading4">
    <w:name w:val="EA Heading 4"/>
    <w:basedOn w:val="EABodyText"/>
    <w:next w:val="Normal"/>
    <w:rsid w:val="000366E9"/>
    <w:pPr>
      <w:keepNext/>
      <w:tabs>
        <w:tab w:val="num" w:pos="1797"/>
      </w:tabs>
      <w:ind w:left="1797" w:hanging="1797"/>
      <w:outlineLvl w:val="3"/>
    </w:pPr>
    <w:rPr>
      <w:b/>
    </w:rPr>
  </w:style>
  <w:style w:type="paragraph" w:customStyle="1" w:styleId="ESRBodytext">
    <w:name w:val="ESR Body text"/>
    <w:basedOn w:val="Normal"/>
    <w:rsid w:val="000366E9"/>
    <w:pPr>
      <w:widowControl/>
      <w:suppressAutoHyphens/>
      <w:jc w:val="both"/>
    </w:pPr>
    <w:rPr>
      <w:rFonts w:ascii="Times New Roman" w:hAnsi="Times New Roman"/>
      <w:sz w:val="24"/>
      <w:lang w:eastAsia="ar-SA"/>
    </w:rPr>
  </w:style>
  <w:style w:type="character" w:customStyle="1" w:styleId="label">
    <w:name w:val="label"/>
    <w:basedOn w:val="DefaultParagraphFont"/>
    <w:rsid w:val="000366E9"/>
    <w:rPr>
      <w:b/>
      <w:bCs/>
      <w:vanish w:val="0"/>
      <w:webHidden w:val="0"/>
      <w:color w:val="637F7E"/>
      <w:sz w:val="24"/>
      <w:szCs w:val="24"/>
      <w:specVanish w:val="0"/>
    </w:rPr>
  </w:style>
  <w:style w:type="character" w:styleId="PlaceholderText">
    <w:name w:val="Placeholder Text"/>
    <w:basedOn w:val="DefaultParagraphFont"/>
    <w:uiPriority w:val="99"/>
    <w:semiHidden/>
    <w:rsid w:val="000366E9"/>
    <w:rPr>
      <w:color w:val="808080"/>
    </w:rPr>
  </w:style>
  <w:style w:type="paragraph" w:styleId="HTMLPreformatted">
    <w:name w:val="HTML Preformatted"/>
    <w:basedOn w:val="Normal"/>
    <w:link w:val="HTMLPreformattedChar"/>
    <w:uiPriority w:val="99"/>
    <w:unhideWhenUsed/>
    <w:rsid w:val="000366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rsid w:val="000366E9"/>
    <w:rPr>
      <w:rFonts w:ascii="Courier New" w:hAnsi="Courier New" w:cs="Courier New"/>
    </w:rPr>
  </w:style>
  <w:style w:type="character" w:customStyle="1" w:styleId="apple-converted-space">
    <w:name w:val="apple-converted-space"/>
    <w:basedOn w:val="DefaultParagraphFont"/>
    <w:rsid w:val="000366E9"/>
  </w:style>
  <w:style w:type="character" w:customStyle="1" w:styleId="maintitle">
    <w:name w:val="maintitle"/>
    <w:basedOn w:val="DefaultParagraphFont"/>
    <w:rsid w:val="000366E9"/>
  </w:style>
  <w:style w:type="paragraph" w:customStyle="1" w:styleId="Sangria">
    <w:name w:val="Sangria"/>
    <w:basedOn w:val="Normal"/>
    <w:rsid w:val="000366E9"/>
    <w:pPr>
      <w:widowControl/>
      <w:tabs>
        <w:tab w:val="left" w:pos="709"/>
      </w:tabs>
      <w:spacing w:line="360" w:lineRule="auto"/>
      <w:ind w:left="851" w:hanging="851"/>
      <w:jc w:val="both"/>
    </w:pPr>
    <w:rPr>
      <w:rFonts w:ascii="Times New Roman" w:hAnsi="Times New Roman"/>
      <w:lang w:eastAsia="es-ES"/>
    </w:rPr>
  </w:style>
  <w:style w:type="character" w:customStyle="1" w:styleId="Formatmall11pt">
    <w:name w:val="Formatmall 11 pt"/>
    <w:basedOn w:val="DefaultParagraphFont"/>
    <w:rsid w:val="000366E9"/>
    <w:rPr>
      <w:sz w:val="24"/>
    </w:rPr>
  </w:style>
  <w:style w:type="character" w:customStyle="1" w:styleId="articlecitationyear">
    <w:name w:val="articlecitation_year"/>
    <w:basedOn w:val="DefaultParagraphFont"/>
    <w:rsid w:val="000366E9"/>
  </w:style>
  <w:style w:type="character" w:customStyle="1" w:styleId="articlecitationvolume">
    <w:name w:val="articlecitation_volume"/>
    <w:basedOn w:val="DefaultParagraphFont"/>
    <w:rsid w:val="000366E9"/>
  </w:style>
  <w:style w:type="character" w:customStyle="1" w:styleId="articlecitationissue">
    <w:name w:val="articlecitation_issue"/>
    <w:basedOn w:val="DefaultParagraphFont"/>
    <w:rsid w:val="000366E9"/>
  </w:style>
  <w:style w:type="character" w:customStyle="1" w:styleId="articlecitationpages">
    <w:name w:val="articlecitation_pages"/>
    <w:basedOn w:val="DefaultParagraphFont"/>
    <w:rsid w:val="000366E9"/>
  </w:style>
  <w:style w:type="character" w:styleId="HTMLCite">
    <w:name w:val="HTML Cite"/>
    <w:basedOn w:val="DefaultParagraphFont"/>
    <w:uiPriority w:val="99"/>
    <w:unhideWhenUsed/>
    <w:rsid w:val="000366E9"/>
    <w:rPr>
      <w:i w:val="0"/>
      <w:iCs w:val="0"/>
      <w:color w:val="006621"/>
    </w:rPr>
  </w:style>
  <w:style w:type="character" w:customStyle="1" w:styleId="value8">
    <w:name w:val="value8"/>
    <w:basedOn w:val="DefaultParagraphFont"/>
    <w:rsid w:val="000366E9"/>
    <w:rPr>
      <w:vanish w:val="0"/>
      <w:webHidden w:val="0"/>
      <w:color w:val="4A6463"/>
      <w:sz w:val="29"/>
      <w:szCs w:val="29"/>
      <w:specVanish w:val="0"/>
    </w:rPr>
  </w:style>
  <w:style w:type="character" w:customStyle="1" w:styleId="TabletextChar">
    <w:name w:val="Tabletext Char"/>
    <w:basedOn w:val="DefaultParagraphFont"/>
    <w:link w:val="Tabletext"/>
    <w:rsid w:val="000366E9"/>
    <w:rPr>
      <w:rFonts w:cs="Times New Roman"/>
      <w:sz w:val="18"/>
      <w:lang w:eastAsia="fi-FI"/>
    </w:rPr>
  </w:style>
  <w:style w:type="paragraph" w:customStyle="1" w:styleId="manuscript2">
    <w:name w:val="manuscript2"/>
    <w:basedOn w:val="Normal"/>
    <w:link w:val="manuscript2Char"/>
    <w:qFormat/>
    <w:rsid w:val="000366E9"/>
    <w:pPr>
      <w:wordWrap w:val="0"/>
      <w:autoSpaceDE w:val="0"/>
      <w:autoSpaceDN w:val="0"/>
      <w:spacing w:line="480" w:lineRule="auto"/>
      <w:jc w:val="both"/>
    </w:pPr>
    <w:rPr>
      <w:rFonts w:ascii="Times New Roman" w:eastAsia="Malgun Gothic" w:hAnsi="Times New Roman"/>
      <w:sz w:val="24"/>
      <w:szCs w:val="24"/>
      <w:lang w:val="x-none" w:eastAsia="x-none"/>
    </w:rPr>
  </w:style>
  <w:style w:type="character" w:customStyle="1" w:styleId="manuscript2Char">
    <w:name w:val="manuscript2 Char"/>
    <w:link w:val="manuscript2"/>
    <w:rsid w:val="000366E9"/>
    <w:rPr>
      <w:rFonts w:ascii="Times New Roman" w:eastAsia="Malgun Gothic" w:hAnsi="Times New Roman" w:cs="Times New Roman"/>
      <w:sz w:val="24"/>
      <w:szCs w:val="24"/>
      <w:lang w:val="x-none" w:eastAsia="x-none"/>
    </w:rPr>
  </w:style>
  <w:style w:type="table" w:styleId="PlainTable4">
    <w:name w:val="Plain Table 4"/>
    <w:basedOn w:val="TableNormal"/>
    <w:uiPriority w:val="44"/>
    <w:rsid w:val="00C968A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tedebasdepageCar1">
    <w:name w:val="Note de bas de page Car1"/>
    <w:basedOn w:val="DefaultParagraphFont"/>
    <w:uiPriority w:val="99"/>
    <w:semiHidden/>
    <w:rsid w:val="00B93E27"/>
    <w:rPr>
      <w:rFonts w:ascii="Times" w:hAnsi="Times" w:cs="Times"/>
      <w:bCs/>
      <w:lang w:val="de-DE" w:eastAsia="de-DE"/>
    </w:rPr>
  </w:style>
  <w:style w:type="character" w:customStyle="1" w:styleId="summarytablecell">
    <w:name w:val="summarytablecell"/>
    <w:basedOn w:val="DefaultParagraphFont"/>
    <w:rsid w:val="00E67A3F"/>
  </w:style>
  <w:style w:type="paragraph" w:customStyle="1" w:styleId="BodySingle">
    <w:name w:val="Body Single"/>
    <w:basedOn w:val="Normal"/>
    <w:rsid w:val="00945BD6"/>
    <w:pPr>
      <w:widowControl/>
      <w:overflowPunct w:val="0"/>
      <w:autoSpaceDE w:val="0"/>
      <w:autoSpaceDN w:val="0"/>
      <w:adjustRightInd w:val="0"/>
      <w:textAlignment w:val="baseline"/>
    </w:pPr>
    <w:rPr>
      <w:rFonts w:ascii="Times New Roman" w:hAnsi="Times New Roman"/>
      <w:sz w:val="24"/>
      <w:lang w:eastAsia="en-US"/>
    </w:rPr>
  </w:style>
  <w:style w:type="character" w:customStyle="1" w:styleId="cli-no-wrap">
    <w:name w:val="cli-no-wrap"/>
    <w:basedOn w:val="DefaultParagraphFont"/>
    <w:rsid w:val="004212E6"/>
  </w:style>
  <w:style w:type="character" w:customStyle="1" w:styleId="clinventoryhelpcursor">
    <w:name w:val="clinventoryhelpcursor"/>
    <w:basedOn w:val="DefaultParagraphFont"/>
    <w:rsid w:val="00421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7753">
      <w:bodyDiv w:val="1"/>
      <w:marLeft w:val="0"/>
      <w:marRight w:val="0"/>
      <w:marTop w:val="0"/>
      <w:marBottom w:val="0"/>
      <w:divBdr>
        <w:top w:val="none" w:sz="0" w:space="0" w:color="auto"/>
        <w:left w:val="none" w:sz="0" w:space="0" w:color="auto"/>
        <w:bottom w:val="none" w:sz="0" w:space="0" w:color="auto"/>
        <w:right w:val="none" w:sz="0" w:space="0" w:color="auto"/>
      </w:divBdr>
    </w:div>
    <w:div w:id="60761680">
      <w:bodyDiv w:val="1"/>
      <w:marLeft w:val="0"/>
      <w:marRight w:val="0"/>
      <w:marTop w:val="0"/>
      <w:marBottom w:val="0"/>
      <w:divBdr>
        <w:top w:val="none" w:sz="0" w:space="0" w:color="auto"/>
        <w:left w:val="none" w:sz="0" w:space="0" w:color="auto"/>
        <w:bottom w:val="none" w:sz="0" w:space="0" w:color="auto"/>
        <w:right w:val="none" w:sz="0" w:space="0" w:color="auto"/>
      </w:divBdr>
    </w:div>
    <w:div w:id="89013820">
      <w:bodyDiv w:val="1"/>
      <w:marLeft w:val="0"/>
      <w:marRight w:val="0"/>
      <w:marTop w:val="0"/>
      <w:marBottom w:val="0"/>
      <w:divBdr>
        <w:top w:val="none" w:sz="0" w:space="0" w:color="auto"/>
        <w:left w:val="none" w:sz="0" w:space="0" w:color="auto"/>
        <w:bottom w:val="none" w:sz="0" w:space="0" w:color="auto"/>
        <w:right w:val="none" w:sz="0" w:space="0" w:color="auto"/>
      </w:divBdr>
    </w:div>
    <w:div w:id="111563155">
      <w:bodyDiv w:val="1"/>
      <w:marLeft w:val="0"/>
      <w:marRight w:val="0"/>
      <w:marTop w:val="0"/>
      <w:marBottom w:val="0"/>
      <w:divBdr>
        <w:top w:val="none" w:sz="0" w:space="0" w:color="auto"/>
        <w:left w:val="none" w:sz="0" w:space="0" w:color="auto"/>
        <w:bottom w:val="none" w:sz="0" w:space="0" w:color="auto"/>
        <w:right w:val="none" w:sz="0" w:space="0" w:color="auto"/>
      </w:divBdr>
    </w:div>
    <w:div w:id="292946421">
      <w:bodyDiv w:val="1"/>
      <w:marLeft w:val="0"/>
      <w:marRight w:val="0"/>
      <w:marTop w:val="0"/>
      <w:marBottom w:val="0"/>
      <w:divBdr>
        <w:top w:val="none" w:sz="0" w:space="0" w:color="auto"/>
        <w:left w:val="none" w:sz="0" w:space="0" w:color="auto"/>
        <w:bottom w:val="none" w:sz="0" w:space="0" w:color="auto"/>
        <w:right w:val="none" w:sz="0" w:space="0" w:color="auto"/>
      </w:divBdr>
    </w:div>
    <w:div w:id="311719233">
      <w:bodyDiv w:val="1"/>
      <w:marLeft w:val="0"/>
      <w:marRight w:val="0"/>
      <w:marTop w:val="0"/>
      <w:marBottom w:val="0"/>
      <w:divBdr>
        <w:top w:val="none" w:sz="0" w:space="0" w:color="auto"/>
        <w:left w:val="none" w:sz="0" w:space="0" w:color="auto"/>
        <w:bottom w:val="none" w:sz="0" w:space="0" w:color="auto"/>
        <w:right w:val="none" w:sz="0" w:space="0" w:color="auto"/>
      </w:divBdr>
    </w:div>
    <w:div w:id="347607836">
      <w:bodyDiv w:val="1"/>
      <w:marLeft w:val="0"/>
      <w:marRight w:val="0"/>
      <w:marTop w:val="0"/>
      <w:marBottom w:val="0"/>
      <w:divBdr>
        <w:top w:val="none" w:sz="0" w:space="0" w:color="auto"/>
        <w:left w:val="none" w:sz="0" w:space="0" w:color="auto"/>
        <w:bottom w:val="none" w:sz="0" w:space="0" w:color="auto"/>
        <w:right w:val="none" w:sz="0" w:space="0" w:color="auto"/>
      </w:divBdr>
    </w:div>
    <w:div w:id="375276208">
      <w:bodyDiv w:val="1"/>
      <w:marLeft w:val="0"/>
      <w:marRight w:val="0"/>
      <w:marTop w:val="0"/>
      <w:marBottom w:val="0"/>
      <w:divBdr>
        <w:top w:val="none" w:sz="0" w:space="0" w:color="auto"/>
        <w:left w:val="none" w:sz="0" w:space="0" w:color="auto"/>
        <w:bottom w:val="none" w:sz="0" w:space="0" w:color="auto"/>
        <w:right w:val="none" w:sz="0" w:space="0" w:color="auto"/>
      </w:divBdr>
    </w:div>
    <w:div w:id="427821620">
      <w:bodyDiv w:val="1"/>
      <w:marLeft w:val="0"/>
      <w:marRight w:val="0"/>
      <w:marTop w:val="0"/>
      <w:marBottom w:val="0"/>
      <w:divBdr>
        <w:top w:val="none" w:sz="0" w:space="0" w:color="auto"/>
        <w:left w:val="none" w:sz="0" w:space="0" w:color="auto"/>
        <w:bottom w:val="none" w:sz="0" w:space="0" w:color="auto"/>
        <w:right w:val="none" w:sz="0" w:space="0" w:color="auto"/>
      </w:divBdr>
    </w:div>
    <w:div w:id="450319963">
      <w:bodyDiv w:val="1"/>
      <w:marLeft w:val="0"/>
      <w:marRight w:val="0"/>
      <w:marTop w:val="0"/>
      <w:marBottom w:val="0"/>
      <w:divBdr>
        <w:top w:val="none" w:sz="0" w:space="0" w:color="auto"/>
        <w:left w:val="none" w:sz="0" w:space="0" w:color="auto"/>
        <w:bottom w:val="none" w:sz="0" w:space="0" w:color="auto"/>
        <w:right w:val="none" w:sz="0" w:space="0" w:color="auto"/>
      </w:divBdr>
    </w:div>
    <w:div w:id="452796912">
      <w:bodyDiv w:val="1"/>
      <w:marLeft w:val="0"/>
      <w:marRight w:val="0"/>
      <w:marTop w:val="0"/>
      <w:marBottom w:val="0"/>
      <w:divBdr>
        <w:top w:val="none" w:sz="0" w:space="0" w:color="auto"/>
        <w:left w:val="none" w:sz="0" w:space="0" w:color="auto"/>
        <w:bottom w:val="none" w:sz="0" w:space="0" w:color="auto"/>
        <w:right w:val="none" w:sz="0" w:space="0" w:color="auto"/>
      </w:divBdr>
    </w:div>
    <w:div w:id="535318693">
      <w:bodyDiv w:val="1"/>
      <w:marLeft w:val="0"/>
      <w:marRight w:val="0"/>
      <w:marTop w:val="0"/>
      <w:marBottom w:val="0"/>
      <w:divBdr>
        <w:top w:val="none" w:sz="0" w:space="0" w:color="auto"/>
        <w:left w:val="none" w:sz="0" w:space="0" w:color="auto"/>
        <w:bottom w:val="none" w:sz="0" w:space="0" w:color="auto"/>
        <w:right w:val="none" w:sz="0" w:space="0" w:color="auto"/>
      </w:divBdr>
    </w:div>
    <w:div w:id="557787588">
      <w:bodyDiv w:val="1"/>
      <w:marLeft w:val="0"/>
      <w:marRight w:val="0"/>
      <w:marTop w:val="0"/>
      <w:marBottom w:val="0"/>
      <w:divBdr>
        <w:top w:val="none" w:sz="0" w:space="0" w:color="auto"/>
        <w:left w:val="none" w:sz="0" w:space="0" w:color="auto"/>
        <w:bottom w:val="none" w:sz="0" w:space="0" w:color="auto"/>
        <w:right w:val="none" w:sz="0" w:space="0" w:color="auto"/>
      </w:divBdr>
    </w:div>
    <w:div w:id="591931175">
      <w:bodyDiv w:val="1"/>
      <w:marLeft w:val="0"/>
      <w:marRight w:val="0"/>
      <w:marTop w:val="0"/>
      <w:marBottom w:val="0"/>
      <w:divBdr>
        <w:top w:val="none" w:sz="0" w:space="0" w:color="auto"/>
        <w:left w:val="none" w:sz="0" w:space="0" w:color="auto"/>
        <w:bottom w:val="none" w:sz="0" w:space="0" w:color="auto"/>
        <w:right w:val="none" w:sz="0" w:space="0" w:color="auto"/>
      </w:divBdr>
    </w:div>
    <w:div w:id="627782186">
      <w:bodyDiv w:val="1"/>
      <w:marLeft w:val="0"/>
      <w:marRight w:val="0"/>
      <w:marTop w:val="0"/>
      <w:marBottom w:val="0"/>
      <w:divBdr>
        <w:top w:val="none" w:sz="0" w:space="0" w:color="auto"/>
        <w:left w:val="none" w:sz="0" w:space="0" w:color="auto"/>
        <w:bottom w:val="none" w:sz="0" w:space="0" w:color="auto"/>
        <w:right w:val="none" w:sz="0" w:space="0" w:color="auto"/>
      </w:divBdr>
    </w:div>
    <w:div w:id="630015723">
      <w:bodyDiv w:val="1"/>
      <w:marLeft w:val="0"/>
      <w:marRight w:val="0"/>
      <w:marTop w:val="0"/>
      <w:marBottom w:val="0"/>
      <w:divBdr>
        <w:top w:val="none" w:sz="0" w:space="0" w:color="auto"/>
        <w:left w:val="none" w:sz="0" w:space="0" w:color="auto"/>
        <w:bottom w:val="none" w:sz="0" w:space="0" w:color="auto"/>
        <w:right w:val="none" w:sz="0" w:space="0" w:color="auto"/>
      </w:divBdr>
    </w:div>
    <w:div w:id="812261238">
      <w:bodyDiv w:val="1"/>
      <w:marLeft w:val="0"/>
      <w:marRight w:val="0"/>
      <w:marTop w:val="0"/>
      <w:marBottom w:val="0"/>
      <w:divBdr>
        <w:top w:val="none" w:sz="0" w:space="0" w:color="auto"/>
        <w:left w:val="none" w:sz="0" w:space="0" w:color="auto"/>
        <w:bottom w:val="none" w:sz="0" w:space="0" w:color="auto"/>
        <w:right w:val="none" w:sz="0" w:space="0" w:color="auto"/>
      </w:divBdr>
    </w:div>
    <w:div w:id="856577556">
      <w:bodyDiv w:val="1"/>
      <w:marLeft w:val="0"/>
      <w:marRight w:val="0"/>
      <w:marTop w:val="0"/>
      <w:marBottom w:val="0"/>
      <w:divBdr>
        <w:top w:val="none" w:sz="0" w:space="0" w:color="auto"/>
        <w:left w:val="none" w:sz="0" w:space="0" w:color="auto"/>
        <w:bottom w:val="none" w:sz="0" w:space="0" w:color="auto"/>
        <w:right w:val="none" w:sz="0" w:space="0" w:color="auto"/>
      </w:divBdr>
    </w:div>
    <w:div w:id="859389971">
      <w:bodyDiv w:val="1"/>
      <w:marLeft w:val="0"/>
      <w:marRight w:val="0"/>
      <w:marTop w:val="0"/>
      <w:marBottom w:val="0"/>
      <w:divBdr>
        <w:top w:val="none" w:sz="0" w:space="0" w:color="auto"/>
        <w:left w:val="none" w:sz="0" w:space="0" w:color="auto"/>
        <w:bottom w:val="none" w:sz="0" w:space="0" w:color="auto"/>
        <w:right w:val="none" w:sz="0" w:space="0" w:color="auto"/>
      </w:divBdr>
    </w:div>
    <w:div w:id="872228347">
      <w:bodyDiv w:val="1"/>
      <w:marLeft w:val="0"/>
      <w:marRight w:val="0"/>
      <w:marTop w:val="0"/>
      <w:marBottom w:val="0"/>
      <w:divBdr>
        <w:top w:val="none" w:sz="0" w:space="0" w:color="auto"/>
        <w:left w:val="none" w:sz="0" w:space="0" w:color="auto"/>
        <w:bottom w:val="none" w:sz="0" w:space="0" w:color="auto"/>
        <w:right w:val="none" w:sz="0" w:space="0" w:color="auto"/>
      </w:divBdr>
    </w:div>
    <w:div w:id="889264825">
      <w:bodyDiv w:val="1"/>
      <w:marLeft w:val="0"/>
      <w:marRight w:val="0"/>
      <w:marTop w:val="0"/>
      <w:marBottom w:val="0"/>
      <w:divBdr>
        <w:top w:val="none" w:sz="0" w:space="0" w:color="auto"/>
        <w:left w:val="none" w:sz="0" w:space="0" w:color="auto"/>
        <w:bottom w:val="none" w:sz="0" w:space="0" w:color="auto"/>
        <w:right w:val="none" w:sz="0" w:space="0" w:color="auto"/>
      </w:divBdr>
    </w:div>
    <w:div w:id="900285397">
      <w:bodyDiv w:val="1"/>
      <w:marLeft w:val="0"/>
      <w:marRight w:val="0"/>
      <w:marTop w:val="0"/>
      <w:marBottom w:val="0"/>
      <w:divBdr>
        <w:top w:val="none" w:sz="0" w:space="0" w:color="auto"/>
        <w:left w:val="none" w:sz="0" w:space="0" w:color="auto"/>
        <w:bottom w:val="none" w:sz="0" w:space="0" w:color="auto"/>
        <w:right w:val="none" w:sz="0" w:space="0" w:color="auto"/>
      </w:divBdr>
    </w:div>
    <w:div w:id="927693776">
      <w:bodyDiv w:val="1"/>
      <w:marLeft w:val="0"/>
      <w:marRight w:val="0"/>
      <w:marTop w:val="0"/>
      <w:marBottom w:val="0"/>
      <w:divBdr>
        <w:top w:val="none" w:sz="0" w:space="0" w:color="auto"/>
        <w:left w:val="none" w:sz="0" w:space="0" w:color="auto"/>
        <w:bottom w:val="none" w:sz="0" w:space="0" w:color="auto"/>
        <w:right w:val="none" w:sz="0" w:space="0" w:color="auto"/>
      </w:divBdr>
    </w:div>
    <w:div w:id="1003969823">
      <w:bodyDiv w:val="1"/>
      <w:marLeft w:val="0"/>
      <w:marRight w:val="0"/>
      <w:marTop w:val="0"/>
      <w:marBottom w:val="0"/>
      <w:divBdr>
        <w:top w:val="none" w:sz="0" w:space="0" w:color="auto"/>
        <w:left w:val="none" w:sz="0" w:space="0" w:color="auto"/>
        <w:bottom w:val="none" w:sz="0" w:space="0" w:color="auto"/>
        <w:right w:val="none" w:sz="0" w:space="0" w:color="auto"/>
      </w:divBdr>
    </w:div>
    <w:div w:id="1038893307">
      <w:bodyDiv w:val="1"/>
      <w:marLeft w:val="0"/>
      <w:marRight w:val="0"/>
      <w:marTop w:val="0"/>
      <w:marBottom w:val="0"/>
      <w:divBdr>
        <w:top w:val="none" w:sz="0" w:space="0" w:color="auto"/>
        <w:left w:val="none" w:sz="0" w:space="0" w:color="auto"/>
        <w:bottom w:val="none" w:sz="0" w:space="0" w:color="auto"/>
        <w:right w:val="none" w:sz="0" w:space="0" w:color="auto"/>
      </w:divBdr>
    </w:div>
    <w:div w:id="1048191194">
      <w:bodyDiv w:val="1"/>
      <w:marLeft w:val="0"/>
      <w:marRight w:val="0"/>
      <w:marTop w:val="0"/>
      <w:marBottom w:val="0"/>
      <w:divBdr>
        <w:top w:val="none" w:sz="0" w:space="0" w:color="auto"/>
        <w:left w:val="none" w:sz="0" w:space="0" w:color="auto"/>
        <w:bottom w:val="none" w:sz="0" w:space="0" w:color="auto"/>
        <w:right w:val="none" w:sz="0" w:space="0" w:color="auto"/>
      </w:divBdr>
    </w:div>
    <w:div w:id="1074157567">
      <w:bodyDiv w:val="1"/>
      <w:marLeft w:val="0"/>
      <w:marRight w:val="0"/>
      <w:marTop w:val="0"/>
      <w:marBottom w:val="0"/>
      <w:divBdr>
        <w:top w:val="none" w:sz="0" w:space="0" w:color="auto"/>
        <w:left w:val="none" w:sz="0" w:space="0" w:color="auto"/>
        <w:bottom w:val="none" w:sz="0" w:space="0" w:color="auto"/>
        <w:right w:val="none" w:sz="0" w:space="0" w:color="auto"/>
      </w:divBdr>
    </w:div>
    <w:div w:id="1127313209">
      <w:bodyDiv w:val="1"/>
      <w:marLeft w:val="0"/>
      <w:marRight w:val="0"/>
      <w:marTop w:val="0"/>
      <w:marBottom w:val="0"/>
      <w:divBdr>
        <w:top w:val="none" w:sz="0" w:space="0" w:color="auto"/>
        <w:left w:val="none" w:sz="0" w:space="0" w:color="auto"/>
        <w:bottom w:val="none" w:sz="0" w:space="0" w:color="auto"/>
        <w:right w:val="none" w:sz="0" w:space="0" w:color="auto"/>
      </w:divBdr>
    </w:div>
    <w:div w:id="1273904575">
      <w:bodyDiv w:val="1"/>
      <w:marLeft w:val="0"/>
      <w:marRight w:val="0"/>
      <w:marTop w:val="0"/>
      <w:marBottom w:val="0"/>
      <w:divBdr>
        <w:top w:val="none" w:sz="0" w:space="0" w:color="auto"/>
        <w:left w:val="none" w:sz="0" w:space="0" w:color="auto"/>
        <w:bottom w:val="none" w:sz="0" w:space="0" w:color="auto"/>
        <w:right w:val="none" w:sz="0" w:space="0" w:color="auto"/>
      </w:divBdr>
    </w:div>
    <w:div w:id="1299729582">
      <w:bodyDiv w:val="1"/>
      <w:marLeft w:val="0"/>
      <w:marRight w:val="0"/>
      <w:marTop w:val="0"/>
      <w:marBottom w:val="0"/>
      <w:divBdr>
        <w:top w:val="none" w:sz="0" w:space="0" w:color="auto"/>
        <w:left w:val="none" w:sz="0" w:space="0" w:color="auto"/>
        <w:bottom w:val="none" w:sz="0" w:space="0" w:color="auto"/>
        <w:right w:val="none" w:sz="0" w:space="0" w:color="auto"/>
      </w:divBdr>
    </w:div>
    <w:div w:id="1300651427">
      <w:bodyDiv w:val="1"/>
      <w:marLeft w:val="0"/>
      <w:marRight w:val="0"/>
      <w:marTop w:val="0"/>
      <w:marBottom w:val="0"/>
      <w:divBdr>
        <w:top w:val="none" w:sz="0" w:space="0" w:color="auto"/>
        <w:left w:val="none" w:sz="0" w:space="0" w:color="auto"/>
        <w:bottom w:val="none" w:sz="0" w:space="0" w:color="auto"/>
        <w:right w:val="none" w:sz="0" w:space="0" w:color="auto"/>
      </w:divBdr>
    </w:div>
    <w:div w:id="1361856040">
      <w:bodyDiv w:val="1"/>
      <w:marLeft w:val="0"/>
      <w:marRight w:val="0"/>
      <w:marTop w:val="0"/>
      <w:marBottom w:val="0"/>
      <w:divBdr>
        <w:top w:val="none" w:sz="0" w:space="0" w:color="auto"/>
        <w:left w:val="none" w:sz="0" w:space="0" w:color="auto"/>
        <w:bottom w:val="none" w:sz="0" w:space="0" w:color="auto"/>
        <w:right w:val="none" w:sz="0" w:space="0" w:color="auto"/>
      </w:divBdr>
    </w:div>
    <w:div w:id="1458261581">
      <w:bodyDiv w:val="1"/>
      <w:marLeft w:val="0"/>
      <w:marRight w:val="0"/>
      <w:marTop w:val="0"/>
      <w:marBottom w:val="0"/>
      <w:divBdr>
        <w:top w:val="none" w:sz="0" w:space="0" w:color="auto"/>
        <w:left w:val="none" w:sz="0" w:space="0" w:color="auto"/>
        <w:bottom w:val="none" w:sz="0" w:space="0" w:color="auto"/>
        <w:right w:val="none" w:sz="0" w:space="0" w:color="auto"/>
      </w:divBdr>
    </w:div>
    <w:div w:id="1503738935">
      <w:bodyDiv w:val="1"/>
      <w:marLeft w:val="0"/>
      <w:marRight w:val="0"/>
      <w:marTop w:val="0"/>
      <w:marBottom w:val="0"/>
      <w:divBdr>
        <w:top w:val="none" w:sz="0" w:space="0" w:color="auto"/>
        <w:left w:val="none" w:sz="0" w:space="0" w:color="auto"/>
        <w:bottom w:val="none" w:sz="0" w:space="0" w:color="auto"/>
        <w:right w:val="none" w:sz="0" w:space="0" w:color="auto"/>
      </w:divBdr>
    </w:div>
    <w:div w:id="1526289818">
      <w:bodyDiv w:val="1"/>
      <w:marLeft w:val="0"/>
      <w:marRight w:val="0"/>
      <w:marTop w:val="0"/>
      <w:marBottom w:val="0"/>
      <w:divBdr>
        <w:top w:val="none" w:sz="0" w:space="0" w:color="auto"/>
        <w:left w:val="none" w:sz="0" w:space="0" w:color="auto"/>
        <w:bottom w:val="none" w:sz="0" w:space="0" w:color="auto"/>
        <w:right w:val="none" w:sz="0" w:space="0" w:color="auto"/>
      </w:divBdr>
    </w:div>
    <w:div w:id="1539659479">
      <w:bodyDiv w:val="1"/>
      <w:marLeft w:val="0"/>
      <w:marRight w:val="0"/>
      <w:marTop w:val="0"/>
      <w:marBottom w:val="0"/>
      <w:divBdr>
        <w:top w:val="none" w:sz="0" w:space="0" w:color="auto"/>
        <w:left w:val="none" w:sz="0" w:space="0" w:color="auto"/>
        <w:bottom w:val="none" w:sz="0" w:space="0" w:color="auto"/>
        <w:right w:val="none" w:sz="0" w:space="0" w:color="auto"/>
      </w:divBdr>
    </w:div>
    <w:div w:id="1558777458">
      <w:bodyDiv w:val="1"/>
      <w:marLeft w:val="0"/>
      <w:marRight w:val="0"/>
      <w:marTop w:val="0"/>
      <w:marBottom w:val="0"/>
      <w:divBdr>
        <w:top w:val="none" w:sz="0" w:space="0" w:color="auto"/>
        <w:left w:val="none" w:sz="0" w:space="0" w:color="auto"/>
        <w:bottom w:val="none" w:sz="0" w:space="0" w:color="auto"/>
        <w:right w:val="none" w:sz="0" w:space="0" w:color="auto"/>
      </w:divBdr>
    </w:div>
    <w:div w:id="1582594401">
      <w:bodyDiv w:val="1"/>
      <w:marLeft w:val="0"/>
      <w:marRight w:val="0"/>
      <w:marTop w:val="0"/>
      <w:marBottom w:val="0"/>
      <w:divBdr>
        <w:top w:val="none" w:sz="0" w:space="0" w:color="auto"/>
        <w:left w:val="none" w:sz="0" w:space="0" w:color="auto"/>
        <w:bottom w:val="none" w:sz="0" w:space="0" w:color="auto"/>
        <w:right w:val="none" w:sz="0" w:space="0" w:color="auto"/>
      </w:divBdr>
    </w:div>
    <w:div w:id="1588539924">
      <w:bodyDiv w:val="1"/>
      <w:marLeft w:val="0"/>
      <w:marRight w:val="0"/>
      <w:marTop w:val="0"/>
      <w:marBottom w:val="0"/>
      <w:divBdr>
        <w:top w:val="none" w:sz="0" w:space="0" w:color="auto"/>
        <w:left w:val="none" w:sz="0" w:space="0" w:color="auto"/>
        <w:bottom w:val="none" w:sz="0" w:space="0" w:color="auto"/>
        <w:right w:val="none" w:sz="0" w:space="0" w:color="auto"/>
      </w:divBdr>
    </w:div>
    <w:div w:id="1618564161">
      <w:bodyDiv w:val="1"/>
      <w:marLeft w:val="0"/>
      <w:marRight w:val="0"/>
      <w:marTop w:val="0"/>
      <w:marBottom w:val="0"/>
      <w:divBdr>
        <w:top w:val="none" w:sz="0" w:space="0" w:color="auto"/>
        <w:left w:val="none" w:sz="0" w:space="0" w:color="auto"/>
        <w:bottom w:val="none" w:sz="0" w:space="0" w:color="auto"/>
        <w:right w:val="none" w:sz="0" w:space="0" w:color="auto"/>
      </w:divBdr>
    </w:div>
    <w:div w:id="1670712953">
      <w:bodyDiv w:val="1"/>
      <w:marLeft w:val="0"/>
      <w:marRight w:val="0"/>
      <w:marTop w:val="0"/>
      <w:marBottom w:val="0"/>
      <w:divBdr>
        <w:top w:val="none" w:sz="0" w:space="0" w:color="auto"/>
        <w:left w:val="none" w:sz="0" w:space="0" w:color="auto"/>
        <w:bottom w:val="none" w:sz="0" w:space="0" w:color="auto"/>
        <w:right w:val="none" w:sz="0" w:space="0" w:color="auto"/>
      </w:divBdr>
    </w:div>
    <w:div w:id="1689259753">
      <w:bodyDiv w:val="1"/>
      <w:marLeft w:val="0"/>
      <w:marRight w:val="0"/>
      <w:marTop w:val="0"/>
      <w:marBottom w:val="0"/>
      <w:divBdr>
        <w:top w:val="none" w:sz="0" w:space="0" w:color="auto"/>
        <w:left w:val="none" w:sz="0" w:space="0" w:color="auto"/>
        <w:bottom w:val="none" w:sz="0" w:space="0" w:color="auto"/>
        <w:right w:val="none" w:sz="0" w:space="0" w:color="auto"/>
      </w:divBdr>
    </w:div>
    <w:div w:id="1772814894">
      <w:bodyDiv w:val="1"/>
      <w:marLeft w:val="0"/>
      <w:marRight w:val="0"/>
      <w:marTop w:val="0"/>
      <w:marBottom w:val="0"/>
      <w:divBdr>
        <w:top w:val="none" w:sz="0" w:space="0" w:color="auto"/>
        <w:left w:val="none" w:sz="0" w:space="0" w:color="auto"/>
        <w:bottom w:val="none" w:sz="0" w:space="0" w:color="auto"/>
        <w:right w:val="none" w:sz="0" w:space="0" w:color="auto"/>
      </w:divBdr>
    </w:div>
    <w:div w:id="1802916251">
      <w:bodyDiv w:val="1"/>
      <w:marLeft w:val="0"/>
      <w:marRight w:val="0"/>
      <w:marTop w:val="0"/>
      <w:marBottom w:val="0"/>
      <w:divBdr>
        <w:top w:val="none" w:sz="0" w:space="0" w:color="auto"/>
        <w:left w:val="none" w:sz="0" w:space="0" w:color="auto"/>
        <w:bottom w:val="none" w:sz="0" w:space="0" w:color="auto"/>
        <w:right w:val="none" w:sz="0" w:space="0" w:color="auto"/>
      </w:divBdr>
    </w:div>
    <w:div w:id="1853298801">
      <w:bodyDiv w:val="1"/>
      <w:marLeft w:val="0"/>
      <w:marRight w:val="0"/>
      <w:marTop w:val="0"/>
      <w:marBottom w:val="0"/>
      <w:divBdr>
        <w:top w:val="none" w:sz="0" w:space="0" w:color="auto"/>
        <w:left w:val="none" w:sz="0" w:space="0" w:color="auto"/>
        <w:bottom w:val="none" w:sz="0" w:space="0" w:color="auto"/>
        <w:right w:val="none" w:sz="0" w:space="0" w:color="auto"/>
      </w:divBdr>
    </w:div>
    <w:div w:id="2000305926">
      <w:marLeft w:val="0"/>
      <w:marRight w:val="0"/>
      <w:marTop w:val="0"/>
      <w:marBottom w:val="0"/>
      <w:divBdr>
        <w:top w:val="none" w:sz="0" w:space="0" w:color="auto"/>
        <w:left w:val="none" w:sz="0" w:space="0" w:color="auto"/>
        <w:bottom w:val="none" w:sz="0" w:space="0" w:color="auto"/>
        <w:right w:val="none" w:sz="0" w:space="0" w:color="auto"/>
      </w:divBdr>
    </w:div>
    <w:div w:id="2000305927">
      <w:marLeft w:val="0"/>
      <w:marRight w:val="0"/>
      <w:marTop w:val="0"/>
      <w:marBottom w:val="0"/>
      <w:divBdr>
        <w:top w:val="none" w:sz="0" w:space="0" w:color="auto"/>
        <w:left w:val="none" w:sz="0" w:space="0" w:color="auto"/>
        <w:bottom w:val="none" w:sz="0" w:space="0" w:color="auto"/>
        <w:right w:val="none" w:sz="0" w:space="0" w:color="auto"/>
      </w:divBdr>
    </w:div>
    <w:div w:id="2000305928">
      <w:marLeft w:val="0"/>
      <w:marRight w:val="0"/>
      <w:marTop w:val="0"/>
      <w:marBottom w:val="0"/>
      <w:divBdr>
        <w:top w:val="none" w:sz="0" w:space="0" w:color="auto"/>
        <w:left w:val="none" w:sz="0" w:space="0" w:color="auto"/>
        <w:bottom w:val="none" w:sz="0" w:space="0" w:color="auto"/>
        <w:right w:val="none" w:sz="0" w:space="0" w:color="auto"/>
      </w:divBdr>
    </w:div>
    <w:div w:id="2000305929">
      <w:marLeft w:val="0"/>
      <w:marRight w:val="0"/>
      <w:marTop w:val="0"/>
      <w:marBottom w:val="0"/>
      <w:divBdr>
        <w:top w:val="none" w:sz="0" w:space="0" w:color="auto"/>
        <w:left w:val="none" w:sz="0" w:space="0" w:color="auto"/>
        <w:bottom w:val="none" w:sz="0" w:space="0" w:color="auto"/>
        <w:right w:val="none" w:sz="0" w:space="0" w:color="auto"/>
      </w:divBdr>
    </w:div>
    <w:div w:id="2000305930">
      <w:marLeft w:val="0"/>
      <w:marRight w:val="0"/>
      <w:marTop w:val="0"/>
      <w:marBottom w:val="0"/>
      <w:divBdr>
        <w:top w:val="none" w:sz="0" w:space="0" w:color="auto"/>
        <w:left w:val="none" w:sz="0" w:space="0" w:color="auto"/>
        <w:bottom w:val="none" w:sz="0" w:space="0" w:color="auto"/>
        <w:right w:val="none" w:sz="0" w:space="0" w:color="auto"/>
      </w:divBdr>
    </w:div>
    <w:div w:id="2000305931">
      <w:marLeft w:val="0"/>
      <w:marRight w:val="0"/>
      <w:marTop w:val="0"/>
      <w:marBottom w:val="0"/>
      <w:divBdr>
        <w:top w:val="none" w:sz="0" w:space="0" w:color="auto"/>
        <w:left w:val="none" w:sz="0" w:space="0" w:color="auto"/>
        <w:bottom w:val="none" w:sz="0" w:space="0" w:color="auto"/>
        <w:right w:val="none" w:sz="0" w:space="0" w:color="auto"/>
      </w:divBdr>
    </w:div>
    <w:div w:id="2000305932">
      <w:marLeft w:val="0"/>
      <w:marRight w:val="0"/>
      <w:marTop w:val="0"/>
      <w:marBottom w:val="0"/>
      <w:divBdr>
        <w:top w:val="none" w:sz="0" w:space="0" w:color="auto"/>
        <w:left w:val="none" w:sz="0" w:space="0" w:color="auto"/>
        <w:bottom w:val="none" w:sz="0" w:space="0" w:color="auto"/>
        <w:right w:val="none" w:sz="0" w:space="0" w:color="auto"/>
      </w:divBdr>
    </w:div>
    <w:div w:id="2000305933">
      <w:marLeft w:val="0"/>
      <w:marRight w:val="0"/>
      <w:marTop w:val="0"/>
      <w:marBottom w:val="0"/>
      <w:divBdr>
        <w:top w:val="none" w:sz="0" w:space="0" w:color="auto"/>
        <w:left w:val="none" w:sz="0" w:space="0" w:color="auto"/>
        <w:bottom w:val="none" w:sz="0" w:space="0" w:color="auto"/>
        <w:right w:val="none" w:sz="0" w:space="0" w:color="auto"/>
      </w:divBdr>
    </w:div>
    <w:div w:id="2061977655">
      <w:bodyDiv w:val="1"/>
      <w:marLeft w:val="0"/>
      <w:marRight w:val="0"/>
      <w:marTop w:val="0"/>
      <w:marBottom w:val="0"/>
      <w:divBdr>
        <w:top w:val="none" w:sz="0" w:space="0" w:color="auto"/>
        <w:left w:val="none" w:sz="0" w:space="0" w:color="auto"/>
        <w:bottom w:val="none" w:sz="0" w:space="0" w:color="auto"/>
        <w:right w:val="none" w:sz="0" w:space="0" w:color="auto"/>
      </w:divBdr>
    </w:div>
    <w:div w:id="206748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image" Target="media/image10.png"/><Relationship Id="rId39" Type="http://schemas.openxmlformats.org/officeDocument/2006/relationships/hyperlink" Target="https://www.gov.uk/government/uploads/system/uploads/attachment_data/file/290565/scho0309bpqz-e-e.pdf" TargetMode="External"/><Relationship Id="rId21" Type="http://schemas.openxmlformats.org/officeDocument/2006/relationships/image" Target="media/image6.png"/><Relationship Id="rId34" Type="http://schemas.openxmlformats.org/officeDocument/2006/relationships/oleObject" Target="embeddings/oleObject1.bin"/><Relationship Id="rId42" Type="http://schemas.openxmlformats.org/officeDocument/2006/relationships/hyperlink" Target="https://www.gov.uk/government/uploads/system/uploads/attachment_data/file/291525/LIT_7371_44228a.pdf" TargetMode="External"/><Relationship Id="rId47" Type="http://schemas.openxmlformats.org/officeDocument/2006/relationships/hyperlink" Target="http://echa.europa.eu/documents/10162/414fa327-56a1-4b0c-bb0f-a6c40e74ece2" TargetMode="External"/><Relationship Id="rId50" Type="http://schemas.openxmlformats.org/officeDocument/2006/relationships/hyperlink" Target="http://www.scopus.com/authid/detail.url?authorId=55937286200&amp;amp;eid=2-s2.0-84888199338" TargetMode="External"/><Relationship Id="rId55" Type="http://schemas.openxmlformats.org/officeDocument/2006/relationships/hyperlink" Target="https://www.epa.gov/sites/production/files/2014-05/documents/decabde_final.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image" Target="media/image9.png"/><Relationship Id="rId33" Type="http://schemas.openxmlformats.org/officeDocument/2006/relationships/image" Target="media/image17.emf"/><Relationship Id="rId38" Type="http://schemas.openxmlformats.org/officeDocument/2006/relationships/hyperlink" Target="http://www.trentu.ca/academic/aminss/envmodel/models/L3280.html" TargetMode="External"/><Relationship Id="rId46" Type="http://schemas.openxmlformats.org/officeDocument/2006/relationships/hyperlink" Target="http://echa.europa.eu/documents/10162/f9b4577b-c57f-439b-b15a-9e268b1d0a58"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3.png"/><Relationship Id="rId41" Type="http://schemas.openxmlformats.org/officeDocument/2006/relationships/hyperlink" Target="https://www.gov.uk/government/uploads/system/uploads/attachment_data/file/291527/scho0811buce-e-e.pdf" TargetMode="External"/><Relationship Id="rId54" Type="http://schemas.openxmlformats.org/officeDocument/2006/relationships/hyperlink" Target="http://www.epa.gov/opptintr/exposure/pubs/episuitedl.htm%20as%20of%20November%20201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hyperlink" Target="http://oehha.ca.gov/multimedia/biomon/pdf/120408flamedoc.pdf" TargetMode="External"/><Relationship Id="rId40" Type="http://schemas.openxmlformats.org/officeDocument/2006/relationships/hyperlink" Target="https://www.gov.uk/government/uploads/system/uploads/attachment_data/file/290561/scho0309bpqx-e-e.pdf" TargetMode="External"/><Relationship Id="rId45" Type="http://schemas.openxmlformats.org/officeDocument/2006/relationships/hyperlink" Target="http://echa.europa.eu/documents/10162/c44474a0-e926-451d-9efd-810b230008f4" TargetMode="External"/><Relationship Id="rId53" Type="http://schemas.openxmlformats.org/officeDocument/2006/relationships/hyperlink" Target="http://www.sciencedirect.com/science/article/pii/S0045653514004858" TargetMode="Externa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cha.europa.eu/" TargetMode="External"/><Relationship Id="rId23" Type="http://schemas.openxmlformats.org/officeDocument/2006/relationships/hyperlink" Target="https://www.rsc.org/Merck-Index/" TargetMode="External"/><Relationship Id="rId28" Type="http://schemas.openxmlformats.org/officeDocument/2006/relationships/image" Target="media/image12.png"/><Relationship Id="rId36" Type="http://schemas.openxmlformats.org/officeDocument/2006/relationships/hyperlink" Target="http://pubs.acs.org/doi/abs/10.1021/es506251q" TargetMode="External"/><Relationship Id="rId49" Type="http://schemas.openxmlformats.org/officeDocument/2006/relationships/hyperlink" Target="http://echa.europa.eu/documents/10162/e359141e-e5cf-4ddf-b197-7701ea563b0f" TargetMode="Externa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image" Target="media/image15.png"/><Relationship Id="rId44" Type="http://schemas.openxmlformats.org/officeDocument/2006/relationships/hyperlink" Target="http://echa.europa.eu/documents/10162/781ee1e9-6c90-467e-998b-8910ca2793e5" TargetMode="External"/><Relationship Id="rId52" Type="http://schemas.openxmlformats.org/officeDocument/2006/relationships/hyperlink" Target="http://www.scopus.com/authid/detail.url?authorId=36013249500&amp;amp;eid=2-s2.0-8488819933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7.emf"/><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8.png"/><Relationship Id="rId43" Type="http://schemas.openxmlformats.org/officeDocument/2006/relationships/hyperlink" Target="http://echa.europa.eu/documents/10162/9c211198-2f6d-40d5-8569-7b87a4c3782d" TargetMode="External"/><Relationship Id="rId48" Type="http://schemas.openxmlformats.org/officeDocument/2006/relationships/hyperlink" Target="http://echa.europa.eu/documents/10162/9ac9a275-d35c-4d24-b4e7-9630642b1d54" TargetMode="External"/><Relationship Id="rId56"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hyperlink" Target="http://www.scopus.com/authid/detail.url?authorId=55243125600&amp;amp;eid=2-s2.0-84888199338"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echa.europa.eu/registration-dossier/-/registered-dossier/11906/1%20" TargetMode="External"/><Relationship Id="rId2" Type="http://schemas.openxmlformats.org/officeDocument/2006/relationships/hyperlink" Target="http://echa.europa.eu/web/guest/information-on-chemicals/cl-inventory-database" TargetMode="External"/><Relationship Id="rId1" Type="http://schemas.openxmlformats.org/officeDocument/2006/relationships/hyperlink" Target="https://echa.europa.eu/registration-dossier/-/registered-dossier/11906/1%20" TargetMode="External"/><Relationship Id="rId5" Type="http://schemas.openxmlformats.org/officeDocument/2006/relationships/hyperlink" Target="http://spin2000.net/" TargetMode="External"/><Relationship Id="rId4" Type="http://schemas.openxmlformats.org/officeDocument/2006/relationships/hyperlink" Target="http://apps.echa.europa.eu/registered/data/dossiers/DISS-dffb4072-e357-47ae-e044-00144f67d031/DISS-dffb4072-e357-47ae-e044-00144f67d031_DISS-dffb4072-e357-47ae-e044-00144f67d03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_x0020_url xmlns="638ed661-6cf9-4389-bd1d-6d3315698250">
      <Url xsi:nil="true"/>
      <Description xsi:nil="true"/>
    </Folder_x0020_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4EF948BC7CFF48BCCC6ECFC3EF08A9" ma:contentTypeVersion="2" ma:contentTypeDescription="Create a new document." ma:contentTypeScope="" ma:versionID="ab191d73455c6395f04f59adf260590f">
  <xsd:schema xmlns:xsd="http://www.w3.org/2001/XMLSchema" xmlns:xs="http://www.w3.org/2001/XMLSchema" xmlns:p="http://schemas.microsoft.com/office/2006/metadata/properties" xmlns:ns2="638ed661-6cf9-4389-bd1d-6d3315698250" targetNamespace="http://schemas.microsoft.com/office/2006/metadata/properties" ma:root="true" ma:fieldsID="1c35b10b2f987964c91ae869a03fff63" ns2:_="">
    <xsd:import namespace="638ed661-6cf9-4389-bd1d-6d3315698250"/>
    <xsd:element name="properties">
      <xsd:complexType>
        <xsd:sequence>
          <xsd:element name="documentManagement">
            <xsd:complexType>
              <xsd:all>
                <xsd:element ref="ns2:Folder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ed661-6cf9-4389-bd1d-6d3315698250" elementFormDefault="qualified">
    <xsd:import namespace="http://schemas.microsoft.com/office/2006/documentManagement/types"/>
    <xsd:import namespace="http://schemas.microsoft.com/office/infopath/2007/PartnerControls"/>
    <xsd:element name="Folder_x0020_url" ma:index="8" nillable="true" ma:displayName="Folder url" ma:format="Hyperlink" ma:internalName="Folder_x0020_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4FA8D-8C0F-4176-A3B2-179A5853A8D4}">
  <ds:schemaRefs>
    <ds:schemaRef ds:uri="http://schemas.microsoft.com/sharepoint/v3/contenttype/forms"/>
  </ds:schemaRefs>
</ds:datastoreItem>
</file>

<file path=customXml/itemProps2.xml><?xml version="1.0" encoding="utf-8"?>
<ds:datastoreItem xmlns:ds="http://schemas.openxmlformats.org/officeDocument/2006/customXml" ds:itemID="{646CE269-1E98-411A-A103-D2EC417022C6}">
  <ds:schemaRefs>
    <ds:schemaRef ds:uri="http://purl.org/dc/terms/"/>
    <ds:schemaRef ds:uri="http://schemas.openxmlformats.org/package/2006/metadata/core-properties"/>
    <ds:schemaRef ds:uri="http://purl.org/dc/dcmitype/"/>
    <ds:schemaRef ds:uri="http://schemas.microsoft.com/office/infopath/2007/PartnerControls"/>
    <ds:schemaRef ds:uri="638ed661-6cf9-4389-bd1d-6d3315698250"/>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381BC0BF-ADC7-4FA2-8BE9-C52802DEA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ed661-6cf9-4389-bd1d-6d3315698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46D0A0-F05C-4F72-9DAC-451E5B527C2D}">
  <ds:schemaRefs>
    <ds:schemaRef ds:uri="http://schemas.microsoft.com/office/2006/metadata/longProperties"/>
  </ds:schemaRefs>
</ds:datastoreItem>
</file>

<file path=customXml/itemProps5.xml><?xml version="1.0" encoding="utf-8"?>
<ds:datastoreItem xmlns:ds="http://schemas.openxmlformats.org/officeDocument/2006/customXml" ds:itemID="{94D0C53A-6BBE-4351-8CCC-ABFA254ED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D009C96F.dotm</Template>
  <TotalTime>44</TotalTime>
  <Pages>96</Pages>
  <Words>41992</Words>
  <Characters>244282</Characters>
  <Application>Microsoft Office Word</Application>
  <DocSecurity>0</DocSecurity>
  <Lines>2035</Lines>
  <Paragraphs>571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 XV report</vt:lpstr>
      <vt:lpstr>Annex XV report</vt:lpstr>
    </vt:vector>
  </TitlesOfParts>
  <Company>European Chemicals Agency</Company>
  <LinksUpToDate>false</LinksUpToDate>
  <CharactersWithSpaces>285703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XV report</dc:title>
  <dc:subject/>
  <dc:creator>NORAH OFARRELL</dc:creator>
  <cp:keywords/>
  <dc:description/>
  <cp:lastModifiedBy>O'FARRELL Norah</cp:lastModifiedBy>
  <cp:revision>15</cp:revision>
  <cp:lastPrinted>2017-08-07T05:20:00Z</cp:lastPrinted>
  <dcterms:created xsi:type="dcterms:W3CDTF">2017-08-29T12:40:00Z</dcterms:created>
  <dcterms:modified xsi:type="dcterms:W3CDTF">2017-08-30T13:16:00Z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0x0101006F4EF948BC7CFF48BCCC6ECFC3EF08A9</vt:lpwstr>
  </property>
</Properties>
</file>