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93F" w:rsidRDefault="00525B96" w:rsidP="002D20D8">
      <w:pPr>
        <w:pStyle w:val="BodyText"/>
      </w:pPr>
      <w:bookmarkStart w:id="0" w:name="_GoBack"/>
      <w:bookmarkEnd w:id="0"/>
      <w:r>
        <w:rPr>
          <w:noProof/>
          <w:lang w:eastAsia="en-GB"/>
        </w:rPr>
        <w:drawing>
          <wp:anchor distT="0" distB="0" distL="114300" distR="114300" simplePos="0" relativeHeight="251659264" behindDoc="0" locked="0" layoutInCell="1" allowOverlap="1">
            <wp:simplePos x="0" y="0"/>
            <wp:positionH relativeFrom="margin">
              <wp:posOffset>-219075</wp:posOffset>
            </wp:positionH>
            <wp:positionV relativeFrom="margin">
              <wp:posOffset>-314325</wp:posOffset>
            </wp:positionV>
            <wp:extent cx="2181225" cy="56197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93F" w:rsidRDefault="0076393F">
      <w:pPr>
        <w:spacing w:after="200" w:line="276" w:lineRule="auto"/>
      </w:pPr>
    </w:p>
    <w:p w:rsidR="0076393F" w:rsidRPr="0076393F" w:rsidRDefault="0076393F" w:rsidP="0076393F"/>
    <w:p w:rsidR="0076393F" w:rsidRPr="0076393F" w:rsidRDefault="0076393F" w:rsidP="0076393F"/>
    <w:p w:rsidR="0076393F" w:rsidRPr="0076393F" w:rsidRDefault="0076393F" w:rsidP="0076393F"/>
    <w:p w:rsidR="00943F93" w:rsidRPr="00D52350" w:rsidRDefault="00943F93" w:rsidP="00943F93">
      <w:pPr>
        <w:pStyle w:val="Default"/>
        <w:jc w:val="center"/>
        <w:rPr>
          <w:sz w:val="28"/>
          <w:szCs w:val="28"/>
          <w:lang w:val="en-GB"/>
        </w:rPr>
      </w:pPr>
      <w:r w:rsidRPr="00D52350">
        <w:rPr>
          <w:b/>
          <w:bCs/>
          <w:sz w:val="28"/>
          <w:szCs w:val="28"/>
          <w:lang w:val="en-GB"/>
        </w:rPr>
        <w:t>Committee for Socio-economic Analysis (SEAC)</w:t>
      </w:r>
    </w:p>
    <w:p w:rsidR="00943F93" w:rsidRDefault="00943F93" w:rsidP="00943F93">
      <w:pPr>
        <w:pStyle w:val="Default"/>
        <w:jc w:val="center"/>
        <w:rPr>
          <w:b/>
          <w:bCs/>
          <w:sz w:val="28"/>
          <w:szCs w:val="28"/>
          <w:lang w:val="en-GB"/>
        </w:rPr>
      </w:pPr>
    </w:p>
    <w:p w:rsidR="00943F93" w:rsidRDefault="00943F93" w:rsidP="00943F93">
      <w:pPr>
        <w:pStyle w:val="Default"/>
        <w:jc w:val="center"/>
        <w:rPr>
          <w:b/>
          <w:bCs/>
          <w:sz w:val="28"/>
          <w:szCs w:val="28"/>
          <w:lang w:val="en-GB"/>
        </w:rPr>
      </w:pPr>
    </w:p>
    <w:p w:rsidR="00943F93" w:rsidRDefault="00943F93" w:rsidP="00943F93">
      <w:pPr>
        <w:pStyle w:val="Default"/>
        <w:jc w:val="center"/>
        <w:rPr>
          <w:b/>
          <w:bCs/>
          <w:sz w:val="28"/>
          <w:szCs w:val="28"/>
          <w:lang w:val="en-GB"/>
        </w:rPr>
      </w:pPr>
    </w:p>
    <w:p w:rsidR="00943F93" w:rsidRDefault="00943F93" w:rsidP="00943F93">
      <w:pPr>
        <w:pStyle w:val="Default"/>
        <w:jc w:val="center"/>
        <w:rPr>
          <w:b/>
          <w:bCs/>
          <w:sz w:val="28"/>
          <w:szCs w:val="28"/>
          <w:lang w:val="en-GB"/>
        </w:rPr>
      </w:pPr>
    </w:p>
    <w:p w:rsidR="00943F93" w:rsidRDefault="00943F93" w:rsidP="00943F93">
      <w:pPr>
        <w:pStyle w:val="Default"/>
        <w:jc w:val="center"/>
        <w:rPr>
          <w:b/>
          <w:bCs/>
          <w:sz w:val="28"/>
          <w:szCs w:val="28"/>
          <w:lang w:val="en-GB"/>
        </w:rPr>
      </w:pPr>
    </w:p>
    <w:p w:rsidR="00943F93" w:rsidRPr="00D52350" w:rsidRDefault="00943F93" w:rsidP="00943F93">
      <w:pPr>
        <w:pStyle w:val="Default"/>
        <w:jc w:val="center"/>
        <w:rPr>
          <w:sz w:val="28"/>
          <w:szCs w:val="28"/>
          <w:lang w:val="en-GB"/>
        </w:rPr>
      </w:pPr>
      <w:r w:rsidRPr="00D52350">
        <w:rPr>
          <w:b/>
          <w:bCs/>
          <w:sz w:val="28"/>
          <w:szCs w:val="28"/>
          <w:lang w:val="en-GB"/>
        </w:rPr>
        <w:t>Response to comments on the SEAC draft</w:t>
      </w:r>
    </w:p>
    <w:p w:rsidR="00943F93" w:rsidRPr="00D52350" w:rsidRDefault="00943F93" w:rsidP="00943F93">
      <w:pPr>
        <w:pStyle w:val="Default"/>
        <w:jc w:val="center"/>
        <w:rPr>
          <w:sz w:val="28"/>
          <w:szCs w:val="28"/>
          <w:lang w:val="en-GB"/>
        </w:rPr>
      </w:pPr>
      <w:r w:rsidRPr="00D52350">
        <w:rPr>
          <w:b/>
          <w:bCs/>
          <w:sz w:val="28"/>
          <w:szCs w:val="28"/>
          <w:lang w:val="en-GB"/>
        </w:rPr>
        <w:t>Opinion</w:t>
      </w:r>
    </w:p>
    <w:p w:rsidR="00943F93" w:rsidRPr="00D52350" w:rsidRDefault="00943F93" w:rsidP="00943F93">
      <w:pPr>
        <w:pStyle w:val="Default"/>
        <w:jc w:val="center"/>
        <w:rPr>
          <w:sz w:val="28"/>
          <w:szCs w:val="28"/>
          <w:lang w:val="en-GB"/>
        </w:rPr>
      </w:pPr>
      <w:r w:rsidRPr="00D52350">
        <w:rPr>
          <w:b/>
          <w:bCs/>
          <w:sz w:val="28"/>
          <w:szCs w:val="28"/>
          <w:lang w:val="en-GB"/>
        </w:rPr>
        <w:t>on the Annex XV dossier proposing</w:t>
      </w:r>
    </w:p>
    <w:p w:rsidR="00943F93" w:rsidRPr="00D52350" w:rsidRDefault="001C76B2" w:rsidP="00943F93">
      <w:pPr>
        <w:pStyle w:val="Default"/>
        <w:jc w:val="center"/>
        <w:rPr>
          <w:sz w:val="28"/>
          <w:szCs w:val="28"/>
          <w:lang w:val="en-GB"/>
        </w:rPr>
      </w:pPr>
      <w:r>
        <w:rPr>
          <w:b/>
          <w:bCs/>
          <w:sz w:val="28"/>
          <w:szCs w:val="28"/>
          <w:lang w:val="en-GB"/>
        </w:rPr>
        <w:t>restriction</w:t>
      </w:r>
      <w:r w:rsidR="00943F93" w:rsidRPr="00D52350">
        <w:rPr>
          <w:b/>
          <w:bCs/>
          <w:sz w:val="28"/>
          <w:szCs w:val="28"/>
          <w:lang w:val="en-GB"/>
        </w:rPr>
        <w:t xml:space="preserve"> on</w:t>
      </w:r>
    </w:p>
    <w:p w:rsidR="00943F93" w:rsidRDefault="00E314F6" w:rsidP="00943F93">
      <w:pPr>
        <w:pStyle w:val="Default"/>
        <w:jc w:val="center"/>
        <w:rPr>
          <w:b/>
          <w:bCs/>
          <w:sz w:val="28"/>
          <w:szCs w:val="28"/>
          <w:lang w:val="en-GB"/>
        </w:rPr>
      </w:pPr>
      <w:r>
        <w:rPr>
          <w:b/>
          <w:bCs/>
          <w:sz w:val="28"/>
          <w:szCs w:val="28"/>
          <w:lang w:val="en-GB"/>
        </w:rPr>
        <w:t xml:space="preserve">Ammonium salt </w:t>
      </w:r>
    </w:p>
    <w:p w:rsidR="00943F93" w:rsidRDefault="00943F93" w:rsidP="00943F93">
      <w:pPr>
        <w:pStyle w:val="Default"/>
        <w:jc w:val="center"/>
        <w:rPr>
          <w:b/>
          <w:bCs/>
          <w:sz w:val="28"/>
          <w:szCs w:val="28"/>
          <w:lang w:val="en-GB"/>
        </w:rPr>
      </w:pPr>
    </w:p>
    <w:p w:rsidR="00943F93" w:rsidRDefault="00943F93" w:rsidP="00943F93">
      <w:pPr>
        <w:pStyle w:val="Default"/>
        <w:jc w:val="center"/>
        <w:rPr>
          <w:b/>
          <w:bCs/>
          <w:sz w:val="28"/>
          <w:szCs w:val="28"/>
          <w:lang w:val="en-GB"/>
        </w:rPr>
      </w:pPr>
    </w:p>
    <w:p w:rsidR="00943F93" w:rsidRPr="00D52350" w:rsidRDefault="00943F93" w:rsidP="00943F93">
      <w:pPr>
        <w:pStyle w:val="Default"/>
        <w:jc w:val="center"/>
        <w:rPr>
          <w:sz w:val="28"/>
          <w:szCs w:val="28"/>
          <w:lang w:val="en-GB"/>
        </w:rPr>
      </w:pPr>
    </w:p>
    <w:p w:rsidR="00943F93" w:rsidRDefault="00943F93" w:rsidP="00943F93">
      <w:pPr>
        <w:pStyle w:val="Default"/>
        <w:jc w:val="center"/>
        <w:rPr>
          <w:b/>
          <w:bCs/>
          <w:sz w:val="23"/>
          <w:szCs w:val="23"/>
          <w:lang w:val="en-GB"/>
        </w:rPr>
      </w:pPr>
    </w:p>
    <w:p w:rsidR="00943F93" w:rsidRDefault="00943F93" w:rsidP="00943F93">
      <w:pPr>
        <w:pStyle w:val="Default"/>
        <w:jc w:val="center"/>
        <w:rPr>
          <w:b/>
          <w:bCs/>
          <w:sz w:val="23"/>
          <w:szCs w:val="23"/>
          <w:lang w:val="en-GB"/>
        </w:rPr>
      </w:pPr>
    </w:p>
    <w:p w:rsidR="00943F93" w:rsidRDefault="00943F93" w:rsidP="00943F93">
      <w:pPr>
        <w:pStyle w:val="Default"/>
        <w:jc w:val="center"/>
        <w:rPr>
          <w:b/>
          <w:bCs/>
          <w:sz w:val="23"/>
          <w:szCs w:val="23"/>
          <w:lang w:val="en-GB"/>
        </w:rPr>
      </w:pPr>
    </w:p>
    <w:p w:rsidR="00943F93" w:rsidRDefault="00943F93" w:rsidP="00943F93">
      <w:pPr>
        <w:pStyle w:val="Default"/>
        <w:jc w:val="center"/>
        <w:rPr>
          <w:b/>
          <w:bCs/>
          <w:sz w:val="23"/>
          <w:szCs w:val="23"/>
          <w:lang w:val="en-GB"/>
        </w:rPr>
      </w:pPr>
    </w:p>
    <w:p w:rsidR="00943F93" w:rsidRPr="00D52350" w:rsidRDefault="00943F93" w:rsidP="00943F93">
      <w:pPr>
        <w:pStyle w:val="Default"/>
        <w:jc w:val="center"/>
        <w:rPr>
          <w:sz w:val="23"/>
          <w:szCs w:val="23"/>
          <w:lang w:val="en-GB"/>
        </w:rPr>
      </w:pPr>
    </w:p>
    <w:p w:rsidR="00943F93" w:rsidRDefault="00E314F6" w:rsidP="00943F93">
      <w:pPr>
        <w:pStyle w:val="Default"/>
        <w:jc w:val="center"/>
        <w:rPr>
          <w:b/>
          <w:bCs/>
          <w:sz w:val="23"/>
          <w:szCs w:val="23"/>
          <w:lang w:val="en-GB"/>
        </w:rPr>
      </w:pPr>
      <w:r>
        <w:rPr>
          <w:b/>
          <w:bCs/>
          <w:sz w:val="23"/>
          <w:szCs w:val="23"/>
          <w:lang w:val="en-GB"/>
        </w:rPr>
        <w:t>Ammonium salts</w:t>
      </w:r>
    </w:p>
    <w:p w:rsidR="00943F93" w:rsidRPr="00DD5252" w:rsidRDefault="00DD5252" w:rsidP="00943F93">
      <w:pPr>
        <w:pStyle w:val="Default"/>
        <w:jc w:val="center"/>
        <w:rPr>
          <w:sz w:val="23"/>
          <w:szCs w:val="23"/>
          <w:lang w:val="en-GB"/>
        </w:rPr>
      </w:pPr>
      <w:r>
        <w:rPr>
          <w:b/>
          <w:bCs/>
          <w:sz w:val="23"/>
          <w:szCs w:val="23"/>
          <w:lang w:val="en-GB"/>
        </w:rPr>
        <w:t>EC number: -</w:t>
      </w:r>
    </w:p>
    <w:p w:rsidR="00943F93" w:rsidRDefault="00943F93" w:rsidP="00943F93">
      <w:pPr>
        <w:pStyle w:val="BodyText"/>
        <w:jc w:val="center"/>
        <w:rPr>
          <w:b/>
          <w:bCs/>
          <w:sz w:val="23"/>
          <w:szCs w:val="23"/>
        </w:rPr>
      </w:pPr>
      <w:r w:rsidRPr="00DD5252">
        <w:rPr>
          <w:b/>
          <w:bCs/>
          <w:sz w:val="23"/>
          <w:szCs w:val="23"/>
        </w:rPr>
        <w:t xml:space="preserve">CAS number: </w:t>
      </w:r>
      <w:r w:rsidR="00DD5252">
        <w:rPr>
          <w:b/>
          <w:bCs/>
          <w:sz w:val="23"/>
          <w:szCs w:val="23"/>
        </w:rPr>
        <w:t>-</w:t>
      </w:r>
    </w:p>
    <w:p w:rsidR="00943F93" w:rsidRDefault="00943F93" w:rsidP="00943F93">
      <w:pPr>
        <w:pStyle w:val="BodyText"/>
        <w:jc w:val="center"/>
        <w:rPr>
          <w:b/>
          <w:bCs/>
          <w:sz w:val="23"/>
          <w:szCs w:val="23"/>
        </w:rPr>
      </w:pPr>
    </w:p>
    <w:p w:rsidR="00943F93" w:rsidRDefault="00943F93" w:rsidP="00943F93">
      <w:pPr>
        <w:pStyle w:val="BodyText"/>
        <w:jc w:val="center"/>
        <w:rPr>
          <w:b/>
          <w:bCs/>
          <w:sz w:val="23"/>
          <w:szCs w:val="23"/>
        </w:rPr>
      </w:pPr>
    </w:p>
    <w:p w:rsidR="00943F93" w:rsidRDefault="00943F93" w:rsidP="00943F93">
      <w:pPr>
        <w:pStyle w:val="BodyText"/>
        <w:jc w:val="center"/>
        <w:rPr>
          <w:b/>
          <w:bCs/>
          <w:sz w:val="23"/>
          <w:szCs w:val="23"/>
        </w:rPr>
      </w:pPr>
    </w:p>
    <w:p w:rsidR="00943F93" w:rsidRDefault="00943F93" w:rsidP="00943F93">
      <w:pPr>
        <w:pStyle w:val="BodyText"/>
        <w:jc w:val="center"/>
        <w:rPr>
          <w:b/>
          <w:bCs/>
          <w:sz w:val="23"/>
          <w:szCs w:val="23"/>
        </w:rPr>
      </w:pPr>
    </w:p>
    <w:p w:rsidR="00943F93" w:rsidRDefault="00E314F6" w:rsidP="00943F93">
      <w:pPr>
        <w:pStyle w:val="BodyText"/>
        <w:jc w:val="center"/>
      </w:pPr>
      <w:r>
        <w:rPr>
          <w:b/>
          <w:bCs/>
          <w:sz w:val="23"/>
          <w:szCs w:val="23"/>
        </w:rPr>
        <w:t>19</w:t>
      </w:r>
      <w:r w:rsidR="00943F93">
        <w:rPr>
          <w:b/>
          <w:bCs/>
          <w:sz w:val="23"/>
          <w:szCs w:val="23"/>
        </w:rPr>
        <w:t xml:space="preserve"> June 2014</w:t>
      </w:r>
    </w:p>
    <w:p w:rsidR="0076393F" w:rsidRPr="0076393F" w:rsidRDefault="0076393F" w:rsidP="0076393F"/>
    <w:p w:rsidR="0076393F" w:rsidRPr="0076393F" w:rsidRDefault="0076393F" w:rsidP="0076393F"/>
    <w:p w:rsidR="0076393F" w:rsidRPr="0076393F" w:rsidRDefault="0076393F" w:rsidP="0076393F"/>
    <w:p w:rsidR="0076393F" w:rsidRPr="0076393F" w:rsidRDefault="0076393F" w:rsidP="0076393F"/>
    <w:p w:rsidR="0076393F" w:rsidRDefault="0076393F" w:rsidP="0076393F">
      <w:pPr>
        <w:tabs>
          <w:tab w:val="left" w:pos="9405"/>
        </w:tabs>
        <w:spacing w:after="200" w:line="276" w:lineRule="auto"/>
        <w:sectPr w:rsidR="0076393F" w:rsidSect="00227F7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p w:rsidR="0076393F" w:rsidRDefault="0076393F" w:rsidP="0076393F">
      <w:pPr>
        <w:tabs>
          <w:tab w:val="left" w:pos="9405"/>
        </w:tabs>
        <w:spacing w:after="200" w:line="276" w:lineRule="auto"/>
        <w:rPr>
          <w:rFonts w:ascii="Verdana" w:hAnsi="Verdana"/>
          <w:snapToGrid w:val="0"/>
          <w:sz w:val="20"/>
          <w:szCs w:val="20"/>
          <w:lang w:eastAsia="fi-FI"/>
        </w:rPr>
      </w:pPr>
      <w:r>
        <w:lastRenderedPageBreak/>
        <w:tab/>
      </w:r>
    </w:p>
    <w:p w:rsidR="00B607D8" w:rsidRDefault="00B607D8" w:rsidP="00B607D8">
      <w:pPr>
        <w:pStyle w:val="Title"/>
      </w:pPr>
      <w:r w:rsidRPr="00861D1F">
        <w:t>Comments on the SEAC draft opinion</w:t>
      </w:r>
      <w:r>
        <w:t xml:space="preserve"> and specific information requests</w:t>
      </w:r>
    </w:p>
    <w:p w:rsidR="00B607D8" w:rsidRDefault="00B607D8" w:rsidP="00B607D8">
      <w:pPr>
        <w:pStyle w:val="Heading2"/>
      </w:pPr>
      <w:r>
        <w:t>Specific information requests</w:t>
      </w:r>
    </w:p>
    <w:p w:rsidR="009C257E" w:rsidRPr="009C257E" w:rsidRDefault="003D74A2" w:rsidP="003D74A2">
      <w:pPr>
        <w:pStyle w:val="BodyText"/>
        <w:numPr>
          <w:ilvl w:val="0"/>
          <w:numId w:val="6"/>
        </w:numPr>
      </w:pPr>
      <w:r w:rsidRPr="003D74A2">
        <w:t>The restriction proposal recommends a transition period of 12 months (after the entry into force). Is this considered as sufficient transition period for the economic operators to adapt to the requirements of the proposed restriction? If not please provide technical and socio-economic information to explain what an “alternative reasonable” transition period (e.g. 18 or 24 months) could be.</w:t>
      </w:r>
    </w:p>
    <w:tbl>
      <w:tblPr>
        <w:tblStyle w:val="TableGrid"/>
        <w:tblW w:w="14142" w:type="dxa"/>
        <w:tblLayout w:type="fixed"/>
        <w:tblLook w:val="04A0" w:firstRow="1" w:lastRow="0" w:firstColumn="1" w:lastColumn="0" w:noHBand="0" w:noVBand="1"/>
      </w:tblPr>
      <w:tblGrid>
        <w:gridCol w:w="959"/>
        <w:gridCol w:w="3402"/>
        <w:gridCol w:w="9769"/>
        <w:gridCol w:w="12"/>
      </w:tblGrid>
      <w:tr w:rsidR="003B6D57" w:rsidRPr="00204DB2" w:rsidTr="00917346">
        <w:trPr>
          <w:gridAfter w:val="1"/>
          <w:wAfter w:w="12" w:type="dxa"/>
        </w:trPr>
        <w:tc>
          <w:tcPr>
            <w:tcW w:w="959" w:type="dxa"/>
          </w:tcPr>
          <w:p w:rsidR="003B6D57" w:rsidRPr="00204DB2" w:rsidRDefault="003B6D57" w:rsidP="00A05AC2">
            <w:pPr>
              <w:rPr>
                <w:rFonts w:ascii="Verdana" w:hAnsi="Verdana"/>
                <w:b/>
                <w:sz w:val="20"/>
                <w:szCs w:val="20"/>
              </w:rPr>
            </w:pPr>
            <w:r w:rsidRPr="00204DB2">
              <w:rPr>
                <w:rFonts w:ascii="Verdana" w:hAnsi="Verdana"/>
                <w:b/>
                <w:sz w:val="20"/>
                <w:szCs w:val="20"/>
              </w:rPr>
              <w:t>Ref.</w:t>
            </w:r>
          </w:p>
        </w:tc>
        <w:tc>
          <w:tcPr>
            <w:tcW w:w="3402" w:type="dxa"/>
          </w:tcPr>
          <w:p w:rsidR="003B6D57" w:rsidRPr="00204DB2" w:rsidRDefault="003B6D57" w:rsidP="003B6D57">
            <w:pPr>
              <w:rPr>
                <w:rFonts w:ascii="Verdana" w:hAnsi="Verdana"/>
                <w:b/>
                <w:sz w:val="20"/>
                <w:szCs w:val="20"/>
              </w:rPr>
            </w:pPr>
            <w:r w:rsidRPr="00204DB2">
              <w:rPr>
                <w:rFonts w:ascii="Verdana" w:hAnsi="Verdana"/>
                <w:b/>
                <w:sz w:val="20"/>
                <w:szCs w:val="20"/>
              </w:rPr>
              <w:t>Date/</w:t>
            </w:r>
            <w:r>
              <w:rPr>
                <w:rFonts w:ascii="Verdana" w:hAnsi="Verdana"/>
                <w:b/>
                <w:sz w:val="20"/>
                <w:szCs w:val="20"/>
              </w:rPr>
              <w:t>Name/Org.</w:t>
            </w:r>
          </w:p>
          <w:p w:rsidR="003B6D57" w:rsidRPr="00204DB2" w:rsidRDefault="003B6D57" w:rsidP="00A05AC2">
            <w:pPr>
              <w:rPr>
                <w:rFonts w:ascii="Verdana" w:hAnsi="Verdana"/>
                <w:b/>
                <w:sz w:val="20"/>
                <w:szCs w:val="20"/>
              </w:rPr>
            </w:pPr>
          </w:p>
        </w:tc>
        <w:tc>
          <w:tcPr>
            <w:tcW w:w="9769" w:type="dxa"/>
          </w:tcPr>
          <w:p w:rsidR="003B6D57" w:rsidRPr="00204DB2" w:rsidRDefault="003B6D57" w:rsidP="00A05AC2">
            <w:pPr>
              <w:rPr>
                <w:rFonts w:ascii="Verdana" w:hAnsi="Verdana"/>
                <w:b/>
                <w:sz w:val="20"/>
                <w:szCs w:val="20"/>
              </w:rPr>
            </w:pPr>
            <w:r w:rsidRPr="00204DB2">
              <w:rPr>
                <w:rFonts w:ascii="Verdana" w:hAnsi="Verdana"/>
                <w:b/>
                <w:sz w:val="20"/>
                <w:szCs w:val="20"/>
              </w:rPr>
              <w:t>Comments</w:t>
            </w:r>
          </w:p>
        </w:tc>
      </w:tr>
      <w:tr w:rsidR="00917346" w:rsidRPr="001D714B" w:rsidTr="00917346">
        <w:tc>
          <w:tcPr>
            <w:tcW w:w="959" w:type="dxa"/>
            <w:vMerge w:val="restart"/>
          </w:tcPr>
          <w:p w:rsidR="00917346" w:rsidRPr="001D714B" w:rsidRDefault="00917346" w:rsidP="00CA1394">
            <w:pPr>
              <w:rPr>
                <w:rFonts w:ascii="Verdana" w:hAnsi="Verdana"/>
                <w:sz w:val="20"/>
                <w:szCs w:val="20"/>
              </w:rPr>
            </w:pPr>
            <w:r w:rsidRPr="00A43802">
              <w:rPr>
                <w:rFonts w:ascii="Verdana" w:hAnsi="Verdana"/>
                <w:noProof/>
                <w:sz w:val="20"/>
                <w:szCs w:val="20"/>
              </w:rPr>
              <w:t>192</w:t>
            </w:r>
          </w:p>
        </w:tc>
        <w:tc>
          <w:tcPr>
            <w:tcW w:w="3402" w:type="dxa"/>
            <w:vMerge w:val="restart"/>
          </w:tcPr>
          <w:p w:rsidR="00917346" w:rsidRPr="001D714B" w:rsidRDefault="00917346" w:rsidP="00CA1394">
            <w:pPr>
              <w:rPr>
                <w:rFonts w:ascii="Verdana" w:hAnsi="Verdana"/>
                <w:sz w:val="20"/>
                <w:szCs w:val="20"/>
              </w:rPr>
            </w:pPr>
            <w:r w:rsidRPr="001D714B">
              <w:rPr>
                <w:rFonts w:ascii="Verdana" w:hAnsi="Verdana"/>
                <w:b/>
                <w:sz w:val="20"/>
                <w:szCs w:val="20"/>
              </w:rPr>
              <w:t>Date/Time:</w:t>
            </w:r>
            <w:r w:rsidRPr="001D714B">
              <w:rPr>
                <w:rFonts w:ascii="Verdana" w:hAnsi="Verdana"/>
                <w:sz w:val="20"/>
                <w:szCs w:val="20"/>
              </w:rPr>
              <w:t xml:space="preserve"> </w:t>
            </w:r>
            <w:r w:rsidRPr="00A43802">
              <w:rPr>
                <w:rFonts w:ascii="Verdana" w:hAnsi="Verdana"/>
                <w:noProof/>
                <w:sz w:val="20"/>
                <w:szCs w:val="20"/>
              </w:rPr>
              <w:t>2015/05/18 19:26</w:t>
            </w:r>
          </w:p>
          <w:p w:rsidR="00917346" w:rsidRPr="001D714B" w:rsidRDefault="00917346" w:rsidP="00CA1394">
            <w:pPr>
              <w:rPr>
                <w:rFonts w:ascii="Verdana" w:hAnsi="Verdana"/>
                <w:sz w:val="20"/>
                <w:szCs w:val="20"/>
              </w:rPr>
            </w:pPr>
          </w:p>
          <w:p w:rsidR="00917346" w:rsidRPr="001D714B" w:rsidRDefault="00917346" w:rsidP="00CA1394">
            <w:pPr>
              <w:rPr>
                <w:rFonts w:ascii="Verdana" w:hAnsi="Verdana"/>
                <w:sz w:val="20"/>
                <w:szCs w:val="20"/>
              </w:rPr>
            </w:pPr>
            <w:r w:rsidRPr="001D714B">
              <w:rPr>
                <w:rFonts w:ascii="Verdana" w:hAnsi="Verdana"/>
                <w:b/>
                <w:sz w:val="20"/>
                <w:szCs w:val="20"/>
              </w:rPr>
              <w:t>Type:</w:t>
            </w:r>
            <w:r w:rsidRPr="001D714B">
              <w:rPr>
                <w:rFonts w:ascii="Verdana" w:hAnsi="Verdana"/>
                <w:sz w:val="20"/>
                <w:szCs w:val="20"/>
              </w:rPr>
              <w:t xml:space="preserve"> </w:t>
            </w:r>
            <w:r w:rsidRPr="00A43802">
              <w:rPr>
                <w:rFonts w:ascii="Verdana" w:hAnsi="Verdana"/>
                <w:noProof/>
                <w:sz w:val="20"/>
                <w:szCs w:val="20"/>
              </w:rPr>
              <w:t>Industry or trade association</w:t>
            </w:r>
          </w:p>
          <w:p w:rsidR="00917346" w:rsidRPr="001D714B" w:rsidRDefault="00917346" w:rsidP="00CA1394">
            <w:pPr>
              <w:rPr>
                <w:rFonts w:ascii="Verdana" w:hAnsi="Verdana"/>
                <w:sz w:val="20"/>
                <w:szCs w:val="20"/>
              </w:rPr>
            </w:pPr>
          </w:p>
          <w:p w:rsidR="00917346" w:rsidRPr="001D714B" w:rsidRDefault="00917346" w:rsidP="00CA1394">
            <w:pPr>
              <w:rPr>
                <w:rFonts w:ascii="Verdana" w:hAnsi="Verdana"/>
                <w:b/>
                <w:sz w:val="20"/>
                <w:szCs w:val="20"/>
              </w:rPr>
            </w:pPr>
            <w:r w:rsidRPr="001D714B">
              <w:rPr>
                <w:rFonts w:ascii="Verdana" w:hAnsi="Verdana"/>
                <w:b/>
                <w:sz w:val="20"/>
                <w:szCs w:val="20"/>
              </w:rPr>
              <w:t>Org. type:</w:t>
            </w:r>
          </w:p>
          <w:p w:rsidR="00917346" w:rsidRPr="001D714B" w:rsidRDefault="00917346" w:rsidP="00CA1394">
            <w:pPr>
              <w:rPr>
                <w:rFonts w:ascii="Verdana" w:hAnsi="Verdana"/>
                <w:sz w:val="20"/>
                <w:szCs w:val="20"/>
              </w:rPr>
            </w:pPr>
            <w:r w:rsidRPr="00A43802">
              <w:rPr>
                <w:rFonts w:ascii="Verdana" w:hAnsi="Verdana"/>
                <w:noProof/>
                <w:sz w:val="20"/>
                <w:szCs w:val="20"/>
              </w:rPr>
              <w:t>Industry or trade association</w:t>
            </w:r>
          </w:p>
          <w:p w:rsidR="00917346" w:rsidRPr="001D714B" w:rsidRDefault="00917346" w:rsidP="00CA1394">
            <w:pPr>
              <w:rPr>
                <w:rFonts w:ascii="Verdana" w:hAnsi="Verdana"/>
                <w:sz w:val="20"/>
                <w:szCs w:val="20"/>
              </w:rPr>
            </w:pPr>
          </w:p>
          <w:p w:rsidR="00917346" w:rsidRPr="001D714B" w:rsidRDefault="00917346" w:rsidP="00CA1394">
            <w:pPr>
              <w:rPr>
                <w:rFonts w:ascii="Verdana" w:hAnsi="Verdana"/>
                <w:b/>
                <w:sz w:val="20"/>
                <w:szCs w:val="20"/>
              </w:rPr>
            </w:pPr>
            <w:r w:rsidRPr="001D714B">
              <w:rPr>
                <w:rFonts w:ascii="Verdana" w:hAnsi="Verdana"/>
                <w:b/>
                <w:sz w:val="20"/>
                <w:szCs w:val="20"/>
              </w:rPr>
              <w:t>Org. name:</w:t>
            </w:r>
          </w:p>
          <w:p w:rsidR="00917346" w:rsidRPr="001D714B" w:rsidRDefault="00917346" w:rsidP="00CA1394">
            <w:pPr>
              <w:rPr>
                <w:rFonts w:ascii="Verdana" w:hAnsi="Verdana"/>
                <w:sz w:val="20"/>
                <w:szCs w:val="20"/>
              </w:rPr>
            </w:pPr>
            <w:r w:rsidRPr="00A43802">
              <w:rPr>
                <w:rFonts w:ascii="Verdana" w:hAnsi="Verdana"/>
                <w:noProof/>
                <w:sz w:val="20"/>
                <w:szCs w:val="20"/>
              </w:rPr>
              <w:t>European Federation for Construction Chemicals (EFCC)</w:t>
            </w:r>
          </w:p>
          <w:p w:rsidR="00917346" w:rsidRPr="001D714B" w:rsidRDefault="00917346" w:rsidP="00CA1394">
            <w:pPr>
              <w:rPr>
                <w:rFonts w:ascii="Verdana" w:hAnsi="Verdana"/>
                <w:sz w:val="20"/>
                <w:szCs w:val="20"/>
              </w:rPr>
            </w:pPr>
          </w:p>
          <w:p w:rsidR="00917346" w:rsidRPr="001D714B" w:rsidRDefault="00917346" w:rsidP="00CA1394">
            <w:pPr>
              <w:rPr>
                <w:rFonts w:ascii="Verdana" w:hAnsi="Verdana"/>
                <w:b/>
                <w:sz w:val="20"/>
                <w:szCs w:val="20"/>
              </w:rPr>
            </w:pPr>
            <w:r w:rsidRPr="001D714B">
              <w:rPr>
                <w:rFonts w:ascii="Verdana" w:hAnsi="Verdana"/>
                <w:b/>
                <w:sz w:val="20"/>
                <w:szCs w:val="20"/>
              </w:rPr>
              <w:t>Org. country:</w:t>
            </w:r>
          </w:p>
          <w:p w:rsidR="00917346" w:rsidRPr="001D714B" w:rsidRDefault="00917346" w:rsidP="00CA1394">
            <w:pPr>
              <w:rPr>
                <w:rFonts w:ascii="Verdana" w:hAnsi="Verdana"/>
                <w:sz w:val="20"/>
                <w:szCs w:val="20"/>
              </w:rPr>
            </w:pPr>
            <w:r w:rsidRPr="00A43802">
              <w:rPr>
                <w:rFonts w:ascii="Verdana" w:hAnsi="Verdana"/>
                <w:noProof/>
                <w:sz w:val="20"/>
                <w:szCs w:val="20"/>
              </w:rPr>
              <w:t>Belgium</w:t>
            </w:r>
          </w:p>
          <w:p w:rsidR="00917346" w:rsidRPr="001D714B" w:rsidRDefault="00917346" w:rsidP="00CA1394">
            <w:pPr>
              <w:rPr>
                <w:rFonts w:ascii="Verdana" w:hAnsi="Verdana"/>
                <w:b/>
                <w:sz w:val="20"/>
                <w:szCs w:val="20"/>
              </w:rPr>
            </w:pPr>
          </w:p>
          <w:p w:rsidR="00917346" w:rsidRPr="001D714B" w:rsidRDefault="00917346" w:rsidP="00CA1394">
            <w:pPr>
              <w:rPr>
                <w:rFonts w:ascii="Verdana" w:hAnsi="Verdana"/>
                <w:noProof/>
                <w:sz w:val="20"/>
                <w:szCs w:val="20"/>
              </w:rPr>
            </w:pPr>
            <w:r w:rsidRPr="001D714B">
              <w:rPr>
                <w:rFonts w:ascii="Verdana" w:hAnsi="Verdana"/>
                <w:b/>
                <w:noProof/>
                <w:sz w:val="20"/>
                <w:szCs w:val="20"/>
              </w:rPr>
              <w:t xml:space="preserve">Company name confidential: </w:t>
            </w:r>
            <w:r w:rsidRPr="00A43802">
              <w:rPr>
                <w:rFonts w:ascii="Verdana" w:hAnsi="Verdana"/>
                <w:noProof/>
                <w:sz w:val="20"/>
                <w:szCs w:val="20"/>
              </w:rPr>
              <w:t>False</w:t>
            </w:r>
          </w:p>
          <w:p w:rsidR="00917346" w:rsidRPr="001D714B" w:rsidRDefault="00917346" w:rsidP="00CA1394">
            <w:pPr>
              <w:rPr>
                <w:rFonts w:ascii="Verdana" w:hAnsi="Verdana"/>
                <w:noProof/>
                <w:sz w:val="20"/>
                <w:szCs w:val="20"/>
              </w:rPr>
            </w:pPr>
          </w:p>
          <w:p w:rsidR="00917346" w:rsidRDefault="00917346" w:rsidP="00CA1394">
            <w:pPr>
              <w:rPr>
                <w:rFonts w:ascii="Verdana" w:hAnsi="Verdana"/>
                <w:b/>
                <w:noProof/>
                <w:sz w:val="20"/>
                <w:szCs w:val="20"/>
              </w:rPr>
            </w:pPr>
            <w:r w:rsidRPr="001D714B">
              <w:rPr>
                <w:rFonts w:ascii="Verdana" w:hAnsi="Verdana"/>
                <w:b/>
                <w:noProof/>
                <w:sz w:val="20"/>
                <w:szCs w:val="20"/>
              </w:rPr>
              <w:t>Attachment:</w:t>
            </w:r>
          </w:p>
          <w:p w:rsidR="00917346" w:rsidRDefault="00917346" w:rsidP="00CA1394">
            <w:pPr>
              <w:rPr>
                <w:rFonts w:ascii="Verdana" w:hAnsi="Verdana"/>
                <w:b/>
                <w:noProof/>
                <w:sz w:val="20"/>
                <w:szCs w:val="20"/>
              </w:rPr>
            </w:pPr>
          </w:p>
          <w:p w:rsidR="00917346" w:rsidRPr="001D714B" w:rsidRDefault="00917346" w:rsidP="00CA1394">
            <w:pPr>
              <w:rPr>
                <w:rFonts w:ascii="Verdana" w:hAnsi="Verdana"/>
                <w:sz w:val="20"/>
                <w:szCs w:val="20"/>
              </w:rPr>
            </w:pPr>
            <w:r>
              <w:rPr>
                <w:rFonts w:ascii="Verdana" w:hAnsi="Verdana"/>
                <w:b/>
                <w:noProof/>
                <w:sz w:val="20"/>
                <w:szCs w:val="20"/>
              </w:rP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5" o:title=""/>
                </v:shape>
                <o:OLEObject Type="Embed" ProgID="AcroExch.Document.DC" ShapeID="_x0000_i1025" DrawAspect="Icon" ObjectID="_1594549010" r:id="rId16"/>
              </w:object>
            </w:r>
          </w:p>
        </w:tc>
        <w:tc>
          <w:tcPr>
            <w:tcW w:w="9781" w:type="dxa"/>
            <w:gridSpan w:val="2"/>
          </w:tcPr>
          <w:p w:rsidR="00917346" w:rsidRPr="001D714B" w:rsidRDefault="00917346" w:rsidP="00CA1394">
            <w:pPr>
              <w:rPr>
                <w:rFonts w:ascii="Verdana" w:hAnsi="Verdana"/>
                <w:b/>
                <w:sz w:val="20"/>
                <w:szCs w:val="20"/>
              </w:rPr>
            </w:pPr>
            <w:r w:rsidRPr="001D714B">
              <w:rPr>
                <w:rFonts w:ascii="Verdana" w:hAnsi="Verdana"/>
                <w:b/>
                <w:sz w:val="20"/>
                <w:szCs w:val="20"/>
              </w:rPr>
              <w:lastRenderedPageBreak/>
              <w:t>Comments on the SEAC draft opinion:</w:t>
            </w:r>
          </w:p>
          <w:p w:rsidR="00917346" w:rsidRPr="00A43802" w:rsidRDefault="00917346" w:rsidP="00CA1394">
            <w:pPr>
              <w:rPr>
                <w:rFonts w:ascii="Verdana" w:hAnsi="Verdana"/>
                <w:noProof/>
                <w:sz w:val="20"/>
                <w:szCs w:val="20"/>
              </w:rPr>
            </w:pPr>
            <w:r w:rsidRPr="00A43802">
              <w:rPr>
                <w:rFonts w:ascii="Verdana" w:hAnsi="Verdana"/>
                <w:noProof/>
                <w:sz w:val="20"/>
                <w:szCs w:val="20"/>
              </w:rPr>
              <w:t xml:space="preserve">The European Technical Specification CEN/TS 16516:2013 method is applicable to volatile organic compounds, semi-volatile organic compounds, and volatile aldehydes. </w:t>
            </w:r>
          </w:p>
          <w:p w:rsidR="00917346" w:rsidRPr="00A43802" w:rsidRDefault="00917346" w:rsidP="00CA1394">
            <w:pPr>
              <w:rPr>
                <w:rFonts w:ascii="Verdana" w:hAnsi="Verdana"/>
                <w:noProof/>
                <w:sz w:val="20"/>
                <w:szCs w:val="20"/>
              </w:rPr>
            </w:pPr>
            <w:r w:rsidRPr="00A43802">
              <w:rPr>
                <w:rFonts w:ascii="Verdana" w:hAnsi="Verdana"/>
                <w:noProof/>
                <w:sz w:val="20"/>
                <w:szCs w:val="20"/>
              </w:rPr>
              <w:t xml:space="preserve">CEN/TS 16516:2013 does not include in its scope the testing of inorganics. </w:t>
            </w:r>
          </w:p>
          <w:p w:rsidR="00917346" w:rsidRPr="00A43802" w:rsidRDefault="00917346" w:rsidP="00CA1394">
            <w:pPr>
              <w:rPr>
                <w:rFonts w:ascii="Verdana" w:hAnsi="Verdana"/>
                <w:noProof/>
                <w:sz w:val="20"/>
                <w:szCs w:val="20"/>
              </w:rPr>
            </w:pPr>
            <w:r w:rsidRPr="00A43802">
              <w:rPr>
                <w:rFonts w:ascii="Verdana" w:hAnsi="Verdana"/>
                <w:noProof/>
                <w:sz w:val="20"/>
                <w:szCs w:val="20"/>
              </w:rPr>
              <w:t>The CEN/TC 351 has hosted a specific event on 4 May 2015 to evaluate the issue, and has agreed that although the ISO16000-9 chamber method seems suitable, specific sampling methods and conditions of the test chamber are to be used for ammonia emissions measurements.</w:t>
            </w:r>
          </w:p>
          <w:p w:rsidR="00917346" w:rsidRPr="00A43802" w:rsidRDefault="00917346" w:rsidP="00CA1394">
            <w:pPr>
              <w:rPr>
                <w:rFonts w:ascii="Verdana" w:hAnsi="Verdana"/>
                <w:noProof/>
                <w:sz w:val="20"/>
                <w:szCs w:val="20"/>
              </w:rPr>
            </w:pPr>
            <w:r w:rsidRPr="00A43802">
              <w:rPr>
                <w:rFonts w:ascii="Verdana" w:hAnsi="Verdana"/>
                <w:noProof/>
                <w:sz w:val="20"/>
                <w:szCs w:val="20"/>
              </w:rPr>
              <w:t xml:space="preserve">This implies that a new standard on testing emissions of ammonia, with its corresponding proficiency testing, should be developed (by the CEN Technical Committee CEN/TC 351) before this restriction could be enforceable (at the very least 2-3 years). </w:t>
            </w:r>
          </w:p>
          <w:p w:rsidR="00917346" w:rsidRPr="00A43802" w:rsidRDefault="00917346" w:rsidP="00CA1394">
            <w:pPr>
              <w:rPr>
                <w:rFonts w:ascii="Verdana" w:hAnsi="Verdana"/>
                <w:noProof/>
                <w:sz w:val="20"/>
                <w:szCs w:val="20"/>
              </w:rPr>
            </w:pPr>
            <w:r w:rsidRPr="00A43802">
              <w:rPr>
                <w:rFonts w:ascii="Verdana" w:hAnsi="Verdana"/>
                <w:noProof/>
                <w:sz w:val="20"/>
                <w:szCs w:val="20"/>
              </w:rPr>
              <w:t>Under these circumstances, we cannot help but wonder the adequacy of issuing a restriction which cannot, in its current drafting, possibly be enforced.</w:t>
            </w:r>
          </w:p>
          <w:p w:rsidR="00917346" w:rsidRPr="001D714B" w:rsidRDefault="00917346" w:rsidP="00CA1394">
            <w:pPr>
              <w:rPr>
                <w:rFonts w:ascii="Verdana" w:hAnsi="Verdana"/>
                <w:sz w:val="20"/>
                <w:szCs w:val="20"/>
              </w:rPr>
            </w:pPr>
          </w:p>
        </w:tc>
      </w:tr>
      <w:tr w:rsidR="00917346" w:rsidRPr="001D714B" w:rsidTr="00917346">
        <w:tc>
          <w:tcPr>
            <w:tcW w:w="959" w:type="dxa"/>
            <w:vMerge/>
          </w:tcPr>
          <w:p w:rsidR="00917346" w:rsidRPr="001D714B" w:rsidRDefault="00917346" w:rsidP="00CA1394">
            <w:pPr>
              <w:rPr>
                <w:rFonts w:ascii="Verdana" w:hAnsi="Verdana"/>
                <w:sz w:val="20"/>
                <w:szCs w:val="20"/>
              </w:rPr>
            </w:pPr>
          </w:p>
        </w:tc>
        <w:tc>
          <w:tcPr>
            <w:tcW w:w="3402" w:type="dxa"/>
            <w:vMerge/>
          </w:tcPr>
          <w:p w:rsidR="00917346" w:rsidRPr="001D714B" w:rsidRDefault="00917346" w:rsidP="00CA1394">
            <w:pPr>
              <w:rPr>
                <w:rFonts w:ascii="Verdana" w:hAnsi="Verdana"/>
                <w:b/>
                <w:sz w:val="20"/>
                <w:szCs w:val="20"/>
              </w:rPr>
            </w:pPr>
          </w:p>
        </w:tc>
        <w:tc>
          <w:tcPr>
            <w:tcW w:w="9781" w:type="dxa"/>
            <w:gridSpan w:val="2"/>
          </w:tcPr>
          <w:p w:rsidR="00917346" w:rsidRPr="001D714B" w:rsidRDefault="00917346" w:rsidP="00CA1394">
            <w:pPr>
              <w:rPr>
                <w:rFonts w:ascii="Verdana" w:hAnsi="Verdana"/>
                <w:b/>
                <w:sz w:val="20"/>
                <w:szCs w:val="20"/>
              </w:rPr>
            </w:pPr>
            <w:r w:rsidRPr="001D714B">
              <w:rPr>
                <w:rFonts w:ascii="Verdana" w:hAnsi="Verdana"/>
                <w:b/>
                <w:sz w:val="20"/>
                <w:szCs w:val="20"/>
              </w:rPr>
              <w:t>Specific information 1:</w:t>
            </w:r>
          </w:p>
          <w:p w:rsidR="00917346" w:rsidRPr="00A43802" w:rsidRDefault="00917346" w:rsidP="00CA1394">
            <w:pPr>
              <w:rPr>
                <w:rFonts w:ascii="Verdana" w:hAnsi="Verdana"/>
                <w:noProof/>
                <w:sz w:val="20"/>
                <w:szCs w:val="20"/>
              </w:rPr>
            </w:pPr>
            <w:r w:rsidRPr="00A43802">
              <w:rPr>
                <w:rFonts w:ascii="Verdana" w:hAnsi="Verdana"/>
                <w:noProof/>
                <w:sz w:val="20"/>
                <w:szCs w:val="20"/>
              </w:rPr>
              <w:t xml:space="preserve">A new standard on testing emissions of ammonia, with its corresponding proficiency testing, should be developed (by the CEN Technical Committee CEN/TC 351) before this restriction could be enforceable (at the very least 2-3 years). </w:t>
            </w:r>
          </w:p>
          <w:p w:rsidR="00917346" w:rsidRPr="001D714B" w:rsidRDefault="00917346" w:rsidP="00CA1394">
            <w:pPr>
              <w:rPr>
                <w:rFonts w:ascii="Verdana" w:hAnsi="Verdana"/>
                <w:sz w:val="20"/>
                <w:szCs w:val="20"/>
              </w:rPr>
            </w:pPr>
          </w:p>
        </w:tc>
      </w:tr>
      <w:tr w:rsidR="00917346" w:rsidRPr="001D714B" w:rsidTr="00917346">
        <w:tc>
          <w:tcPr>
            <w:tcW w:w="959" w:type="dxa"/>
            <w:vMerge/>
          </w:tcPr>
          <w:p w:rsidR="00917346" w:rsidRPr="001D714B" w:rsidRDefault="00917346" w:rsidP="00CA1394">
            <w:pPr>
              <w:rPr>
                <w:rFonts w:ascii="Verdana" w:hAnsi="Verdana"/>
                <w:sz w:val="20"/>
                <w:szCs w:val="20"/>
              </w:rPr>
            </w:pPr>
          </w:p>
        </w:tc>
        <w:tc>
          <w:tcPr>
            <w:tcW w:w="3402" w:type="dxa"/>
            <w:vMerge/>
          </w:tcPr>
          <w:p w:rsidR="00917346" w:rsidRPr="001D714B" w:rsidRDefault="00917346" w:rsidP="00CA1394">
            <w:pPr>
              <w:rPr>
                <w:rFonts w:ascii="Verdana" w:hAnsi="Verdana"/>
                <w:b/>
                <w:sz w:val="20"/>
                <w:szCs w:val="20"/>
              </w:rPr>
            </w:pPr>
          </w:p>
        </w:tc>
        <w:tc>
          <w:tcPr>
            <w:tcW w:w="9781" w:type="dxa"/>
            <w:gridSpan w:val="2"/>
          </w:tcPr>
          <w:p w:rsidR="00917346" w:rsidRPr="001D714B" w:rsidRDefault="00917346" w:rsidP="00CA1394">
            <w:pPr>
              <w:rPr>
                <w:rFonts w:ascii="Verdana" w:hAnsi="Verdana"/>
                <w:b/>
                <w:sz w:val="20"/>
                <w:szCs w:val="20"/>
              </w:rPr>
            </w:pPr>
            <w:r w:rsidRPr="001D714B">
              <w:rPr>
                <w:rFonts w:ascii="Verdana" w:hAnsi="Verdana"/>
                <w:b/>
                <w:sz w:val="20"/>
                <w:szCs w:val="20"/>
              </w:rPr>
              <w:t>SEAC Rapporteurs response:</w:t>
            </w:r>
          </w:p>
          <w:p w:rsidR="00917346" w:rsidRPr="001D714B" w:rsidRDefault="00397D03" w:rsidP="00CA1394">
            <w:pPr>
              <w:rPr>
                <w:rFonts w:ascii="Verdana" w:hAnsi="Verdana"/>
                <w:b/>
                <w:sz w:val="20"/>
                <w:szCs w:val="20"/>
              </w:rPr>
            </w:pPr>
            <w:r w:rsidRPr="00773477">
              <w:rPr>
                <w:rFonts w:ascii="Verdana" w:hAnsi="Verdana"/>
                <w:sz w:val="20"/>
                <w:szCs w:val="20"/>
              </w:rPr>
              <w:lastRenderedPageBreak/>
              <w:t>Thank you for your comments. The SEAC Rapporteurs appreciate the response from the EFCC regarding the testing method. Existing harmonized test methods, such as a European Standard, are preferred as testing method for restrictions when applicable. However, this is not a requisite for testing methods in REACH restrictions. The restriction proposes a test based on Technical Specification CEN/TS 16516</w:t>
            </w:r>
            <w:r w:rsidRPr="00773477">
              <w:rPr>
                <w:rFonts w:ascii="Verdana" w:hAnsi="Verdana"/>
                <w:bCs/>
                <w:iCs/>
                <w:sz w:val="20"/>
                <w:szCs w:val="20"/>
                <w:lang w:val="en-US"/>
              </w:rPr>
              <w:t xml:space="preserve"> </w:t>
            </w:r>
            <w:r w:rsidRPr="00773477">
              <w:rPr>
                <w:rFonts w:ascii="Verdana" w:hAnsi="Verdana"/>
                <w:sz w:val="20"/>
                <w:szCs w:val="20"/>
              </w:rPr>
              <w:t>with specific test parameters to simulate worst-case real life conditions such as a relative high humidity. This test method has been developed by the CSTB, a member of the CEN TC351 WG2 (emissions of dangerous substances into indoor air) and accredited for VOC emissions from building products (ISO 17025). The SEAC Rapporteurs see no reason to divert from the test method as proposed in the draft opinion.</w:t>
            </w:r>
          </w:p>
          <w:p w:rsidR="00917346" w:rsidRPr="001D714B" w:rsidRDefault="00917346" w:rsidP="00CA1394">
            <w:pPr>
              <w:rPr>
                <w:rFonts w:ascii="Verdana" w:hAnsi="Verdana"/>
                <w:sz w:val="20"/>
                <w:szCs w:val="20"/>
              </w:rPr>
            </w:pPr>
          </w:p>
        </w:tc>
      </w:tr>
      <w:tr w:rsidR="00917346" w:rsidRPr="001D714B" w:rsidTr="00917346">
        <w:tc>
          <w:tcPr>
            <w:tcW w:w="959" w:type="dxa"/>
            <w:vMerge w:val="restart"/>
          </w:tcPr>
          <w:p w:rsidR="00917346" w:rsidRPr="001D714B" w:rsidRDefault="00917346" w:rsidP="00CA1394">
            <w:pPr>
              <w:rPr>
                <w:rFonts w:ascii="Verdana" w:hAnsi="Verdana"/>
                <w:sz w:val="20"/>
                <w:szCs w:val="20"/>
              </w:rPr>
            </w:pPr>
            <w:r w:rsidRPr="00A43802">
              <w:rPr>
                <w:rFonts w:ascii="Verdana" w:hAnsi="Verdana"/>
                <w:noProof/>
                <w:sz w:val="20"/>
                <w:szCs w:val="20"/>
              </w:rPr>
              <w:lastRenderedPageBreak/>
              <w:t>193</w:t>
            </w:r>
          </w:p>
        </w:tc>
        <w:tc>
          <w:tcPr>
            <w:tcW w:w="3402" w:type="dxa"/>
            <w:vMerge w:val="restart"/>
          </w:tcPr>
          <w:p w:rsidR="00917346" w:rsidRPr="001D714B" w:rsidRDefault="00917346" w:rsidP="00CA1394">
            <w:pPr>
              <w:rPr>
                <w:rFonts w:ascii="Verdana" w:hAnsi="Verdana"/>
                <w:sz w:val="20"/>
                <w:szCs w:val="20"/>
              </w:rPr>
            </w:pPr>
            <w:r w:rsidRPr="001D714B">
              <w:rPr>
                <w:rFonts w:ascii="Verdana" w:hAnsi="Verdana"/>
                <w:b/>
                <w:sz w:val="20"/>
                <w:szCs w:val="20"/>
              </w:rPr>
              <w:t>Date/Time:</w:t>
            </w:r>
            <w:r w:rsidRPr="001D714B">
              <w:rPr>
                <w:rFonts w:ascii="Verdana" w:hAnsi="Verdana"/>
                <w:sz w:val="20"/>
                <w:szCs w:val="20"/>
              </w:rPr>
              <w:t xml:space="preserve"> </w:t>
            </w:r>
            <w:r w:rsidRPr="00A43802">
              <w:rPr>
                <w:rFonts w:ascii="Verdana" w:hAnsi="Verdana"/>
                <w:noProof/>
                <w:sz w:val="20"/>
                <w:szCs w:val="20"/>
              </w:rPr>
              <w:t>2015/05/18 20:01</w:t>
            </w:r>
          </w:p>
          <w:p w:rsidR="00917346" w:rsidRPr="001D714B" w:rsidRDefault="00917346" w:rsidP="00CA1394">
            <w:pPr>
              <w:rPr>
                <w:rFonts w:ascii="Verdana" w:hAnsi="Verdana"/>
                <w:sz w:val="20"/>
                <w:szCs w:val="20"/>
              </w:rPr>
            </w:pPr>
          </w:p>
          <w:p w:rsidR="00917346" w:rsidRPr="001D714B" w:rsidRDefault="00917346" w:rsidP="00CA1394">
            <w:pPr>
              <w:rPr>
                <w:rFonts w:ascii="Verdana" w:hAnsi="Verdana"/>
                <w:sz w:val="20"/>
                <w:szCs w:val="20"/>
              </w:rPr>
            </w:pPr>
            <w:r w:rsidRPr="001D714B">
              <w:rPr>
                <w:rFonts w:ascii="Verdana" w:hAnsi="Verdana"/>
                <w:b/>
                <w:sz w:val="20"/>
                <w:szCs w:val="20"/>
              </w:rPr>
              <w:t>Type:</w:t>
            </w:r>
            <w:r w:rsidRPr="001D714B">
              <w:rPr>
                <w:rFonts w:ascii="Verdana" w:hAnsi="Verdana"/>
                <w:sz w:val="20"/>
                <w:szCs w:val="20"/>
              </w:rPr>
              <w:t xml:space="preserve"> </w:t>
            </w:r>
            <w:r w:rsidRPr="00A43802">
              <w:rPr>
                <w:rFonts w:ascii="Verdana" w:hAnsi="Verdana"/>
                <w:noProof/>
                <w:sz w:val="20"/>
                <w:szCs w:val="20"/>
              </w:rPr>
              <w:t>Industry or trade association</w:t>
            </w:r>
          </w:p>
          <w:p w:rsidR="00917346" w:rsidRPr="001D714B" w:rsidRDefault="00917346" w:rsidP="00CA1394">
            <w:pPr>
              <w:rPr>
                <w:rFonts w:ascii="Verdana" w:hAnsi="Verdana"/>
                <w:sz w:val="20"/>
                <w:szCs w:val="20"/>
              </w:rPr>
            </w:pPr>
          </w:p>
          <w:p w:rsidR="00917346" w:rsidRPr="001D714B" w:rsidRDefault="00917346" w:rsidP="00CA1394">
            <w:pPr>
              <w:rPr>
                <w:rFonts w:ascii="Verdana" w:hAnsi="Verdana"/>
                <w:b/>
                <w:sz w:val="20"/>
                <w:szCs w:val="20"/>
              </w:rPr>
            </w:pPr>
            <w:r w:rsidRPr="001D714B">
              <w:rPr>
                <w:rFonts w:ascii="Verdana" w:hAnsi="Verdana"/>
                <w:b/>
                <w:sz w:val="20"/>
                <w:szCs w:val="20"/>
              </w:rPr>
              <w:t>Org. type:</w:t>
            </w:r>
          </w:p>
          <w:p w:rsidR="00917346" w:rsidRPr="001D714B" w:rsidRDefault="00917346" w:rsidP="00CA1394">
            <w:pPr>
              <w:rPr>
                <w:rFonts w:ascii="Verdana" w:hAnsi="Verdana"/>
                <w:sz w:val="20"/>
                <w:szCs w:val="20"/>
              </w:rPr>
            </w:pPr>
            <w:r w:rsidRPr="00A43802">
              <w:rPr>
                <w:rFonts w:ascii="Verdana" w:hAnsi="Verdana"/>
                <w:noProof/>
                <w:sz w:val="20"/>
                <w:szCs w:val="20"/>
              </w:rPr>
              <w:t>Industry or trade association</w:t>
            </w:r>
          </w:p>
          <w:p w:rsidR="00917346" w:rsidRPr="001D714B" w:rsidRDefault="00917346" w:rsidP="00CA1394">
            <w:pPr>
              <w:rPr>
                <w:rFonts w:ascii="Verdana" w:hAnsi="Verdana"/>
                <w:sz w:val="20"/>
                <w:szCs w:val="20"/>
              </w:rPr>
            </w:pPr>
          </w:p>
          <w:p w:rsidR="00917346" w:rsidRPr="001D714B" w:rsidRDefault="00917346" w:rsidP="00CA1394">
            <w:pPr>
              <w:rPr>
                <w:rFonts w:ascii="Verdana" w:hAnsi="Verdana"/>
                <w:b/>
                <w:sz w:val="20"/>
                <w:szCs w:val="20"/>
              </w:rPr>
            </w:pPr>
            <w:r w:rsidRPr="001D714B">
              <w:rPr>
                <w:rFonts w:ascii="Verdana" w:hAnsi="Verdana"/>
                <w:b/>
                <w:sz w:val="20"/>
                <w:szCs w:val="20"/>
              </w:rPr>
              <w:t>Org. country:</w:t>
            </w:r>
          </w:p>
          <w:p w:rsidR="00917346" w:rsidRPr="001D714B" w:rsidRDefault="00917346" w:rsidP="00CA1394">
            <w:pPr>
              <w:rPr>
                <w:rFonts w:ascii="Verdana" w:hAnsi="Verdana"/>
                <w:sz w:val="20"/>
                <w:szCs w:val="20"/>
              </w:rPr>
            </w:pPr>
            <w:r w:rsidRPr="00A43802">
              <w:rPr>
                <w:rFonts w:ascii="Verdana" w:hAnsi="Verdana"/>
                <w:noProof/>
                <w:sz w:val="20"/>
                <w:szCs w:val="20"/>
              </w:rPr>
              <w:t>Belgium</w:t>
            </w:r>
          </w:p>
          <w:p w:rsidR="00917346" w:rsidRPr="001D714B" w:rsidRDefault="00917346" w:rsidP="00CA1394">
            <w:pPr>
              <w:rPr>
                <w:rFonts w:ascii="Verdana" w:hAnsi="Verdana"/>
                <w:b/>
                <w:sz w:val="20"/>
                <w:szCs w:val="20"/>
              </w:rPr>
            </w:pPr>
          </w:p>
          <w:p w:rsidR="00917346" w:rsidRPr="001D714B" w:rsidRDefault="00917346" w:rsidP="00CA1394">
            <w:pPr>
              <w:rPr>
                <w:rFonts w:ascii="Verdana" w:hAnsi="Verdana"/>
                <w:noProof/>
                <w:sz w:val="20"/>
                <w:szCs w:val="20"/>
              </w:rPr>
            </w:pPr>
            <w:r w:rsidRPr="001D714B">
              <w:rPr>
                <w:rFonts w:ascii="Verdana" w:hAnsi="Verdana"/>
                <w:b/>
                <w:noProof/>
                <w:sz w:val="20"/>
                <w:szCs w:val="20"/>
              </w:rPr>
              <w:t xml:space="preserve">Company name confidential: </w:t>
            </w:r>
            <w:r w:rsidRPr="004A24B7">
              <w:rPr>
                <w:rFonts w:ascii="Verdana" w:hAnsi="Verdana"/>
                <w:b/>
                <w:noProof/>
                <w:color w:val="FF0000"/>
                <w:sz w:val="20"/>
                <w:szCs w:val="20"/>
              </w:rPr>
              <w:t>True</w:t>
            </w:r>
          </w:p>
          <w:p w:rsidR="00917346" w:rsidRPr="001D714B" w:rsidRDefault="00917346" w:rsidP="00CA1394">
            <w:pPr>
              <w:rPr>
                <w:rFonts w:ascii="Verdana" w:hAnsi="Verdana"/>
                <w:noProof/>
                <w:sz w:val="20"/>
                <w:szCs w:val="20"/>
              </w:rPr>
            </w:pPr>
          </w:p>
          <w:p w:rsidR="00917346" w:rsidRPr="001D714B" w:rsidRDefault="00917346" w:rsidP="00CA1394">
            <w:pPr>
              <w:rPr>
                <w:rFonts w:ascii="Verdana" w:hAnsi="Verdana"/>
                <w:sz w:val="20"/>
                <w:szCs w:val="20"/>
              </w:rPr>
            </w:pPr>
          </w:p>
        </w:tc>
        <w:tc>
          <w:tcPr>
            <w:tcW w:w="9781" w:type="dxa"/>
            <w:gridSpan w:val="2"/>
          </w:tcPr>
          <w:p w:rsidR="00917346" w:rsidRPr="001D714B" w:rsidRDefault="00917346" w:rsidP="00CA1394">
            <w:pPr>
              <w:rPr>
                <w:rFonts w:ascii="Verdana" w:hAnsi="Verdana"/>
                <w:b/>
                <w:sz w:val="20"/>
                <w:szCs w:val="20"/>
              </w:rPr>
            </w:pPr>
            <w:r w:rsidRPr="001D714B">
              <w:rPr>
                <w:rFonts w:ascii="Verdana" w:hAnsi="Verdana"/>
                <w:b/>
                <w:sz w:val="20"/>
                <w:szCs w:val="20"/>
              </w:rPr>
              <w:t>Comments on the SEAC draft opinion:</w:t>
            </w:r>
          </w:p>
          <w:p w:rsidR="00917346" w:rsidRPr="00A43802" w:rsidRDefault="00917346" w:rsidP="00CA1394">
            <w:pPr>
              <w:rPr>
                <w:rFonts w:ascii="Verdana" w:hAnsi="Verdana"/>
                <w:noProof/>
                <w:sz w:val="20"/>
                <w:szCs w:val="20"/>
              </w:rPr>
            </w:pPr>
            <w:r w:rsidRPr="00A43802">
              <w:rPr>
                <w:rFonts w:ascii="Verdana" w:hAnsi="Verdana"/>
                <w:noProof/>
                <w:sz w:val="20"/>
                <w:szCs w:val="20"/>
              </w:rPr>
              <w:t>The proposed options for manufacturers are not feasible:</w:t>
            </w:r>
          </w:p>
          <w:p w:rsidR="00917346" w:rsidRPr="00A43802" w:rsidRDefault="00917346" w:rsidP="00CA1394">
            <w:pPr>
              <w:rPr>
                <w:rFonts w:ascii="Verdana" w:hAnsi="Verdana"/>
                <w:noProof/>
                <w:sz w:val="20"/>
                <w:szCs w:val="20"/>
              </w:rPr>
            </w:pPr>
            <w:r w:rsidRPr="00A43802">
              <w:rPr>
                <w:rFonts w:ascii="Verdana" w:hAnsi="Verdana"/>
                <w:noProof/>
                <w:sz w:val="20"/>
                <w:szCs w:val="20"/>
              </w:rPr>
              <w:t>1.</w:t>
            </w:r>
            <w:r w:rsidRPr="00A43802">
              <w:rPr>
                <w:rFonts w:ascii="Verdana" w:hAnsi="Verdana"/>
                <w:noProof/>
                <w:sz w:val="20"/>
                <w:szCs w:val="20"/>
              </w:rPr>
              <w:tab/>
              <w:t>“Do nothing” does not exist, as expensive tests have to be carried out to prove the non-emission. These costs are unbearable for a small producer as likely in cellulose insulation industry. There are cellulose insulation producers who use ammonium-based formulations for more than a decade without any claims. The cellulose insulation industry is facing a highly competitive market with low delivered selling prices and high cost regulation/certification. At the moment cellulose insulation is competitive to synthetic insulation materials. Restrictions to only cellulose insulation would create an unfair disadvantage, as manufacturers of all other insulation materials are still allowed to use ammonium-based formulations. If additional tests would apply, EU cellulose industry situated in the European Union will face an invidious situation: First of all, additional tests make cellulose insulation less commercially competitive. Secondly additional tests create a major disadvantage for any cellulose insulation manufacturer located in the European Union in comparison to cellulose insulation manufacturers, which are not situated in the EU. This means that any restriction of ammonium-based formulation gives an unfair commercial advantage to non-European Union cellulose manufacturers. It is not a tolerable situation that EU cellulose manufacturers are disadvantaged by EU regulation and exposed to increased imports from outside of the EU.</w:t>
            </w:r>
          </w:p>
          <w:p w:rsidR="00917346" w:rsidRPr="00A43802" w:rsidRDefault="00917346" w:rsidP="00CA1394">
            <w:pPr>
              <w:rPr>
                <w:rFonts w:ascii="Verdana" w:hAnsi="Verdana"/>
                <w:noProof/>
                <w:sz w:val="20"/>
                <w:szCs w:val="20"/>
              </w:rPr>
            </w:pPr>
            <w:r w:rsidRPr="00A43802">
              <w:rPr>
                <w:rFonts w:ascii="Verdana" w:hAnsi="Verdana"/>
                <w:noProof/>
                <w:sz w:val="20"/>
                <w:szCs w:val="20"/>
              </w:rPr>
              <w:t>2.</w:t>
            </w:r>
            <w:r w:rsidRPr="00A43802">
              <w:rPr>
                <w:rFonts w:ascii="Verdana" w:hAnsi="Verdana"/>
                <w:noProof/>
                <w:sz w:val="20"/>
                <w:szCs w:val="20"/>
              </w:rPr>
              <w:tab/>
              <w:t>“Switching to boron-based formulations” is a very myopic action, as boron compounds are already listed.</w:t>
            </w:r>
          </w:p>
          <w:p w:rsidR="00917346" w:rsidRPr="00A43802" w:rsidRDefault="00917346" w:rsidP="00CA1394">
            <w:pPr>
              <w:rPr>
                <w:rFonts w:ascii="Verdana" w:hAnsi="Verdana"/>
                <w:noProof/>
                <w:sz w:val="20"/>
                <w:szCs w:val="20"/>
              </w:rPr>
            </w:pPr>
            <w:r w:rsidRPr="00A43802">
              <w:rPr>
                <w:rFonts w:ascii="Verdana" w:hAnsi="Verdana"/>
                <w:noProof/>
                <w:sz w:val="20"/>
                <w:szCs w:val="20"/>
              </w:rPr>
              <w:t>3.</w:t>
            </w:r>
            <w:r w:rsidRPr="00A43802">
              <w:rPr>
                <w:rFonts w:ascii="Verdana" w:hAnsi="Verdana"/>
                <w:noProof/>
                <w:sz w:val="20"/>
                <w:szCs w:val="20"/>
              </w:rPr>
              <w:tab/>
              <w:t>“Stabilisation of the current ammonium-based formulation” is an expensive solution as stabilised formulations are of higher price (see RAC) and lots of expensive emission tests have to be carried out proofing the effectiveness of the stabilisation.</w:t>
            </w:r>
          </w:p>
          <w:p w:rsidR="00917346" w:rsidRPr="001D714B" w:rsidRDefault="00917346" w:rsidP="00CA1394">
            <w:pPr>
              <w:rPr>
                <w:rFonts w:ascii="Verdana" w:hAnsi="Verdana"/>
                <w:noProof/>
                <w:sz w:val="20"/>
                <w:szCs w:val="20"/>
              </w:rPr>
            </w:pPr>
            <w:r w:rsidRPr="00A43802">
              <w:rPr>
                <w:rFonts w:ascii="Verdana" w:hAnsi="Verdana"/>
                <w:noProof/>
                <w:sz w:val="20"/>
                <w:szCs w:val="20"/>
              </w:rPr>
              <w:lastRenderedPageBreak/>
              <w:t>4.</w:t>
            </w:r>
            <w:r w:rsidRPr="00A43802">
              <w:rPr>
                <w:rFonts w:ascii="Verdana" w:hAnsi="Verdana"/>
                <w:noProof/>
                <w:sz w:val="20"/>
                <w:szCs w:val="20"/>
              </w:rPr>
              <w:tab/>
              <w:t>“Substitution by a boron- and ammonium-free formulation” is not feasible. During the last decade, a lot of research work has been performed in order to find alternatives to boric acid as a fire retardant. The outcome of these studies is that no other materials can provide similar reaction to fire and smoulder resistance to that of boric acid.  Furthermore, all other materials tested are significantly more expensive. All of these alternatives are high in price and some have unpredictable adverse effects such as off gassing, fast aging, corrosion and abrasion. With all this background knowledge, no suitable alternative for boric acid in cellulose insulation could be found; it is not realistic to find any alternative within the next years.</w:t>
            </w:r>
          </w:p>
          <w:p w:rsidR="00917346" w:rsidRPr="001D714B" w:rsidRDefault="00917346" w:rsidP="00CA1394">
            <w:pPr>
              <w:rPr>
                <w:rFonts w:ascii="Verdana" w:hAnsi="Verdana"/>
                <w:sz w:val="20"/>
                <w:szCs w:val="20"/>
              </w:rPr>
            </w:pPr>
          </w:p>
        </w:tc>
      </w:tr>
      <w:tr w:rsidR="00917346" w:rsidRPr="001D714B" w:rsidTr="00917346">
        <w:tc>
          <w:tcPr>
            <w:tcW w:w="959" w:type="dxa"/>
            <w:vMerge/>
          </w:tcPr>
          <w:p w:rsidR="00917346" w:rsidRPr="001D714B" w:rsidRDefault="00917346" w:rsidP="00CA1394">
            <w:pPr>
              <w:rPr>
                <w:rFonts w:ascii="Verdana" w:hAnsi="Verdana"/>
                <w:sz w:val="20"/>
                <w:szCs w:val="20"/>
              </w:rPr>
            </w:pPr>
          </w:p>
        </w:tc>
        <w:tc>
          <w:tcPr>
            <w:tcW w:w="3402" w:type="dxa"/>
            <w:vMerge/>
          </w:tcPr>
          <w:p w:rsidR="00917346" w:rsidRPr="001D714B" w:rsidRDefault="00917346" w:rsidP="00CA1394">
            <w:pPr>
              <w:rPr>
                <w:rFonts w:ascii="Verdana" w:hAnsi="Verdana"/>
                <w:b/>
                <w:sz w:val="20"/>
                <w:szCs w:val="20"/>
              </w:rPr>
            </w:pPr>
          </w:p>
        </w:tc>
        <w:tc>
          <w:tcPr>
            <w:tcW w:w="9781" w:type="dxa"/>
            <w:gridSpan w:val="2"/>
          </w:tcPr>
          <w:p w:rsidR="00917346" w:rsidRPr="001D714B" w:rsidRDefault="00917346" w:rsidP="00CA1394">
            <w:pPr>
              <w:rPr>
                <w:rFonts w:ascii="Verdana" w:hAnsi="Verdana"/>
                <w:b/>
                <w:sz w:val="20"/>
                <w:szCs w:val="20"/>
              </w:rPr>
            </w:pPr>
            <w:r w:rsidRPr="001D714B">
              <w:rPr>
                <w:rFonts w:ascii="Verdana" w:hAnsi="Verdana"/>
                <w:b/>
                <w:sz w:val="20"/>
                <w:szCs w:val="20"/>
              </w:rPr>
              <w:t>Specific information 1:</w:t>
            </w:r>
          </w:p>
          <w:p w:rsidR="00917346" w:rsidRPr="001D714B" w:rsidRDefault="00917346" w:rsidP="00CA1394">
            <w:pPr>
              <w:rPr>
                <w:rFonts w:ascii="Verdana" w:hAnsi="Verdana"/>
                <w:sz w:val="20"/>
                <w:szCs w:val="20"/>
              </w:rPr>
            </w:pPr>
            <w:r w:rsidRPr="00A43802">
              <w:rPr>
                <w:rFonts w:ascii="Verdana" w:hAnsi="Verdana"/>
                <w:noProof/>
                <w:sz w:val="20"/>
                <w:szCs w:val="20"/>
              </w:rPr>
              <w:t>The proposed transition period is far too short. During the research done during the last decade in order to find an alternative to boric acid, it became obvious that finding an alternative is very difficult. As an alternative is the only suitable way, neither 12, 18 nor 24 months are reasonable.</w:t>
            </w:r>
          </w:p>
          <w:p w:rsidR="00917346" w:rsidRPr="001D714B" w:rsidRDefault="00917346" w:rsidP="00CA1394">
            <w:pPr>
              <w:rPr>
                <w:rFonts w:ascii="Verdana" w:hAnsi="Verdana"/>
                <w:sz w:val="20"/>
                <w:szCs w:val="20"/>
              </w:rPr>
            </w:pPr>
          </w:p>
        </w:tc>
      </w:tr>
      <w:tr w:rsidR="00917346" w:rsidRPr="001D714B" w:rsidTr="00917346">
        <w:tc>
          <w:tcPr>
            <w:tcW w:w="959" w:type="dxa"/>
            <w:vMerge/>
          </w:tcPr>
          <w:p w:rsidR="00917346" w:rsidRPr="001D714B" w:rsidRDefault="00917346" w:rsidP="00CA1394">
            <w:pPr>
              <w:rPr>
                <w:rFonts w:ascii="Verdana" w:hAnsi="Verdana"/>
                <w:sz w:val="20"/>
                <w:szCs w:val="20"/>
              </w:rPr>
            </w:pPr>
          </w:p>
        </w:tc>
        <w:tc>
          <w:tcPr>
            <w:tcW w:w="3402" w:type="dxa"/>
            <w:vMerge/>
          </w:tcPr>
          <w:p w:rsidR="00917346" w:rsidRPr="001D714B" w:rsidRDefault="00917346" w:rsidP="00CA1394">
            <w:pPr>
              <w:rPr>
                <w:rFonts w:ascii="Verdana" w:hAnsi="Verdana"/>
                <w:b/>
                <w:sz w:val="20"/>
                <w:szCs w:val="20"/>
              </w:rPr>
            </w:pPr>
          </w:p>
        </w:tc>
        <w:tc>
          <w:tcPr>
            <w:tcW w:w="9781" w:type="dxa"/>
            <w:gridSpan w:val="2"/>
          </w:tcPr>
          <w:p w:rsidR="00917346" w:rsidRPr="001D714B" w:rsidRDefault="00917346" w:rsidP="00CA1394">
            <w:pPr>
              <w:rPr>
                <w:rFonts w:ascii="Verdana" w:hAnsi="Verdana"/>
                <w:b/>
                <w:sz w:val="20"/>
                <w:szCs w:val="20"/>
              </w:rPr>
            </w:pPr>
            <w:r w:rsidRPr="001D714B">
              <w:rPr>
                <w:rFonts w:ascii="Verdana" w:hAnsi="Verdana"/>
                <w:b/>
                <w:sz w:val="20"/>
                <w:szCs w:val="20"/>
              </w:rPr>
              <w:t>SEAC Rapporteurs response:</w:t>
            </w:r>
          </w:p>
          <w:p w:rsidR="00397D03" w:rsidRPr="00397D03" w:rsidRDefault="00397D03" w:rsidP="00397D03">
            <w:pPr>
              <w:rPr>
                <w:rFonts w:ascii="Verdana" w:hAnsi="Verdana"/>
                <w:sz w:val="20"/>
                <w:szCs w:val="20"/>
              </w:rPr>
            </w:pPr>
            <w:r w:rsidRPr="00397D03">
              <w:rPr>
                <w:rFonts w:ascii="Verdana" w:hAnsi="Verdana"/>
                <w:sz w:val="20"/>
                <w:szCs w:val="20"/>
              </w:rPr>
              <w:t xml:space="preserve">Thank you for your comments. The SEAC Rapporteurs appreciate the response on the proposed options for manufactures of cellulose insulation containing ammonium salts. </w:t>
            </w:r>
          </w:p>
          <w:p w:rsidR="00397D03" w:rsidRPr="00397D03" w:rsidRDefault="00397D03" w:rsidP="00397D03">
            <w:pPr>
              <w:rPr>
                <w:rFonts w:ascii="Verdana" w:hAnsi="Verdana"/>
                <w:sz w:val="20"/>
                <w:szCs w:val="20"/>
              </w:rPr>
            </w:pPr>
          </w:p>
          <w:p w:rsidR="00397D03" w:rsidRPr="00397D03" w:rsidRDefault="00397D03" w:rsidP="00397D03">
            <w:pPr>
              <w:rPr>
                <w:rFonts w:ascii="Verdana" w:hAnsi="Verdana"/>
                <w:sz w:val="20"/>
                <w:szCs w:val="20"/>
              </w:rPr>
            </w:pPr>
            <w:r w:rsidRPr="00397D03">
              <w:rPr>
                <w:rFonts w:ascii="Verdana" w:hAnsi="Verdana"/>
                <w:sz w:val="20"/>
                <w:szCs w:val="20"/>
              </w:rPr>
              <w:t xml:space="preserve">The option “doing nothing” in the background document refers to any adaptations in the production process of the cellulose insulation material containing ammonium salts. Indeed, manufacturers of cellulose insulation material containing ammonium salts will need to test their product to ensure compliance with the proposed restriction. The SEAC Rapporteurs acknowledge that the testing costs are born by the manufacturers. The SEAC Rapporteurs did not receive information that these testing costs are unbearable for manufacturers and unfortunately the statement in this comment is not underpinned with data to show this. The SEAC </w:t>
            </w:r>
            <w:r>
              <w:rPr>
                <w:rFonts w:ascii="Verdana" w:hAnsi="Verdana"/>
                <w:sz w:val="20"/>
                <w:szCs w:val="20"/>
              </w:rPr>
              <w:t>R</w:t>
            </w:r>
            <w:r w:rsidRPr="00397D03">
              <w:rPr>
                <w:rFonts w:ascii="Verdana" w:hAnsi="Verdana"/>
                <w:sz w:val="20"/>
                <w:szCs w:val="20"/>
              </w:rPr>
              <w:t>apporteurs are not aware of synthetic insulation materials using ammonium salts. Furthermore, this restriction does not ban the use of ammonium based formulations in cellulose insulation, it only restrict</w:t>
            </w:r>
            <w:r>
              <w:rPr>
                <w:rFonts w:ascii="Verdana" w:hAnsi="Verdana"/>
                <w:sz w:val="20"/>
                <w:szCs w:val="20"/>
              </w:rPr>
              <w:t>s</w:t>
            </w:r>
            <w:r w:rsidRPr="00397D03">
              <w:rPr>
                <w:rFonts w:ascii="Verdana" w:hAnsi="Verdana"/>
                <w:sz w:val="20"/>
                <w:szCs w:val="20"/>
              </w:rPr>
              <w:t xml:space="preserve"> the release of ammonia from the cellulose insulation. The proposed restriction concerns placing on the market of cellulose insulation and therefore regulates imported cellulose insulation into the EU as well. </w:t>
            </w:r>
          </w:p>
          <w:p w:rsidR="00397D03" w:rsidRPr="00397D03" w:rsidRDefault="00397D03" w:rsidP="00397D03">
            <w:pPr>
              <w:rPr>
                <w:rFonts w:ascii="Verdana" w:hAnsi="Verdana"/>
                <w:sz w:val="20"/>
                <w:szCs w:val="20"/>
              </w:rPr>
            </w:pPr>
          </w:p>
          <w:p w:rsidR="00397D03" w:rsidRPr="00397D03" w:rsidRDefault="00397D03" w:rsidP="00397D03">
            <w:pPr>
              <w:rPr>
                <w:rFonts w:ascii="Verdana" w:hAnsi="Verdana"/>
                <w:noProof/>
                <w:sz w:val="20"/>
                <w:szCs w:val="20"/>
              </w:rPr>
            </w:pPr>
            <w:r w:rsidRPr="00397D03">
              <w:rPr>
                <w:rFonts w:ascii="Verdana" w:hAnsi="Verdana"/>
                <w:sz w:val="20"/>
                <w:szCs w:val="20"/>
              </w:rPr>
              <w:t xml:space="preserve">As explained in the background document, cellulose insulation treated with boron-based </w:t>
            </w:r>
            <w:r w:rsidRPr="00397D03">
              <w:rPr>
                <w:rFonts w:ascii="Verdana" w:hAnsi="Verdana"/>
                <w:sz w:val="20"/>
                <w:szCs w:val="20"/>
              </w:rPr>
              <w:lastRenderedPageBreak/>
              <w:t xml:space="preserve">formulations </w:t>
            </w:r>
            <w:r>
              <w:rPr>
                <w:rFonts w:ascii="Verdana" w:hAnsi="Verdana"/>
                <w:sz w:val="20"/>
                <w:szCs w:val="20"/>
              </w:rPr>
              <w:t>is</w:t>
            </w:r>
            <w:r w:rsidRPr="00397D03">
              <w:rPr>
                <w:rFonts w:ascii="Verdana" w:hAnsi="Verdana"/>
                <w:sz w:val="20"/>
                <w:szCs w:val="20"/>
              </w:rPr>
              <w:t xml:space="preserve"> currently a technically, economically and legally feasible option. Stabilisation of cellulose insulation with ammonium salts will lead to increased costs for manufacturers due to potential process adaptation, higher costs of a stabilised ammonium salts blend and testing costs. These costs have been accounted for in the background document and the proportionality assessment. The “s</w:t>
            </w:r>
            <w:r w:rsidRPr="00397D03">
              <w:rPr>
                <w:rFonts w:ascii="Verdana" w:hAnsi="Verdana"/>
                <w:noProof/>
                <w:sz w:val="20"/>
                <w:szCs w:val="20"/>
              </w:rPr>
              <w:t xml:space="preserve">ubstitution by a boron- and ammonium-free formulation” has deemed not feasible by the SEAC Rapporteurs as well. </w:t>
            </w:r>
          </w:p>
          <w:p w:rsidR="00397D03" w:rsidRPr="00397D03" w:rsidRDefault="00397D03" w:rsidP="00397D03">
            <w:pPr>
              <w:rPr>
                <w:rFonts w:ascii="Verdana" w:hAnsi="Verdana"/>
                <w:noProof/>
                <w:sz w:val="20"/>
                <w:szCs w:val="20"/>
              </w:rPr>
            </w:pPr>
          </w:p>
          <w:p w:rsidR="00397D03" w:rsidRPr="00397D03" w:rsidRDefault="00397D03" w:rsidP="00397D03">
            <w:pPr>
              <w:rPr>
                <w:rFonts w:ascii="Verdana" w:hAnsi="Verdana"/>
                <w:sz w:val="20"/>
                <w:szCs w:val="20"/>
              </w:rPr>
            </w:pPr>
            <w:r w:rsidRPr="00397D03">
              <w:rPr>
                <w:rFonts w:ascii="Verdana" w:hAnsi="Verdana"/>
                <w:noProof/>
                <w:sz w:val="20"/>
                <w:szCs w:val="20"/>
              </w:rPr>
              <w:t xml:space="preserve">Overall, the SEAC Rapporteurs appriciate the comments on the proposed options for manufacturers but no new information or data was provided to change the draft opinion. </w:t>
            </w:r>
          </w:p>
          <w:p w:rsidR="00397D03" w:rsidRPr="00397D03" w:rsidRDefault="00397D03" w:rsidP="00397D03">
            <w:pPr>
              <w:rPr>
                <w:rFonts w:ascii="Verdana" w:hAnsi="Verdana"/>
                <w:noProof/>
                <w:sz w:val="20"/>
                <w:szCs w:val="20"/>
              </w:rPr>
            </w:pPr>
          </w:p>
          <w:p w:rsidR="00917346" w:rsidRPr="001D714B" w:rsidRDefault="00397D03" w:rsidP="00397D03">
            <w:pPr>
              <w:rPr>
                <w:rFonts w:ascii="Verdana" w:hAnsi="Verdana"/>
                <w:b/>
                <w:sz w:val="20"/>
                <w:szCs w:val="20"/>
              </w:rPr>
            </w:pPr>
            <w:r w:rsidRPr="00397D03">
              <w:rPr>
                <w:rFonts w:ascii="Verdana" w:hAnsi="Verdana"/>
                <w:sz w:val="20"/>
                <w:szCs w:val="20"/>
              </w:rPr>
              <w:t xml:space="preserve">The SEAC Rapporteurs appreciate the response to the specific information request regarding the transition period. The transition period however refers to the requirements for adaptation to the proposed restriction, not the time needed to </w:t>
            </w:r>
            <w:r w:rsidRPr="00397D03">
              <w:rPr>
                <w:rFonts w:ascii="Verdana" w:hAnsi="Verdana"/>
                <w:noProof/>
                <w:sz w:val="20"/>
                <w:szCs w:val="20"/>
              </w:rPr>
              <w:t>find an alternative to boric acid.</w:t>
            </w:r>
          </w:p>
          <w:p w:rsidR="00917346" w:rsidRPr="001D714B" w:rsidRDefault="00917346" w:rsidP="00CA1394">
            <w:pPr>
              <w:rPr>
                <w:rFonts w:ascii="Verdana" w:hAnsi="Verdana"/>
                <w:sz w:val="20"/>
                <w:szCs w:val="20"/>
              </w:rPr>
            </w:pPr>
          </w:p>
        </w:tc>
      </w:tr>
      <w:tr w:rsidR="00917346" w:rsidRPr="001D714B" w:rsidTr="00917346">
        <w:tc>
          <w:tcPr>
            <w:tcW w:w="959" w:type="dxa"/>
            <w:vMerge w:val="restart"/>
          </w:tcPr>
          <w:p w:rsidR="00917346" w:rsidRPr="001D714B" w:rsidRDefault="00917346" w:rsidP="00CA1394">
            <w:pPr>
              <w:rPr>
                <w:rFonts w:ascii="Verdana" w:hAnsi="Verdana"/>
                <w:sz w:val="20"/>
                <w:szCs w:val="20"/>
              </w:rPr>
            </w:pPr>
            <w:r w:rsidRPr="00A43802">
              <w:rPr>
                <w:rFonts w:ascii="Verdana" w:hAnsi="Verdana"/>
                <w:noProof/>
                <w:sz w:val="20"/>
                <w:szCs w:val="20"/>
              </w:rPr>
              <w:lastRenderedPageBreak/>
              <w:t>194</w:t>
            </w:r>
          </w:p>
        </w:tc>
        <w:tc>
          <w:tcPr>
            <w:tcW w:w="3402" w:type="dxa"/>
            <w:vMerge w:val="restart"/>
          </w:tcPr>
          <w:p w:rsidR="00917346" w:rsidRPr="001D714B" w:rsidRDefault="00917346" w:rsidP="00CA1394">
            <w:pPr>
              <w:rPr>
                <w:rFonts w:ascii="Verdana" w:hAnsi="Verdana"/>
                <w:sz w:val="20"/>
                <w:szCs w:val="20"/>
              </w:rPr>
            </w:pPr>
            <w:r w:rsidRPr="001D714B">
              <w:rPr>
                <w:rFonts w:ascii="Verdana" w:hAnsi="Verdana"/>
                <w:b/>
                <w:sz w:val="20"/>
                <w:szCs w:val="20"/>
              </w:rPr>
              <w:t>Date/Time:</w:t>
            </w:r>
            <w:r w:rsidRPr="001D714B">
              <w:rPr>
                <w:rFonts w:ascii="Verdana" w:hAnsi="Verdana"/>
                <w:sz w:val="20"/>
                <w:szCs w:val="20"/>
              </w:rPr>
              <w:t xml:space="preserve"> </w:t>
            </w:r>
            <w:r w:rsidRPr="00A43802">
              <w:rPr>
                <w:rFonts w:ascii="Verdana" w:hAnsi="Verdana"/>
                <w:noProof/>
                <w:sz w:val="20"/>
                <w:szCs w:val="20"/>
              </w:rPr>
              <w:t>2015/05/19 01:02</w:t>
            </w:r>
          </w:p>
          <w:p w:rsidR="00917346" w:rsidRPr="001D714B" w:rsidRDefault="00917346" w:rsidP="00CA1394">
            <w:pPr>
              <w:rPr>
                <w:rFonts w:ascii="Verdana" w:hAnsi="Verdana"/>
                <w:sz w:val="20"/>
                <w:szCs w:val="20"/>
              </w:rPr>
            </w:pPr>
          </w:p>
          <w:p w:rsidR="00917346" w:rsidRPr="001D714B" w:rsidRDefault="00917346" w:rsidP="00CA1394">
            <w:pPr>
              <w:rPr>
                <w:rFonts w:ascii="Verdana" w:hAnsi="Verdana"/>
                <w:sz w:val="20"/>
                <w:szCs w:val="20"/>
              </w:rPr>
            </w:pPr>
            <w:r w:rsidRPr="001D714B">
              <w:rPr>
                <w:rFonts w:ascii="Verdana" w:hAnsi="Verdana"/>
                <w:b/>
                <w:sz w:val="20"/>
                <w:szCs w:val="20"/>
              </w:rPr>
              <w:t>Type:</w:t>
            </w:r>
            <w:r w:rsidRPr="001D714B">
              <w:rPr>
                <w:rFonts w:ascii="Verdana" w:hAnsi="Verdana"/>
                <w:sz w:val="20"/>
                <w:szCs w:val="20"/>
              </w:rPr>
              <w:t xml:space="preserve"> </w:t>
            </w:r>
            <w:r w:rsidRPr="00A43802">
              <w:rPr>
                <w:rFonts w:ascii="Verdana" w:hAnsi="Verdana"/>
                <w:noProof/>
                <w:sz w:val="20"/>
                <w:szCs w:val="20"/>
              </w:rPr>
              <w:t>Company-Manufacturer</w:t>
            </w:r>
          </w:p>
          <w:p w:rsidR="00917346" w:rsidRPr="001D714B" w:rsidRDefault="00917346" w:rsidP="00CA1394">
            <w:pPr>
              <w:rPr>
                <w:rFonts w:ascii="Verdana" w:hAnsi="Verdana"/>
                <w:sz w:val="20"/>
                <w:szCs w:val="20"/>
              </w:rPr>
            </w:pPr>
          </w:p>
          <w:p w:rsidR="00917346" w:rsidRPr="001D714B" w:rsidRDefault="00917346" w:rsidP="00CA1394">
            <w:pPr>
              <w:rPr>
                <w:rFonts w:ascii="Verdana" w:hAnsi="Verdana"/>
                <w:b/>
                <w:sz w:val="20"/>
                <w:szCs w:val="20"/>
              </w:rPr>
            </w:pPr>
            <w:r w:rsidRPr="001D714B">
              <w:rPr>
                <w:rFonts w:ascii="Verdana" w:hAnsi="Verdana"/>
                <w:b/>
                <w:sz w:val="20"/>
                <w:szCs w:val="20"/>
              </w:rPr>
              <w:t>Org. type:</w:t>
            </w:r>
          </w:p>
          <w:p w:rsidR="00917346" w:rsidRPr="001D714B" w:rsidRDefault="00917346" w:rsidP="00CA1394">
            <w:pPr>
              <w:rPr>
                <w:rFonts w:ascii="Verdana" w:hAnsi="Verdana"/>
                <w:sz w:val="20"/>
                <w:szCs w:val="20"/>
              </w:rPr>
            </w:pPr>
            <w:r w:rsidRPr="00A43802">
              <w:rPr>
                <w:rFonts w:ascii="Verdana" w:hAnsi="Verdana"/>
                <w:noProof/>
                <w:sz w:val="20"/>
                <w:szCs w:val="20"/>
              </w:rPr>
              <w:t>Company-Manufacturer</w:t>
            </w:r>
          </w:p>
          <w:p w:rsidR="00917346" w:rsidRPr="001D714B" w:rsidRDefault="00917346" w:rsidP="00CA1394">
            <w:pPr>
              <w:rPr>
                <w:rFonts w:ascii="Verdana" w:hAnsi="Verdana"/>
                <w:sz w:val="20"/>
                <w:szCs w:val="20"/>
              </w:rPr>
            </w:pPr>
          </w:p>
          <w:p w:rsidR="00917346" w:rsidRPr="001D714B" w:rsidRDefault="00917346" w:rsidP="00CA1394">
            <w:pPr>
              <w:rPr>
                <w:rFonts w:ascii="Verdana" w:hAnsi="Verdana"/>
                <w:b/>
                <w:sz w:val="20"/>
                <w:szCs w:val="20"/>
              </w:rPr>
            </w:pPr>
            <w:r w:rsidRPr="001D714B">
              <w:rPr>
                <w:rFonts w:ascii="Verdana" w:hAnsi="Verdana"/>
                <w:b/>
                <w:sz w:val="20"/>
                <w:szCs w:val="20"/>
              </w:rPr>
              <w:t>Org. country:</w:t>
            </w:r>
          </w:p>
          <w:p w:rsidR="00917346" w:rsidRPr="001D714B" w:rsidRDefault="00917346" w:rsidP="00CA1394">
            <w:pPr>
              <w:rPr>
                <w:rFonts w:ascii="Verdana" w:hAnsi="Verdana"/>
                <w:sz w:val="20"/>
                <w:szCs w:val="20"/>
              </w:rPr>
            </w:pPr>
            <w:r w:rsidRPr="00A43802">
              <w:rPr>
                <w:rFonts w:ascii="Verdana" w:hAnsi="Verdana"/>
                <w:noProof/>
                <w:sz w:val="20"/>
                <w:szCs w:val="20"/>
              </w:rPr>
              <w:t>Germany</w:t>
            </w:r>
          </w:p>
          <w:p w:rsidR="00917346" w:rsidRPr="001D714B" w:rsidRDefault="00917346" w:rsidP="00CA1394">
            <w:pPr>
              <w:rPr>
                <w:rFonts w:ascii="Verdana" w:hAnsi="Verdana"/>
                <w:b/>
                <w:sz w:val="20"/>
                <w:szCs w:val="20"/>
              </w:rPr>
            </w:pPr>
          </w:p>
          <w:p w:rsidR="00917346" w:rsidRPr="001D714B" w:rsidRDefault="00917346" w:rsidP="00CA1394">
            <w:pPr>
              <w:rPr>
                <w:rFonts w:ascii="Verdana" w:hAnsi="Verdana"/>
                <w:noProof/>
                <w:sz w:val="20"/>
                <w:szCs w:val="20"/>
              </w:rPr>
            </w:pPr>
            <w:r w:rsidRPr="001D714B">
              <w:rPr>
                <w:rFonts w:ascii="Verdana" w:hAnsi="Verdana"/>
                <w:b/>
                <w:noProof/>
                <w:sz w:val="20"/>
                <w:szCs w:val="20"/>
              </w:rPr>
              <w:t xml:space="preserve">Company name confidential: </w:t>
            </w:r>
            <w:r w:rsidRPr="004A24B7">
              <w:rPr>
                <w:rFonts w:ascii="Verdana" w:hAnsi="Verdana"/>
                <w:b/>
                <w:noProof/>
                <w:color w:val="FF0000"/>
                <w:sz w:val="20"/>
                <w:szCs w:val="20"/>
              </w:rPr>
              <w:t>True</w:t>
            </w:r>
          </w:p>
          <w:p w:rsidR="00917346" w:rsidRPr="001D714B" w:rsidRDefault="00917346" w:rsidP="00CA1394">
            <w:pPr>
              <w:rPr>
                <w:rFonts w:ascii="Verdana" w:hAnsi="Verdana"/>
                <w:noProof/>
                <w:sz w:val="20"/>
                <w:szCs w:val="20"/>
              </w:rPr>
            </w:pPr>
          </w:p>
          <w:p w:rsidR="00917346" w:rsidRPr="001D714B" w:rsidRDefault="00917346" w:rsidP="00CA1394">
            <w:pPr>
              <w:rPr>
                <w:rFonts w:ascii="Verdana" w:hAnsi="Verdana"/>
                <w:b/>
                <w:noProof/>
                <w:sz w:val="20"/>
                <w:szCs w:val="20"/>
              </w:rPr>
            </w:pPr>
            <w:r>
              <w:rPr>
                <w:rFonts w:ascii="Verdana" w:hAnsi="Verdana"/>
                <w:b/>
                <w:noProof/>
                <w:sz w:val="20"/>
                <w:szCs w:val="20"/>
              </w:rPr>
              <w:t>Attachment</w:t>
            </w:r>
            <w:r w:rsidR="00FA5B1E">
              <w:rPr>
                <w:rFonts w:ascii="Verdana" w:hAnsi="Verdana"/>
                <w:b/>
                <w:noProof/>
                <w:sz w:val="20"/>
                <w:szCs w:val="20"/>
              </w:rPr>
              <w:t>:</w:t>
            </w:r>
            <w:r>
              <w:rPr>
                <w:rFonts w:ascii="Verdana" w:hAnsi="Verdana"/>
                <w:b/>
                <w:noProof/>
                <w:sz w:val="20"/>
                <w:szCs w:val="20"/>
              </w:rPr>
              <w:t xml:space="preserve"> </w:t>
            </w:r>
            <w:r w:rsidRPr="004A24B7">
              <w:rPr>
                <w:rFonts w:ascii="Verdana" w:hAnsi="Verdana"/>
                <w:b/>
                <w:noProof/>
                <w:color w:val="FF0000"/>
                <w:sz w:val="20"/>
                <w:szCs w:val="20"/>
              </w:rPr>
              <w:t>Confidential</w:t>
            </w:r>
          </w:p>
          <w:p w:rsidR="00917346" w:rsidRDefault="00917346" w:rsidP="00CA1394">
            <w:pPr>
              <w:rPr>
                <w:rFonts w:ascii="Verdana" w:hAnsi="Verdana"/>
                <w:sz w:val="20"/>
                <w:szCs w:val="20"/>
              </w:rPr>
            </w:pPr>
          </w:p>
          <w:p w:rsidR="00917346" w:rsidRPr="001D714B" w:rsidRDefault="00917346" w:rsidP="00CA1394">
            <w:pPr>
              <w:rPr>
                <w:rFonts w:ascii="Verdana" w:hAnsi="Verdana"/>
                <w:sz w:val="20"/>
                <w:szCs w:val="20"/>
              </w:rPr>
            </w:pPr>
          </w:p>
        </w:tc>
        <w:tc>
          <w:tcPr>
            <w:tcW w:w="9781" w:type="dxa"/>
            <w:gridSpan w:val="2"/>
          </w:tcPr>
          <w:p w:rsidR="00917346" w:rsidRPr="001D714B" w:rsidRDefault="00917346" w:rsidP="00CA1394">
            <w:pPr>
              <w:rPr>
                <w:rFonts w:ascii="Verdana" w:hAnsi="Verdana"/>
                <w:b/>
                <w:sz w:val="20"/>
                <w:szCs w:val="20"/>
              </w:rPr>
            </w:pPr>
            <w:r w:rsidRPr="001D714B">
              <w:rPr>
                <w:rFonts w:ascii="Verdana" w:hAnsi="Verdana"/>
                <w:b/>
                <w:sz w:val="20"/>
                <w:szCs w:val="20"/>
              </w:rPr>
              <w:t>Comments on the SEAC draft opinion:</w:t>
            </w:r>
          </w:p>
          <w:p w:rsidR="00917346" w:rsidRPr="001D714B" w:rsidRDefault="00917346" w:rsidP="00CA1394">
            <w:pPr>
              <w:rPr>
                <w:rFonts w:ascii="Verdana" w:hAnsi="Verdana"/>
                <w:noProof/>
                <w:sz w:val="20"/>
                <w:szCs w:val="20"/>
              </w:rPr>
            </w:pPr>
            <w:r w:rsidRPr="00A43802">
              <w:rPr>
                <w:rFonts w:ascii="Verdana" w:hAnsi="Verdana"/>
                <w:noProof/>
                <w:sz w:val="20"/>
                <w:szCs w:val="20"/>
              </w:rPr>
              <w:t>The cost of testing for ammonia emission has been evaluated to be around 1000,- euro. But at that day, the CSTB proposed the test at 1500,- Euro. Formulators and cellulose insulation manufacturers checking their formulation and maybe developping new formulations would have to make many tests, which means higher costs than estimated.</w:t>
            </w:r>
          </w:p>
          <w:p w:rsidR="00917346" w:rsidRPr="001D714B" w:rsidRDefault="00917346" w:rsidP="00CA1394">
            <w:pPr>
              <w:rPr>
                <w:rFonts w:ascii="Verdana" w:hAnsi="Verdana"/>
                <w:sz w:val="20"/>
                <w:szCs w:val="20"/>
              </w:rPr>
            </w:pPr>
          </w:p>
        </w:tc>
      </w:tr>
      <w:tr w:rsidR="00917346" w:rsidRPr="001D714B" w:rsidTr="00917346">
        <w:tc>
          <w:tcPr>
            <w:tcW w:w="959" w:type="dxa"/>
            <w:vMerge/>
          </w:tcPr>
          <w:p w:rsidR="00917346" w:rsidRPr="001D714B" w:rsidRDefault="00917346" w:rsidP="00CA1394">
            <w:pPr>
              <w:rPr>
                <w:rFonts w:ascii="Verdana" w:hAnsi="Verdana"/>
                <w:sz w:val="20"/>
                <w:szCs w:val="20"/>
              </w:rPr>
            </w:pPr>
          </w:p>
        </w:tc>
        <w:tc>
          <w:tcPr>
            <w:tcW w:w="3402" w:type="dxa"/>
            <w:vMerge/>
          </w:tcPr>
          <w:p w:rsidR="00917346" w:rsidRPr="001D714B" w:rsidRDefault="00917346" w:rsidP="00CA1394">
            <w:pPr>
              <w:rPr>
                <w:rFonts w:ascii="Verdana" w:hAnsi="Verdana"/>
                <w:b/>
                <w:sz w:val="20"/>
                <w:szCs w:val="20"/>
              </w:rPr>
            </w:pPr>
          </w:p>
        </w:tc>
        <w:tc>
          <w:tcPr>
            <w:tcW w:w="9781" w:type="dxa"/>
            <w:gridSpan w:val="2"/>
          </w:tcPr>
          <w:p w:rsidR="00917346" w:rsidRPr="001D714B" w:rsidRDefault="00917346" w:rsidP="00CA1394">
            <w:pPr>
              <w:rPr>
                <w:rFonts w:ascii="Verdana" w:hAnsi="Verdana"/>
                <w:b/>
                <w:sz w:val="20"/>
                <w:szCs w:val="20"/>
              </w:rPr>
            </w:pPr>
            <w:r w:rsidRPr="001D714B">
              <w:rPr>
                <w:rFonts w:ascii="Verdana" w:hAnsi="Verdana"/>
                <w:b/>
                <w:sz w:val="20"/>
                <w:szCs w:val="20"/>
              </w:rPr>
              <w:t>Specific information 1:</w:t>
            </w:r>
          </w:p>
          <w:p w:rsidR="00917346" w:rsidRPr="00A43802" w:rsidRDefault="00917346" w:rsidP="00CA1394">
            <w:pPr>
              <w:rPr>
                <w:rFonts w:ascii="Verdana" w:hAnsi="Verdana"/>
                <w:noProof/>
                <w:sz w:val="20"/>
                <w:szCs w:val="20"/>
              </w:rPr>
            </w:pPr>
            <w:r w:rsidRPr="00A43802">
              <w:rPr>
                <w:rFonts w:ascii="Verdana" w:hAnsi="Verdana"/>
                <w:noProof/>
                <w:sz w:val="20"/>
                <w:szCs w:val="20"/>
              </w:rPr>
              <w:t>The proposed transition, also with 24 monthes, is far too short.</w:t>
            </w:r>
          </w:p>
          <w:p w:rsidR="00917346" w:rsidRPr="00A43802" w:rsidRDefault="00917346" w:rsidP="00CA1394">
            <w:pPr>
              <w:rPr>
                <w:rFonts w:ascii="Verdana" w:hAnsi="Verdana"/>
                <w:noProof/>
                <w:sz w:val="20"/>
                <w:szCs w:val="20"/>
              </w:rPr>
            </w:pPr>
            <w:r w:rsidRPr="00A43802">
              <w:rPr>
                <w:rFonts w:ascii="Verdana" w:hAnsi="Verdana"/>
                <w:noProof/>
                <w:sz w:val="20"/>
                <w:szCs w:val="20"/>
              </w:rPr>
              <w:t>Developping an ammonium-free and boron-free blend or in case of needing to developp a new stabilisated ammonium blend would need more time.</w:t>
            </w:r>
          </w:p>
          <w:p w:rsidR="00917346" w:rsidRPr="00A43802" w:rsidRDefault="00917346" w:rsidP="00CA1394">
            <w:pPr>
              <w:rPr>
                <w:rFonts w:ascii="Verdana" w:hAnsi="Verdana"/>
                <w:noProof/>
                <w:sz w:val="20"/>
                <w:szCs w:val="20"/>
              </w:rPr>
            </w:pPr>
            <w:r w:rsidRPr="00A43802">
              <w:rPr>
                <w:rFonts w:ascii="Verdana" w:hAnsi="Verdana"/>
                <w:noProof/>
                <w:sz w:val="20"/>
                <w:szCs w:val="20"/>
              </w:rPr>
              <w:t xml:space="preserve">The fire retardant supplier may have to developp new blends compatible with the cellulose, which have to fit first the fire reaction exigences in screening tests. If this point is good, a short ammonia emission test should be done. These new blends have also then to be produced in a bigger quantity to be tested on the production lines. If the blend runs good on the line, it can be tested to check the reaction to fire through an orientation SBI Test. </w:t>
            </w:r>
          </w:p>
          <w:p w:rsidR="00917346" w:rsidRPr="00A43802" w:rsidRDefault="00917346" w:rsidP="00CA1394">
            <w:pPr>
              <w:rPr>
                <w:rFonts w:ascii="Verdana" w:hAnsi="Verdana"/>
                <w:noProof/>
                <w:sz w:val="20"/>
                <w:szCs w:val="20"/>
              </w:rPr>
            </w:pPr>
            <w:r w:rsidRPr="00A43802">
              <w:rPr>
                <w:rFonts w:ascii="Verdana" w:hAnsi="Verdana"/>
                <w:noProof/>
                <w:sz w:val="20"/>
                <w:szCs w:val="20"/>
              </w:rPr>
              <w:t>Each failing leads to a new time delay related to a new developping phase.</w:t>
            </w:r>
          </w:p>
          <w:p w:rsidR="00917346" w:rsidRPr="00A43802" w:rsidRDefault="00917346" w:rsidP="00CA1394">
            <w:pPr>
              <w:rPr>
                <w:rFonts w:ascii="Verdana" w:hAnsi="Verdana"/>
                <w:noProof/>
                <w:sz w:val="20"/>
                <w:szCs w:val="20"/>
              </w:rPr>
            </w:pPr>
            <w:r w:rsidRPr="00A43802">
              <w:rPr>
                <w:rFonts w:ascii="Verdana" w:hAnsi="Verdana"/>
                <w:noProof/>
                <w:sz w:val="20"/>
                <w:szCs w:val="20"/>
              </w:rPr>
              <w:t>It would also be necessary to test many alternatives on ammonia emissions to validate and then optimise the solution.</w:t>
            </w:r>
          </w:p>
          <w:p w:rsidR="00917346" w:rsidRPr="001D714B" w:rsidRDefault="00917346" w:rsidP="00CA1394">
            <w:pPr>
              <w:rPr>
                <w:rFonts w:ascii="Verdana" w:hAnsi="Verdana"/>
                <w:sz w:val="20"/>
                <w:szCs w:val="20"/>
              </w:rPr>
            </w:pPr>
            <w:r w:rsidRPr="00A43802">
              <w:rPr>
                <w:rFonts w:ascii="Verdana" w:hAnsi="Verdana"/>
                <w:noProof/>
                <w:sz w:val="20"/>
                <w:szCs w:val="20"/>
              </w:rPr>
              <w:t xml:space="preserve">When a new ammonium formulation has been completely developped, and this can take more </w:t>
            </w:r>
            <w:r w:rsidRPr="00A43802">
              <w:rPr>
                <w:rFonts w:ascii="Verdana" w:hAnsi="Verdana"/>
                <w:noProof/>
                <w:sz w:val="20"/>
                <w:szCs w:val="20"/>
              </w:rPr>
              <w:lastRenderedPageBreak/>
              <w:t>than 24 monthes, then it is possible to beginn with all the usual product testings according the european product standards and then organise the conformity certification ( more than 1 year more).</w:t>
            </w:r>
          </w:p>
          <w:p w:rsidR="00917346" w:rsidRPr="001D714B" w:rsidRDefault="00917346" w:rsidP="00CA1394">
            <w:pPr>
              <w:rPr>
                <w:rFonts w:ascii="Verdana" w:hAnsi="Verdana"/>
                <w:sz w:val="20"/>
                <w:szCs w:val="20"/>
              </w:rPr>
            </w:pPr>
          </w:p>
        </w:tc>
      </w:tr>
      <w:tr w:rsidR="00917346" w:rsidRPr="001D714B" w:rsidTr="00917346">
        <w:tc>
          <w:tcPr>
            <w:tcW w:w="959" w:type="dxa"/>
            <w:vMerge/>
          </w:tcPr>
          <w:p w:rsidR="00917346" w:rsidRPr="001D714B" w:rsidRDefault="00917346" w:rsidP="00CA1394">
            <w:pPr>
              <w:rPr>
                <w:rFonts w:ascii="Verdana" w:hAnsi="Verdana"/>
                <w:sz w:val="20"/>
                <w:szCs w:val="20"/>
              </w:rPr>
            </w:pPr>
          </w:p>
        </w:tc>
        <w:tc>
          <w:tcPr>
            <w:tcW w:w="3402" w:type="dxa"/>
            <w:vMerge/>
          </w:tcPr>
          <w:p w:rsidR="00917346" w:rsidRPr="001D714B" w:rsidRDefault="00917346" w:rsidP="00CA1394">
            <w:pPr>
              <w:rPr>
                <w:rFonts w:ascii="Verdana" w:hAnsi="Verdana"/>
                <w:b/>
                <w:sz w:val="20"/>
                <w:szCs w:val="20"/>
              </w:rPr>
            </w:pPr>
          </w:p>
        </w:tc>
        <w:tc>
          <w:tcPr>
            <w:tcW w:w="9781" w:type="dxa"/>
            <w:gridSpan w:val="2"/>
          </w:tcPr>
          <w:p w:rsidR="00917346" w:rsidRPr="001D714B" w:rsidRDefault="00917346" w:rsidP="00CA1394">
            <w:pPr>
              <w:rPr>
                <w:rFonts w:ascii="Verdana" w:hAnsi="Verdana"/>
                <w:b/>
                <w:sz w:val="20"/>
                <w:szCs w:val="20"/>
              </w:rPr>
            </w:pPr>
            <w:r w:rsidRPr="001D714B">
              <w:rPr>
                <w:rFonts w:ascii="Verdana" w:hAnsi="Verdana"/>
                <w:b/>
                <w:sz w:val="20"/>
                <w:szCs w:val="20"/>
              </w:rPr>
              <w:t>SEAC Rapporteurs response:</w:t>
            </w:r>
          </w:p>
          <w:p w:rsidR="00397D03" w:rsidRPr="00397D03" w:rsidRDefault="00397D03" w:rsidP="00397D03">
            <w:pPr>
              <w:rPr>
                <w:rFonts w:ascii="Verdana" w:hAnsi="Verdana"/>
                <w:sz w:val="20"/>
                <w:szCs w:val="20"/>
              </w:rPr>
            </w:pPr>
            <w:r w:rsidRPr="00397D03">
              <w:rPr>
                <w:rFonts w:ascii="Verdana" w:hAnsi="Verdana"/>
                <w:sz w:val="20"/>
                <w:szCs w:val="20"/>
              </w:rPr>
              <w:t xml:space="preserve">Thank you for your comments. The SEAC Rapporteurs appreciate the response on the new estimates of the cost for testing and the view of the transition period.   </w:t>
            </w:r>
          </w:p>
          <w:p w:rsidR="00397D03" w:rsidRPr="00397D03" w:rsidRDefault="00397D03" w:rsidP="00397D03">
            <w:pPr>
              <w:rPr>
                <w:rFonts w:ascii="Verdana" w:hAnsi="Verdana"/>
                <w:sz w:val="20"/>
                <w:szCs w:val="20"/>
              </w:rPr>
            </w:pPr>
          </w:p>
          <w:p w:rsidR="00397D03" w:rsidRDefault="00397D03" w:rsidP="00397D03">
            <w:pPr>
              <w:rPr>
                <w:rFonts w:ascii="Verdana" w:hAnsi="Verdana"/>
                <w:sz w:val="20"/>
                <w:szCs w:val="20"/>
              </w:rPr>
            </w:pPr>
            <w:r w:rsidRPr="00397D03">
              <w:rPr>
                <w:rFonts w:ascii="Verdana" w:hAnsi="Verdana"/>
                <w:sz w:val="20"/>
                <w:szCs w:val="20"/>
              </w:rPr>
              <w:t xml:space="preserve">The SEAC Rapporteurs take notice of the information on test costs, which is an emission test for ammonia for 28 days using the attic scenario. The proposed restriction required only a 14 days test, which is cheaper. The actual test costs indicated for the 28 day test are lower than what was indicated by the CTSB in the background document. Therefore, the SEAC Rapporteurs have no indications that the test costs used in the background document and in the opinion are an underestimation of the actual test costs.   </w:t>
            </w:r>
          </w:p>
          <w:p w:rsidR="004718E9" w:rsidRPr="00397D03" w:rsidRDefault="004718E9" w:rsidP="00397D03">
            <w:pPr>
              <w:rPr>
                <w:rFonts w:ascii="Verdana" w:hAnsi="Verdana"/>
                <w:sz w:val="20"/>
                <w:szCs w:val="20"/>
              </w:rPr>
            </w:pPr>
          </w:p>
          <w:p w:rsidR="00397D03" w:rsidRPr="00397D03" w:rsidRDefault="00397D03" w:rsidP="00397D03">
            <w:pPr>
              <w:rPr>
                <w:rFonts w:ascii="Verdana" w:hAnsi="Verdana"/>
                <w:noProof/>
                <w:sz w:val="20"/>
                <w:szCs w:val="20"/>
              </w:rPr>
            </w:pPr>
            <w:r w:rsidRPr="00397D03">
              <w:rPr>
                <w:rFonts w:ascii="Verdana" w:hAnsi="Verdana"/>
                <w:sz w:val="20"/>
                <w:szCs w:val="20"/>
              </w:rPr>
              <w:t>The SEAC Rapporteurs appreciate the response to the specific information request regarding the transition period. It is acknowledge</w:t>
            </w:r>
            <w:r w:rsidR="004718E9">
              <w:rPr>
                <w:rFonts w:ascii="Verdana" w:hAnsi="Verdana"/>
                <w:sz w:val="20"/>
                <w:szCs w:val="20"/>
              </w:rPr>
              <w:t>d</w:t>
            </w:r>
            <w:r w:rsidRPr="00397D03">
              <w:rPr>
                <w:rFonts w:ascii="Verdana" w:hAnsi="Verdana"/>
                <w:sz w:val="20"/>
                <w:szCs w:val="20"/>
              </w:rPr>
              <w:t xml:space="preserve"> that significant time may be needed to develop new blends of stabilised ammonium salts. On the other hand, it is anticipated that some </w:t>
            </w:r>
            <w:r w:rsidRPr="00397D03">
              <w:rPr>
                <w:rFonts w:ascii="Verdana" w:hAnsi="Verdana"/>
                <w:noProof/>
                <w:sz w:val="20"/>
                <w:szCs w:val="20"/>
              </w:rPr>
              <w:t xml:space="preserve">fire retardant suppliers may already have developed stabilized ammonium blends as stakeholders have indicated that there are cellulose insulation producers who use ammonium-based formulations for more than a decade without any claims. </w:t>
            </w:r>
          </w:p>
          <w:p w:rsidR="00397D03" w:rsidRPr="00397D03" w:rsidRDefault="00397D03" w:rsidP="00397D03">
            <w:pPr>
              <w:rPr>
                <w:rFonts w:ascii="Verdana" w:hAnsi="Verdana"/>
                <w:noProof/>
                <w:sz w:val="20"/>
                <w:szCs w:val="20"/>
              </w:rPr>
            </w:pPr>
          </w:p>
          <w:p w:rsidR="00917346" w:rsidRPr="001D714B" w:rsidRDefault="00397D03" w:rsidP="00397D03">
            <w:pPr>
              <w:rPr>
                <w:rFonts w:ascii="Verdana" w:hAnsi="Verdana"/>
                <w:b/>
                <w:sz w:val="20"/>
                <w:szCs w:val="20"/>
              </w:rPr>
            </w:pPr>
            <w:r w:rsidRPr="00397D03">
              <w:rPr>
                <w:rFonts w:ascii="Verdana" w:hAnsi="Verdana"/>
                <w:noProof/>
                <w:sz w:val="20"/>
                <w:szCs w:val="20"/>
              </w:rPr>
              <w:t>To give the manufacturers sufficient time to find fire retardant suppliers with appropriate blends or develop more stabilized blends, the SEAC Rapporteurs propose a transition period of two years (24 months).</w:t>
            </w:r>
          </w:p>
          <w:p w:rsidR="00917346" w:rsidRPr="001D714B" w:rsidRDefault="00917346" w:rsidP="00CA1394">
            <w:pPr>
              <w:rPr>
                <w:rFonts w:ascii="Verdana" w:hAnsi="Verdana"/>
                <w:sz w:val="20"/>
                <w:szCs w:val="20"/>
              </w:rPr>
            </w:pPr>
          </w:p>
        </w:tc>
      </w:tr>
    </w:tbl>
    <w:p w:rsidR="00B24379" w:rsidRPr="00861D1F" w:rsidRDefault="00B24379">
      <w:pPr>
        <w:rPr>
          <w:rFonts w:ascii="Verdana" w:hAnsi="Verdana"/>
          <w:sz w:val="20"/>
          <w:szCs w:val="20"/>
        </w:rPr>
      </w:pPr>
    </w:p>
    <w:sectPr w:rsidR="00B24379" w:rsidRPr="00861D1F" w:rsidSect="00227F70">
      <w:headerReference w:type="first" r:id="rId1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057" w:rsidRDefault="00F82057" w:rsidP="004E600F">
      <w:r>
        <w:separator/>
      </w:r>
    </w:p>
  </w:endnote>
  <w:endnote w:type="continuationSeparator" w:id="0">
    <w:p w:rsidR="00F82057" w:rsidRDefault="00F82057" w:rsidP="004E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26" w:rsidRDefault="00086B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C39" w:rsidRPr="00917346" w:rsidRDefault="00917346" w:rsidP="00917346">
    <w:pPr>
      <w:pStyle w:val="Footer"/>
      <w:jc w:val="right"/>
      <w:rPr>
        <w:sz w:val="16"/>
      </w:rPr>
    </w:pPr>
    <w:r w:rsidRPr="003B6D57">
      <w:rPr>
        <w:sz w:val="16"/>
      </w:rPr>
      <w:fldChar w:fldCharType="begin"/>
    </w:r>
    <w:r w:rsidRPr="003B6D57">
      <w:rPr>
        <w:sz w:val="16"/>
      </w:rPr>
      <w:instrText xml:space="preserve"> PAGE   \* MERGEFORMAT </w:instrText>
    </w:r>
    <w:r w:rsidRPr="003B6D57">
      <w:rPr>
        <w:sz w:val="16"/>
      </w:rPr>
      <w:fldChar w:fldCharType="separate"/>
    </w:r>
    <w:r w:rsidR="00086B26">
      <w:rPr>
        <w:noProof/>
        <w:sz w:val="16"/>
      </w:rPr>
      <w:t>2</w:t>
    </w:r>
    <w:r w:rsidRPr="003B6D57">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4F6" w:rsidRDefault="00E314F6" w:rsidP="00E314F6">
    <w:pPr>
      <w:pStyle w:val="Footer"/>
      <w:jc w:val="center"/>
    </w:pPr>
    <w:r w:rsidRPr="006A268A">
      <w:rPr>
        <w:lang w:val="fi-FI"/>
      </w:rPr>
      <w:t xml:space="preserve">Annankatu 18, P.O. Box 400, FI-00121 Helsinki, Finland | Tel. </w:t>
    </w:r>
    <w:r w:rsidRPr="006A268A">
      <w:t>+358 9 686180 | Fax +358 9 68618210 | echa.europa.eu</w:t>
    </w:r>
  </w:p>
  <w:p w:rsidR="00943F93" w:rsidRPr="00943F93" w:rsidRDefault="00943F93" w:rsidP="00943F93">
    <w:pPr>
      <w:widowControl w:val="0"/>
      <w:spacing w:line="160" w:lineRule="exact"/>
      <w:rPr>
        <w:rFonts w:ascii="Verdana" w:hAnsi="Verdana"/>
        <w:snapToGrid w:val="0"/>
        <w:spacing w:val="2"/>
        <w:sz w:val="13"/>
        <w:szCs w:val="20"/>
        <w:lang w:eastAsia="fi-FI"/>
      </w:rPr>
    </w:pPr>
  </w:p>
  <w:p w:rsidR="003B6D57" w:rsidRPr="003B6D57" w:rsidRDefault="003B6D57" w:rsidP="003B6D57">
    <w:pPr>
      <w:pStyle w:val="Footer"/>
      <w:jc w:val="right"/>
      <w:rPr>
        <w:sz w:val="16"/>
      </w:rPr>
    </w:pPr>
    <w:r w:rsidRPr="003B6D57">
      <w:rPr>
        <w:sz w:val="16"/>
      </w:rPr>
      <w:fldChar w:fldCharType="begin"/>
    </w:r>
    <w:r w:rsidRPr="003B6D57">
      <w:rPr>
        <w:sz w:val="16"/>
      </w:rPr>
      <w:instrText xml:space="preserve"> PAGE   \* MERGEFORMAT </w:instrText>
    </w:r>
    <w:r w:rsidRPr="003B6D57">
      <w:rPr>
        <w:sz w:val="16"/>
      </w:rPr>
      <w:fldChar w:fldCharType="separate"/>
    </w:r>
    <w:r w:rsidR="00086B26">
      <w:rPr>
        <w:noProof/>
        <w:sz w:val="16"/>
      </w:rPr>
      <w:t>1</w:t>
    </w:r>
    <w:r w:rsidRPr="003B6D57">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057" w:rsidRDefault="00F82057" w:rsidP="004E600F">
      <w:r>
        <w:separator/>
      </w:r>
    </w:p>
  </w:footnote>
  <w:footnote w:type="continuationSeparator" w:id="0">
    <w:p w:rsidR="00F82057" w:rsidRDefault="00F82057" w:rsidP="004E6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26" w:rsidRDefault="00086B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1" w:type="pct"/>
      <w:tblInd w:w="-34" w:type="dxa"/>
      <w:tblLook w:val="01E0" w:firstRow="1" w:lastRow="1" w:firstColumn="1" w:lastColumn="1" w:noHBand="0" w:noVBand="0"/>
    </w:tblPr>
    <w:tblGrid>
      <w:gridCol w:w="4328"/>
      <w:gridCol w:w="9633"/>
    </w:tblGrid>
    <w:tr w:rsidR="002D20D8" w:rsidRPr="00B904DC" w:rsidTr="00E95A98">
      <w:tc>
        <w:tcPr>
          <w:tcW w:w="1550" w:type="pct"/>
        </w:tcPr>
        <w:p w:rsidR="002D20D8" w:rsidRPr="0085613D" w:rsidRDefault="002D20D8" w:rsidP="00E95A98">
          <w:pPr>
            <w:rPr>
              <w:rFonts w:ascii="Verdana" w:hAnsi="Verdana"/>
              <w:sz w:val="18"/>
              <w:szCs w:val="18"/>
            </w:rPr>
          </w:pPr>
          <w:r w:rsidRPr="0085613D">
            <w:rPr>
              <w:rFonts w:ascii="Verdana" w:hAnsi="Verdana"/>
              <w:sz w:val="18"/>
              <w:szCs w:val="18"/>
            </w:rPr>
            <w:t>Substance: Ammonium salts</w:t>
          </w:r>
        </w:p>
        <w:p w:rsidR="002D20D8" w:rsidRPr="0085613D" w:rsidRDefault="002D20D8" w:rsidP="00E95A98">
          <w:pPr>
            <w:rPr>
              <w:rFonts w:ascii="Verdana" w:hAnsi="Verdana"/>
              <w:sz w:val="18"/>
              <w:szCs w:val="18"/>
            </w:rPr>
          </w:pPr>
          <w:r w:rsidRPr="0085613D">
            <w:rPr>
              <w:rFonts w:ascii="Verdana" w:hAnsi="Verdana"/>
              <w:sz w:val="18"/>
              <w:szCs w:val="18"/>
            </w:rPr>
            <w:t>EC number: -</w:t>
          </w:r>
        </w:p>
        <w:p w:rsidR="002D20D8" w:rsidRPr="00B904DC" w:rsidRDefault="002D20D8" w:rsidP="00E95A98">
          <w:pPr>
            <w:tabs>
              <w:tab w:val="right" w:pos="4179"/>
            </w:tabs>
            <w:rPr>
              <w:rFonts w:ascii="Verdana" w:hAnsi="Verdana"/>
              <w:sz w:val="18"/>
              <w:szCs w:val="18"/>
            </w:rPr>
          </w:pPr>
          <w:r w:rsidRPr="0085613D">
            <w:rPr>
              <w:rFonts w:ascii="Verdana" w:hAnsi="Verdana"/>
              <w:sz w:val="18"/>
              <w:szCs w:val="18"/>
            </w:rPr>
            <w:t>CAS number: -</w:t>
          </w:r>
          <w:r>
            <w:rPr>
              <w:rFonts w:ascii="Verdana" w:hAnsi="Verdana"/>
              <w:sz w:val="18"/>
              <w:szCs w:val="18"/>
            </w:rPr>
            <w:t xml:space="preserve"> </w:t>
          </w:r>
          <w:r>
            <w:rPr>
              <w:rFonts w:ascii="Verdana" w:hAnsi="Verdana"/>
              <w:sz w:val="18"/>
              <w:szCs w:val="18"/>
            </w:rPr>
            <w:tab/>
          </w:r>
        </w:p>
      </w:tc>
      <w:tc>
        <w:tcPr>
          <w:tcW w:w="3450" w:type="pct"/>
        </w:tcPr>
        <w:p w:rsidR="002D20D8" w:rsidRPr="00B904DC" w:rsidRDefault="002D20D8" w:rsidP="00E95A98">
          <w:pPr>
            <w:pStyle w:val="Header"/>
            <w:jc w:val="right"/>
            <w:rPr>
              <w:sz w:val="18"/>
              <w:szCs w:val="18"/>
            </w:rPr>
          </w:pPr>
          <w:r>
            <w:t xml:space="preserve">Comments and response to comments on SEAC draft opinion on Annex XV restriction dossier </w:t>
          </w:r>
        </w:p>
        <w:p w:rsidR="002D20D8" w:rsidRDefault="002D20D8" w:rsidP="00E95A98">
          <w:pPr>
            <w:pStyle w:val="Header"/>
            <w:jc w:val="right"/>
            <w:rPr>
              <w:noProof/>
            </w:rPr>
          </w:pPr>
          <w:r>
            <w:rPr>
              <w:noProof/>
            </w:rPr>
            <w:t>Annex XV report submitted by France</w:t>
          </w:r>
        </w:p>
        <w:p w:rsidR="002D20D8" w:rsidRPr="00B904DC" w:rsidRDefault="002D20D8" w:rsidP="00E95A98">
          <w:pPr>
            <w:pStyle w:val="Header"/>
            <w:jc w:val="right"/>
            <w:rPr>
              <w:sz w:val="18"/>
              <w:szCs w:val="18"/>
            </w:rPr>
          </w:pPr>
          <w:r>
            <w:rPr>
              <w:noProof/>
            </w:rPr>
            <w:t>Public consultation on SEAC draft opinion started on 18/03/2015</w:t>
          </w:r>
        </w:p>
      </w:tc>
    </w:tr>
  </w:tbl>
  <w:p w:rsidR="00861D1F" w:rsidRPr="00B904DC" w:rsidRDefault="00861D1F">
    <w:pPr>
      <w:pStyle w:val="Header"/>
    </w:pPr>
  </w:p>
  <w:p w:rsidR="00861D1F" w:rsidRPr="00B904DC" w:rsidRDefault="00861D1F">
    <w:pPr>
      <w:pStyle w:val="Header"/>
    </w:pPr>
  </w:p>
  <w:p w:rsidR="00861D1F" w:rsidRPr="00B904DC" w:rsidRDefault="00861D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3F" w:rsidRPr="00B904DC" w:rsidRDefault="0076393F" w:rsidP="0076393F">
    <w:pPr>
      <w:pStyle w:val="Header"/>
    </w:pPr>
  </w:p>
  <w:p w:rsidR="0076393F" w:rsidRDefault="007639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F93" w:rsidRPr="00B904DC" w:rsidRDefault="00943F93" w:rsidP="0076393F">
    <w:pPr>
      <w:pStyle w:val="Header"/>
    </w:pPr>
  </w:p>
  <w:p w:rsidR="00943F93" w:rsidRDefault="00943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A20A2"/>
    <w:multiLevelType w:val="hybridMultilevel"/>
    <w:tmpl w:val="80DAAC40"/>
    <w:lvl w:ilvl="0" w:tplc="9BA6A3B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cs="Times New Roman"/>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7C871AFA"/>
    <w:multiLevelType w:val="multilevel"/>
    <w:tmpl w:val="250224A4"/>
    <w:lvl w:ilvl="0">
      <w:start w:val="1"/>
      <w:numFmt w:val="bullet"/>
      <w:pStyle w:val="BulletedList1-usermanual"/>
      <w:lvlText w:val=""/>
      <w:lvlJc w:val="left"/>
      <w:pPr>
        <w:tabs>
          <w:tab w:val="num" w:pos="927"/>
        </w:tabs>
        <w:ind w:left="92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0F"/>
    <w:rsid w:val="00055B3E"/>
    <w:rsid w:val="00086B26"/>
    <w:rsid w:val="000E05EF"/>
    <w:rsid w:val="000F11E0"/>
    <w:rsid w:val="00160929"/>
    <w:rsid w:val="001A3CED"/>
    <w:rsid w:val="001C76B2"/>
    <w:rsid w:val="001D714B"/>
    <w:rsid w:val="001F5EF4"/>
    <w:rsid w:val="00204DB2"/>
    <w:rsid w:val="00227F70"/>
    <w:rsid w:val="002D20D8"/>
    <w:rsid w:val="003331F5"/>
    <w:rsid w:val="00344A62"/>
    <w:rsid w:val="00397D03"/>
    <w:rsid w:val="003B012E"/>
    <w:rsid w:val="003B6D57"/>
    <w:rsid w:val="003D74A2"/>
    <w:rsid w:val="004718E9"/>
    <w:rsid w:val="00486C39"/>
    <w:rsid w:val="004A24B7"/>
    <w:rsid w:val="004E600F"/>
    <w:rsid w:val="004F0375"/>
    <w:rsid w:val="005079BD"/>
    <w:rsid w:val="00524EFD"/>
    <w:rsid w:val="00525B96"/>
    <w:rsid w:val="00530EFF"/>
    <w:rsid w:val="005C4EAC"/>
    <w:rsid w:val="005F3D13"/>
    <w:rsid w:val="00682798"/>
    <w:rsid w:val="006A268A"/>
    <w:rsid w:val="006B2F6E"/>
    <w:rsid w:val="006B7316"/>
    <w:rsid w:val="006E3354"/>
    <w:rsid w:val="0076393F"/>
    <w:rsid w:val="00773477"/>
    <w:rsid w:val="00790245"/>
    <w:rsid w:val="007A4E18"/>
    <w:rsid w:val="007A584D"/>
    <w:rsid w:val="007A5997"/>
    <w:rsid w:val="007B2205"/>
    <w:rsid w:val="00813D0D"/>
    <w:rsid w:val="00825E28"/>
    <w:rsid w:val="00841092"/>
    <w:rsid w:val="0085613D"/>
    <w:rsid w:val="00860F73"/>
    <w:rsid w:val="00861D1F"/>
    <w:rsid w:val="00864B57"/>
    <w:rsid w:val="00881631"/>
    <w:rsid w:val="008B465D"/>
    <w:rsid w:val="00917346"/>
    <w:rsid w:val="00936D5B"/>
    <w:rsid w:val="00943F93"/>
    <w:rsid w:val="009C257E"/>
    <w:rsid w:val="00A05AC2"/>
    <w:rsid w:val="00A4115C"/>
    <w:rsid w:val="00A41B5E"/>
    <w:rsid w:val="00A43802"/>
    <w:rsid w:val="00A71291"/>
    <w:rsid w:val="00AB5536"/>
    <w:rsid w:val="00B24379"/>
    <w:rsid w:val="00B330EF"/>
    <w:rsid w:val="00B43654"/>
    <w:rsid w:val="00B607D8"/>
    <w:rsid w:val="00B904DC"/>
    <w:rsid w:val="00BE06E2"/>
    <w:rsid w:val="00C36225"/>
    <w:rsid w:val="00C65E7F"/>
    <w:rsid w:val="00CA1394"/>
    <w:rsid w:val="00CA3668"/>
    <w:rsid w:val="00D06866"/>
    <w:rsid w:val="00D260F1"/>
    <w:rsid w:val="00D33202"/>
    <w:rsid w:val="00D52350"/>
    <w:rsid w:val="00D90596"/>
    <w:rsid w:val="00DD5252"/>
    <w:rsid w:val="00DF6C98"/>
    <w:rsid w:val="00DF6D17"/>
    <w:rsid w:val="00E314F6"/>
    <w:rsid w:val="00E41CC1"/>
    <w:rsid w:val="00E95A98"/>
    <w:rsid w:val="00EB6296"/>
    <w:rsid w:val="00F308F6"/>
    <w:rsid w:val="00F82057"/>
    <w:rsid w:val="00F91D3A"/>
    <w:rsid w:val="00FA3E36"/>
    <w:rsid w:val="00FA5B1E"/>
    <w:rsid w:val="00FB6710"/>
    <w:rsid w:val="00FF033B"/>
    <w:rsid w:val="00FF29D9"/>
    <w:rsid w:val="00FF4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annotation text" w:semiHidden="1" w:uiPriority="0" w:unhideWhenUsed="1"/>
    <w:lsdException w:name="footer" w:semiHidden="1" w:uiPriority="0" w:unhideWhenUsed="1"/>
    <w:lsdException w:name="caption" w:semiHidden="1" w:uiPriority="35" w:unhideWhenUsed="1" w:qFormat="1"/>
    <w:lsdException w:name="footnote reference" w:semiHidden="1" w:uiPriority="0" w:unhideWhenUsed="1"/>
    <w:lsdException w:name="annotation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0"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Normal (Web)" w:semiHidden="1" w:uiPriority="0" w:unhideWhenUsed="1"/>
    <w:lsdException w:name="Normal Table" w:semiHidden="1" w:unhideWhenUsed="1"/>
    <w:lsdException w:name="annotation subject" w:semiHidden="1" w:uiPriority="0"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F93"/>
    <w:pPr>
      <w:spacing w:after="0" w:line="240" w:lineRule="auto"/>
    </w:pPr>
    <w:rPr>
      <w:rFonts w:ascii="Times New Roman" w:hAnsi="Times New Roman" w:cs="Times New Roman"/>
      <w:sz w:val="24"/>
      <w:szCs w:val="24"/>
      <w:lang w:eastAsia="en-GB"/>
    </w:rPr>
  </w:style>
  <w:style w:type="paragraph" w:styleId="Heading1">
    <w:name w:val="heading 1"/>
    <w:aliases w:val="ECHA Heading 1"/>
    <w:basedOn w:val="Normal"/>
    <w:next w:val="BodyText"/>
    <w:link w:val="Heading1Char"/>
    <w:uiPriority w:val="9"/>
    <w:qFormat/>
    <w:rsid w:val="00A41B5E"/>
    <w:pPr>
      <w:keepNext/>
      <w:keepLines/>
      <w:widowControl w:val="0"/>
      <w:spacing w:after="240"/>
      <w:outlineLvl w:val="0"/>
    </w:pPr>
    <w:rPr>
      <w:rFonts w:ascii="Verdana" w:hAnsi="Verdana"/>
      <w:b/>
      <w:color w:val="0046AD"/>
      <w:sz w:val="28"/>
      <w:lang w:eastAsia="fi-FI"/>
    </w:rPr>
  </w:style>
  <w:style w:type="paragraph" w:styleId="Heading2">
    <w:name w:val="heading 2"/>
    <w:aliases w:val="ECHA Heading 2"/>
    <w:basedOn w:val="Heading1"/>
    <w:next w:val="BodyText"/>
    <w:link w:val="Heading2Char"/>
    <w:uiPriority w:val="9"/>
    <w:qFormat/>
    <w:rsid w:val="00A41B5E"/>
    <w:pPr>
      <w:outlineLvl w:val="1"/>
    </w:pPr>
    <w:rPr>
      <w:rFonts w:cs="Arial"/>
      <w:sz w:val="24"/>
      <w:szCs w:val="22"/>
    </w:rPr>
  </w:style>
  <w:style w:type="paragraph" w:styleId="Heading3">
    <w:name w:val="heading 3"/>
    <w:aliases w:val="ECHA Heading 3"/>
    <w:basedOn w:val="Heading2"/>
    <w:next w:val="BodyText"/>
    <w:link w:val="Heading3Char"/>
    <w:uiPriority w:val="9"/>
    <w:qFormat/>
    <w:rsid w:val="00A41B5E"/>
    <w:pPr>
      <w:outlineLvl w:val="2"/>
    </w:pPr>
    <w:rPr>
      <w:bCs/>
      <w:color w:val="000000"/>
      <w:sz w:val="22"/>
    </w:rPr>
  </w:style>
  <w:style w:type="paragraph" w:styleId="Heading4">
    <w:name w:val="heading 4"/>
    <w:aliases w:val="ECHA Heading 4"/>
    <w:basedOn w:val="Heading3"/>
    <w:next w:val="BodyText"/>
    <w:link w:val="Heading4Char"/>
    <w:uiPriority w:val="9"/>
    <w:qFormat/>
    <w:rsid w:val="00A41B5E"/>
    <w:pPr>
      <w:outlineLvl w:val="3"/>
    </w:pPr>
    <w:rPr>
      <w:b w:val="0"/>
      <w:bCs w:val="0"/>
      <w:szCs w:val="28"/>
    </w:rPr>
  </w:style>
  <w:style w:type="paragraph" w:styleId="Heading5">
    <w:name w:val="heading 5"/>
    <w:aliases w:val="ECHA Heading 5"/>
    <w:basedOn w:val="Heading3"/>
    <w:next w:val="BodyText"/>
    <w:link w:val="Heading5Char"/>
    <w:uiPriority w:val="9"/>
    <w:qFormat/>
    <w:rsid w:val="00A41B5E"/>
    <w:pPr>
      <w:outlineLvl w:val="4"/>
    </w:pPr>
    <w:rPr>
      <w:bCs w:val="0"/>
      <w:iCs/>
      <w:sz w:val="20"/>
      <w:szCs w:val="26"/>
    </w:rPr>
  </w:style>
  <w:style w:type="paragraph" w:styleId="Heading6">
    <w:name w:val="heading 6"/>
    <w:aliases w:val="ECHA Heading 6"/>
    <w:basedOn w:val="Heading5"/>
    <w:next w:val="BodyText"/>
    <w:link w:val="Heading6Char"/>
    <w:uiPriority w:val="9"/>
    <w:qFormat/>
    <w:rsid w:val="00A41B5E"/>
    <w:pPr>
      <w:outlineLvl w:val="5"/>
    </w:pPr>
    <w:rPr>
      <w:bCs/>
      <w:szCs w:val="22"/>
    </w:rPr>
  </w:style>
  <w:style w:type="paragraph" w:styleId="Heading7">
    <w:name w:val="heading 7"/>
    <w:aliases w:val="ECHA Heading 7"/>
    <w:basedOn w:val="Heading5"/>
    <w:next w:val="BodyText"/>
    <w:link w:val="Heading7Char"/>
    <w:uiPriority w:val="9"/>
    <w:qFormat/>
    <w:rsid w:val="00A41B5E"/>
    <w:pPr>
      <w:outlineLvl w:val="6"/>
    </w:pPr>
    <w:rPr>
      <w:szCs w:val="24"/>
    </w:rPr>
  </w:style>
  <w:style w:type="paragraph" w:styleId="Heading8">
    <w:name w:val="heading 8"/>
    <w:aliases w:val="ECHA Heading 8"/>
    <w:basedOn w:val="Heading5"/>
    <w:next w:val="BodyText"/>
    <w:link w:val="Heading8Char"/>
    <w:uiPriority w:val="9"/>
    <w:qFormat/>
    <w:rsid w:val="00A41B5E"/>
    <w:pPr>
      <w:outlineLvl w:val="7"/>
    </w:pPr>
    <w:rPr>
      <w:iCs w:val="0"/>
      <w:szCs w:val="24"/>
    </w:rPr>
  </w:style>
  <w:style w:type="paragraph" w:styleId="Heading9">
    <w:name w:val="heading 9"/>
    <w:aliases w:val="ECHA Heading 9"/>
    <w:basedOn w:val="Heading5"/>
    <w:next w:val="BodyText"/>
    <w:link w:val="Heading9Char"/>
    <w:uiPriority w:val="9"/>
    <w:qFormat/>
    <w:rsid w:val="00A41B5E"/>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HA Heading 1 Char"/>
    <w:basedOn w:val="DefaultParagraphFont"/>
    <w:link w:val="Heading1"/>
    <w:uiPriority w:val="9"/>
    <w:locked/>
    <w:rsid w:val="00682798"/>
    <w:rPr>
      <w:rFonts w:ascii="Verdana" w:hAnsi="Verdana" w:cs="Times New Roman"/>
      <w:b/>
      <w:color w:val="0046AD"/>
      <w:sz w:val="24"/>
      <w:szCs w:val="24"/>
      <w:lang w:val="x-none" w:eastAsia="fi-FI"/>
    </w:rPr>
  </w:style>
  <w:style w:type="character" w:customStyle="1" w:styleId="Heading2Char">
    <w:name w:val="Heading 2 Char"/>
    <w:aliases w:val="ECHA Heading 2 Char"/>
    <w:basedOn w:val="DefaultParagraphFont"/>
    <w:link w:val="Heading2"/>
    <w:uiPriority w:val="9"/>
    <w:locked/>
    <w:rsid w:val="00682798"/>
    <w:rPr>
      <w:rFonts w:ascii="Verdana" w:hAnsi="Verdana" w:cs="Arial"/>
      <w:b/>
      <w:color w:val="0046AD"/>
      <w:sz w:val="24"/>
      <w:lang w:val="x-none" w:eastAsia="fi-FI"/>
    </w:rPr>
  </w:style>
  <w:style w:type="character" w:customStyle="1" w:styleId="Heading3Char">
    <w:name w:val="Heading 3 Char"/>
    <w:aliases w:val="ECHA Heading 3 Char"/>
    <w:basedOn w:val="DefaultParagraphFont"/>
    <w:link w:val="Heading3"/>
    <w:uiPriority w:val="9"/>
    <w:locked/>
    <w:rsid w:val="00682798"/>
    <w:rPr>
      <w:rFonts w:ascii="Verdana" w:hAnsi="Verdana" w:cs="Arial"/>
      <w:b/>
      <w:bCs/>
      <w:color w:val="000000"/>
      <w:lang w:val="x-none" w:eastAsia="fi-FI"/>
    </w:rPr>
  </w:style>
  <w:style w:type="character" w:customStyle="1" w:styleId="Heading4Char">
    <w:name w:val="Heading 4 Char"/>
    <w:aliases w:val="ECHA Heading 4 Char"/>
    <w:basedOn w:val="DefaultParagraphFont"/>
    <w:link w:val="Heading4"/>
    <w:uiPriority w:val="9"/>
    <w:locked/>
    <w:rsid w:val="00682798"/>
    <w:rPr>
      <w:rFonts w:ascii="Verdana" w:hAnsi="Verdana" w:cs="Arial"/>
      <w:color w:val="000000"/>
      <w:sz w:val="28"/>
      <w:szCs w:val="28"/>
      <w:lang w:val="x-none" w:eastAsia="fi-FI"/>
    </w:rPr>
  </w:style>
  <w:style w:type="character" w:customStyle="1" w:styleId="Heading5Char">
    <w:name w:val="Heading 5 Char"/>
    <w:aliases w:val="ECHA Heading 5 Char"/>
    <w:basedOn w:val="DefaultParagraphFont"/>
    <w:link w:val="Heading5"/>
    <w:uiPriority w:val="9"/>
    <w:locked/>
    <w:rsid w:val="00682798"/>
    <w:rPr>
      <w:rFonts w:ascii="Verdana" w:hAnsi="Verdana" w:cs="Arial"/>
      <w:b/>
      <w:iCs/>
      <w:color w:val="000000"/>
      <w:sz w:val="26"/>
      <w:szCs w:val="26"/>
      <w:lang w:val="x-none" w:eastAsia="fi-FI"/>
    </w:rPr>
  </w:style>
  <w:style w:type="character" w:customStyle="1" w:styleId="Heading6Char">
    <w:name w:val="Heading 6 Char"/>
    <w:aliases w:val="ECHA Heading 6 Char"/>
    <w:basedOn w:val="DefaultParagraphFont"/>
    <w:link w:val="Heading6"/>
    <w:uiPriority w:val="9"/>
    <w:locked/>
    <w:rsid w:val="00682798"/>
    <w:rPr>
      <w:rFonts w:ascii="Verdana" w:hAnsi="Verdana" w:cs="Arial"/>
      <w:b/>
      <w:bCs/>
      <w:iCs/>
      <w:color w:val="000000"/>
      <w:sz w:val="20"/>
      <w:lang w:val="x-none" w:eastAsia="fi-FI"/>
    </w:rPr>
  </w:style>
  <w:style w:type="character" w:customStyle="1" w:styleId="Heading7Char">
    <w:name w:val="Heading 7 Char"/>
    <w:aliases w:val="ECHA Heading 7 Char"/>
    <w:basedOn w:val="DefaultParagraphFont"/>
    <w:link w:val="Heading7"/>
    <w:uiPriority w:val="9"/>
    <w:locked/>
    <w:rsid w:val="00682798"/>
    <w:rPr>
      <w:rFonts w:ascii="Verdana" w:hAnsi="Verdana" w:cs="Arial"/>
      <w:b/>
      <w:iCs/>
      <w:color w:val="000000"/>
      <w:sz w:val="24"/>
      <w:szCs w:val="24"/>
      <w:lang w:val="x-none" w:eastAsia="fi-FI"/>
    </w:rPr>
  </w:style>
  <w:style w:type="character" w:customStyle="1" w:styleId="Heading8Char">
    <w:name w:val="Heading 8 Char"/>
    <w:aliases w:val="ECHA Heading 8 Char"/>
    <w:basedOn w:val="DefaultParagraphFont"/>
    <w:link w:val="Heading8"/>
    <w:uiPriority w:val="9"/>
    <w:locked/>
    <w:rsid w:val="00682798"/>
    <w:rPr>
      <w:rFonts w:ascii="Verdana" w:hAnsi="Verdana" w:cs="Arial"/>
      <w:b/>
      <w:color w:val="000000"/>
      <w:sz w:val="24"/>
      <w:szCs w:val="24"/>
      <w:lang w:val="x-none" w:eastAsia="fi-FI"/>
    </w:rPr>
  </w:style>
  <w:style w:type="character" w:customStyle="1" w:styleId="Heading9Char">
    <w:name w:val="Heading 9 Char"/>
    <w:aliases w:val="ECHA Heading 9 Char"/>
    <w:basedOn w:val="DefaultParagraphFont"/>
    <w:link w:val="Heading9"/>
    <w:uiPriority w:val="9"/>
    <w:locked/>
    <w:rsid w:val="00682798"/>
    <w:rPr>
      <w:rFonts w:ascii="Verdana" w:hAnsi="Verdana" w:cs="Arial"/>
      <w:b/>
      <w:iCs/>
      <w:color w:val="000000"/>
      <w:sz w:val="20"/>
      <w:lang w:val="x-none" w:eastAsia="fi-FI"/>
    </w:rPr>
  </w:style>
  <w:style w:type="paragraph" w:styleId="BodyText">
    <w:name w:val="Body Text"/>
    <w:aliases w:val="Text"/>
    <w:basedOn w:val="Normal"/>
    <w:link w:val="BodyTextChar"/>
    <w:uiPriority w:val="99"/>
    <w:rsid w:val="00A41B5E"/>
    <w:pPr>
      <w:widowControl w:val="0"/>
      <w:spacing w:after="240"/>
    </w:pPr>
    <w:rPr>
      <w:rFonts w:ascii="Verdana" w:hAnsi="Verdana"/>
      <w:sz w:val="20"/>
      <w:szCs w:val="20"/>
      <w:lang w:eastAsia="fi-FI"/>
    </w:rPr>
  </w:style>
  <w:style w:type="character" w:customStyle="1" w:styleId="BodyTextChar">
    <w:name w:val="Body Text Char"/>
    <w:aliases w:val="Text Char"/>
    <w:basedOn w:val="DefaultParagraphFont"/>
    <w:link w:val="BodyText"/>
    <w:uiPriority w:val="99"/>
    <w:locked/>
    <w:rsid w:val="00682798"/>
    <w:rPr>
      <w:rFonts w:ascii="Verdana" w:hAnsi="Verdana" w:cs="Times New Roman"/>
      <w:sz w:val="20"/>
      <w:szCs w:val="20"/>
      <w:lang w:val="x-none" w:eastAsia="fi-FI"/>
    </w:rPr>
  </w:style>
  <w:style w:type="paragraph" w:styleId="Title">
    <w:name w:val="Title"/>
    <w:aliases w:val="ECHA Heading"/>
    <w:basedOn w:val="Heading1"/>
    <w:next w:val="BodyText"/>
    <w:link w:val="TitleChar"/>
    <w:uiPriority w:val="10"/>
    <w:qFormat/>
    <w:rsid w:val="00A41B5E"/>
    <w:rPr>
      <w:rFonts w:cs="Arial"/>
      <w:bCs/>
      <w:szCs w:val="32"/>
    </w:rPr>
  </w:style>
  <w:style w:type="character" w:customStyle="1" w:styleId="TitleChar">
    <w:name w:val="Title Char"/>
    <w:aliases w:val="ECHA Heading Char"/>
    <w:basedOn w:val="DefaultParagraphFont"/>
    <w:link w:val="Title"/>
    <w:uiPriority w:val="10"/>
    <w:locked/>
    <w:rsid w:val="00682798"/>
    <w:rPr>
      <w:rFonts w:ascii="Verdana" w:hAnsi="Verdana" w:cs="Arial"/>
      <w:b/>
      <w:bCs/>
      <w:color w:val="0046AD"/>
      <w:sz w:val="32"/>
      <w:szCs w:val="32"/>
      <w:lang w:val="x-none" w:eastAsia="fi-FI"/>
    </w:rPr>
  </w:style>
  <w:style w:type="paragraph" w:styleId="BalloonText">
    <w:name w:val="Balloon Text"/>
    <w:basedOn w:val="Normal"/>
    <w:link w:val="BalloonTextChar"/>
    <w:uiPriority w:val="99"/>
    <w:semiHidden/>
    <w:rsid w:val="00A41B5E"/>
    <w:pPr>
      <w:widowControl w:val="0"/>
    </w:pPr>
    <w:rPr>
      <w:rFonts w:ascii="Tahoma" w:hAnsi="Tahoma" w:cs="Tahoma"/>
      <w:sz w:val="16"/>
      <w:szCs w:val="16"/>
      <w:lang w:eastAsia="fi-FI"/>
    </w:rPr>
  </w:style>
  <w:style w:type="character" w:customStyle="1" w:styleId="BalloonTextChar">
    <w:name w:val="Balloon Text Char"/>
    <w:basedOn w:val="DefaultParagraphFont"/>
    <w:link w:val="BalloonText"/>
    <w:uiPriority w:val="99"/>
    <w:semiHidden/>
    <w:locked/>
    <w:rsid w:val="00A41B5E"/>
    <w:rPr>
      <w:rFonts w:ascii="Tahoma" w:hAnsi="Tahoma" w:cs="Tahoma"/>
      <w:sz w:val="16"/>
      <w:szCs w:val="16"/>
      <w:lang w:val="x-none" w:eastAsia="fi-FI"/>
    </w:rPr>
  </w:style>
  <w:style w:type="paragraph" w:styleId="BodyTextFirstIndent">
    <w:name w:val="Body Text First Indent"/>
    <w:basedOn w:val="BodyText"/>
    <w:link w:val="BodyTextFirstIndentChar"/>
    <w:uiPriority w:val="99"/>
    <w:semiHidden/>
    <w:rsid w:val="00A41B5E"/>
    <w:pPr>
      <w:spacing w:after="120"/>
      <w:ind w:firstLine="210"/>
    </w:pPr>
  </w:style>
  <w:style w:type="character" w:customStyle="1" w:styleId="BodyTextFirstIndentChar">
    <w:name w:val="Body Text First Indent Char"/>
    <w:basedOn w:val="BodyTextChar"/>
    <w:link w:val="BodyTextFirstIndent"/>
    <w:uiPriority w:val="99"/>
    <w:semiHidden/>
    <w:locked/>
    <w:rsid w:val="00A41B5E"/>
    <w:rPr>
      <w:rFonts w:ascii="Verdana" w:hAnsi="Verdana" w:cs="Times New Roman"/>
      <w:sz w:val="20"/>
      <w:szCs w:val="20"/>
      <w:lang w:val="x-none" w:eastAsia="fi-FI"/>
    </w:rPr>
  </w:style>
  <w:style w:type="paragraph" w:styleId="BodyTextIndent">
    <w:name w:val="Body Text Indent"/>
    <w:basedOn w:val="Normal"/>
    <w:link w:val="BodyTextIndentChar"/>
    <w:uiPriority w:val="99"/>
    <w:semiHidden/>
    <w:unhideWhenUsed/>
    <w:rsid w:val="00A41B5E"/>
    <w:pPr>
      <w:widowControl w:val="0"/>
      <w:spacing w:after="120"/>
      <w:ind w:left="283"/>
    </w:pPr>
    <w:rPr>
      <w:rFonts w:ascii="Verdana" w:hAnsi="Verdana"/>
      <w:sz w:val="20"/>
      <w:szCs w:val="20"/>
      <w:lang w:eastAsia="fi-FI"/>
    </w:rPr>
  </w:style>
  <w:style w:type="character" w:customStyle="1" w:styleId="BodyTextIndentChar">
    <w:name w:val="Body Text Indent Char"/>
    <w:basedOn w:val="DefaultParagraphFont"/>
    <w:link w:val="BodyTextIndent"/>
    <w:uiPriority w:val="99"/>
    <w:semiHidden/>
    <w:locked/>
    <w:rsid w:val="00A41B5E"/>
    <w:rPr>
      <w:rFonts w:ascii="Verdana" w:hAnsi="Verdana" w:cs="Times New Roman"/>
      <w:sz w:val="20"/>
      <w:szCs w:val="20"/>
      <w:lang w:val="x-none" w:eastAsia="fi-FI"/>
    </w:rPr>
  </w:style>
  <w:style w:type="paragraph" w:styleId="BodyTextFirstIndent2">
    <w:name w:val="Body Text First Indent 2"/>
    <w:basedOn w:val="Normal"/>
    <w:link w:val="BodyTextFirstIndent2Char"/>
    <w:uiPriority w:val="99"/>
    <w:semiHidden/>
    <w:rsid w:val="00A41B5E"/>
    <w:pPr>
      <w:widowControl w:val="0"/>
      <w:spacing w:after="120"/>
      <w:ind w:left="283" w:firstLine="210"/>
    </w:pPr>
    <w:rPr>
      <w:rFonts w:ascii="Verdana" w:hAnsi="Verdana"/>
      <w:sz w:val="20"/>
      <w:szCs w:val="20"/>
      <w:lang w:eastAsia="fi-FI"/>
    </w:rPr>
  </w:style>
  <w:style w:type="character" w:customStyle="1" w:styleId="BodyTextFirstIndent2Char">
    <w:name w:val="Body Text First Indent 2 Char"/>
    <w:basedOn w:val="BodyTextIndentChar"/>
    <w:link w:val="BodyTextFirstIndent2"/>
    <w:uiPriority w:val="99"/>
    <w:semiHidden/>
    <w:locked/>
    <w:rsid w:val="00A41B5E"/>
    <w:rPr>
      <w:rFonts w:ascii="Verdana" w:hAnsi="Verdana" w:cs="Times New Roman"/>
      <w:sz w:val="20"/>
      <w:szCs w:val="20"/>
      <w:lang w:val="x-none" w:eastAsia="fi-FI"/>
    </w:rPr>
  </w:style>
  <w:style w:type="character" w:customStyle="1" w:styleId="Bold">
    <w:name w:val="Bold"/>
    <w:basedOn w:val="DefaultParagraphFont"/>
    <w:rsid w:val="00A41B5E"/>
    <w:rPr>
      <w:rFonts w:ascii="Verdana" w:hAnsi="Verdana" w:cs="Times New Roman"/>
      <w:b/>
      <w:sz w:val="20"/>
    </w:rPr>
  </w:style>
  <w:style w:type="paragraph" w:customStyle="1" w:styleId="BulletedList1-usermanual">
    <w:name w:val="Bulleted List 1 - user manual"/>
    <w:basedOn w:val="Normal"/>
    <w:rsid w:val="00A41B5E"/>
    <w:pPr>
      <w:widowControl w:val="0"/>
      <w:numPr>
        <w:numId w:val="3"/>
      </w:numPr>
      <w:spacing w:line="360" w:lineRule="auto"/>
    </w:pPr>
    <w:rPr>
      <w:rFonts w:ascii="Verdana" w:hAnsi="Verdana"/>
      <w:sz w:val="20"/>
      <w:szCs w:val="20"/>
      <w:lang w:eastAsia="fi-FI"/>
    </w:rPr>
  </w:style>
  <w:style w:type="character" w:styleId="CommentReference">
    <w:name w:val="annotation reference"/>
    <w:basedOn w:val="DefaultParagraphFont"/>
    <w:uiPriority w:val="99"/>
    <w:semiHidden/>
    <w:rsid w:val="00A41B5E"/>
    <w:rPr>
      <w:rFonts w:cs="Times New Roman"/>
      <w:sz w:val="16"/>
      <w:szCs w:val="16"/>
    </w:rPr>
  </w:style>
  <w:style w:type="paragraph" w:styleId="CommentText">
    <w:name w:val="annotation text"/>
    <w:basedOn w:val="Normal"/>
    <w:link w:val="CommentTextChar"/>
    <w:uiPriority w:val="99"/>
    <w:semiHidden/>
    <w:rsid w:val="00A41B5E"/>
    <w:pPr>
      <w:widowControl w:val="0"/>
    </w:pPr>
    <w:rPr>
      <w:rFonts w:ascii="Verdana" w:hAnsi="Verdana"/>
      <w:sz w:val="20"/>
      <w:szCs w:val="20"/>
      <w:lang w:eastAsia="fi-FI"/>
    </w:rPr>
  </w:style>
  <w:style w:type="character" w:customStyle="1" w:styleId="CommentTextChar">
    <w:name w:val="Comment Text Char"/>
    <w:basedOn w:val="DefaultParagraphFont"/>
    <w:link w:val="CommentText"/>
    <w:uiPriority w:val="99"/>
    <w:semiHidden/>
    <w:locked/>
    <w:rsid w:val="00A41B5E"/>
    <w:rPr>
      <w:rFonts w:ascii="Verdana" w:hAnsi="Verdana" w:cs="Times New Roman"/>
      <w:sz w:val="20"/>
      <w:szCs w:val="20"/>
      <w:lang w:val="x-none" w:eastAsia="fi-FI"/>
    </w:rPr>
  </w:style>
  <w:style w:type="paragraph" w:styleId="CommentSubject">
    <w:name w:val="annotation subject"/>
    <w:basedOn w:val="CommentText"/>
    <w:next w:val="CommentText"/>
    <w:link w:val="CommentSubjectChar"/>
    <w:uiPriority w:val="99"/>
    <w:semiHidden/>
    <w:rsid w:val="00A41B5E"/>
    <w:rPr>
      <w:b/>
      <w:bCs/>
    </w:rPr>
  </w:style>
  <w:style w:type="character" w:customStyle="1" w:styleId="CommentSubjectChar">
    <w:name w:val="Comment Subject Char"/>
    <w:basedOn w:val="CommentTextChar"/>
    <w:link w:val="CommentSubject"/>
    <w:uiPriority w:val="99"/>
    <w:semiHidden/>
    <w:locked/>
    <w:rsid w:val="00A41B5E"/>
    <w:rPr>
      <w:rFonts w:ascii="Verdana" w:hAnsi="Verdana" w:cs="Times New Roman"/>
      <w:b/>
      <w:bCs/>
      <w:sz w:val="20"/>
      <w:szCs w:val="20"/>
      <w:lang w:val="x-none" w:eastAsia="fi-FI"/>
    </w:rPr>
  </w:style>
  <w:style w:type="paragraph" w:styleId="Footer">
    <w:name w:val="footer"/>
    <w:basedOn w:val="Normal"/>
    <w:link w:val="FooterChar"/>
    <w:uiPriority w:val="99"/>
    <w:rsid w:val="00A41B5E"/>
    <w:pPr>
      <w:widowControl w:val="0"/>
      <w:spacing w:line="160" w:lineRule="exact"/>
    </w:pPr>
    <w:rPr>
      <w:rFonts w:ascii="Verdana" w:hAnsi="Verdana"/>
      <w:spacing w:val="2"/>
      <w:sz w:val="13"/>
      <w:szCs w:val="20"/>
      <w:lang w:eastAsia="fi-FI"/>
    </w:rPr>
  </w:style>
  <w:style w:type="character" w:customStyle="1" w:styleId="FooterChar">
    <w:name w:val="Footer Char"/>
    <w:basedOn w:val="DefaultParagraphFont"/>
    <w:link w:val="Footer"/>
    <w:uiPriority w:val="99"/>
    <w:locked/>
    <w:rsid w:val="00A41B5E"/>
    <w:rPr>
      <w:rFonts w:ascii="Verdana" w:hAnsi="Verdana" w:cs="Times New Roman"/>
      <w:spacing w:val="2"/>
      <w:sz w:val="20"/>
      <w:szCs w:val="20"/>
      <w:lang w:val="x-none" w:eastAsia="fi-FI"/>
    </w:rPr>
  </w:style>
  <w:style w:type="paragraph" w:customStyle="1" w:styleId="Disclaimer">
    <w:name w:val="Disclaimer"/>
    <w:basedOn w:val="Footer"/>
    <w:rsid w:val="00A41B5E"/>
    <w:pPr>
      <w:spacing w:before="120" w:line="140" w:lineRule="exact"/>
    </w:pPr>
    <w:rPr>
      <w:spacing w:val="0"/>
      <w:sz w:val="11"/>
    </w:rPr>
  </w:style>
  <w:style w:type="character" w:styleId="FollowedHyperlink">
    <w:name w:val="FollowedHyperlink"/>
    <w:aliases w:val="Hyperlink opened"/>
    <w:basedOn w:val="DefaultParagraphFont"/>
    <w:uiPriority w:val="99"/>
    <w:rsid w:val="00A41B5E"/>
    <w:rPr>
      <w:rFonts w:ascii="Verdana" w:hAnsi="Verdana" w:cs="Times New Roman"/>
      <w:color w:val="800080"/>
      <w:sz w:val="20"/>
      <w:u w:val="single"/>
    </w:rPr>
  </w:style>
  <w:style w:type="character" w:styleId="FootnoteReference">
    <w:name w:val="footnote reference"/>
    <w:aliases w:val="Footnote"/>
    <w:basedOn w:val="DefaultParagraphFont"/>
    <w:uiPriority w:val="99"/>
    <w:semiHidden/>
    <w:rsid w:val="00A41B5E"/>
    <w:rPr>
      <w:rFonts w:ascii="Georgia" w:hAnsi="Georgia" w:cs="Times New Roman"/>
      <w:sz w:val="16"/>
      <w:vertAlign w:val="superscript"/>
    </w:rPr>
  </w:style>
  <w:style w:type="paragraph" w:styleId="FootnoteText">
    <w:name w:val="footnote text"/>
    <w:basedOn w:val="Normal"/>
    <w:link w:val="FootnoteTextChar"/>
    <w:uiPriority w:val="99"/>
    <w:semiHidden/>
    <w:rsid w:val="00A41B5E"/>
    <w:pPr>
      <w:widowControl w:val="0"/>
    </w:pPr>
    <w:rPr>
      <w:rFonts w:ascii="Verdana" w:hAnsi="Verdana"/>
      <w:sz w:val="20"/>
      <w:szCs w:val="20"/>
      <w:lang w:eastAsia="fi-FI"/>
    </w:rPr>
  </w:style>
  <w:style w:type="character" w:customStyle="1" w:styleId="FootnoteTextChar">
    <w:name w:val="Footnote Text Char"/>
    <w:basedOn w:val="DefaultParagraphFont"/>
    <w:link w:val="FootnoteText"/>
    <w:uiPriority w:val="99"/>
    <w:semiHidden/>
    <w:locked/>
    <w:rsid w:val="00A41B5E"/>
    <w:rPr>
      <w:rFonts w:ascii="Verdana" w:hAnsi="Verdana" w:cs="Times New Roman"/>
      <w:sz w:val="20"/>
      <w:szCs w:val="20"/>
      <w:lang w:val="x-none" w:eastAsia="fi-FI"/>
    </w:rPr>
  </w:style>
  <w:style w:type="paragraph" w:customStyle="1" w:styleId="Footnotes">
    <w:name w:val="Footnotes"/>
    <w:basedOn w:val="BodyText"/>
    <w:rsid w:val="00A41B5E"/>
    <w:rPr>
      <w:rFonts w:ascii="Georgia" w:hAnsi="Georgia"/>
      <w:sz w:val="18"/>
    </w:rPr>
  </w:style>
  <w:style w:type="paragraph" w:styleId="Header">
    <w:name w:val="header"/>
    <w:basedOn w:val="Normal"/>
    <w:link w:val="HeaderChar"/>
    <w:uiPriority w:val="99"/>
    <w:rsid w:val="00A41B5E"/>
    <w:pPr>
      <w:widowControl w:val="0"/>
      <w:tabs>
        <w:tab w:val="left" w:pos="4536"/>
        <w:tab w:val="left" w:pos="7088"/>
        <w:tab w:val="left" w:pos="8789"/>
      </w:tabs>
    </w:pPr>
    <w:rPr>
      <w:rFonts w:ascii="Verdana" w:hAnsi="Verdana"/>
      <w:sz w:val="20"/>
      <w:szCs w:val="20"/>
      <w:lang w:eastAsia="fi-FI"/>
    </w:rPr>
  </w:style>
  <w:style w:type="character" w:customStyle="1" w:styleId="HeaderChar">
    <w:name w:val="Header Char"/>
    <w:basedOn w:val="DefaultParagraphFont"/>
    <w:link w:val="Header"/>
    <w:uiPriority w:val="99"/>
    <w:locked/>
    <w:rsid w:val="00A41B5E"/>
    <w:rPr>
      <w:rFonts w:ascii="Verdana" w:hAnsi="Verdana" w:cs="Times New Roman"/>
      <w:sz w:val="20"/>
      <w:szCs w:val="20"/>
      <w:lang w:val="x-none" w:eastAsia="fi-FI"/>
    </w:rPr>
  </w:style>
  <w:style w:type="character" w:styleId="Hyperlink">
    <w:name w:val="Hyperlink"/>
    <w:basedOn w:val="DefaultParagraphFont"/>
    <w:uiPriority w:val="99"/>
    <w:rsid w:val="00A41B5E"/>
    <w:rPr>
      <w:rFonts w:ascii="Verdana" w:hAnsi="Verdana" w:cs="Times New Roman"/>
      <w:color w:val="0000FF"/>
      <w:sz w:val="20"/>
      <w:u w:val="single"/>
    </w:rPr>
  </w:style>
  <w:style w:type="character" w:customStyle="1" w:styleId="Italic">
    <w:name w:val="Italic"/>
    <w:basedOn w:val="DefaultParagraphFont"/>
    <w:rsid w:val="00A41B5E"/>
    <w:rPr>
      <w:rFonts w:ascii="Verdana" w:hAnsi="Verdana" w:cs="Times New Roman"/>
      <w:i/>
      <w:sz w:val="20"/>
    </w:rPr>
  </w:style>
  <w:style w:type="paragraph" w:customStyle="1" w:styleId="Leipteksti1">
    <w:name w:val="Leipäteksti1"/>
    <w:basedOn w:val="Normal"/>
    <w:semiHidden/>
    <w:rsid w:val="00A41B5E"/>
    <w:pPr>
      <w:ind w:left="2608"/>
    </w:pPr>
  </w:style>
  <w:style w:type="character" w:styleId="PageNumber">
    <w:name w:val="page number"/>
    <w:basedOn w:val="DefaultParagraphFont"/>
    <w:uiPriority w:val="99"/>
    <w:rsid w:val="00A41B5E"/>
    <w:rPr>
      <w:rFonts w:ascii="Verdana" w:hAnsi="Verdana" w:cs="Times New Roman"/>
      <w:sz w:val="20"/>
    </w:rPr>
  </w:style>
  <w:style w:type="table" w:styleId="TableGrid">
    <w:name w:val="Table Grid"/>
    <w:basedOn w:val="TableNormal"/>
    <w:uiPriority w:val="59"/>
    <w:rsid w:val="00A41B5E"/>
    <w:pPr>
      <w:widowControl w:val="0"/>
      <w:spacing w:after="0" w:line="240" w:lineRule="auto"/>
    </w:pPr>
    <w:rPr>
      <w:rFonts w:ascii="Verdana"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rsid w:val="00A41B5E"/>
    <w:pPr>
      <w:spacing w:after="120"/>
    </w:pPr>
    <w:rPr>
      <w:b/>
      <w:color w:val="FFCC00"/>
      <w:sz w:val="18"/>
      <w:szCs w:val="18"/>
    </w:rPr>
  </w:style>
  <w:style w:type="paragraph" w:customStyle="1" w:styleId="Tabletext">
    <w:name w:val="Tabletext"/>
    <w:basedOn w:val="BodyText"/>
    <w:rsid w:val="00A41B5E"/>
    <w:pPr>
      <w:spacing w:after="0"/>
    </w:pPr>
    <w:rPr>
      <w:sz w:val="18"/>
    </w:rPr>
  </w:style>
  <w:style w:type="paragraph" w:styleId="TOC1">
    <w:name w:val="toc 1"/>
    <w:basedOn w:val="Normal"/>
    <w:next w:val="Normal"/>
    <w:autoRedefine/>
    <w:uiPriority w:val="39"/>
    <w:rsid w:val="00A41B5E"/>
    <w:pPr>
      <w:widowControl w:val="0"/>
      <w:tabs>
        <w:tab w:val="right" w:leader="dot" w:pos="10196"/>
      </w:tabs>
      <w:ind w:left="425" w:hanging="425"/>
    </w:pPr>
    <w:rPr>
      <w:rFonts w:ascii="Verdana" w:hAnsi="Verdana"/>
      <w:noProof/>
      <w:sz w:val="20"/>
      <w:szCs w:val="20"/>
      <w:lang w:eastAsia="fi-FI"/>
    </w:rPr>
  </w:style>
  <w:style w:type="paragraph" w:styleId="TOC2">
    <w:name w:val="toc 2"/>
    <w:basedOn w:val="Normal"/>
    <w:next w:val="Normal"/>
    <w:autoRedefine/>
    <w:uiPriority w:val="39"/>
    <w:rsid w:val="00A41B5E"/>
    <w:pPr>
      <w:widowControl w:val="0"/>
      <w:tabs>
        <w:tab w:val="right" w:leader="dot" w:pos="10196"/>
      </w:tabs>
      <w:ind w:left="992" w:hanging="567"/>
    </w:pPr>
    <w:rPr>
      <w:rFonts w:ascii="Verdana" w:hAnsi="Verdana"/>
      <w:noProof/>
      <w:sz w:val="20"/>
      <w:szCs w:val="20"/>
      <w:lang w:eastAsia="fi-FI"/>
    </w:rPr>
  </w:style>
  <w:style w:type="paragraph" w:styleId="TOC3">
    <w:name w:val="toc 3"/>
    <w:basedOn w:val="Normal"/>
    <w:next w:val="Normal"/>
    <w:autoRedefine/>
    <w:uiPriority w:val="39"/>
    <w:rsid w:val="00A41B5E"/>
    <w:pPr>
      <w:widowControl w:val="0"/>
      <w:tabs>
        <w:tab w:val="right" w:leader="dot" w:pos="10196"/>
      </w:tabs>
      <w:ind w:left="1843" w:hanging="851"/>
    </w:pPr>
    <w:rPr>
      <w:rFonts w:ascii="Verdana" w:hAnsi="Verdana"/>
      <w:sz w:val="20"/>
      <w:szCs w:val="20"/>
      <w:lang w:eastAsia="fi-FI"/>
    </w:rPr>
  </w:style>
  <w:style w:type="character" w:styleId="Strong">
    <w:name w:val="Strong"/>
    <w:basedOn w:val="DefaultParagraphFont"/>
    <w:uiPriority w:val="22"/>
    <w:qFormat/>
    <w:rsid w:val="004E600F"/>
    <w:rPr>
      <w:b/>
    </w:rPr>
  </w:style>
  <w:style w:type="paragraph" w:styleId="NormalWeb">
    <w:name w:val="Normal (Web)"/>
    <w:basedOn w:val="Normal"/>
    <w:uiPriority w:val="99"/>
    <w:rsid w:val="004E600F"/>
    <w:pPr>
      <w:spacing w:before="100" w:beforeAutospacing="1" w:after="240"/>
    </w:pPr>
  </w:style>
  <w:style w:type="paragraph" w:customStyle="1" w:styleId="Default">
    <w:name w:val="Default"/>
    <w:rsid w:val="003B012E"/>
    <w:pPr>
      <w:autoSpaceDE w:val="0"/>
      <w:autoSpaceDN w:val="0"/>
      <w:adjustRightInd w:val="0"/>
      <w:spacing w:after="0" w:line="240" w:lineRule="auto"/>
    </w:pPr>
    <w:rPr>
      <w:rFonts w:ascii="Verdana" w:hAnsi="Verdana" w:cs="Verdana"/>
      <w:color w:val="000000"/>
      <w:sz w:val="24"/>
      <w:szCs w:val="24"/>
      <w:lang w:val="fi-FI"/>
    </w:rPr>
  </w:style>
  <w:style w:type="numbering" w:customStyle="1" w:styleId="ECHABulletlist">
    <w:name w:val="ECHA Bullet list"/>
    <w:pPr>
      <w:numPr>
        <w:numId w:val="1"/>
      </w:numPr>
    </w:pPr>
  </w:style>
  <w:style w:type="numbering" w:customStyle="1" w:styleId="ECHANumberlist">
    <w:name w:val="ECHA Number 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A8EB-9FE8-4F92-818C-B59DAF20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994B4247.dotm</Template>
  <TotalTime>0</TotalTime>
  <Pages>6</Pages>
  <Words>1737</Words>
  <Characters>9939</Characters>
  <Application>Microsoft Office Word</Application>
  <DocSecurity>0</DocSecurity>
  <Lines>82</Lines>
  <Paragraphs>23</Paragraphs>
  <ScaleCrop>false</ScaleCrop>
  <Company/>
  <LinksUpToDate>false</LinksUpToDate>
  <CharactersWithSpaces>11653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2018-07-31T10:30:00Z</dcterms:created>
  <dcterms:modified xsi:type="dcterms:W3CDTF">2018-07-31T10:30:00Z</dcterms:modified>
</cp:coreProperties>
</file>