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050C51">
      <w:pPr>
        <w:jc w:val="center"/>
        <w:rPr>
          <w:b/>
          <w:sz w:val="28"/>
          <w:szCs w:val="28"/>
          <w:lang w:val="ro-RO"/>
        </w:rPr>
      </w:pPr>
      <w:r w:rsidRPr="007707AC">
        <w:rPr>
          <w:b/>
          <w:sz w:val="28"/>
          <w:szCs w:val="28"/>
          <w:lang w:val="ro-RO"/>
        </w:rPr>
        <w:t>CERTIFICAT PENTRU AUTORIZAREA PRODUSULUI BIOCID</w:t>
      </w:r>
    </w:p>
    <w:p w:rsidR="00631E8B" w:rsidRPr="00631E8B" w:rsidRDefault="00631E8B" w:rsidP="00050C51">
      <w:pPr>
        <w:jc w:val="center"/>
        <w:rPr>
          <w:b/>
          <w:sz w:val="28"/>
          <w:szCs w:val="28"/>
          <w:lang w:val="pt-BR"/>
        </w:rPr>
      </w:pPr>
      <w:proofErr w:type="spellStart"/>
      <w:r w:rsidRPr="00631E8B">
        <w:rPr>
          <w:b/>
          <w:sz w:val="28"/>
          <w:szCs w:val="28"/>
        </w:rPr>
        <w:t>Nr</w:t>
      </w:r>
      <w:proofErr w:type="spellEnd"/>
      <w:r w:rsidRPr="00631E8B">
        <w:rPr>
          <w:b/>
          <w:sz w:val="28"/>
          <w:szCs w:val="28"/>
        </w:rPr>
        <w:t xml:space="preserve">. </w:t>
      </w:r>
      <w:r w:rsidR="009B471E">
        <w:rPr>
          <w:b/>
          <w:sz w:val="28"/>
          <w:szCs w:val="28"/>
          <w:lang w:val="it-IT"/>
        </w:rPr>
        <w:t>RO/</w:t>
      </w:r>
      <w:r w:rsidR="00A56AB3">
        <w:rPr>
          <w:b/>
          <w:sz w:val="28"/>
          <w:szCs w:val="28"/>
          <w:lang w:val="it-IT"/>
        </w:rPr>
        <w:t>2019</w:t>
      </w:r>
      <w:r w:rsidRPr="00665A11">
        <w:rPr>
          <w:b/>
          <w:sz w:val="28"/>
          <w:szCs w:val="28"/>
          <w:lang w:val="it-IT"/>
        </w:rPr>
        <w:t>/</w:t>
      </w:r>
      <w:r w:rsidR="00E255D8">
        <w:rPr>
          <w:b/>
          <w:sz w:val="28"/>
          <w:szCs w:val="28"/>
          <w:lang w:val="it-IT"/>
        </w:rPr>
        <w:t>0241</w:t>
      </w:r>
      <w:r w:rsidRPr="00631E8B">
        <w:rPr>
          <w:b/>
          <w:sz w:val="28"/>
          <w:szCs w:val="28"/>
          <w:lang w:val="it-IT"/>
        </w:rPr>
        <w:t>/MRA/</w:t>
      </w:r>
      <w:r w:rsidR="00146C23">
        <w:rPr>
          <w:b/>
          <w:sz w:val="28"/>
          <w:szCs w:val="28"/>
          <w:lang w:val="it-IT"/>
        </w:rPr>
        <w:t>IT/2017/00374</w:t>
      </w:r>
    </w:p>
    <w:p w:rsidR="00B66405" w:rsidRPr="007707AC" w:rsidRDefault="00B66405" w:rsidP="00050C51">
      <w:pPr>
        <w:jc w:val="center"/>
        <w:rPr>
          <w:sz w:val="28"/>
          <w:szCs w:val="28"/>
          <w:lang w:val="ro-RO"/>
        </w:rPr>
      </w:pPr>
    </w:p>
    <w:p w:rsidR="00B66405" w:rsidRDefault="00B66405" w:rsidP="00050C51">
      <w:pPr>
        <w:pStyle w:val="Default"/>
        <w:ind w:right="49" w:firstLine="567"/>
        <w:jc w:val="both"/>
        <w:rPr>
          <w:rFonts w:ascii="Times New Roman" w:hAnsi="Times New Roman" w:cs="Times New Roman"/>
          <w:lang w:val="ro-RO"/>
        </w:rPr>
      </w:pPr>
      <w:r w:rsidRPr="007707AC">
        <w:rPr>
          <w:rFonts w:ascii="Times New Roman" w:hAnsi="Times New Roman" w:cs="Times New Roman"/>
          <w:lang w:val="ro-RO"/>
        </w:rPr>
        <w:t xml:space="preserve">In conformitate cu prevederilor </w:t>
      </w:r>
      <w:r w:rsidRPr="007707AC">
        <w:rPr>
          <w:rFonts w:ascii="Times New Roman" w:hAnsi="Times New Roman" w:cs="Times New Roman"/>
          <w:bCs/>
          <w:lang w:val="ro-RO"/>
        </w:rPr>
        <w:t>REGULAMENTULUI (UE) NR. 528/2012 al Parlamentului European si al Consiliului privind punerea la dispozit</w:t>
      </w:r>
      <w:r w:rsidRPr="007707AC">
        <w:rPr>
          <w:rFonts w:ascii="Cambria Math" w:hAnsi="Cambria Math" w:cs="Cambria Math"/>
          <w:bCs/>
          <w:lang w:val="ro-RO"/>
        </w:rPr>
        <w:t>ț</w:t>
      </w:r>
      <w:r w:rsidRPr="007707AC">
        <w:rPr>
          <w:rFonts w:ascii="Times New Roman" w:hAnsi="Times New Roman" w:cs="Times New Roman"/>
          <w:bCs/>
          <w:lang w:val="ro-RO"/>
        </w:rPr>
        <w:t>ie pe pia</w:t>
      </w:r>
      <w:r w:rsidRPr="007707AC">
        <w:rPr>
          <w:rFonts w:ascii="Cambria Math" w:hAnsi="Cambria Math" w:cs="Cambria Math"/>
          <w:bCs/>
          <w:lang w:val="ro-RO"/>
        </w:rPr>
        <w:t>ț</w:t>
      </w:r>
      <w:r w:rsidRPr="007707AC">
        <w:rPr>
          <w:rFonts w:ascii="Times New Roman" w:hAnsi="Times New Roman" w:cs="Times New Roman"/>
          <w:bCs/>
          <w:lang w:val="ro-RO"/>
        </w:rPr>
        <w:t xml:space="preserve">ă </w:t>
      </w:r>
      <w:r w:rsidRPr="007707AC">
        <w:rPr>
          <w:rFonts w:ascii="Cambria Math" w:hAnsi="Cambria Math" w:cs="Cambria Math"/>
          <w:bCs/>
          <w:lang w:val="ro-RO"/>
        </w:rPr>
        <w:t>ș</w:t>
      </w:r>
      <w:r w:rsidRPr="007707AC">
        <w:rPr>
          <w:rFonts w:ascii="Times New Roman" w:hAnsi="Times New Roman" w:cs="Times New Roman"/>
          <w:bCs/>
          <w:lang w:val="ro-RO"/>
        </w:rPr>
        <w:t>i utilizarea produselor biocide</w:t>
      </w:r>
      <w:r w:rsidRPr="007707AC">
        <w:rPr>
          <w:rFonts w:ascii="Times New Roman" w:hAnsi="Times New Roman" w:cs="Times New Roman"/>
          <w:b/>
          <w:bCs/>
          <w:lang w:val="ro-RO"/>
        </w:rPr>
        <w:t xml:space="preserve"> </w:t>
      </w:r>
      <w:r w:rsidRPr="007707AC">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Pr="007707AC">
        <w:rPr>
          <w:rFonts w:ascii="Cambria Math" w:hAnsi="Cambria Math" w:cs="Cambria Math"/>
          <w:lang w:val="ro-RO"/>
        </w:rPr>
        <w:t>ț</w:t>
      </w:r>
      <w:r w:rsidRPr="007707AC">
        <w:rPr>
          <w:rFonts w:ascii="Times New Roman" w:hAnsi="Times New Roman" w:cs="Times New Roman"/>
          <w:lang w:val="ro-RO"/>
        </w:rPr>
        <w:t>ională pentru Produs</w:t>
      </w:r>
      <w:r w:rsidR="008272C5">
        <w:rPr>
          <w:rFonts w:ascii="Times New Roman" w:hAnsi="Times New Roman" w:cs="Times New Roman"/>
          <w:lang w:val="ro-RO"/>
        </w:rPr>
        <w:t>e Biocide, în şedinţa din data</w:t>
      </w:r>
      <w:r w:rsidR="00C15379">
        <w:rPr>
          <w:rFonts w:ascii="Times New Roman" w:hAnsi="Times New Roman" w:cs="Times New Roman"/>
          <w:lang w:val="ro-RO"/>
        </w:rPr>
        <w:t xml:space="preserve"> </w:t>
      </w:r>
      <w:r w:rsidR="00A56AB3">
        <w:rPr>
          <w:rFonts w:ascii="Times New Roman" w:hAnsi="Times New Roman" w:cs="Times New Roman"/>
          <w:color w:val="auto"/>
          <w:lang w:val="ro-RO"/>
        </w:rPr>
        <w:t>4.03.2019</w:t>
      </w:r>
      <w:r w:rsidRPr="00C15379">
        <w:rPr>
          <w:rFonts w:ascii="Times New Roman" w:hAnsi="Times New Roman" w:cs="Times New Roman"/>
          <w:color w:val="auto"/>
          <w:lang w:val="ro-RO"/>
        </w:rPr>
        <w:t xml:space="preserve">, </w:t>
      </w:r>
      <w:r w:rsidRPr="007707AC">
        <w:rPr>
          <w:rFonts w:ascii="Times New Roman" w:hAnsi="Times New Roman" w:cs="Times New Roman"/>
          <w:lang w:val="ro-RO"/>
        </w:rPr>
        <w:t>a decis că produsul biocid poate fi plasat pe piaţă în România, conform prevederilor legale în vigoare.</w:t>
      </w:r>
    </w:p>
    <w:p w:rsidR="00050C51" w:rsidRPr="007707AC" w:rsidRDefault="00050C51" w:rsidP="00050C51">
      <w:pPr>
        <w:pStyle w:val="Default"/>
        <w:ind w:right="49" w:firstLine="567"/>
        <w:jc w:val="both"/>
        <w:rPr>
          <w:rFonts w:ascii="Times New Roman" w:hAnsi="Times New Roman" w:cs="Times New Roman"/>
          <w:lang w:val="ro-RO"/>
        </w:rPr>
      </w:pPr>
    </w:p>
    <w:p w:rsidR="00B66405" w:rsidRPr="007707AC" w:rsidRDefault="00B66405" w:rsidP="00050C51">
      <w:pPr>
        <w:rPr>
          <w:b/>
          <w:lang w:val="ro-RO"/>
        </w:rPr>
      </w:pPr>
      <w:r w:rsidRPr="007707AC">
        <w:rPr>
          <w:b/>
          <w:lang w:val="ro-RO"/>
        </w:rPr>
        <w:t>I. TIPUL AUTORIZA</w:t>
      </w:r>
      <w:r w:rsidR="002D65DA" w:rsidRPr="007707AC">
        <w:rPr>
          <w:b/>
          <w:lang w:val="ro-RO"/>
        </w:rPr>
        <w:t>T</w:t>
      </w:r>
      <w:r w:rsidRPr="007707AC">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B66405" w:rsidRPr="007707AC" w:rsidRDefault="00B66405" w:rsidP="00050C51">
            <w:pPr>
              <w:rPr>
                <w:bCs/>
                <w:lang w:val="ro-RO"/>
              </w:rPr>
            </w:pPr>
            <w:r w:rsidRPr="007707AC">
              <w:rPr>
                <w:b/>
                <w:i/>
                <w:lang w:val="ro-RO"/>
              </w:rPr>
              <w:t>autorizaţia prin recunoaşterea reciprocă succesiva</w:t>
            </w:r>
            <w:r w:rsidRPr="007707AC">
              <w:rPr>
                <w:lang w:val="ro-RO"/>
              </w:rPr>
              <w:t xml:space="preserve"> eliberată în conformitate cu prevederile art. 33 din </w:t>
            </w:r>
            <w:r w:rsidRPr="007707AC">
              <w:rPr>
                <w:bCs/>
                <w:lang w:val="ro-RO"/>
              </w:rPr>
              <w:t>Regulamentul (UE) nr. 528/2012;</w:t>
            </w:r>
          </w:p>
          <w:p w:rsidR="00DA7192" w:rsidRPr="007707AC" w:rsidRDefault="002D65DA" w:rsidP="00050C51">
            <w:pPr>
              <w:numPr>
                <w:ilvl w:val="0"/>
                <w:numId w:val="1"/>
              </w:numPr>
              <w:rPr>
                <w:bCs/>
                <w:lang w:val="ro-RO"/>
              </w:rPr>
            </w:pPr>
            <w:r w:rsidRPr="007707AC">
              <w:rPr>
                <w:lang w:val="ro-RO"/>
              </w:rPr>
              <w:t>Statul membru al Uniunii Europene emitent :</w:t>
            </w:r>
            <w:r w:rsidR="00DA7192" w:rsidRPr="007707AC">
              <w:rPr>
                <w:bCs/>
                <w:lang w:val="pt-BR"/>
              </w:rPr>
              <w:t xml:space="preserve"> </w:t>
            </w:r>
            <w:r w:rsidR="00146C23">
              <w:rPr>
                <w:bCs/>
                <w:lang w:val="pt-BR"/>
              </w:rPr>
              <w:t xml:space="preserve">ITALIA </w:t>
            </w:r>
          </w:p>
          <w:p w:rsidR="00B66405" w:rsidRPr="009B471E" w:rsidRDefault="002D65DA" w:rsidP="00050C51">
            <w:pPr>
              <w:pStyle w:val="ListParagraph"/>
              <w:numPr>
                <w:ilvl w:val="0"/>
                <w:numId w:val="1"/>
              </w:numPr>
              <w:rPr>
                <w:b/>
                <w:lang w:val="pt-BR"/>
              </w:rPr>
            </w:pPr>
            <w:r w:rsidRPr="007707AC">
              <w:rPr>
                <w:lang w:val="ro-RO"/>
              </w:rPr>
              <w:t>Nr. Autoriza</w:t>
            </w:r>
            <w:r w:rsidRPr="007707AC">
              <w:rPr>
                <w:rFonts w:ascii="Cambria Math" w:hAnsi="Cambria Math" w:cs="Cambria Math"/>
                <w:lang w:val="ro-RO"/>
              </w:rPr>
              <w:t>ț</w:t>
            </w:r>
            <w:r w:rsidRPr="007707AC">
              <w:rPr>
                <w:lang w:val="ro-RO"/>
              </w:rPr>
              <w:t xml:space="preserve">iei din statul membru emitent </w:t>
            </w:r>
            <w:r w:rsidR="00DA7192" w:rsidRPr="007707AC">
              <w:rPr>
                <w:lang w:val="ro-RO"/>
              </w:rPr>
              <w:t xml:space="preserve">Nr. </w:t>
            </w:r>
            <w:r w:rsidR="00DA7192" w:rsidRPr="007707AC">
              <w:rPr>
                <w:b/>
                <w:lang w:val="pt-BR"/>
              </w:rPr>
              <w:t>:</w:t>
            </w:r>
            <w:r w:rsidR="009B471E">
              <w:rPr>
                <w:b/>
                <w:lang w:val="pt-BR"/>
              </w:rPr>
              <w:t xml:space="preserve"> </w:t>
            </w:r>
            <w:r w:rsidR="00146C23" w:rsidRPr="00146C23">
              <w:rPr>
                <w:b/>
                <w:lang w:val="it-IT"/>
              </w:rPr>
              <w:t>IT/2017/00374</w:t>
            </w:r>
          </w:p>
        </w:tc>
      </w:tr>
    </w:tbl>
    <w:p w:rsidR="00B66405" w:rsidRPr="007707AC" w:rsidRDefault="00B66405" w:rsidP="00050C51">
      <w:pPr>
        <w:rPr>
          <w:b/>
          <w:color w:val="000000"/>
          <w:lang w:val="ro-RO"/>
        </w:rPr>
      </w:pPr>
      <w:r w:rsidRPr="007707AC">
        <w:rPr>
          <w:b/>
          <w:color w:val="000000"/>
          <w:lang w:val="ro-RO"/>
        </w:rPr>
        <w:t>I</w:t>
      </w:r>
      <w:r w:rsidR="002D65DA" w:rsidRPr="007707AC">
        <w:rPr>
          <w:b/>
          <w:color w:val="000000"/>
          <w:lang w:val="ro-RO"/>
        </w:rPr>
        <w:t>I. Data emiterii autorizat</w:t>
      </w:r>
      <w:r w:rsidRPr="007707AC">
        <w:rPr>
          <w:b/>
          <w:color w:val="000000"/>
          <w:lang w:val="ro-RO"/>
        </w:rPr>
        <w:t>iei</w:t>
      </w:r>
      <w:r w:rsidR="00C43A97">
        <w:rPr>
          <w:b/>
          <w:color w:val="000000"/>
          <w:lang w:val="ro-RO"/>
        </w:rPr>
        <w:t xml:space="preserve">: </w:t>
      </w:r>
      <w:r w:rsidR="00E255D8">
        <w:rPr>
          <w:b/>
          <w:color w:val="000000"/>
          <w:lang w:val="ro-RO"/>
        </w:rPr>
        <w:t>22.04.2019</w:t>
      </w:r>
      <w:r w:rsidR="006B3A40">
        <w:rPr>
          <w:b/>
          <w:color w:val="000000"/>
          <w:lang w:val="ro-RO"/>
        </w:rPr>
        <w:t>, rescris in 11.06.2019</w:t>
      </w:r>
    </w:p>
    <w:p w:rsidR="00050C51" w:rsidRDefault="00B66405" w:rsidP="00050C51">
      <w:pPr>
        <w:rPr>
          <w:b/>
          <w:color w:val="000000"/>
          <w:lang w:val="it-IT"/>
        </w:rPr>
      </w:pPr>
      <w:r w:rsidRPr="007707AC">
        <w:rPr>
          <w:b/>
          <w:color w:val="000000"/>
          <w:lang w:val="ro-RO"/>
        </w:rPr>
        <w:t>III. Data expirării autoriza</w:t>
      </w:r>
      <w:r w:rsidR="00DA7192" w:rsidRPr="007707AC">
        <w:rPr>
          <w:b/>
          <w:color w:val="000000"/>
          <w:lang w:val="ro-RO"/>
        </w:rPr>
        <w:t>t</w:t>
      </w:r>
      <w:r w:rsidR="00146C23">
        <w:rPr>
          <w:b/>
          <w:color w:val="000000"/>
          <w:lang w:val="ro-RO"/>
        </w:rPr>
        <w:t>ie: 31.12.2022</w:t>
      </w:r>
      <w:r w:rsidR="00A64BFA">
        <w:rPr>
          <w:b/>
          <w:color w:val="000000"/>
          <w:lang w:val="it-IT"/>
        </w:rPr>
        <w:t xml:space="preserve">   </w:t>
      </w:r>
    </w:p>
    <w:p w:rsidR="00B66405" w:rsidRPr="007707AC" w:rsidRDefault="00A64BFA" w:rsidP="00050C51">
      <w:pPr>
        <w:rPr>
          <w:b/>
          <w:color w:val="000000"/>
          <w:lang w:val="ro-RO"/>
        </w:rPr>
      </w:pPr>
      <w:r>
        <w:rPr>
          <w:b/>
          <w:color w:val="000000"/>
          <w:lang w:val="it-IT"/>
        </w:rPr>
        <w:t xml:space="preserve">                                                                                                                                                                                                                                                                                                                                                                                                                                                </w:t>
      </w:r>
    </w:p>
    <w:p w:rsidR="00B66405" w:rsidRPr="00645617" w:rsidRDefault="00B66405" w:rsidP="00050C51">
      <w:pPr>
        <w:pStyle w:val="NoSpacing"/>
        <w:rPr>
          <w:b/>
          <w:color w:val="FF0000"/>
          <w:lang w:val="ro-RO"/>
        </w:rPr>
      </w:pPr>
      <w:r w:rsidRPr="007707AC">
        <w:rPr>
          <w:b/>
          <w:lang w:val="ro-RO"/>
        </w:rPr>
        <w:t>IV</w:t>
      </w:r>
      <w:r w:rsidRPr="007707AC">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B66405" w:rsidRDefault="00385365" w:rsidP="00050C51">
            <w:pPr>
              <w:pStyle w:val="NoSpacing"/>
              <w:rPr>
                <w:b/>
                <w:lang w:val="it-IT"/>
              </w:rPr>
            </w:pPr>
            <w:r w:rsidRPr="007707AC">
              <w:rPr>
                <w:b/>
                <w:lang w:val="ro-RO"/>
              </w:rPr>
              <w:t>DENUMIREA COMERCIALĂ A PRODUSULUI BIOCID</w:t>
            </w:r>
            <w:r w:rsidRPr="007707AC">
              <w:rPr>
                <w:b/>
                <w:lang w:val="it-IT"/>
              </w:rPr>
              <w:t xml:space="preserve"> : </w:t>
            </w:r>
            <w:r w:rsidR="00146C23">
              <w:rPr>
                <w:b/>
                <w:lang w:val="it-IT"/>
              </w:rPr>
              <w:t xml:space="preserve">MURIN PASTA DEFFEND </w:t>
            </w:r>
          </w:p>
          <w:p w:rsidR="006B3A40" w:rsidRPr="009A76C1" w:rsidRDefault="006B3A40" w:rsidP="00050C51">
            <w:pPr>
              <w:pStyle w:val="NoSpacing"/>
              <w:rPr>
                <w:b/>
                <w:lang w:val="it-IT"/>
              </w:rPr>
            </w:pPr>
            <w:r>
              <w:rPr>
                <w:b/>
                <w:lang w:val="it-IT"/>
              </w:rPr>
              <w:t>Alte denumiri comerciale: Vebitox Pasta Defend</w:t>
            </w:r>
          </w:p>
        </w:tc>
      </w:tr>
    </w:tbl>
    <w:p w:rsidR="00993707" w:rsidRDefault="00993707" w:rsidP="00050C51">
      <w:pPr>
        <w:pStyle w:val="Default"/>
        <w:rPr>
          <w:rFonts w:ascii="Times New Roman" w:hAnsi="Times New Roman" w:cs="Times New Roman"/>
          <w:b/>
          <w:lang w:val="ro-RO"/>
        </w:rPr>
      </w:pPr>
    </w:p>
    <w:p w:rsidR="00B66405" w:rsidRPr="007707AC" w:rsidRDefault="00B66405" w:rsidP="00050C51">
      <w:pPr>
        <w:pStyle w:val="Default"/>
        <w:rPr>
          <w:rFonts w:ascii="Times New Roman" w:hAnsi="Times New Roman" w:cs="Times New Roman"/>
          <w:b/>
          <w:lang w:val="ro-RO"/>
        </w:rPr>
      </w:pPr>
      <w:r w:rsidRPr="007707AC">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8D09E1">
        <w:trPr>
          <w:trHeight w:val="327"/>
        </w:trPr>
        <w:tc>
          <w:tcPr>
            <w:tcW w:w="9923" w:type="dxa"/>
          </w:tcPr>
          <w:p w:rsidR="00146C23" w:rsidRPr="00DE67DB" w:rsidRDefault="00B66405" w:rsidP="00050C51">
            <w:pPr>
              <w:rPr>
                <w:lang w:val="ro-RO"/>
              </w:rPr>
            </w:pPr>
            <w:r w:rsidRPr="007707AC">
              <w:rPr>
                <w:b/>
                <w:lang w:val="ro-RO"/>
              </w:rPr>
              <w:t>NUMELE TITULARULUI AUTORIZA</w:t>
            </w:r>
            <w:r w:rsidR="002D65DA" w:rsidRPr="007707AC">
              <w:rPr>
                <w:b/>
                <w:lang w:val="ro-RO"/>
              </w:rPr>
              <w:t>T</w:t>
            </w:r>
            <w:r w:rsidRPr="007707AC">
              <w:rPr>
                <w:b/>
                <w:lang w:val="ro-RO"/>
              </w:rPr>
              <w:t>IEI</w:t>
            </w:r>
            <w:r w:rsidRPr="007707AC">
              <w:rPr>
                <w:lang w:val="ro-RO"/>
              </w:rPr>
              <w:t xml:space="preserve"> </w:t>
            </w:r>
            <w:r w:rsidR="00CE732B">
              <w:rPr>
                <w:lang w:val="ro-RO"/>
              </w:rPr>
              <w:t xml:space="preserve">: </w:t>
            </w:r>
            <w:r w:rsidR="00146C23">
              <w:rPr>
                <w:lang w:val="ro-RO"/>
              </w:rPr>
              <w:t>VEBI  INSTITUTO  BIOCHIMICO S.r.l.</w:t>
            </w:r>
          </w:p>
          <w:p w:rsidR="00A56AB3" w:rsidRPr="00DE67DB" w:rsidRDefault="00146C23" w:rsidP="00050C51">
            <w:pPr>
              <w:rPr>
                <w:lang w:val="ro-RO"/>
              </w:rPr>
            </w:pPr>
            <w:r>
              <w:rPr>
                <w:lang w:val="ro-RO"/>
              </w:rPr>
              <w:t>Adresa : Via Desman 43 35010 Borgoricco (PD)</w:t>
            </w:r>
          </w:p>
        </w:tc>
      </w:tr>
    </w:tbl>
    <w:p w:rsidR="00B66405" w:rsidRPr="007707AC" w:rsidRDefault="00B66405" w:rsidP="00050C51">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A3624">
        <w:trPr>
          <w:trHeight w:val="323"/>
        </w:trPr>
        <w:tc>
          <w:tcPr>
            <w:tcW w:w="9923" w:type="dxa"/>
          </w:tcPr>
          <w:p w:rsidR="00146C23" w:rsidRPr="00146C23" w:rsidRDefault="00385365" w:rsidP="00050C51">
            <w:pPr>
              <w:rPr>
                <w:rFonts w:ascii="TimesNewRomanPSMT" w:eastAsiaTheme="minorHAnsi" w:hAnsi="TimesNewRomanPSMT" w:cs="TimesNewRomanPSMT"/>
                <w:lang w:val="ro-RO"/>
              </w:rPr>
            </w:pPr>
            <w:r w:rsidRPr="007707AC">
              <w:rPr>
                <w:b/>
                <w:lang w:val="ro-RO"/>
              </w:rPr>
              <w:t>NUMELE TITULARULUI AUTORIZATIEI</w:t>
            </w:r>
            <w:r w:rsidRPr="007707AC">
              <w:rPr>
                <w:lang w:val="ro-RO"/>
              </w:rPr>
              <w:t xml:space="preserve"> recunoscută reciproc:</w:t>
            </w:r>
            <w:r w:rsidR="00834908" w:rsidRPr="00834908">
              <w:rPr>
                <w:rFonts w:ascii="TimesNewRomanPSMT" w:eastAsiaTheme="minorHAnsi" w:hAnsi="TimesNewRomanPSMT" w:cs="TimesNewRomanPSMT"/>
                <w:sz w:val="20"/>
                <w:szCs w:val="20"/>
              </w:rPr>
              <w:t xml:space="preserve"> </w:t>
            </w:r>
            <w:r w:rsidR="006C0566">
              <w:rPr>
                <w:rFonts w:ascii="TimesNewRomanPSMT" w:eastAsiaTheme="minorHAnsi" w:hAnsi="TimesNewRomanPSMT" w:cs="TimesNewRomanPSMT"/>
                <w:lang w:val="ro-RO"/>
              </w:rPr>
              <w:t>VEBI  INSTI</w:t>
            </w:r>
            <w:r w:rsidR="00146C23" w:rsidRPr="00146C23">
              <w:rPr>
                <w:rFonts w:ascii="TimesNewRomanPSMT" w:eastAsiaTheme="minorHAnsi" w:hAnsi="TimesNewRomanPSMT" w:cs="TimesNewRomanPSMT"/>
                <w:lang w:val="ro-RO"/>
              </w:rPr>
              <w:t>TUTO  BIOCHIMICO S.r.l.</w:t>
            </w:r>
          </w:p>
          <w:p w:rsidR="006A3624" w:rsidRPr="007707AC" w:rsidRDefault="00146C23" w:rsidP="00050C51">
            <w:pPr>
              <w:rPr>
                <w:lang w:val="ro-RO"/>
              </w:rPr>
            </w:pPr>
            <w:r w:rsidRPr="00146C23">
              <w:rPr>
                <w:rFonts w:ascii="TimesNewRomanPSMT" w:eastAsiaTheme="minorHAnsi" w:hAnsi="TimesNewRomanPSMT" w:cs="TimesNewRomanPSMT"/>
                <w:lang w:val="ro-RO"/>
              </w:rPr>
              <w:t>Adresa : Via Desman 43 35010 Borgoricco (PD)</w:t>
            </w:r>
          </w:p>
        </w:tc>
      </w:tr>
    </w:tbl>
    <w:p w:rsidR="00B66405" w:rsidRPr="00E061E6" w:rsidRDefault="00B66405" w:rsidP="00050C51">
      <w:pPr>
        <w:rPr>
          <w:color w:val="000000"/>
          <w:sz w:val="1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146C23" w:rsidRPr="00146C23" w:rsidRDefault="00385365" w:rsidP="00050C51">
            <w:pPr>
              <w:rPr>
                <w:lang w:val="ro-RO"/>
              </w:rPr>
            </w:pPr>
            <w:r w:rsidRPr="007707AC">
              <w:rPr>
                <w:b/>
                <w:lang w:val="ro-RO"/>
              </w:rPr>
              <w:t>NUMELE FABRICANTULUI  PRODUSULUI BIOCID</w:t>
            </w:r>
            <w:r w:rsidRPr="007707AC">
              <w:rPr>
                <w:lang w:val="ro-RO"/>
              </w:rPr>
              <w:t xml:space="preserve"> : </w:t>
            </w:r>
            <w:r w:rsidR="006C0566">
              <w:rPr>
                <w:lang w:val="ro-RO"/>
              </w:rPr>
              <w:t>VEBI  INSTI</w:t>
            </w:r>
            <w:r w:rsidR="00146C23" w:rsidRPr="00146C23">
              <w:rPr>
                <w:lang w:val="ro-RO"/>
              </w:rPr>
              <w:t>TUTO  BIOCHIMICO S.r.l.</w:t>
            </w:r>
          </w:p>
          <w:p w:rsidR="00146C23" w:rsidRPr="00146C23" w:rsidRDefault="00146C23" w:rsidP="00050C51">
            <w:pPr>
              <w:rPr>
                <w:lang w:val="ro-RO"/>
              </w:rPr>
            </w:pPr>
            <w:r w:rsidRPr="00146C23">
              <w:rPr>
                <w:lang w:val="ro-RO"/>
              </w:rPr>
              <w:t>Adresa : Via Desman 43 35010 Borgoricco (PD)</w:t>
            </w:r>
          </w:p>
          <w:p w:rsidR="009172F1" w:rsidRPr="009172F1" w:rsidRDefault="00146C23" w:rsidP="00050C51">
            <w:pPr>
              <w:rPr>
                <w:lang w:val="ro-RO"/>
              </w:rPr>
            </w:pPr>
            <w:r w:rsidRPr="00146C23">
              <w:rPr>
                <w:lang w:val="ro-RO"/>
              </w:rPr>
              <w:t>Loc de productie : Via Desman 43 35010 Borgoricco (PD)</w:t>
            </w:r>
          </w:p>
        </w:tc>
      </w:tr>
    </w:tbl>
    <w:p w:rsidR="007A05A1" w:rsidRPr="00E061E6" w:rsidRDefault="007A05A1" w:rsidP="00050C51">
      <w:pPr>
        <w:pStyle w:val="CM4"/>
        <w:rPr>
          <w:rFonts w:ascii="Times New Roman" w:hAnsi="Times New Roman"/>
          <w:color w:val="000000"/>
          <w:sz w:val="1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146C23" w:rsidRPr="00DE1A54" w:rsidRDefault="00385365" w:rsidP="00050C51">
            <w:r w:rsidRPr="007707AC">
              <w:rPr>
                <w:b/>
                <w:lang w:val="ro-RO"/>
              </w:rPr>
              <w:t>NUMELE FABRICANTULUI  SUBSTANTEI ACTIVE</w:t>
            </w:r>
            <w:r w:rsidR="00470AE5">
              <w:rPr>
                <w:b/>
                <w:lang w:val="ro-RO"/>
              </w:rPr>
              <w:t xml:space="preserve">MP </w:t>
            </w:r>
            <w:r w:rsidR="00146C23">
              <w:rPr>
                <w:lang w:val="ro-RO"/>
              </w:rPr>
              <w:t>AVTIVA SRL/Dr. Tezza srl</w:t>
            </w:r>
          </w:p>
          <w:p w:rsidR="00DE1A54" w:rsidRDefault="00146C23" w:rsidP="00050C51">
            <w:proofErr w:type="spellStart"/>
            <w:r>
              <w:t>Adresa</w:t>
            </w:r>
            <w:proofErr w:type="spellEnd"/>
            <w:r>
              <w:t xml:space="preserve"> : Via Feltre 32, 20132, Milano</w:t>
            </w:r>
          </w:p>
          <w:p w:rsidR="00146C23" w:rsidRPr="00DE1A54" w:rsidRDefault="00146C23" w:rsidP="00050C51">
            <w:proofErr w:type="spellStart"/>
            <w:r>
              <w:t>Loc</w:t>
            </w:r>
            <w:proofErr w:type="spellEnd"/>
            <w:r>
              <w:t xml:space="preserve"> de </w:t>
            </w:r>
            <w:proofErr w:type="spellStart"/>
            <w:r>
              <w:t>productie</w:t>
            </w:r>
            <w:proofErr w:type="spellEnd"/>
            <w:r>
              <w:t xml:space="preserve"> : </w:t>
            </w:r>
            <w:r w:rsidRPr="00146C23">
              <w:t>Via Feltre 32, 20132, Milano</w:t>
            </w:r>
          </w:p>
        </w:tc>
      </w:tr>
    </w:tbl>
    <w:p w:rsidR="00F20DAC" w:rsidRPr="006B3A40" w:rsidRDefault="00F20DAC" w:rsidP="00050C51">
      <w:pPr>
        <w:pStyle w:val="Default"/>
        <w:rPr>
          <w:sz w:val="18"/>
          <w:lang w:val="ro-RO"/>
        </w:rPr>
      </w:pPr>
    </w:p>
    <w:p w:rsidR="003B38F7" w:rsidRPr="00AB2496" w:rsidRDefault="003B38F7" w:rsidP="00050C51">
      <w:pPr>
        <w:pStyle w:val="NoSpacing"/>
        <w:rPr>
          <w:b/>
          <w:lang w:val="ro-RO"/>
        </w:rPr>
      </w:pPr>
      <w:r w:rsidRPr="00AB2496">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B38F7" w:rsidRPr="007707AC" w:rsidTr="00266D58">
        <w:tc>
          <w:tcPr>
            <w:tcW w:w="9923" w:type="dxa"/>
          </w:tcPr>
          <w:p w:rsidR="003B38F7" w:rsidRPr="007707AC" w:rsidRDefault="003B38F7" w:rsidP="00050C51">
            <w:pPr>
              <w:pStyle w:val="NoSpacing"/>
              <w:rPr>
                <w:lang w:val="ro-RO"/>
              </w:rPr>
            </w:pPr>
            <w:r w:rsidRPr="00AB2496">
              <w:rPr>
                <w:b/>
                <w:lang w:val="ro-RO"/>
              </w:rPr>
              <w:t>TIPUL DE PRODUS</w:t>
            </w:r>
            <w:r>
              <w:rPr>
                <w:lang w:val="ro-RO"/>
              </w:rPr>
              <w:t> </w:t>
            </w:r>
            <w:r>
              <w:rPr>
                <w:lang w:val="fr-FR"/>
              </w:rPr>
              <w:t>:</w:t>
            </w:r>
            <w:r w:rsidR="00DC79DE">
              <w:t xml:space="preserve"> </w:t>
            </w:r>
            <w:r>
              <w:t>TP 14 Rodenticide</w:t>
            </w:r>
          </w:p>
        </w:tc>
      </w:tr>
    </w:tbl>
    <w:p w:rsidR="00B66405" w:rsidRPr="00D97D9A" w:rsidRDefault="00AB2496" w:rsidP="00050C51">
      <w:pPr>
        <w:pStyle w:val="Default"/>
        <w:rPr>
          <w:rFonts w:ascii="Times New Roman" w:hAnsi="Times New Roman" w:cs="Times New Roman"/>
          <w:b/>
          <w:lang w:val="ro-RO"/>
        </w:rPr>
      </w:pPr>
      <w:r w:rsidRPr="00D97D9A">
        <w:rPr>
          <w:rFonts w:ascii="Times New Roman" w:hAnsi="Times New Roman" w:cs="Times New Roman"/>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97D9A" w:rsidTr="006B235A">
        <w:tc>
          <w:tcPr>
            <w:tcW w:w="9923" w:type="dxa"/>
          </w:tcPr>
          <w:p w:rsidR="00A76929" w:rsidRPr="00D97D9A" w:rsidRDefault="00467F1E" w:rsidP="00050C51">
            <w:pPr>
              <w:rPr>
                <w:rFonts w:eastAsiaTheme="minorHAnsi"/>
                <w:lang w:val="it-IT"/>
              </w:rPr>
            </w:pPr>
            <w:r w:rsidRPr="00D97D9A">
              <w:rPr>
                <w:b/>
                <w:lang w:val="ro-RO"/>
              </w:rPr>
              <w:t>CATEGORIILE DE UTILIZATORI</w:t>
            </w:r>
            <w:r w:rsidRPr="00D97D9A">
              <w:rPr>
                <w:lang w:val="ro-RO"/>
              </w:rPr>
              <w:t xml:space="preserve"> </w:t>
            </w:r>
            <w:r w:rsidR="00AF0C71" w:rsidRPr="00D97D9A">
              <w:rPr>
                <w:lang w:val="ro-RO"/>
              </w:rPr>
              <w:t>:</w:t>
            </w:r>
            <w:r w:rsidR="005B7030" w:rsidRPr="00D97D9A">
              <w:rPr>
                <w:rFonts w:eastAsiaTheme="minorHAnsi"/>
              </w:rPr>
              <w:t xml:space="preserve"> </w:t>
            </w:r>
            <w:r w:rsidR="00A76929" w:rsidRPr="00D97D9A">
              <w:rPr>
                <w:rFonts w:eastAsiaTheme="minorHAnsi"/>
                <w:lang w:val="it-IT"/>
              </w:rPr>
              <w:t xml:space="preserve">Public general (non-profesionişti); profesionisti </w:t>
            </w:r>
          </w:p>
          <w:p w:rsidR="00B66405" w:rsidRPr="00D97D9A" w:rsidRDefault="00A76929" w:rsidP="00050C51">
            <w:pPr>
              <w:rPr>
                <w:rFonts w:eastAsiaTheme="minorHAnsi"/>
                <w:lang w:val="it-IT"/>
              </w:rPr>
            </w:pPr>
            <w:r w:rsidRPr="00D97D9A">
              <w:rPr>
                <w:rFonts w:eastAsiaTheme="minorHAnsi"/>
                <w:lang w:val="it-IT"/>
              </w:rPr>
              <w:t>profesionisti instruiţi</w:t>
            </w:r>
          </w:p>
        </w:tc>
      </w:tr>
    </w:tbl>
    <w:p w:rsidR="00FF3D0E" w:rsidRPr="006B3A40" w:rsidRDefault="00FF3D0E" w:rsidP="00050C51">
      <w:pPr>
        <w:pStyle w:val="Default"/>
        <w:rPr>
          <w:rFonts w:ascii="Times New Roman" w:hAnsi="Times New Roman" w:cs="Times New Roman"/>
          <w:b/>
          <w:sz w:val="36"/>
          <w:lang w:val="ro-RO"/>
        </w:rPr>
      </w:pPr>
    </w:p>
    <w:p w:rsidR="00B66405" w:rsidRPr="00D97D9A" w:rsidRDefault="00AB2496" w:rsidP="00050C51">
      <w:pPr>
        <w:pStyle w:val="Default"/>
        <w:rPr>
          <w:rFonts w:ascii="Times New Roman" w:hAnsi="Times New Roman" w:cs="Times New Roman"/>
          <w:b/>
          <w:lang w:val="ro-RO"/>
        </w:rPr>
      </w:pPr>
      <w:r w:rsidRPr="00D97D9A">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97D9A" w:rsidTr="00AB2496">
        <w:trPr>
          <w:trHeight w:val="188"/>
        </w:trPr>
        <w:tc>
          <w:tcPr>
            <w:tcW w:w="9923" w:type="dxa"/>
          </w:tcPr>
          <w:p w:rsidR="00D27580" w:rsidRPr="00D97D9A" w:rsidRDefault="00467F1E" w:rsidP="00D97D9A">
            <w:pPr>
              <w:pStyle w:val="NoSpacing"/>
              <w:rPr>
                <w:lang w:val="it-IT"/>
              </w:rPr>
            </w:pPr>
            <w:r w:rsidRPr="00D97D9A">
              <w:rPr>
                <w:b/>
                <w:lang w:val="ro-RO"/>
              </w:rPr>
              <w:t>TIPUL PREPARATULUI</w:t>
            </w:r>
            <w:r w:rsidR="00816917" w:rsidRPr="00D97D9A">
              <w:rPr>
                <w:b/>
                <w:lang w:val="ro-RO"/>
              </w:rPr>
              <w:t>:</w:t>
            </w:r>
            <w:r w:rsidR="00816917" w:rsidRPr="00D97D9A">
              <w:rPr>
                <w:lang w:val="it-IT"/>
              </w:rPr>
              <w:t xml:space="preserve"> </w:t>
            </w:r>
            <w:proofErr w:type="spellStart"/>
            <w:r w:rsidR="00E7607D" w:rsidRPr="00D97D9A">
              <w:t>Produsul</w:t>
            </w:r>
            <w:proofErr w:type="spellEnd"/>
            <w:r w:rsidR="00E7607D" w:rsidRPr="00D97D9A">
              <w:t xml:space="preserve"> </w:t>
            </w:r>
            <w:proofErr w:type="spellStart"/>
            <w:r w:rsidR="00E7607D" w:rsidRPr="00D97D9A">
              <w:t>constă</w:t>
            </w:r>
            <w:proofErr w:type="spellEnd"/>
            <w:r w:rsidR="00E7607D" w:rsidRPr="00D97D9A">
              <w:t xml:space="preserve"> </w:t>
            </w:r>
            <w:proofErr w:type="spellStart"/>
            <w:r w:rsidR="00E7607D" w:rsidRPr="00D97D9A">
              <w:t>în</w:t>
            </w:r>
            <w:proofErr w:type="spellEnd"/>
            <w:r w:rsidR="00E7607D" w:rsidRPr="00D97D9A">
              <w:t xml:space="preserve"> </w:t>
            </w:r>
            <w:proofErr w:type="spellStart"/>
            <w:r w:rsidR="00E7607D" w:rsidRPr="00D97D9A">
              <w:t>momeală</w:t>
            </w:r>
            <w:proofErr w:type="spellEnd"/>
            <w:r w:rsidR="00E7607D" w:rsidRPr="00D97D9A">
              <w:t xml:space="preserve"> </w:t>
            </w:r>
            <w:proofErr w:type="spellStart"/>
            <w:r w:rsidR="00E7607D" w:rsidRPr="00D97D9A">
              <w:t>rodenticidă</w:t>
            </w:r>
            <w:proofErr w:type="spellEnd"/>
            <w:r w:rsidR="00E7607D" w:rsidRPr="00D97D9A">
              <w:t xml:space="preserve"> sub </w:t>
            </w:r>
            <w:proofErr w:type="spellStart"/>
            <w:r w:rsidR="00E7607D" w:rsidRPr="00D97D9A">
              <w:t>formă</w:t>
            </w:r>
            <w:proofErr w:type="spellEnd"/>
            <w:r w:rsidR="00E7607D" w:rsidRPr="00D97D9A">
              <w:t xml:space="preserve"> de </w:t>
            </w:r>
            <w:proofErr w:type="spellStart"/>
            <w:r w:rsidR="00E7607D" w:rsidRPr="00D97D9A">
              <w:t>pastă</w:t>
            </w:r>
            <w:proofErr w:type="spellEnd"/>
            <w:r w:rsidR="00E7607D" w:rsidRPr="00D97D9A">
              <w:t xml:space="preserve"> </w:t>
            </w:r>
            <w:proofErr w:type="spellStart"/>
            <w:r w:rsidR="00E7607D" w:rsidRPr="00D97D9A">
              <w:t>proaspătă</w:t>
            </w:r>
            <w:proofErr w:type="spellEnd"/>
            <w:r w:rsidR="00E7607D" w:rsidRPr="00D97D9A">
              <w:t xml:space="preserve">  </w:t>
            </w:r>
            <w:proofErr w:type="spellStart"/>
            <w:r w:rsidR="00E7607D" w:rsidRPr="00D97D9A">
              <w:t>gata</w:t>
            </w:r>
            <w:proofErr w:type="spellEnd"/>
            <w:r w:rsidR="00E7607D" w:rsidRPr="00D97D9A">
              <w:t xml:space="preserve"> de </w:t>
            </w:r>
            <w:proofErr w:type="spellStart"/>
            <w:r w:rsidR="00E7607D" w:rsidRPr="00D97D9A">
              <w:t>utilizare</w:t>
            </w:r>
            <w:proofErr w:type="spellEnd"/>
            <w:r w:rsidR="00E7607D" w:rsidRPr="00D97D9A">
              <w:t xml:space="preserve"> </w:t>
            </w:r>
            <w:proofErr w:type="spellStart"/>
            <w:r w:rsidR="00E7607D" w:rsidRPr="00D97D9A">
              <w:t>pentru</w:t>
            </w:r>
            <w:proofErr w:type="spellEnd"/>
            <w:r w:rsidR="00E7607D" w:rsidRPr="00D97D9A">
              <w:t xml:space="preserve"> </w:t>
            </w:r>
            <w:proofErr w:type="spellStart"/>
            <w:r w:rsidR="00E7607D" w:rsidRPr="00D97D9A">
              <w:t>combaterea</w:t>
            </w:r>
            <w:proofErr w:type="spellEnd"/>
            <w:r w:rsidR="00E7607D" w:rsidRPr="00D97D9A">
              <w:t xml:space="preserve"> </w:t>
            </w:r>
            <w:proofErr w:type="spellStart"/>
            <w:r w:rsidR="00E7607D" w:rsidRPr="00D97D9A">
              <w:t>i</w:t>
            </w:r>
            <w:r w:rsidR="00D97D9A">
              <w:t>nfestării</w:t>
            </w:r>
            <w:proofErr w:type="spellEnd"/>
            <w:r w:rsidR="00D97D9A">
              <w:t xml:space="preserve"> cu  </w:t>
            </w:r>
            <w:proofErr w:type="spellStart"/>
            <w:r w:rsidR="00D97D9A">
              <w:t>şoarece</w:t>
            </w:r>
            <w:proofErr w:type="spellEnd"/>
            <w:r w:rsidR="00D97D9A">
              <w:t xml:space="preserve"> de </w:t>
            </w:r>
            <w:proofErr w:type="spellStart"/>
            <w:r w:rsidR="00D97D9A">
              <w:t>casă</w:t>
            </w:r>
            <w:proofErr w:type="spellEnd"/>
            <w:r w:rsidR="00D97D9A">
              <w:t xml:space="preserve"> (</w:t>
            </w:r>
            <w:r w:rsidR="00E7607D" w:rsidRPr="00D97D9A">
              <w:rPr>
                <w:i/>
              </w:rPr>
              <w:t xml:space="preserve">Mus </w:t>
            </w:r>
            <w:proofErr w:type="spellStart"/>
            <w:r w:rsidR="00E7607D" w:rsidRPr="00D97D9A">
              <w:rPr>
                <w:i/>
              </w:rPr>
              <w:t>musculus</w:t>
            </w:r>
            <w:proofErr w:type="spellEnd"/>
            <w:r w:rsidR="00D97D9A">
              <w:t>)</w:t>
            </w:r>
            <w:r w:rsidR="00E7607D" w:rsidRPr="00D97D9A">
              <w:t xml:space="preserve">, </w:t>
            </w:r>
            <w:proofErr w:type="spellStart"/>
            <w:r w:rsidR="00E7607D" w:rsidRPr="00D97D9A">
              <w:t>şobolan</w:t>
            </w:r>
            <w:proofErr w:type="spellEnd"/>
            <w:r w:rsidR="00E7607D" w:rsidRPr="00D97D9A">
              <w:t xml:space="preserve"> </w:t>
            </w:r>
            <w:proofErr w:type="spellStart"/>
            <w:r w:rsidR="00E7607D" w:rsidRPr="00D97D9A">
              <w:t>cenuşiu</w:t>
            </w:r>
            <w:proofErr w:type="spellEnd"/>
            <w:r w:rsidR="00E7607D" w:rsidRPr="00D97D9A">
              <w:t xml:space="preserve"> (</w:t>
            </w:r>
            <w:proofErr w:type="spellStart"/>
            <w:r w:rsidR="00E7607D" w:rsidRPr="00D97D9A">
              <w:rPr>
                <w:i/>
              </w:rPr>
              <w:t>Rattus</w:t>
            </w:r>
            <w:proofErr w:type="spellEnd"/>
            <w:r w:rsidR="00E7607D" w:rsidRPr="00D97D9A">
              <w:rPr>
                <w:i/>
              </w:rPr>
              <w:t xml:space="preserve"> </w:t>
            </w:r>
            <w:proofErr w:type="spellStart"/>
            <w:r w:rsidR="00E7607D" w:rsidRPr="00D97D9A">
              <w:rPr>
                <w:i/>
              </w:rPr>
              <w:t>norvegicus</w:t>
            </w:r>
            <w:proofErr w:type="spellEnd"/>
            <w:r w:rsidR="00E7607D" w:rsidRPr="00D97D9A">
              <w:t xml:space="preserve">) </w:t>
            </w:r>
            <w:proofErr w:type="spellStart"/>
            <w:r w:rsidR="00E7607D" w:rsidRPr="00D97D9A">
              <w:t>în</w:t>
            </w:r>
            <w:proofErr w:type="spellEnd"/>
            <w:r w:rsidR="00E7607D" w:rsidRPr="00D97D9A">
              <w:t xml:space="preserve"> </w:t>
            </w:r>
            <w:proofErr w:type="spellStart"/>
            <w:r w:rsidR="00E7607D" w:rsidRPr="00D97D9A">
              <w:t>interiorul</w:t>
            </w:r>
            <w:proofErr w:type="spellEnd"/>
            <w:r w:rsidR="00E7607D" w:rsidRPr="00D97D9A">
              <w:t xml:space="preserve"> </w:t>
            </w:r>
            <w:proofErr w:type="spellStart"/>
            <w:r w:rsidR="00E7607D" w:rsidRPr="00D97D9A">
              <w:t>şi</w:t>
            </w:r>
            <w:proofErr w:type="spellEnd"/>
            <w:r w:rsidR="00E7607D" w:rsidRPr="00D97D9A">
              <w:t xml:space="preserve"> </w:t>
            </w:r>
            <w:proofErr w:type="spellStart"/>
            <w:r w:rsidR="00E7607D" w:rsidRPr="00D97D9A">
              <w:t>în</w:t>
            </w:r>
            <w:proofErr w:type="spellEnd"/>
            <w:r w:rsidR="00E7607D" w:rsidRPr="00D97D9A">
              <w:t xml:space="preserve"> </w:t>
            </w:r>
            <w:proofErr w:type="spellStart"/>
            <w:r w:rsidR="00E7607D" w:rsidRPr="00D97D9A">
              <w:t>jurul</w:t>
            </w:r>
            <w:proofErr w:type="spellEnd"/>
            <w:r w:rsidR="00E7607D" w:rsidRPr="00D97D9A">
              <w:t xml:space="preserve"> </w:t>
            </w:r>
            <w:proofErr w:type="spellStart"/>
            <w:r w:rsidR="00E7607D" w:rsidRPr="00D97D9A">
              <w:t>clădirilor</w:t>
            </w:r>
            <w:proofErr w:type="spellEnd"/>
            <w:r w:rsidR="00E7607D" w:rsidRPr="00D97D9A">
              <w:t xml:space="preserve">. </w:t>
            </w:r>
          </w:p>
        </w:tc>
      </w:tr>
    </w:tbl>
    <w:p w:rsidR="00FF3D0E" w:rsidRPr="006B3A40" w:rsidRDefault="00FF3D0E" w:rsidP="00050C51">
      <w:pPr>
        <w:pStyle w:val="NoSpacing"/>
        <w:rPr>
          <w:b/>
          <w:sz w:val="36"/>
          <w:lang w:val="ro-RO"/>
        </w:rPr>
      </w:pPr>
    </w:p>
    <w:p w:rsidR="00B66405" w:rsidRPr="00D97D9A" w:rsidRDefault="00B66405" w:rsidP="00050C51">
      <w:pPr>
        <w:pStyle w:val="NoSpacing"/>
        <w:rPr>
          <w:b/>
          <w:lang w:val="ro-RO"/>
        </w:rPr>
      </w:pPr>
      <w:r w:rsidRPr="00D97D9A">
        <w:rPr>
          <w:b/>
          <w:lang w:val="ro-RO"/>
        </w:rPr>
        <w:t>IX</w:t>
      </w:r>
      <w:r w:rsidR="00203F73" w:rsidRPr="00D97D9A">
        <w:rPr>
          <w:b/>
          <w:lang w:val="ro-RO"/>
        </w:rPr>
        <w:t>.</w:t>
      </w:r>
      <w:r w:rsidRPr="00D97D9A">
        <w:rPr>
          <w:b/>
          <w:lang w:val="ro-RO"/>
        </w:rPr>
        <w:t xml:space="preserve"> </w:t>
      </w:r>
      <w:r w:rsidR="00774E2B" w:rsidRPr="00D97D9A">
        <w:rPr>
          <w:b/>
          <w:lang w:val="ro-RO"/>
        </w:rPr>
        <w:t xml:space="preserve">COMPOZITIA CALITATIVĂ </w:t>
      </w:r>
      <w:r w:rsidR="00C43A97" w:rsidRPr="00D97D9A">
        <w:rPr>
          <w:b/>
          <w:lang w:val="ro-RO"/>
        </w:rPr>
        <w:t xml:space="preserve">SI CANTITATIVĂ </w:t>
      </w:r>
    </w:p>
    <w:p w:rsidR="00B66405" w:rsidRPr="00D97D9A" w:rsidRDefault="00B66405" w:rsidP="00050C51">
      <w:pPr>
        <w:pStyle w:val="NoSpacing"/>
        <w:numPr>
          <w:ilvl w:val="0"/>
          <w:numId w:val="33"/>
        </w:numPr>
        <w:rPr>
          <w:b/>
          <w:i/>
          <w:lang w:val="ro-RO"/>
        </w:rPr>
      </w:pPr>
      <w:r w:rsidRPr="00D97D9A">
        <w:rPr>
          <w:b/>
          <w:lang w:val="ro-RO"/>
        </w:rPr>
        <w:t>Substan</w:t>
      </w:r>
      <w:r w:rsidR="00D27580" w:rsidRPr="00D97D9A">
        <w:rPr>
          <w:b/>
          <w:lang w:val="ro-RO"/>
        </w:rPr>
        <w:t>t</w:t>
      </w:r>
      <w:r w:rsidR="005D143E" w:rsidRPr="00D97D9A">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EB3264" w:rsidRPr="00D97D9A" w:rsidTr="00C93D17">
        <w:tc>
          <w:tcPr>
            <w:tcW w:w="2977" w:type="dxa"/>
            <w:shd w:val="clear" w:color="auto" w:fill="auto"/>
          </w:tcPr>
          <w:p w:rsidR="00EB3264" w:rsidRPr="00D97D9A" w:rsidRDefault="00EB3264" w:rsidP="00050C51">
            <w:pPr>
              <w:rPr>
                <w:lang w:val="ro-RO"/>
              </w:rPr>
            </w:pPr>
            <w:r w:rsidRPr="00D97D9A">
              <w:rPr>
                <w:lang w:val="ro-RO"/>
              </w:rPr>
              <w:t>Denumirea comună</w:t>
            </w:r>
          </w:p>
        </w:tc>
        <w:tc>
          <w:tcPr>
            <w:tcW w:w="6946" w:type="dxa"/>
            <w:shd w:val="clear" w:color="auto" w:fill="auto"/>
          </w:tcPr>
          <w:p w:rsidR="00EB3264" w:rsidRPr="00D97D9A" w:rsidRDefault="00EB3264" w:rsidP="00050C51">
            <w:pPr>
              <w:rPr>
                <w:lang w:val="ro-RO"/>
              </w:rPr>
            </w:pPr>
            <w:r w:rsidRPr="00D97D9A">
              <w:rPr>
                <w:lang w:val="ro-RO"/>
              </w:rPr>
              <w:t xml:space="preserve">Difenacoum </w:t>
            </w:r>
          </w:p>
        </w:tc>
      </w:tr>
      <w:tr w:rsidR="00EB3264" w:rsidRPr="00D97D9A" w:rsidTr="00C93D17">
        <w:tc>
          <w:tcPr>
            <w:tcW w:w="2977" w:type="dxa"/>
            <w:shd w:val="clear" w:color="auto" w:fill="auto"/>
          </w:tcPr>
          <w:p w:rsidR="00EB3264" w:rsidRPr="00D97D9A" w:rsidRDefault="00EB3264" w:rsidP="00050C51">
            <w:pPr>
              <w:rPr>
                <w:lang w:val="ro-RO"/>
              </w:rPr>
            </w:pPr>
            <w:r w:rsidRPr="00D97D9A">
              <w:rPr>
                <w:lang w:val="ro-RO"/>
              </w:rPr>
              <w:t>Denumirea IUPAC</w:t>
            </w:r>
          </w:p>
        </w:tc>
        <w:tc>
          <w:tcPr>
            <w:tcW w:w="6946" w:type="dxa"/>
            <w:shd w:val="clear" w:color="auto" w:fill="auto"/>
          </w:tcPr>
          <w:p w:rsidR="00EB3264" w:rsidRPr="00D97D9A" w:rsidRDefault="00EB3264" w:rsidP="00050C51">
            <w:pPr>
              <w:rPr>
                <w:lang w:val="ro-RO"/>
              </w:rPr>
            </w:pPr>
            <w:r w:rsidRPr="00D97D9A">
              <w:rPr>
                <w:lang w:val="ro-RO"/>
              </w:rPr>
              <w:t>3-[3-bipheny-4-yl-1,2,3,4-tetrahydro-1-naphtyl)-4-hydroxycoumarin</w:t>
            </w:r>
          </w:p>
        </w:tc>
      </w:tr>
      <w:tr w:rsidR="00EB3264" w:rsidRPr="00D97D9A" w:rsidTr="00C93D17">
        <w:tc>
          <w:tcPr>
            <w:tcW w:w="2977" w:type="dxa"/>
            <w:shd w:val="clear" w:color="auto" w:fill="auto"/>
          </w:tcPr>
          <w:p w:rsidR="00EB3264" w:rsidRPr="00D97D9A" w:rsidRDefault="00EB3264" w:rsidP="00050C51">
            <w:pPr>
              <w:rPr>
                <w:lang w:val="ro-RO"/>
              </w:rPr>
            </w:pPr>
            <w:r w:rsidRPr="00D97D9A">
              <w:rPr>
                <w:lang w:val="ro-RO"/>
              </w:rPr>
              <w:t>Numar CAS</w:t>
            </w:r>
          </w:p>
        </w:tc>
        <w:tc>
          <w:tcPr>
            <w:tcW w:w="6946" w:type="dxa"/>
            <w:shd w:val="clear" w:color="auto" w:fill="auto"/>
          </w:tcPr>
          <w:p w:rsidR="00EB3264" w:rsidRPr="00D97D9A" w:rsidRDefault="00EB3264" w:rsidP="00050C51">
            <w:pPr>
              <w:rPr>
                <w:lang w:val="ro-RO"/>
              </w:rPr>
            </w:pPr>
            <w:r w:rsidRPr="00D97D9A">
              <w:rPr>
                <w:lang w:val="ro-RO"/>
              </w:rPr>
              <w:t>56073-07-5</w:t>
            </w:r>
          </w:p>
        </w:tc>
      </w:tr>
      <w:tr w:rsidR="00EB3264" w:rsidRPr="00D97D9A" w:rsidTr="00C93D17">
        <w:tc>
          <w:tcPr>
            <w:tcW w:w="2977" w:type="dxa"/>
            <w:shd w:val="clear" w:color="auto" w:fill="auto"/>
          </w:tcPr>
          <w:p w:rsidR="00EB3264" w:rsidRPr="00D97D9A" w:rsidRDefault="00EB3264" w:rsidP="00050C51">
            <w:pPr>
              <w:rPr>
                <w:lang w:val="ro-RO"/>
              </w:rPr>
            </w:pPr>
            <w:r w:rsidRPr="00D97D9A">
              <w:rPr>
                <w:lang w:val="ro-RO"/>
              </w:rPr>
              <w:t>Numar CE</w:t>
            </w:r>
          </w:p>
        </w:tc>
        <w:tc>
          <w:tcPr>
            <w:tcW w:w="6946" w:type="dxa"/>
            <w:shd w:val="clear" w:color="auto" w:fill="auto"/>
          </w:tcPr>
          <w:p w:rsidR="00EB3264" w:rsidRPr="00D97D9A" w:rsidRDefault="00EB3264" w:rsidP="00050C51">
            <w:pPr>
              <w:rPr>
                <w:lang w:val="ro-RO"/>
              </w:rPr>
            </w:pPr>
            <w:r w:rsidRPr="00D97D9A">
              <w:rPr>
                <w:lang w:val="ro-RO"/>
              </w:rPr>
              <w:t>259-978-4</w:t>
            </w:r>
          </w:p>
        </w:tc>
      </w:tr>
      <w:tr w:rsidR="00EB3264" w:rsidRPr="00D97D9A" w:rsidTr="00C93D17">
        <w:tc>
          <w:tcPr>
            <w:tcW w:w="2977" w:type="dxa"/>
            <w:shd w:val="clear" w:color="auto" w:fill="auto"/>
          </w:tcPr>
          <w:p w:rsidR="00EB3264" w:rsidRPr="00D97D9A" w:rsidRDefault="00EB3264" w:rsidP="00050C51">
            <w:pPr>
              <w:rPr>
                <w:lang w:val="ro-RO"/>
              </w:rPr>
            </w:pPr>
            <w:r w:rsidRPr="00D97D9A">
              <w:rPr>
                <w:lang w:val="ro-RO"/>
              </w:rPr>
              <w:t>Continut de substantă activă</w:t>
            </w:r>
          </w:p>
        </w:tc>
        <w:tc>
          <w:tcPr>
            <w:tcW w:w="6946" w:type="dxa"/>
            <w:shd w:val="clear" w:color="auto" w:fill="auto"/>
          </w:tcPr>
          <w:p w:rsidR="00EB3264" w:rsidRPr="00D97D9A" w:rsidRDefault="00EB3264" w:rsidP="00050C51">
            <w:pPr>
              <w:rPr>
                <w:lang w:val="ro-RO"/>
              </w:rPr>
            </w:pPr>
            <w:r w:rsidRPr="00D97D9A">
              <w:rPr>
                <w:lang w:val="ro-RO"/>
              </w:rPr>
              <w:t>0,0028%</w:t>
            </w:r>
          </w:p>
        </w:tc>
      </w:tr>
    </w:tbl>
    <w:p w:rsidR="00B66405" w:rsidRPr="00D97D9A" w:rsidRDefault="00B66405" w:rsidP="00050C51">
      <w:pPr>
        <w:pStyle w:val="ListParagraph"/>
        <w:numPr>
          <w:ilvl w:val="0"/>
          <w:numId w:val="33"/>
        </w:numPr>
        <w:rPr>
          <w:b/>
          <w:lang w:val="ro-RO"/>
        </w:rPr>
      </w:pPr>
      <w:r w:rsidRPr="00D97D9A">
        <w:rPr>
          <w:b/>
          <w:lang w:val="ro-RO"/>
        </w:rPr>
        <w:t>Substan</w:t>
      </w:r>
      <w:r w:rsidR="003E25B6" w:rsidRPr="00D97D9A">
        <w:rPr>
          <w:b/>
          <w:lang w:val="ro-RO"/>
        </w:rPr>
        <w:t>t</w:t>
      </w:r>
      <w:r w:rsidRPr="00D97D9A">
        <w:rPr>
          <w:b/>
          <w:lang w:val="ro-RO"/>
        </w:rPr>
        <w:t>a inactivă/nonactivă</w:t>
      </w:r>
      <w:r w:rsidR="00385365" w:rsidRPr="00D97D9A">
        <w:rPr>
          <w:b/>
          <w:lang w:val="ro-RO"/>
        </w:rPr>
        <w:t xml:space="preserve"> – nu se specifica</w:t>
      </w:r>
    </w:p>
    <w:p w:rsidR="00050C51" w:rsidRPr="006B3A40" w:rsidRDefault="00050C51" w:rsidP="00050C51">
      <w:pPr>
        <w:pStyle w:val="ListParagraph"/>
        <w:ind w:left="1080"/>
        <w:rPr>
          <w:b/>
          <w:sz w:val="36"/>
          <w:lang w:val="ro-RO"/>
        </w:rPr>
      </w:pPr>
    </w:p>
    <w:p w:rsidR="00B66405" w:rsidRPr="00D97D9A" w:rsidRDefault="00203F73" w:rsidP="00050C51">
      <w:pPr>
        <w:pStyle w:val="NoSpacing"/>
        <w:rPr>
          <w:b/>
          <w:lang w:val="ro-RO"/>
        </w:rPr>
      </w:pPr>
      <w:r w:rsidRPr="00D97D9A">
        <w:rPr>
          <w:b/>
          <w:lang w:val="ro-RO"/>
        </w:rPr>
        <w:t xml:space="preserve">X. </w:t>
      </w:r>
      <w:r w:rsidR="00B66405" w:rsidRPr="00D97D9A">
        <w:rPr>
          <w:b/>
          <w:lang w:val="ro-RO"/>
        </w:rPr>
        <w:t>CLASIFICAREA SI ETICHETAREA PRODUSULUI</w:t>
      </w:r>
    </w:p>
    <w:p w:rsidR="00B66405" w:rsidRPr="00D97D9A" w:rsidRDefault="00B66405" w:rsidP="00050C51">
      <w:pPr>
        <w:pStyle w:val="NoSpacing"/>
        <w:ind w:firstLine="360"/>
        <w:rPr>
          <w:b/>
          <w:lang w:val="ro-RO"/>
        </w:rPr>
      </w:pPr>
      <w:r w:rsidRPr="00D97D9A">
        <w:rPr>
          <w:b/>
          <w:lang w:val="ro-RO"/>
        </w:rPr>
        <w:t xml:space="preserve">Produs biocid cu substanţe active - </w:t>
      </w:r>
      <w:r w:rsidRPr="00D97D9A">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F1580B" w:rsidRPr="00D97D9A" w:rsidTr="00C93D17">
        <w:tc>
          <w:tcPr>
            <w:tcW w:w="3402" w:type="dxa"/>
          </w:tcPr>
          <w:p w:rsidR="00F1580B" w:rsidRPr="00D97D9A" w:rsidRDefault="00F1580B" w:rsidP="00050C51">
            <w:pPr>
              <w:pStyle w:val="NoSpacing"/>
              <w:rPr>
                <w:lang w:val="ro-RO"/>
              </w:rPr>
            </w:pPr>
            <w:r w:rsidRPr="00D97D9A">
              <w:rPr>
                <w:lang w:val="ro-RO"/>
              </w:rPr>
              <w:t xml:space="preserve">Simboluri </w:t>
            </w:r>
          </w:p>
        </w:tc>
        <w:tc>
          <w:tcPr>
            <w:tcW w:w="6521" w:type="dxa"/>
          </w:tcPr>
          <w:p w:rsidR="00F1580B" w:rsidRPr="00D97D9A" w:rsidRDefault="00F1580B" w:rsidP="00050C51">
            <w:pPr>
              <w:pStyle w:val="NoSpacing"/>
              <w:rPr>
                <w:color w:val="FF0000"/>
                <w:lang w:val="ro-RO"/>
              </w:rPr>
            </w:pPr>
            <w:r w:rsidRPr="00D97D9A">
              <w:rPr>
                <w:lang w:val="ro-RO"/>
              </w:rPr>
              <w:t xml:space="preserve">       </w:t>
            </w:r>
            <w:r w:rsidRPr="00D97D9A">
              <w:rPr>
                <w:bCs/>
                <w:kern w:val="36"/>
              </w:rPr>
              <w:t xml:space="preserve">GHS08       </w:t>
            </w:r>
            <w:r w:rsidRPr="00D97D9A">
              <w:rPr>
                <w:lang w:val="ro-RO"/>
              </w:rPr>
              <w:t>Atentie</w:t>
            </w:r>
          </w:p>
        </w:tc>
      </w:tr>
      <w:tr w:rsidR="00F1580B" w:rsidRPr="00D97D9A" w:rsidTr="00C93D17">
        <w:tc>
          <w:tcPr>
            <w:tcW w:w="3402" w:type="dxa"/>
          </w:tcPr>
          <w:p w:rsidR="00F1580B" w:rsidRPr="00D97D9A" w:rsidRDefault="00F1580B" w:rsidP="00050C51">
            <w:pPr>
              <w:pStyle w:val="NoSpacing"/>
              <w:rPr>
                <w:lang w:val="ro-RO"/>
              </w:rPr>
            </w:pPr>
            <w:r w:rsidRPr="00D97D9A">
              <w:rPr>
                <w:lang w:val="ro-RO"/>
              </w:rPr>
              <w:t>Fraze de pericol (H)</w:t>
            </w:r>
          </w:p>
        </w:tc>
        <w:tc>
          <w:tcPr>
            <w:tcW w:w="6521" w:type="dxa"/>
          </w:tcPr>
          <w:p w:rsidR="00F1580B" w:rsidRPr="006B3A40" w:rsidRDefault="00F1580B" w:rsidP="00050C51">
            <w:pPr>
              <w:pStyle w:val="NoSpacing"/>
            </w:pPr>
            <w:r w:rsidRPr="00D97D9A">
              <w:t xml:space="preserve">H373- </w:t>
            </w:r>
            <w:proofErr w:type="spellStart"/>
            <w:r w:rsidRPr="00D97D9A">
              <w:t>Poate</w:t>
            </w:r>
            <w:proofErr w:type="spellEnd"/>
            <w:r w:rsidRPr="00D97D9A">
              <w:t xml:space="preserve"> </w:t>
            </w:r>
            <w:proofErr w:type="spellStart"/>
            <w:r w:rsidRPr="00D97D9A">
              <w:t>provoca</w:t>
            </w:r>
            <w:proofErr w:type="spellEnd"/>
            <w:r w:rsidRPr="00D97D9A">
              <w:t xml:space="preserve"> </w:t>
            </w:r>
            <w:proofErr w:type="spellStart"/>
            <w:r w:rsidRPr="00D97D9A">
              <w:t>leziuni</w:t>
            </w:r>
            <w:proofErr w:type="spellEnd"/>
            <w:r w:rsidRPr="00D97D9A">
              <w:t xml:space="preserve"> ale </w:t>
            </w:r>
            <w:proofErr w:type="spellStart"/>
            <w:r w:rsidRPr="00D97D9A">
              <w:t>organelor</w:t>
            </w:r>
            <w:proofErr w:type="spellEnd"/>
            <w:r w:rsidRPr="00D97D9A">
              <w:t xml:space="preserve"> (sanguine) </w:t>
            </w:r>
            <w:proofErr w:type="spellStart"/>
            <w:r w:rsidRPr="00D97D9A">
              <w:t>prin</w:t>
            </w:r>
            <w:proofErr w:type="spellEnd"/>
            <w:r w:rsidRPr="00D97D9A">
              <w:t xml:space="preserve"> </w:t>
            </w:r>
            <w:proofErr w:type="spellStart"/>
            <w:r w:rsidRPr="00D97D9A">
              <w:t>expunere</w:t>
            </w:r>
            <w:proofErr w:type="spellEnd"/>
            <w:r w:rsidRPr="00D97D9A">
              <w:t xml:space="preserve"> </w:t>
            </w:r>
            <w:proofErr w:type="spellStart"/>
            <w:r w:rsidRPr="00D97D9A">
              <w:t>prelungită</w:t>
            </w:r>
            <w:proofErr w:type="spellEnd"/>
            <w:r w:rsidRPr="00D97D9A">
              <w:t xml:space="preserve"> </w:t>
            </w:r>
            <w:proofErr w:type="spellStart"/>
            <w:r w:rsidRPr="00D97D9A">
              <w:t>sau</w:t>
            </w:r>
            <w:proofErr w:type="spellEnd"/>
            <w:r w:rsidRPr="00D97D9A">
              <w:t xml:space="preserve"> </w:t>
            </w:r>
            <w:proofErr w:type="spellStart"/>
            <w:r w:rsidRPr="00D97D9A">
              <w:t>repetată</w:t>
            </w:r>
            <w:proofErr w:type="spellEnd"/>
            <w:r w:rsidRPr="00D97D9A">
              <w:t xml:space="preserve">. </w:t>
            </w:r>
          </w:p>
        </w:tc>
      </w:tr>
      <w:tr w:rsidR="00F1580B" w:rsidRPr="00D97D9A" w:rsidTr="00C93D17">
        <w:trPr>
          <w:trHeight w:val="267"/>
        </w:trPr>
        <w:tc>
          <w:tcPr>
            <w:tcW w:w="3402" w:type="dxa"/>
          </w:tcPr>
          <w:p w:rsidR="00F1580B" w:rsidRPr="00D97D9A" w:rsidRDefault="00F1580B" w:rsidP="00050C51">
            <w:pPr>
              <w:pStyle w:val="NoSpacing"/>
              <w:rPr>
                <w:lang w:val="ro-RO"/>
              </w:rPr>
            </w:pPr>
            <w:r w:rsidRPr="00D97D9A">
              <w:rPr>
                <w:lang w:val="ro-RO"/>
              </w:rPr>
              <w:t>Fraze de prudenta (P)</w:t>
            </w:r>
          </w:p>
        </w:tc>
        <w:tc>
          <w:tcPr>
            <w:tcW w:w="6521" w:type="dxa"/>
          </w:tcPr>
          <w:p w:rsidR="00F1580B" w:rsidRPr="00D97D9A" w:rsidRDefault="00F1580B" w:rsidP="00050C51">
            <w:pPr>
              <w:pStyle w:val="NoSpacing"/>
            </w:pPr>
            <w:r w:rsidRPr="00D97D9A">
              <w:t xml:space="preserve">P102- A nu se </w:t>
            </w:r>
            <w:proofErr w:type="spellStart"/>
            <w:r w:rsidRPr="00D97D9A">
              <w:t>lăsa</w:t>
            </w:r>
            <w:proofErr w:type="spellEnd"/>
            <w:r w:rsidRPr="00D97D9A">
              <w:t xml:space="preserve"> la </w:t>
            </w:r>
            <w:proofErr w:type="spellStart"/>
            <w:r w:rsidRPr="00D97D9A">
              <w:t>îndemâna</w:t>
            </w:r>
            <w:proofErr w:type="spellEnd"/>
            <w:r w:rsidRPr="00D97D9A">
              <w:t xml:space="preserve"> </w:t>
            </w:r>
            <w:proofErr w:type="spellStart"/>
            <w:r w:rsidRPr="00D97D9A">
              <w:t>copiilor</w:t>
            </w:r>
            <w:proofErr w:type="spellEnd"/>
            <w:r w:rsidRPr="00D97D9A">
              <w:t xml:space="preserve">. </w:t>
            </w:r>
          </w:p>
          <w:p w:rsidR="00F1580B" w:rsidRPr="00D97D9A" w:rsidRDefault="00F1580B" w:rsidP="00050C51">
            <w:pPr>
              <w:pStyle w:val="NoSpacing"/>
            </w:pPr>
            <w:r w:rsidRPr="00D97D9A">
              <w:rPr>
                <w:bCs/>
              </w:rPr>
              <w:t>P103</w:t>
            </w:r>
            <w:r w:rsidRPr="00D97D9A">
              <w:t xml:space="preserve"> </w:t>
            </w:r>
            <w:proofErr w:type="gramStart"/>
            <w:r w:rsidRPr="00D97D9A">
              <w:t>–  </w:t>
            </w:r>
            <w:proofErr w:type="spellStart"/>
            <w:r w:rsidRPr="00D97D9A">
              <w:t>Citiţi</w:t>
            </w:r>
            <w:proofErr w:type="spellEnd"/>
            <w:proofErr w:type="gramEnd"/>
            <w:r w:rsidRPr="00D97D9A">
              <w:t xml:space="preserve"> </w:t>
            </w:r>
            <w:proofErr w:type="spellStart"/>
            <w:r w:rsidRPr="00D97D9A">
              <w:t>eticheta</w:t>
            </w:r>
            <w:proofErr w:type="spellEnd"/>
            <w:r w:rsidRPr="00D97D9A">
              <w:t xml:space="preserve"> </w:t>
            </w:r>
            <w:proofErr w:type="spellStart"/>
            <w:r w:rsidRPr="00D97D9A">
              <w:t>înainte</w:t>
            </w:r>
            <w:proofErr w:type="spellEnd"/>
            <w:r w:rsidRPr="00D97D9A">
              <w:t xml:space="preserve"> de </w:t>
            </w:r>
            <w:proofErr w:type="spellStart"/>
            <w:r w:rsidRPr="00D97D9A">
              <w:t>utilizare</w:t>
            </w:r>
            <w:proofErr w:type="spellEnd"/>
            <w:r w:rsidRPr="00D97D9A">
              <w:t>.</w:t>
            </w:r>
          </w:p>
          <w:p w:rsidR="00F1580B" w:rsidRPr="00D97D9A" w:rsidRDefault="00F1580B" w:rsidP="00050C51">
            <w:pPr>
              <w:pStyle w:val="NoSpacing"/>
            </w:pPr>
            <w:r w:rsidRPr="00D97D9A">
              <w:t xml:space="preserve">P270- A nu </w:t>
            </w:r>
            <w:proofErr w:type="spellStart"/>
            <w:r w:rsidRPr="00D97D9A">
              <w:t>manca</w:t>
            </w:r>
            <w:proofErr w:type="spellEnd"/>
            <w:r w:rsidRPr="00D97D9A">
              <w:t xml:space="preserve">, </w:t>
            </w:r>
            <w:proofErr w:type="spellStart"/>
            <w:r w:rsidRPr="00D97D9A">
              <w:t>bea</w:t>
            </w:r>
            <w:proofErr w:type="spellEnd"/>
            <w:r w:rsidRPr="00D97D9A">
              <w:t xml:space="preserve"> </w:t>
            </w:r>
            <w:proofErr w:type="spellStart"/>
            <w:r w:rsidRPr="00D97D9A">
              <w:t>sau</w:t>
            </w:r>
            <w:proofErr w:type="spellEnd"/>
            <w:r w:rsidRPr="00D97D9A">
              <w:t xml:space="preserve"> </w:t>
            </w:r>
            <w:proofErr w:type="spellStart"/>
            <w:r w:rsidRPr="00D97D9A">
              <w:t>fuma</w:t>
            </w:r>
            <w:proofErr w:type="spellEnd"/>
            <w:r w:rsidRPr="00D97D9A">
              <w:t xml:space="preserve"> in </w:t>
            </w:r>
            <w:proofErr w:type="spellStart"/>
            <w:r w:rsidRPr="00D97D9A">
              <w:t>timpul</w:t>
            </w:r>
            <w:proofErr w:type="spellEnd"/>
            <w:r w:rsidRPr="00D97D9A">
              <w:t xml:space="preserve"> </w:t>
            </w:r>
            <w:proofErr w:type="spellStart"/>
            <w:r w:rsidRPr="00D97D9A">
              <w:t>utilizarii</w:t>
            </w:r>
            <w:proofErr w:type="spellEnd"/>
            <w:r w:rsidRPr="00D97D9A">
              <w:t xml:space="preserve"> </w:t>
            </w:r>
            <w:proofErr w:type="spellStart"/>
            <w:r w:rsidRPr="00D97D9A">
              <w:t>produsului</w:t>
            </w:r>
            <w:proofErr w:type="spellEnd"/>
            <w:r w:rsidRPr="00D97D9A">
              <w:t xml:space="preserve">. </w:t>
            </w:r>
          </w:p>
          <w:p w:rsidR="00F1580B" w:rsidRPr="00D97D9A" w:rsidRDefault="00F1580B" w:rsidP="00050C51">
            <w:pPr>
              <w:pStyle w:val="NoSpacing"/>
            </w:pPr>
            <w:r w:rsidRPr="00D97D9A">
              <w:rPr>
                <w:bCs/>
              </w:rPr>
              <w:t>P273</w:t>
            </w:r>
            <w:r w:rsidRPr="00D97D9A">
              <w:t xml:space="preserve"> – </w:t>
            </w:r>
            <w:proofErr w:type="spellStart"/>
            <w:r w:rsidRPr="00D97D9A">
              <w:t>Evitaţi</w:t>
            </w:r>
            <w:proofErr w:type="spellEnd"/>
            <w:r w:rsidRPr="00D97D9A">
              <w:t xml:space="preserve"> </w:t>
            </w:r>
            <w:proofErr w:type="spellStart"/>
            <w:r w:rsidRPr="00D97D9A">
              <w:t>dispersarea</w:t>
            </w:r>
            <w:proofErr w:type="spellEnd"/>
            <w:r w:rsidRPr="00D97D9A">
              <w:t xml:space="preserve"> </w:t>
            </w:r>
            <w:proofErr w:type="spellStart"/>
            <w:r w:rsidRPr="00D97D9A">
              <w:t>în</w:t>
            </w:r>
            <w:proofErr w:type="spellEnd"/>
            <w:r w:rsidRPr="00D97D9A">
              <w:t xml:space="preserve"> </w:t>
            </w:r>
            <w:proofErr w:type="spellStart"/>
            <w:r w:rsidRPr="00D97D9A">
              <w:t>mediu</w:t>
            </w:r>
            <w:proofErr w:type="spellEnd"/>
            <w:r w:rsidRPr="00D97D9A">
              <w:t>.</w:t>
            </w:r>
          </w:p>
          <w:p w:rsidR="00F1580B" w:rsidRPr="00D97D9A" w:rsidRDefault="00F1580B" w:rsidP="00050C51">
            <w:pPr>
              <w:pStyle w:val="NoSpacing"/>
            </w:pPr>
            <w:r w:rsidRPr="00D97D9A">
              <w:t xml:space="preserve">P301+P310     ÎN CAZ DE INGHITIRE: </w:t>
            </w:r>
            <w:proofErr w:type="spellStart"/>
            <w:r w:rsidRPr="00D97D9A">
              <w:t>Apelați</w:t>
            </w:r>
            <w:proofErr w:type="spellEnd"/>
            <w:r w:rsidRPr="00D97D9A">
              <w:t xml:space="preserve"> </w:t>
            </w:r>
            <w:proofErr w:type="spellStart"/>
            <w:r w:rsidRPr="00D97D9A">
              <w:t>imediat</w:t>
            </w:r>
            <w:proofErr w:type="spellEnd"/>
            <w:r w:rsidRPr="00D97D9A">
              <w:t xml:space="preserve"> la un CENTRU TOXICOLOGIC </w:t>
            </w:r>
            <w:proofErr w:type="spellStart"/>
            <w:r w:rsidRPr="00D97D9A">
              <w:t>sau</w:t>
            </w:r>
            <w:proofErr w:type="spellEnd"/>
            <w:r w:rsidRPr="00D97D9A">
              <w:t xml:space="preserve"> la un medic. </w:t>
            </w:r>
          </w:p>
          <w:p w:rsidR="00F1580B" w:rsidRDefault="00F1580B" w:rsidP="00050C51">
            <w:pPr>
              <w:pStyle w:val="NoSpacing"/>
            </w:pPr>
            <w:r w:rsidRPr="00D97D9A">
              <w:t xml:space="preserve">P501- </w:t>
            </w:r>
            <w:proofErr w:type="spellStart"/>
            <w:r w:rsidRPr="00D97D9A">
              <w:t>Eliminati</w:t>
            </w:r>
            <w:proofErr w:type="spellEnd"/>
            <w:r w:rsidRPr="00D97D9A">
              <w:t xml:space="preserve"> </w:t>
            </w:r>
            <w:proofErr w:type="spellStart"/>
            <w:r w:rsidRPr="00D97D9A">
              <w:t>recipientul</w:t>
            </w:r>
            <w:proofErr w:type="spellEnd"/>
            <w:r w:rsidRPr="00D97D9A">
              <w:t>/</w:t>
            </w:r>
            <w:proofErr w:type="spellStart"/>
            <w:r w:rsidRPr="00D97D9A">
              <w:t>continutul</w:t>
            </w:r>
            <w:proofErr w:type="spellEnd"/>
            <w:r w:rsidRPr="00D97D9A">
              <w:t xml:space="preserve"> in </w:t>
            </w:r>
            <w:proofErr w:type="spellStart"/>
            <w:r w:rsidRPr="00D97D9A">
              <w:t>conformitate</w:t>
            </w:r>
            <w:proofErr w:type="spellEnd"/>
            <w:r w:rsidRPr="00D97D9A">
              <w:t xml:space="preserve"> cu </w:t>
            </w:r>
            <w:proofErr w:type="spellStart"/>
            <w:r w:rsidRPr="00D97D9A">
              <w:t>legislatia</w:t>
            </w:r>
            <w:proofErr w:type="spellEnd"/>
            <w:r w:rsidRPr="00D97D9A">
              <w:t xml:space="preserve"> </w:t>
            </w:r>
            <w:proofErr w:type="spellStart"/>
            <w:r w:rsidRPr="00D97D9A">
              <w:t>nationala</w:t>
            </w:r>
            <w:proofErr w:type="spellEnd"/>
            <w:r w:rsidRPr="00D97D9A">
              <w:t xml:space="preserve"> in </w:t>
            </w:r>
            <w:proofErr w:type="spellStart"/>
            <w:r w:rsidRPr="00D97D9A">
              <w:t>vigoare</w:t>
            </w:r>
            <w:proofErr w:type="spellEnd"/>
            <w:r w:rsidRPr="00D97D9A">
              <w:t>.</w:t>
            </w:r>
          </w:p>
          <w:p w:rsidR="00270DC7" w:rsidRPr="00D97D9A" w:rsidRDefault="00270DC7" w:rsidP="00050C51">
            <w:pPr>
              <w:pStyle w:val="NoSpacing"/>
            </w:pPr>
            <w:bookmarkStart w:id="0" w:name="_GoBack"/>
            <w:bookmarkEnd w:id="0"/>
          </w:p>
        </w:tc>
      </w:tr>
      <w:tr w:rsidR="00F1580B" w:rsidRPr="00D97D9A" w:rsidTr="00C93D17">
        <w:tc>
          <w:tcPr>
            <w:tcW w:w="3402" w:type="dxa"/>
          </w:tcPr>
          <w:p w:rsidR="00F1580B" w:rsidRPr="00D97D9A" w:rsidRDefault="00F1580B" w:rsidP="00050C51">
            <w:pPr>
              <w:pStyle w:val="NoSpacing"/>
              <w:rPr>
                <w:lang w:val="ro-RO"/>
              </w:rPr>
            </w:pPr>
            <w:r w:rsidRPr="00D97D9A">
              <w:rPr>
                <w:lang w:val="ro-RO"/>
              </w:rPr>
              <w:t>Pictograma(e)</w:t>
            </w:r>
          </w:p>
        </w:tc>
        <w:tc>
          <w:tcPr>
            <w:tcW w:w="6521" w:type="dxa"/>
          </w:tcPr>
          <w:p w:rsidR="00F1580B" w:rsidRPr="00D97D9A" w:rsidRDefault="00F1580B" w:rsidP="00050C51">
            <w:pPr>
              <w:pStyle w:val="NoSpacing"/>
              <w:rPr>
                <w:lang w:val="ro-RO"/>
              </w:rPr>
            </w:pPr>
            <w:r w:rsidRPr="00D97D9A">
              <w:rPr>
                <w:noProof/>
              </w:rPr>
              <w:drawing>
                <wp:inline distT="0" distB="0" distL="0" distR="0" wp14:anchorId="5B42B43D" wp14:editId="290975B5">
                  <wp:extent cx="434658" cy="457200"/>
                  <wp:effectExtent l="0" t="0" r="3810" b="0"/>
                  <wp:docPr id="1" name="Picture 1"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658" cy="457200"/>
                          </a:xfrm>
                          <a:prstGeom prst="rect">
                            <a:avLst/>
                          </a:prstGeom>
                          <a:noFill/>
                          <a:ln>
                            <a:noFill/>
                          </a:ln>
                        </pic:spPr>
                      </pic:pic>
                    </a:graphicData>
                  </a:graphic>
                </wp:inline>
              </w:drawing>
            </w:r>
            <w:r w:rsidRPr="00D97D9A">
              <w:rPr>
                <w:bCs/>
                <w:kern w:val="36"/>
              </w:rPr>
              <w:t xml:space="preserve"> </w:t>
            </w:r>
          </w:p>
        </w:tc>
      </w:tr>
    </w:tbl>
    <w:p w:rsidR="00D47862" w:rsidRPr="006B3A40" w:rsidRDefault="00D47862" w:rsidP="00050C51">
      <w:pPr>
        <w:rPr>
          <w:b/>
          <w:sz w:val="36"/>
          <w:lang w:val="ro-RO"/>
        </w:rPr>
      </w:pPr>
    </w:p>
    <w:p w:rsidR="00954B28" w:rsidRPr="00D97D9A" w:rsidRDefault="00203F73" w:rsidP="00050C51">
      <w:pPr>
        <w:rPr>
          <w:b/>
          <w:lang w:val="ro-RO"/>
        </w:rPr>
      </w:pPr>
      <w:r w:rsidRPr="00D97D9A">
        <w:rPr>
          <w:b/>
          <w:lang w:val="ro-RO"/>
        </w:rPr>
        <w:t xml:space="preserve">XI. </w:t>
      </w:r>
      <w:r w:rsidR="00B66405" w:rsidRPr="00D97D9A">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97D9A" w:rsidTr="00F1361B">
        <w:tc>
          <w:tcPr>
            <w:tcW w:w="9923" w:type="dxa"/>
            <w:shd w:val="clear" w:color="auto" w:fill="FFFFFF" w:themeFill="background1"/>
          </w:tcPr>
          <w:p w:rsidR="00506DC3" w:rsidRPr="00D97D9A" w:rsidRDefault="00506DC3" w:rsidP="00050C51">
            <w:pPr>
              <w:pStyle w:val="NoSpacing"/>
              <w:rPr>
                <w:u w:val="single"/>
                <w:lang w:val="it-IT"/>
              </w:rPr>
            </w:pPr>
            <w:r w:rsidRPr="00D97D9A">
              <w:rPr>
                <w:u w:val="single"/>
                <w:lang w:val="it-IT"/>
              </w:rPr>
              <w:t>Utilizatori: Public general( non-profesionişti)/</w:t>
            </w:r>
            <w:bookmarkStart w:id="1" w:name="_Hlk952951"/>
            <w:r w:rsidRPr="00D97D9A">
              <w:rPr>
                <w:u w:val="single"/>
                <w:lang w:val="it-IT"/>
              </w:rPr>
              <w:t>şoareci de casa interior- şobolani la exterior şi în jurul clădirilor</w:t>
            </w:r>
          </w:p>
          <w:bookmarkEnd w:id="1"/>
          <w:p w:rsidR="00506DC3" w:rsidRPr="00D97D9A" w:rsidRDefault="00506DC3" w:rsidP="00050C51">
            <w:pPr>
              <w:pStyle w:val="NoSpacing"/>
              <w:rPr>
                <w:lang w:val="it-IT"/>
              </w:rPr>
            </w:pPr>
            <w:r w:rsidRPr="00D97D9A">
              <w:rPr>
                <w:lang w:val="it-IT"/>
              </w:rPr>
              <w:t>Dimensiunile ambalajului şi materialul de ambalare:</w:t>
            </w:r>
          </w:p>
          <w:p w:rsidR="00506DC3" w:rsidRPr="00D97D9A" w:rsidRDefault="00506DC3" w:rsidP="00050C51">
            <w:pPr>
              <w:pStyle w:val="NoSpacing"/>
              <w:rPr>
                <w:lang w:val="it-IT"/>
              </w:rPr>
            </w:pPr>
            <w:r w:rsidRPr="00D97D9A">
              <w:rPr>
                <w:lang w:val="it-IT"/>
              </w:rPr>
              <w:lastRenderedPageBreak/>
              <w:t xml:space="preserve"> - pungi de hârtie pentru uz alimentar sigilate la cald sau hârtie cretată PE: 10 - 12.5 - 15- 20</w:t>
            </w:r>
            <w:r w:rsidRPr="00D97D9A">
              <w:rPr>
                <w:rFonts w:ascii="Tahoma" w:hAnsi="Tahoma" w:cs="Tahoma"/>
                <w:lang w:val="it-IT"/>
              </w:rPr>
              <w:t>﻿﻿</w:t>
            </w:r>
            <w:r w:rsidRPr="00D97D9A">
              <w:rPr>
                <w:lang w:val="it-IT"/>
              </w:rPr>
              <w:t xml:space="preserve"> g</w:t>
            </w:r>
          </w:p>
          <w:p w:rsidR="00506DC3" w:rsidRPr="00D97D9A" w:rsidRDefault="00506DC3" w:rsidP="00050C51">
            <w:pPr>
              <w:pStyle w:val="NoSpacing"/>
              <w:rPr>
                <w:lang w:val="it-IT"/>
              </w:rPr>
            </w:pPr>
            <w:r w:rsidRPr="00D97D9A">
              <w:rPr>
                <w:lang w:val="it-IT"/>
              </w:rPr>
              <w:t>- ambalaje din plastic cu o singură doză: 25 – 40 – 80 – 100-150</w:t>
            </w:r>
            <w:r w:rsidRPr="00D97D9A">
              <w:rPr>
                <w:rFonts w:ascii="Tahoma" w:hAnsi="Tahoma" w:cs="Tahoma"/>
                <w:lang w:val="it-IT"/>
              </w:rPr>
              <w:t>﻿﻿</w:t>
            </w:r>
            <w:r w:rsidRPr="00D97D9A">
              <w:rPr>
                <w:lang w:val="it-IT"/>
              </w:rPr>
              <w:t>g</w:t>
            </w:r>
          </w:p>
          <w:p w:rsidR="00506DC3" w:rsidRPr="00D97D9A" w:rsidRDefault="00506DC3" w:rsidP="00050C51">
            <w:pPr>
              <w:pStyle w:val="NoSpacing"/>
              <w:rPr>
                <w:lang w:val="it-IT"/>
              </w:rPr>
            </w:pPr>
            <w:r w:rsidRPr="00D97D9A">
              <w:rPr>
                <w:lang w:val="it-IT"/>
              </w:rPr>
              <w:t>Dimensiuni pachet: de la 50 g la 150 de g</w:t>
            </w:r>
          </w:p>
          <w:p w:rsidR="00506DC3" w:rsidRPr="00D97D9A" w:rsidRDefault="00506DC3" w:rsidP="00050C51">
            <w:pPr>
              <w:pStyle w:val="NoSpacing"/>
              <w:rPr>
                <w:lang w:val="it-IT"/>
              </w:rPr>
            </w:pPr>
            <w:r w:rsidRPr="00D97D9A">
              <w:rPr>
                <w:lang w:val="it-IT"/>
              </w:rPr>
              <w:t xml:space="preserve">Materiale de ambalare: </w:t>
            </w:r>
          </w:p>
          <w:p w:rsidR="00506DC3" w:rsidRPr="00D97D9A" w:rsidRDefault="00506DC3" w:rsidP="00050C51">
            <w:pPr>
              <w:pStyle w:val="NoSpacing"/>
              <w:rPr>
                <w:lang w:val="it-IT"/>
              </w:rPr>
            </w:pPr>
            <w:r w:rsidRPr="00D97D9A">
              <w:rPr>
                <w:lang w:val="it-IT"/>
              </w:rPr>
              <w:t>- Plic, plastic: coextrudat/ PEID/polietilenă- Conservă/Tablă, hârtie, carton,</w:t>
            </w:r>
          </w:p>
          <w:p w:rsidR="00506DC3" w:rsidRPr="00D97D9A" w:rsidRDefault="00506DC3" w:rsidP="00050C51">
            <w:pPr>
              <w:pStyle w:val="NoSpacing"/>
              <w:rPr>
                <w:lang w:val="it-IT"/>
              </w:rPr>
            </w:pPr>
            <w:r w:rsidRPr="00D97D9A">
              <w:rPr>
                <w:lang w:val="it-IT"/>
              </w:rPr>
              <w:t>- Cutie, hârtie, carton cu plicuri de plastic coextrudat/ PEID/polietilenă</w:t>
            </w:r>
          </w:p>
          <w:p w:rsidR="00506DC3" w:rsidRPr="00D97D9A" w:rsidRDefault="00506DC3" w:rsidP="00050C51">
            <w:pPr>
              <w:pStyle w:val="NoSpacing"/>
              <w:rPr>
                <w:lang w:val="it-IT"/>
              </w:rPr>
            </w:pPr>
            <w:r w:rsidRPr="00D97D9A">
              <w:rPr>
                <w:lang w:val="it-IT"/>
              </w:rPr>
              <w:t>- Plic plastic: PP MAT20 + PET MET 12 + PE45</w:t>
            </w:r>
          </w:p>
          <w:p w:rsidR="00506DC3" w:rsidRPr="00D97D9A" w:rsidRDefault="00506DC3" w:rsidP="00050C51">
            <w:pPr>
              <w:pStyle w:val="NoSpacing"/>
              <w:rPr>
                <w:lang w:val="it-IT"/>
              </w:rPr>
            </w:pPr>
            <w:r w:rsidRPr="00D97D9A">
              <w:rPr>
                <w:lang w:val="it-IT"/>
              </w:rPr>
              <w:t>- Plic plastic: PP MAT20 + PET MET 12 + PE60</w:t>
            </w:r>
          </w:p>
          <w:p w:rsidR="00506DC3" w:rsidRPr="00D97D9A" w:rsidRDefault="00506DC3" w:rsidP="00050C51">
            <w:pPr>
              <w:pStyle w:val="NoSpacing"/>
              <w:rPr>
                <w:u w:val="single"/>
                <w:lang w:val="it-IT"/>
              </w:rPr>
            </w:pPr>
            <w:r w:rsidRPr="00D97D9A">
              <w:rPr>
                <w:u w:val="single"/>
                <w:lang w:val="it-IT"/>
              </w:rPr>
              <w:t>Profesionisti - şoareci de casa interior- şobolani la exterior şi în jurul clădirilor</w:t>
            </w:r>
          </w:p>
          <w:p w:rsidR="00506DC3" w:rsidRPr="00D97D9A" w:rsidRDefault="00506DC3" w:rsidP="00050C51">
            <w:pPr>
              <w:pStyle w:val="NoSpacing"/>
              <w:rPr>
                <w:lang w:val="it-IT"/>
              </w:rPr>
            </w:pPr>
            <w:r w:rsidRPr="00D97D9A">
              <w:rPr>
                <w:lang w:val="it-IT"/>
              </w:rPr>
              <w:t>Dimensiunile ambalajului şi materialul de ambalare:</w:t>
            </w:r>
          </w:p>
          <w:p w:rsidR="00506DC3" w:rsidRPr="00D97D9A" w:rsidRDefault="00506DC3" w:rsidP="00050C51">
            <w:pPr>
              <w:pStyle w:val="NoSpacing"/>
              <w:rPr>
                <w:lang w:val="it-IT"/>
              </w:rPr>
            </w:pPr>
            <w:r w:rsidRPr="00D97D9A">
              <w:rPr>
                <w:lang w:val="it-IT"/>
              </w:rPr>
              <w:t xml:space="preserve"> pungi de hârtie pentru uz alimentar sigilate la cald sau hârtie cretată PE: 10 – 12.5 – 15-20</w:t>
            </w:r>
            <w:r w:rsidRPr="00D97D9A">
              <w:rPr>
                <w:rFonts w:ascii="Tahoma" w:hAnsi="Tahoma" w:cs="Tahoma"/>
                <w:lang w:val="it-IT"/>
              </w:rPr>
              <w:t>﻿</w:t>
            </w:r>
            <w:r w:rsidRPr="00D97D9A">
              <w:rPr>
                <w:lang w:val="it-IT"/>
              </w:rPr>
              <w:t xml:space="preserve"> g</w:t>
            </w:r>
          </w:p>
          <w:p w:rsidR="00506DC3" w:rsidRPr="00D97D9A" w:rsidRDefault="00506DC3" w:rsidP="00050C51">
            <w:pPr>
              <w:pStyle w:val="NoSpacing"/>
              <w:rPr>
                <w:lang w:val="it-IT"/>
              </w:rPr>
            </w:pPr>
            <w:r w:rsidRPr="00D97D9A">
              <w:rPr>
                <w:lang w:val="it-IT"/>
              </w:rPr>
              <w:t xml:space="preserve"> ambalaje din plastic cu o singură doză: 25 – 40 – 80 – 100 -150</w:t>
            </w:r>
            <w:r w:rsidRPr="00D97D9A">
              <w:rPr>
                <w:rFonts w:ascii="Tahoma" w:hAnsi="Tahoma" w:cs="Tahoma"/>
                <w:lang w:val="it-IT"/>
              </w:rPr>
              <w:t>﻿﻿</w:t>
            </w:r>
            <w:r w:rsidRPr="00D97D9A">
              <w:rPr>
                <w:lang w:val="it-IT"/>
              </w:rPr>
              <w:t>g</w:t>
            </w:r>
          </w:p>
          <w:p w:rsidR="00506DC3" w:rsidRPr="00D97D9A" w:rsidRDefault="00506DC3" w:rsidP="00050C51">
            <w:pPr>
              <w:pStyle w:val="NoSpacing"/>
              <w:rPr>
                <w:lang w:val="it-IT"/>
              </w:rPr>
            </w:pPr>
            <w:r w:rsidRPr="00D97D9A">
              <w:rPr>
                <w:lang w:val="it-IT"/>
              </w:rPr>
              <w:t>Dimensiuni pachet: de la 1,5</w:t>
            </w:r>
            <w:r w:rsidRPr="00D97D9A">
              <w:rPr>
                <w:rFonts w:ascii="Tahoma" w:hAnsi="Tahoma" w:cs="Tahoma"/>
                <w:lang w:val="it-IT"/>
              </w:rPr>
              <w:t>﻿</w:t>
            </w:r>
            <w:r w:rsidRPr="00D97D9A">
              <w:rPr>
                <w:lang w:val="it-IT"/>
              </w:rPr>
              <w:t xml:space="preserve"> la 25 de kgÎn cazul pachetelor de peste 10 kg,  este obligatorie ambalarea în pungi separate de maxim 5 sau 10 kg</w:t>
            </w:r>
          </w:p>
          <w:p w:rsidR="00506DC3" w:rsidRPr="00D97D9A" w:rsidRDefault="00506DC3" w:rsidP="00050C51">
            <w:pPr>
              <w:pStyle w:val="NoSpacing"/>
              <w:rPr>
                <w:lang w:val="it-IT"/>
              </w:rPr>
            </w:pPr>
            <w:r w:rsidRPr="00D97D9A">
              <w:rPr>
                <w:lang w:val="it-IT"/>
              </w:rPr>
              <w:t xml:space="preserve">Materiale de ambalare: </w:t>
            </w:r>
          </w:p>
          <w:p w:rsidR="00506DC3" w:rsidRPr="00D97D9A" w:rsidRDefault="00506DC3" w:rsidP="00050C51">
            <w:pPr>
              <w:pStyle w:val="NoSpacing"/>
              <w:rPr>
                <w:lang w:val="it-IT"/>
              </w:rPr>
            </w:pPr>
            <w:r w:rsidRPr="00D97D9A">
              <w:rPr>
                <w:lang w:val="it-IT"/>
              </w:rPr>
              <w:t>- Plic, plastic: coextrudat/ PEID/polietilenă- Conservă/Tablă, hârtie, carton,</w:t>
            </w:r>
          </w:p>
          <w:p w:rsidR="00506DC3" w:rsidRPr="00D97D9A" w:rsidRDefault="00506DC3" w:rsidP="00050C51">
            <w:pPr>
              <w:pStyle w:val="NoSpacing"/>
              <w:rPr>
                <w:lang w:val="it-IT"/>
              </w:rPr>
            </w:pPr>
            <w:r w:rsidRPr="00D97D9A">
              <w:rPr>
                <w:lang w:val="it-IT"/>
              </w:rPr>
              <w:t>- Cutie, hârtie, carton cu plicuri de plastic coextrudat/ PEID/polietilenă</w:t>
            </w:r>
          </w:p>
          <w:p w:rsidR="00506DC3" w:rsidRPr="00D97D9A" w:rsidRDefault="00506DC3" w:rsidP="00050C51">
            <w:pPr>
              <w:pStyle w:val="NoSpacing"/>
              <w:rPr>
                <w:lang w:val="it-IT"/>
              </w:rPr>
            </w:pPr>
            <w:r w:rsidRPr="00D97D9A">
              <w:rPr>
                <w:lang w:val="it-IT"/>
              </w:rPr>
              <w:t>- Plic plastic: PP MAT20 + PET MET 12 + PE45</w:t>
            </w:r>
          </w:p>
          <w:p w:rsidR="00506DC3" w:rsidRPr="00D97D9A" w:rsidRDefault="00506DC3" w:rsidP="00050C51">
            <w:pPr>
              <w:pStyle w:val="NoSpacing"/>
              <w:rPr>
                <w:lang w:val="it-IT"/>
              </w:rPr>
            </w:pPr>
            <w:r w:rsidRPr="00D97D9A">
              <w:rPr>
                <w:lang w:val="it-IT"/>
              </w:rPr>
              <w:t>- Plic plastic: PP MAT20 + PET MET 12 + PE60</w:t>
            </w:r>
          </w:p>
          <w:p w:rsidR="00506DC3" w:rsidRPr="00D97D9A" w:rsidRDefault="00506DC3" w:rsidP="00050C51">
            <w:pPr>
              <w:pStyle w:val="NoSpacing"/>
              <w:rPr>
                <w:lang w:val="it-IT"/>
              </w:rPr>
            </w:pPr>
            <w:r w:rsidRPr="00D97D9A">
              <w:rPr>
                <w:lang w:val="it-IT"/>
              </w:rPr>
              <w:t>- Găleată: PEID</w:t>
            </w:r>
          </w:p>
          <w:p w:rsidR="00506DC3" w:rsidRPr="00D97D9A" w:rsidRDefault="00506DC3" w:rsidP="00050C51">
            <w:pPr>
              <w:pStyle w:val="NoSpacing"/>
              <w:rPr>
                <w:u w:val="single"/>
                <w:lang w:val="it-IT"/>
              </w:rPr>
            </w:pPr>
            <w:r w:rsidRPr="00D97D9A">
              <w:rPr>
                <w:u w:val="single"/>
                <w:lang w:val="it-IT"/>
              </w:rPr>
              <w:t>Profesionisti instruiţi şoareci de casa şi şobolani la interior, exterior şi în jurul clădirilor</w:t>
            </w:r>
          </w:p>
          <w:p w:rsidR="00506DC3" w:rsidRPr="00D97D9A" w:rsidRDefault="00506DC3" w:rsidP="00050C51">
            <w:pPr>
              <w:pStyle w:val="NoSpacing"/>
              <w:rPr>
                <w:lang w:val="it-IT"/>
              </w:rPr>
            </w:pPr>
            <w:r w:rsidRPr="00D97D9A">
              <w:rPr>
                <w:lang w:val="it-IT"/>
              </w:rPr>
              <w:t>Dimensiunile ambalajului şi materialul de ambalare:</w:t>
            </w:r>
          </w:p>
          <w:p w:rsidR="00506DC3" w:rsidRPr="00D97D9A" w:rsidRDefault="00506DC3" w:rsidP="00050C51">
            <w:pPr>
              <w:pStyle w:val="NoSpacing"/>
              <w:numPr>
                <w:ilvl w:val="0"/>
                <w:numId w:val="37"/>
              </w:numPr>
              <w:rPr>
                <w:lang w:val="it-IT"/>
              </w:rPr>
            </w:pPr>
            <w:r w:rsidRPr="00D97D9A">
              <w:rPr>
                <w:lang w:val="it-IT"/>
              </w:rPr>
              <w:t>pungi de hârtie pentru uz alimentar sigilate la cald sau hârtie cretată PE: 10 – 12.5 – 15-20</w:t>
            </w:r>
            <w:r w:rsidRPr="00D97D9A">
              <w:rPr>
                <w:rFonts w:ascii="Tahoma" w:hAnsi="Tahoma" w:cs="Tahoma"/>
                <w:lang w:val="it-IT"/>
              </w:rPr>
              <w:t>﻿</w:t>
            </w:r>
            <w:r w:rsidRPr="00D97D9A">
              <w:rPr>
                <w:lang w:val="it-IT"/>
              </w:rPr>
              <w:t xml:space="preserve"> g</w:t>
            </w:r>
          </w:p>
          <w:p w:rsidR="00506DC3" w:rsidRPr="00D97D9A" w:rsidRDefault="00506DC3" w:rsidP="00050C51">
            <w:pPr>
              <w:pStyle w:val="NoSpacing"/>
              <w:numPr>
                <w:ilvl w:val="0"/>
                <w:numId w:val="37"/>
              </w:numPr>
              <w:rPr>
                <w:lang w:val="it-IT"/>
              </w:rPr>
            </w:pPr>
            <w:r w:rsidRPr="00D97D9A">
              <w:rPr>
                <w:lang w:val="it-IT"/>
              </w:rPr>
              <w:t>ambalaje din plastic cu o singură doză: 25 – 40 – 80 – 100-150</w:t>
            </w:r>
            <w:r w:rsidRPr="00D97D9A">
              <w:rPr>
                <w:rFonts w:ascii="Tahoma" w:hAnsi="Tahoma" w:cs="Tahoma"/>
                <w:lang w:val="it-IT"/>
              </w:rPr>
              <w:t>﻿</w:t>
            </w:r>
            <w:r w:rsidRPr="00D97D9A">
              <w:rPr>
                <w:lang w:val="it-IT"/>
              </w:rPr>
              <w:t xml:space="preserve"> </w:t>
            </w:r>
            <w:r w:rsidRPr="00D97D9A">
              <w:rPr>
                <w:rFonts w:ascii="Tahoma" w:hAnsi="Tahoma" w:cs="Tahoma"/>
                <w:lang w:val="it-IT"/>
              </w:rPr>
              <w:t>﻿</w:t>
            </w:r>
            <w:r w:rsidRPr="00D97D9A">
              <w:rPr>
                <w:lang w:val="it-IT"/>
              </w:rPr>
              <w:t>g</w:t>
            </w:r>
          </w:p>
          <w:p w:rsidR="00506DC3" w:rsidRPr="00D97D9A" w:rsidRDefault="00506DC3" w:rsidP="00050C51">
            <w:pPr>
              <w:pStyle w:val="NoSpacing"/>
              <w:rPr>
                <w:lang w:val="it-IT"/>
              </w:rPr>
            </w:pPr>
            <w:r w:rsidRPr="00D97D9A">
              <w:rPr>
                <w:lang w:val="it-IT"/>
              </w:rPr>
              <w:t>Dimensiuni pachet: de la 1,5 la 25 de kgÎn cazul pachetelor de peste 10 kg,  este obligatorie ambalarea în pungi separate de maxim 5 sau 10 kg</w:t>
            </w:r>
          </w:p>
          <w:p w:rsidR="00506DC3" w:rsidRPr="00D97D9A" w:rsidRDefault="00506DC3" w:rsidP="00050C51">
            <w:pPr>
              <w:pStyle w:val="NoSpacing"/>
              <w:rPr>
                <w:lang w:val="it-IT"/>
              </w:rPr>
            </w:pPr>
            <w:r w:rsidRPr="00D97D9A">
              <w:rPr>
                <w:lang w:val="it-IT"/>
              </w:rPr>
              <w:t xml:space="preserve">Materiale de ambalare: </w:t>
            </w:r>
          </w:p>
          <w:p w:rsidR="00506DC3" w:rsidRPr="00D97D9A" w:rsidRDefault="00506DC3" w:rsidP="00050C51">
            <w:pPr>
              <w:pStyle w:val="NoSpacing"/>
              <w:rPr>
                <w:lang w:val="it-IT"/>
              </w:rPr>
            </w:pPr>
            <w:r w:rsidRPr="00D97D9A">
              <w:rPr>
                <w:lang w:val="it-IT"/>
              </w:rPr>
              <w:t>- Plic, plastic: coextrudat/ PEID/polietilenă- Conservă/Tablă, hârtie, carton,</w:t>
            </w:r>
          </w:p>
          <w:p w:rsidR="00506DC3" w:rsidRPr="00D97D9A" w:rsidRDefault="00506DC3" w:rsidP="00050C51">
            <w:pPr>
              <w:pStyle w:val="NoSpacing"/>
              <w:rPr>
                <w:lang w:val="it-IT"/>
              </w:rPr>
            </w:pPr>
            <w:r w:rsidRPr="00D97D9A">
              <w:rPr>
                <w:lang w:val="it-IT"/>
              </w:rPr>
              <w:t>- Cutie, hârtie, carton cu plicuri de plastic coextrudat/ PEID/polietilenă</w:t>
            </w:r>
          </w:p>
          <w:p w:rsidR="00506DC3" w:rsidRPr="00D97D9A" w:rsidRDefault="00506DC3" w:rsidP="00050C51">
            <w:pPr>
              <w:pStyle w:val="NoSpacing"/>
              <w:rPr>
                <w:lang w:val="it-IT"/>
              </w:rPr>
            </w:pPr>
            <w:r w:rsidRPr="00D97D9A">
              <w:rPr>
                <w:lang w:val="it-IT"/>
              </w:rPr>
              <w:t>- Plic plastic: PP MAT20 + PET MET 12 + PE45</w:t>
            </w:r>
          </w:p>
          <w:p w:rsidR="00506DC3" w:rsidRPr="00D97D9A" w:rsidRDefault="00506DC3" w:rsidP="00050C51">
            <w:pPr>
              <w:pStyle w:val="NoSpacing"/>
              <w:rPr>
                <w:lang w:val="it-IT"/>
              </w:rPr>
            </w:pPr>
            <w:r w:rsidRPr="00D97D9A">
              <w:rPr>
                <w:lang w:val="it-IT"/>
              </w:rPr>
              <w:t>- Plic plastic: PP MAT20 + PET MET 12 + PE60</w:t>
            </w:r>
          </w:p>
          <w:p w:rsidR="00A33127" w:rsidRPr="00D97D9A" w:rsidRDefault="00506DC3" w:rsidP="00050C51">
            <w:pPr>
              <w:pStyle w:val="NoSpacing"/>
              <w:rPr>
                <w:lang w:val="it-IT"/>
              </w:rPr>
            </w:pPr>
            <w:r w:rsidRPr="00D97D9A">
              <w:rPr>
                <w:lang w:val="it-IT"/>
              </w:rPr>
              <w:t>- Găleată: PEID</w:t>
            </w:r>
          </w:p>
        </w:tc>
      </w:tr>
    </w:tbl>
    <w:p w:rsidR="00FF3D0E" w:rsidRPr="00993707" w:rsidRDefault="00FF3D0E" w:rsidP="00050C51">
      <w:pPr>
        <w:pStyle w:val="NoSpacing"/>
        <w:rPr>
          <w:b/>
          <w:sz w:val="10"/>
          <w:lang w:val="ro-RO"/>
        </w:rPr>
      </w:pPr>
    </w:p>
    <w:p w:rsidR="00B66405" w:rsidRPr="0003534F" w:rsidRDefault="00B66405" w:rsidP="00050C51">
      <w:pPr>
        <w:pStyle w:val="NoSpacing"/>
        <w:rPr>
          <w:b/>
          <w:lang w:val="ro-RO"/>
        </w:rPr>
      </w:pPr>
      <w:r w:rsidRPr="0003534F">
        <w:rPr>
          <w:b/>
          <w:lang w:val="ro-RO"/>
        </w:rPr>
        <w:t xml:space="preserve">XII. POSIBILE EFECTE ADVERSE </w:t>
      </w:r>
      <w:r w:rsidR="00B03652" w:rsidRPr="0003534F">
        <w:rPr>
          <w:b/>
          <w:lang w:val="ro-RO"/>
        </w:rPr>
        <w:t xml:space="preserve"> </w:t>
      </w:r>
      <w:r w:rsidRPr="0003534F">
        <w:rPr>
          <w:b/>
          <w:lang w:val="ro-RO"/>
        </w:rPr>
        <w:t xml:space="preserve">DIRECTE </w:t>
      </w:r>
      <w:r w:rsidR="00B03652" w:rsidRPr="0003534F">
        <w:rPr>
          <w:b/>
          <w:lang w:val="ro-RO"/>
        </w:rPr>
        <w:t xml:space="preserve"> </w:t>
      </w:r>
      <w:r w:rsidRPr="0003534F">
        <w:rPr>
          <w:b/>
          <w:lang w:val="ro-RO"/>
        </w:rPr>
        <w:t xml:space="preserve">SAU </w:t>
      </w:r>
      <w:r w:rsidR="00B03652" w:rsidRPr="0003534F">
        <w:rPr>
          <w:b/>
          <w:lang w:val="ro-RO"/>
        </w:rPr>
        <w:t xml:space="preserve"> </w:t>
      </w:r>
      <w:r w:rsidRPr="0003534F">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F7047" w:rsidTr="006B235A">
        <w:tc>
          <w:tcPr>
            <w:tcW w:w="9923" w:type="dxa"/>
          </w:tcPr>
          <w:p w:rsidR="0064773D" w:rsidRPr="0064773D" w:rsidRDefault="00B66405" w:rsidP="00050C51">
            <w:pPr>
              <w:pStyle w:val="NoSpacing"/>
              <w:rPr>
                <w:lang w:val="ro-RO"/>
              </w:rPr>
            </w:pPr>
            <w:r w:rsidRPr="0064773D">
              <w:rPr>
                <w:u w:val="single"/>
                <w:lang w:val="ro-RO"/>
              </w:rPr>
              <w:t>Asupra sănăt</w:t>
            </w:r>
            <w:r w:rsidR="003711FA" w:rsidRPr="0064773D">
              <w:rPr>
                <w:u w:val="single"/>
                <w:lang w:val="ro-RO"/>
              </w:rPr>
              <w:t>ăt</w:t>
            </w:r>
            <w:r w:rsidRPr="0064773D">
              <w:rPr>
                <w:u w:val="single"/>
                <w:lang w:val="ro-RO"/>
              </w:rPr>
              <w:t>ii umane</w:t>
            </w:r>
            <w:r w:rsidR="00A616BE" w:rsidRPr="0064773D">
              <w:rPr>
                <w:lang w:val="ro-RO"/>
              </w:rPr>
              <w:t xml:space="preserve">: </w:t>
            </w:r>
            <w:r w:rsidR="0064773D" w:rsidRPr="0064773D">
              <w:rPr>
                <w:u w:val="single"/>
                <w:lang w:val="ro-RO"/>
              </w:rPr>
              <w:t>Efecte adverse directe:</w:t>
            </w:r>
            <w:r w:rsidR="0064773D" w:rsidRPr="0064773D">
              <w:rPr>
                <w:lang w:val="ro-RO"/>
              </w:rPr>
              <w:t xml:space="preserve"> </w:t>
            </w:r>
          </w:p>
          <w:p w:rsidR="0064773D" w:rsidRPr="0064773D" w:rsidRDefault="0064773D" w:rsidP="00050C51">
            <w:pPr>
              <w:pStyle w:val="NoSpacing"/>
              <w:rPr>
                <w:lang w:val="ro-RO"/>
              </w:rPr>
            </w:pPr>
            <w:r w:rsidRPr="0064773D">
              <w:rPr>
                <w:lang w:val="ro-RO"/>
              </w:rPr>
              <w:t>Produsul con</w:t>
            </w:r>
            <w:r w:rsidRPr="0064773D">
              <w:rPr>
                <w:rFonts w:ascii="Cambria Math" w:hAnsi="Cambria Math" w:cs="Cambria Math"/>
                <w:lang w:val="ro-RO"/>
              </w:rPr>
              <w:t>ț</w:t>
            </w:r>
            <w:r w:rsidRPr="0064773D">
              <w:rPr>
                <w:lang w:val="ro-RO"/>
              </w:rPr>
              <w:t>ine Difenacoum, o substan</w:t>
            </w:r>
            <w:r w:rsidRPr="0064773D">
              <w:rPr>
                <w:rFonts w:ascii="Cambria Math" w:hAnsi="Cambria Math" w:cs="Cambria Math"/>
                <w:lang w:val="ro-RO"/>
              </w:rPr>
              <w:t>ț</w:t>
            </w:r>
            <w:r w:rsidRPr="0064773D">
              <w:rPr>
                <w:lang w:val="ro-RO"/>
              </w:rPr>
              <w:t xml:space="preserve">ă cu efect anticoagulant (afectează sistemul de coagulare a sângelui prin reducecerea sintezei hepatice a factorilor dependenţi de vitamina K). Dacă este ingerat, simptomele, care pot apărea cu întârziere, pot fi de tipul sângerărilor nazale sau gingivale. În cazuri severe pot apărea echimoze sau sânge în fecale </w:t>
            </w:r>
            <w:r w:rsidRPr="0064773D">
              <w:rPr>
                <w:rFonts w:ascii="Cambria Math" w:hAnsi="Cambria Math" w:cs="Cambria Math"/>
                <w:lang w:val="ro-RO"/>
              </w:rPr>
              <w:t>ș</w:t>
            </w:r>
            <w:r w:rsidRPr="0064773D">
              <w:rPr>
                <w:lang w:val="ro-RO"/>
              </w:rPr>
              <w:t>i urină.  Antidot: vitamina K1, administrată numai de personal medical/veterinar.</w:t>
            </w:r>
          </w:p>
          <w:p w:rsidR="0064773D" w:rsidRPr="0064773D" w:rsidRDefault="0064773D" w:rsidP="00050C51">
            <w:pPr>
              <w:pStyle w:val="NoSpacing"/>
              <w:rPr>
                <w:lang w:val="it-IT"/>
              </w:rPr>
            </w:pPr>
            <w:r w:rsidRPr="0064773D">
              <w:rPr>
                <w:u w:val="single"/>
                <w:lang w:val="it-IT"/>
              </w:rPr>
              <w:t>Efecte adverse indirecte</w:t>
            </w:r>
            <w:r w:rsidRPr="0064773D">
              <w:rPr>
                <w:lang w:val="it-IT"/>
              </w:rPr>
              <w:t xml:space="preserve">: </w:t>
            </w:r>
          </w:p>
          <w:p w:rsidR="0064773D" w:rsidRPr="0064773D" w:rsidRDefault="0064773D" w:rsidP="00050C51">
            <w:pPr>
              <w:pStyle w:val="NoSpacing"/>
              <w:rPr>
                <w:lang w:val="it-IT"/>
              </w:rPr>
            </w:pPr>
            <w:r w:rsidRPr="0064773D">
              <w:rPr>
                <w:lang w:val="it-IT"/>
              </w:rPr>
              <w:t>Nu are efect iritant asupra pielii.</w:t>
            </w:r>
          </w:p>
          <w:p w:rsidR="0064773D" w:rsidRPr="0064773D" w:rsidRDefault="0064773D" w:rsidP="00050C51">
            <w:pPr>
              <w:pStyle w:val="NoSpacing"/>
              <w:rPr>
                <w:lang w:val="it-IT"/>
              </w:rPr>
            </w:pPr>
            <w:r w:rsidRPr="0064773D">
              <w:rPr>
                <w:lang w:val="it-IT"/>
              </w:rPr>
              <w:t>Nu are efect iritant asupra ochilor.</w:t>
            </w:r>
          </w:p>
          <w:p w:rsidR="00B66405" w:rsidRPr="0064773D" w:rsidRDefault="0064773D" w:rsidP="00050C51">
            <w:pPr>
              <w:pStyle w:val="NoSpacing"/>
              <w:rPr>
                <w:lang w:val="ro-RO"/>
              </w:rPr>
            </w:pPr>
            <w:r w:rsidRPr="0064773D">
              <w:rPr>
                <w:lang w:val="it-IT"/>
              </w:rPr>
              <w:lastRenderedPageBreak/>
              <w:t>Nu are efect sensibilizant asupra pielii.</w:t>
            </w:r>
          </w:p>
        </w:tc>
      </w:tr>
      <w:tr w:rsidR="00B66405" w:rsidRPr="001F7047" w:rsidTr="006B235A">
        <w:tc>
          <w:tcPr>
            <w:tcW w:w="9923" w:type="dxa"/>
          </w:tcPr>
          <w:p w:rsidR="003128E7" w:rsidRPr="003128E7" w:rsidRDefault="00B66405" w:rsidP="00050C51">
            <w:pPr>
              <w:pStyle w:val="NoSpacing"/>
              <w:rPr>
                <w:lang w:val="it-IT"/>
              </w:rPr>
            </w:pPr>
            <w:r w:rsidRPr="00BF0448">
              <w:rPr>
                <w:u w:val="single"/>
                <w:lang w:val="ro-RO"/>
              </w:rPr>
              <w:lastRenderedPageBreak/>
              <w:t>Asupra sănăt</w:t>
            </w:r>
            <w:r w:rsidR="00DE5738" w:rsidRPr="00BF0448">
              <w:rPr>
                <w:u w:val="single"/>
                <w:lang w:val="ro-RO"/>
              </w:rPr>
              <w:t>ăt</w:t>
            </w:r>
            <w:r w:rsidRPr="00BF0448">
              <w:rPr>
                <w:u w:val="single"/>
                <w:lang w:val="ro-RO"/>
              </w:rPr>
              <w:t>ii animalelor</w:t>
            </w:r>
            <w:r w:rsidR="003128E7">
              <w:rPr>
                <w:u w:val="single"/>
                <w:lang w:val="ro-RO"/>
              </w:rPr>
              <w:t>:</w:t>
            </w:r>
            <w:r w:rsidRPr="001F7047">
              <w:rPr>
                <w:i/>
                <w:u w:val="single"/>
                <w:lang w:val="ro-RO"/>
              </w:rPr>
              <w:t xml:space="preserve"> </w:t>
            </w:r>
            <w:r w:rsidR="003128E7" w:rsidRPr="003128E7">
              <w:rPr>
                <w:lang w:val="it-IT"/>
              </w:rPr>
              <w:t>Riscuri specifice pentru sănătatea animală</w:t>
            </w:r>
          </w:p>
          <w:p w:rsidR="003128E7" w:rsidRPr="003128E7" w:rsidRDefault="003128E7" w:rsidP="00050C51">
            <w:pPr>
              <w:pStyle w:val="NoSpacing"/>
              <w:rPr>
                <w:lang w:val="it-IT"/>
              </w:rPr>
            </w:pPr>
            <w:r w:rsidRPr="003128E7">
              <w:rPr>
                <w:lang w:val="it-IT"/>
              </w:rPr>
              <w:t>Identificarea pericolelor</w:t>
            </w:r>
            <w:r w:rsidRPr="003128E7">
              <w:rPr>
                <w:lang w:val="it-IT"/>
              </w:rPr>
              <w:tab/>
            </w:r>
          </w:p>
          <w:p w:rsidR="003128E7" w:rsidRPr="003128E7" w:rsidRDefault="003128E7" w:rsidP="00050C51">
            <w:pPr>
              <w:pStyle w:val="NoSpacing"/>
              <w:rPr>
                <w:lang w:val="it-IT"/>
              </w:rPr>
            </w:pPr>
            <w:r w:rsidRPr="003128E7">
              <w:rPr>
                <w:lang w:val="it-IT"/>
              </w:rPr>
              <w:t xml:space="preserve">Vertebratele care nu sunt specii </w:t>
            </w:r>
            <w:r w:rsidRPr="003128E7">
              <w:rPr>
                <w:rFonts w:ascii="Cambria Math" w:hAnsi="Cambria Math" w:cs="Cambria Math"/>
                <w:lang w:val="it-IT"/>
              </w:rPr>
              <w:t>ț</w:t>
            </w:r>
            <w:r w:rsidRPr="003128E7">
              <w:rPr>
                <w:lang w:val="it-IT"/>
              </w:rPr>
              <w:t>intă pot fi expuse la substan</w:t>
            </w:r>
            <w:r w:rsidRPr="003128E7">
              <w:rPr>
                <w:rFonts w:ascii="Cambria Math" w:hAnsi="Cambria Math" w:cs="Cambria Math"/>
                <w:lang w:val="it-IT"/>
              </w:rPr>
              <w:t>ț</w:t>
            </w:r>
            <w:r w:rsidRPr="003128E7">
              <w:rPr>
                <w:lang w:val="it-IT"/>
              </w:rPr>
              <w:t>a activă, fie direct prin ingestia de momeală rodenticidă sau a resturilor de momeală (intoxicare primară), fie indirect, prin înghi</w:t>
            </w:r>
            <w:r w:rsidRPr="003128E7">
              <w:rPr>
                <w:rFonts w:ascii="Cambria Math" w:hAnsi="Cambria Math" w:cs="Cambria Math"/>
                <w:lang w:val="it-IT"/>
              </w:rPr>
              <w:t>ț</w:t>
            </w:r>
            <w:r w:rsidRPr="003128E7">
              <w:rPr>
                <w:lang w:val="it-IT"/>
              </w:rPr>
              <w:t>irea carcaselor de rozătoare specia ţintă care con</w:t>
            </w:r>
            <w:r w:rsidRPr="003128E7">
              <w:rPr>
                <w:rFonts w:ascii="Cambria Math" w:hAnsi="Cambria Math" w:cs="Cambria Math"/>
                <w:lang w:val="it-IT"/>
              </w:rPr>
              <w:t>ț</w:t>
            </w:r>
            <w:r w:rsidRPr="003128E7">
              <w:rPr>
                <w:lang w:val="it-IT"/>
              </w:rPr>
              <w:t>in reziduuri ale substan</w:t>
            </w:r>
            <w:r w:rsidRPr="003128E7">
              <w:rPr>
                <w:rFonts w:ascii="Cambria Math" w:hAnsi="Cambria Math" w:cs="Cambria Math"/>
                <w:lang w:val="it-IT"/>
              </w:rPr>
              <w:t>ț</w:t>
            </w:r>
            <w:r w:rsidRPr="003128E7">
              <w:rPr>
                <w:lang w:val="it-IT"/>
              </w:rPr>
              <w:t xml:space="preserve">ei active (intoxicare secundară).  </w:t>
            </w:r>
          </w:p>
          <w:p w:rsidR="003128E7" w:rsidRPr="003128E7" w:rsidRDefault="003128E7" w:rsidP="00050C51">
            <w:pPr>
              <w:pStyle w:val="NoSpacing"/>
              <w:rPr>
                <w:lang w:val="it-IT"/>
              </w:rPr>
            </w:pPr>
            <w:r w:rsidRPr="003128E7">
              <w:rPr>
                <w:lang w:val="it-IT"/>
              </w:rPr>
              <w:t>Este necesară monitorizarea activită</w:t>
            </w:r>
            <w:r w:rsidRPr="003128E7">
              <w:rPr>
                <w:rFonts w:ascii="Cambria Math" w:hAnsi="Cambria Math" w:cs="Cambria Math"/>
                <w:lang w:val="it-IT"/>
              </w:rPr>
              <w:t>ț</w:t>
            </w:r>
            <w:r w:rsidRPr="003128E7">
              <w:rPr>
                <w:lang w:val="it-IT"/>
              </w:rPr>
              <w:t xml:space="preserve">ii protrombinice imediat după ingestie </w:t>
            </w:r>
            <w:r w:rsidRPr="003128E7">
              <w:rPr>
                <w:rFonts w:ascii="Cambria Math" w:hAnsi="Cambria Math" w:cs="Cambria Math"/>
                <w:lang w:val="it-IT"/>
              </w:rPr>
              <w:t>ș</w:t>
            </w:r>
            <w:r w:rsidRPr="003128E7">
              <w:rPr>
                <w:lang w:val="it-IT"/>
              </w:rPr>
              <w:t xml:space="preserve">i în zilele următoare. În caz de activitate protrombinică redusă,  se va administra vitamina K. </w:t>
            </w:r>
          </w:p>
          <w:p w:rsidR="003128E7" w:rsidRPr="003128E7" w:rsidRDefault="003128E7" w:rsidP="00050C51">
            <w:pPr>
              <w:pStyle w:val="NoSpacing"/>
              <w:rPr>
                <w:lang w:val="it-IT"/>
              </w:rPr>
            </w:pPr>
            <w:r w:rsidRPr="003128E7">
              <w:rPr>
                <w:lang w:val="it-IT"/>
              </w:rPr>
              <w:t>Efecte adverse directe s</w:t>
            </w:r>
            <w:r>
              <w:rPr>
                <w:lang w:val="it-IT"/>
              </w:rPr>
              <w:t>au indirecte asupra animalelor:</w:t>
            </w:r>
          </w:p>
          <w:p w:rsidR="00DE5738" w:rsidRPr="003128E7" w:rsidRDefault="003128E7" w:rsidP="00050C51">
            <w:pPr>
              <w:pStyle w:val="NoSpacing"/>
              <w:rPr>
                <w:lang w:val="it-IT"/>
              </w:rPr>
            </w:pPr>
            <w:r w:rsidRPr="003128E7">
              <w:rPr>
                <w:lang w:val="it-IT"/>
              </w:rPr>
              <w:t>Cele mai întâlnite semne de otrăvire sunt hemoragiile (hemoragii la nivelul mucoaselor, organelor şi par</w:t>
            </w:r>
            <w:r>
              <w:rPr>
                <w:lang w:val="it-IT"/>
              </w:rPr>
              <w:t xml:space="preserve">enchimului), sânge în urină.   </w:t>
            </w:r>
          </w:p>
        </w:tc>
      </w:tr>
      <w:tr w:rsidR="00B66405" w:rsidRPr="001F7047" w:rsidTr="006B235A">
        <w:tc>
          <w:tcPr>
            <w:tcW w:w="9923" w:type="dxa"/>
          </w:tcPr>
          <w:p w:rsidR="00CC2A74" w:rsidRPr="00CC2A74" w:rsidRDefault="00B66405" w:rsidP="00050C51">
            <w:pPr>
              <w:pStyle w:val="NoSpacing"/>
              <w:rPr>
                <w:lang w:val="ro-RO"/>
              </w:rPr>
            </w:pPr>
            <w:r w:rsidRPr="00B60E65">
              <w:rPr>
                <w:u w:val="single"/>
                <w:lang w:val="ro-RO"/>
              </w:rPr>
              <w:t>Asupra mediului</w:t>
            </w:r>
            <w:r w:rsidR="00400263" w:rsidRPr="00B60E65">
              <w:rPr>
                <w:lang w:val="ro-RO"/>
              </w:rPr>
              <w:t xml:space="preserve">: </w:t>
            </w:r>
            <w:r w:rsidR="00CC2A74" w:rsidRPr="00CC2A74">
              <w:rPr>
                <w:lang w:val="ro-RO"/>
              </w:rPr>
              <w:t>Trebuie evitata cat mai mult expunerea solului la produsul formulat precum si evitarea patrunderii in sol, tinand cont de proprietatile PBT difenacoumului.</w:t>
            </w:r>
            <w:r w:rsidR="00AB4DF3">
              <w:rPr>
                <w:lang w:val="ro-RO"/>
              </w:rPr>
              <w:t xml:space="preserve">Pe baza informatiilor disponibile nu este de asteptat ca produsul sa induca </w:t>
            </w:r>
            <w:r w:rsidR="005C742F">
              <w:rPr>
                <w:lang w:val="ro-RO"/>
              </w:rPr>
              <w:t>efecte  adverse in mediu cand este utilizat conform instructiunilor.</w:t>
            </w:r>
          </w:p>
          <w:p w:rsidR="00CC2A74" w:rsidRPr="00CC2A74" w:rsidRDefault="00CC2A74" w:rsidP="00050C51">
            <w:pPr>
              <w:pStyle w:val="NoSpacing"/>
              <w:rPr>
                <w:lang w:val="ro-RO"/>
              </w:rPr>
            </w:pPr>
            <w:r w:rsidRPr="00CC2A74">
              <w:rPr>
                <w:u w:val="single"/>
                <w:lang w:val="ro-RO"/>
              </w:rPr>
              <w:t>Apa:</w:t>
            </w:r>
            <w:r w:rsidRPr="00CC2A74">
              <w:rPr>
                <w:lang w:val="ro-RO"/>
              </w:rPr>
              <w:t xml:space="preserve"> Substanta activa este putin solubila in apa.Substanta activa i</w:t>
            </w:r>
            <w:r w:rsidR="005C742F">
              <w:rPr>
                <w:lang w:val="ro-RO"/>
              </w:rPr>
              <w:t xml:space="preserve">ndeplineste criteriile PBT </w:t>
            </w:r>
            <w:r w:rsidRPr="00CC2A74">
              <w:rPr>
                <w:lang w:val="ro-RO"/>
              </w:rPr>
              <w:t>; este  persistenta in apa, cu tendinte de bioacumulare in organisme si foarte toxice .</w:t>
            </w:r>
          </w:p>
          <w:p w:rsidR="00CC2A74" w:rsidRPr="00CC2A74" w:rsidRDefault="00CC2A74" w:rsidP="00050C51">
            <w:pPr>
              <w:pStyle w:val="NoSpacing"/>
              <w:rPr>
                <w:lang w:val="ro-RO"/>
              </w:rPr>
            </w:pPr>
            <w:r w:rsidRPr="00CC2A74">
              <w:rPr>
                <w:u w:val="single"/>
                <w:lang w:val="ro-RO"/>
              </w:rPr>
              <w:t xml:space="preserve"> Aer</w:t>
            </w:r>
            <w:r w:rsidRPr="00CC2A74">
              <w:rPr>
                <w:lang w:val="ro-RO"/>
              </w:rPr>
              <w:t>: Nu este de asteptat sa rezulte pierderi, acumulari de substanta activa in aer in timpul utilizarii.</w:t>
            </w:r>
          </w:p>
          <w:p w:rsidR="00CC2A74" w:rsidRPr="00CC2A74" w:rsidRDefault="00CC2A74" w:rsidP="00050C51">
            <w:pPr>
              <w:pStyle w:val="NoSpacing"/>
              <w:rPr>
                <w:lang w:val="ro-RO"/>
              </w:rPr>
            </w:pPr>
            <w:r w:rsidRPr="00CC2A74">
              <w:rPr>
                <w:u w:val="single"/>
                <w:lang w:val="ro-RO"/>
              </w:rPr>
              <w:t>Organismele acvatice</w:t>
            </w:r>
            <w:r w:rsidRPr="00CC2A74">
              <w:rPr>
                <w:lang w:val="ro-RO"/>
              </w:rPr>
              <w:t xml:space="preserve"> :Produsul prezinta un risc </w:t>
            </w:r>
            <w:r w:rsidR="005C742F">
              <w:rPr>
                <w:lang w:val="ro-RO"/>
              </w:rPr>
              <w:t>acceptabil</w:t>
            </w:r>
            <w:r w:rsidR="00674B30">
              <w:rPr>
                <w:lang w:val="ro-RO"/>
              </w:rPr>
              <w:t xml:space="preserve"> pentru organismele din mediul acvatic.</w:t>
            </w:r>
          </w:p>
          <w:p w:rsidR="00076880" w:rsidRPr="00B60E65" w:rsidRDefault="00CC2A74" w:rsidP="00050C51">
            <w:pPr>
              <w:pStyle w:val="NoSpacing"/>
              <w:rPr>
                <w:lang w:val="ro-RO"/>
              </w:rPr>
            </w:pPr>
            <w:r w:rsidRPr="00CC2A74">
              <w:rPr>
                <w:u w:val="single"/>
                <w:lang w:val="ro-RO"/>
              </w:rPr>
              <w:t>Alte organisme netinta</w:t>
            </w:r>
            <w:r w:rsidRPr="00CC2A74">
              <w:rPr>
                <w:lang w:val="ro-RO"/>
              </w:rPr>
              <w:t xml:space="preserve"> :</w:t>
            </w:r>
            <w:r w:rsidR="00076880">
              <w:rPr>
                <w:lang w:val="ro-RO"/>
              </w:rPr>
              <w:t>Produsul nu prezinta risc neacceptabil pentru organismele din mediul terestru. Fara efecte semnificative asupra proceselor de respiratie/nitrificare din sol.</w:t>
            </w:r>
          </w:p>
        </w:tc>
      </w:tr>
    </w:tbl>
    <w:p w:rsidR="00FF3D0E" w:rsidRPr="00993707" w:rsidRDefault="00FF3D0E" w:rsidP="00050C51">
      <w:pPr>
        <w:pStyle w:val="NoSpacing"/>
        <w:rPr>
          <w:b/>
          <w:sz w:val="10"/>
          <w:lang w:val="ro-RO"/>
        </w:rPr>
      </w:pPr>
    </w:p>
    <w:p w:rsidR="00B66405" w:rsidRPr="0003534F" w:rsidRDefault="00B66405" w:rsidP="00050C51">
      <w:pPr>
        <w:pStyle w:val="NoSpacing"/>
        <w:rPr>
          <w:b/>
          <w:lang w:val="ro-RO"/>
        </w:rPr>
      </w:pPr>
      <w:r w:rsidRPr="0003534F">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52"/>
        <w:gridCol w:w="1701"/>
        <w:gridCol w:w="1984"/>
        <w:gridCol w:w="1843"/>
      </w:tblGrid>
      <w:tr w:rsidR="00CE47C0" w:rsidRPr="005524CA" w:rsidTr="005524CA">
        <w:tc>
          <w:tcPr>
            <w:tcW w:w="1843" w:type="dxa"/>
            <w:shd w:val="clear" w:color="auto" w:fill="auto"/>
          </w:tcPr>
          <w:p w:rsidR="00B66405" w:rsidRPr="005524CA" w:rsidRDefault="00B66405" w:rsidP="00050C51">
            <w:pPr>
              <w:pStyle w:val="NoSpacing"/>
              <w:rPr>
                <w:lang w:val="ro-RO"/>
              </w:rPr>
            </w:pPr>
            <w:r w:rsidRPr="005524CA">
              <w:rPr>
                <w:lang w:val="ro-RO"/>
              </w:rPr>
              <w:t>Activitatea</w:t>
            </w:r>
          </w:p>
        </w:tc>
        <w:tc>
          <w:tcPr>
            <w:tcW w:w="2552" w:type="dxa"/>
            <w:shd w:val="clear" w:color="auto" w:fill="auto"/>
          </w:tcPr>
          <w:p w:rsidR="00B66405" w:rsidRPr="005524CA" w:rsidRDefault="00B66405" w:rsidP="00050C51">
            <w:pPr>
              <w:pStyle w:val="NoSpacing"/>
              <w:rPr>
                <w:lang w:val="ro-RO"/>
              </w:rPr>
            </w:pPr>
            <w:r w:rsidRPr="005524CA">
              <w:rPr>
                <w:lang w:val="ro-RO"/>
              </w:rPr>
              <w:t>Metoda de testare / Protocolul de testare</w:t>
            </w:r>
          </w:p>
        </w:tc>
        <w:tc>
          <w:tcPr>
            <w:tcW w:w="1701" w:type="dxa"/>
            <w:shd w:val="clear" w:color="auto" w:fill="auto"/>
          </w:tcPr>
          <w:p w:rsidR="00B66405" w:rsidRPr="005524CA" w:rsidRDefault="00B66405" w:rsidP="00050C51">
            <w:pPr>
              <w:pStyle w:val="NoSpacing"/>
              <w:rPr>
                <w:lang w:val="ro-RO"/>
              </w:rPr>
            </w:pPr>
            <w:r w:rsidRPr="005524CA">
              <w:rPr>
                <w:lang w:val="ro-RO"/>
              </w:rPr>
              <w:t>Specia</w:t>
            </w:r>
            <w:r w:rsidR="00343AE3" w:rsidRPr="005524CA">
              <w:rPr>
                <w:lang w:val="ro-RO"/>
              </w:rPr>
              <w:t>/Tulpina</w:t>
            </w:r>
          </w:p>
        </w:tc>
        <w:tc>
          <w:tcPr>
            <w:tcW w:w="1984" w:type="dxa"/>
            <w:shd w:val="clear" w:color="auto" w:fill="auto"/>
          </w:tcPr>
          <w:p w:rsidR="00B66405" w:rsidRPr="005524CA" w:rsidRDefault="00B66405" w:rsidP="00050C51">
            <w:pPr>
              <w:pStyle w:val="NoSpacing"/>
              <w:rPr>
                <w:lang w:val="ro-RO"/>
              </w:rPr>
            </w:pPr>
            <w:r w:rsidRPr="005524CA">
              <w:rPr>
                <w:lang w:val="ro-RO"/>
              </w:rPr>
              <w:t>Concentraţii</w:t>
            </w:r>
          </w:p>
        </w:tc>
        <w:tc>
          <w:tcPr>
            <w:tcW w:w="1843" w:type="dxa"/>
            <w:shd w:val="clear" w:color="auto" w:fill="auto"/>
          </w:tcPr>
          <w:p w:rsidR="00B66405" w:rsidRPr="005524CA" w:rsidRDefault="00B66405" w:rsidP="00050C51">
            <w:pPr>
              <w:pStyle w:val="NoSpacing"/>
              <w:rPr>
                <w:lang w:val="ro-RO"/>
              </w:rPr>
            </w:pPr>
            <w:r w:rsidRPr="005524CA">
              <w:rPr>
                <w:lang w:val="ro-RO"/>
              </w:rPr>
              <w:t>Timpi de acţiune</w:t>
            </w:r>
          </w:p>
        </w:tc>
      </w:tr>
      <w:tr w:rsidR="005524CA" w:rsidRPr="005524CA" w:rsidTr="005524CA">
        <w:tc>
          <w:tcPr>
            <w:tcW w:w="1843" w:type="dxa"/>
            <w:shd w:val="clear" w:color="auto" w:fill="auto"/>
          </w:tcPr>
          <w:p w:rsidR="005524CA" w:rsidRPr="005524CA" w:rsidRDefault="005524CA" w:rsidP="00050C51">
            <w:pPr>
              <w:pStyle w:val="NoSpacing"/>
              <w:rPr>
                <w:lang w:val="ro-RO"/>
              </w:rPr>
            </w:pPr>
            <w:r>
              <w:rPr>
                <w:lang w:val="ro-RO"/>
              </w:rPr>
              <w:t>Rodenticidă</w:t>
            </w:r>
          </w:p>
          <w:p w:rsidR="005524CA" w:rsidRPr="005524CA" w:rsidRDefault="005524CA" w:rsidP="00050C51">
            <w:pPr>
              <w:pStyle w:val="NoSpacing"/>
              <w:rPr>
                <w:lang w:val="ro-RO"/>
              </w:rPr>
            </w:pPr>
            <w:r w:rsidRPr="005524CA">
              <w:rPr>
                <w:lang w:val="ro-RO"/>
              </w:rPr>
              <w:t>anticoagulant,</w:t>
            </w:r>
          </w:p>
          <w:p w:rsidR="005524CA" w:rsidRPr="005524CA" w:rsidRDefault="005524CA" w:rsidP="00050C51">
            <w:pPr>
              <w:pStyle w:val="NoSpacing"/>
              <w:rPr>
                <w:lang w:val="ro-RO"/>
              </w:rPr>
            </w:pPr>
            <w:r>
              <w:rPr>
                <w:lang w:val="ro-RO"/>
              </w:rPr>
              <w:t>toxină cu acţiune prin ingestie</w:t>
            </w:r>
          </w:p>
        </w:tc>
        <w:tc>
          <w:tcPr>
            <w:tcW w:w="2552" w:type="dxa"/>
            <w:shd w:val="clear" w:color="auto" w:fill="auto"/>
          </w:tcPr>
          <w:p w:rsidR="005524CA" w:rsidRPr="005524CA" w:rsidRDefault="005524CA" w:rsidP="00050C51">
            <w:pPr>
              <w:pStyle w:val="NoSpacing"/>
              <w:rPr>
                <w:lang w:val="ro-RO"/>
              </w:rPr>
            </w:pPr>
            <w:r w:rsidRPr="005524CA">
              <w:rPr>
                <w:lang w:val="ro-RO"/>
              </w:rPr>
              <w:t xml:space="preserve">Metoda TNfG pentru TP14. Testare </w:t>
            </w:r>
            <w:r w:rsidRPr="005524CA">
              <w:rPr>
                <w:u w:val="single"/>
                <w:lang w:val="ro-RO"/>
              </w:rPr>
              <w:t xml:space="preserve"> în condiţii de laborator,</w:t>
            </w:r>
            <w:r w:rsidRPr="005524CA">
              <w:rPr>
                <w:lang w:val="ro-RO"/>
              </w:rPr>
              <w:t xml:space="preserve"> </w:t>
            </w:r>
            <w:r w:rsidRPr="005524CA">
              <w:t xml:space="preserve">Test de </w:t>
            </w:r>
            <w:proofErr w:type="spellStart"/>
            <w:r w:rsidRPr="005524CA">
              <w:t>hrănire</w:t>
            </w:r>
            <w:proofErr w:type="spellEnd"/>
            <w:r w:rsidRPr="005524CA">
              <w:t xml:space="preserve"> la </w:t>
            </w:r>
            <w:proofErr w:type="spellStart"/>
            <w:r w:rsidRPr="005524CA">
              <w:t>alegere</w:t>
            </w:r>
            <w:proofErr w:type="spellEnd"/>
            <w:r w:rsidRPr="005524CA">
              <w:rPr>
                <w:lang w:val="ro-RO"/>
              </w:rPr>
              <w:t xml:space="preserve"> .</w:t>
            </w:r>
          </w:p>
        </w:tc>
        <w:tc>
          <w:tcPr>
            <w:tcW w:w="1701" w:type="dxa"/>
            <w:shd w:val="clear" w:color="auto" w:fill="auto"/>
          </w:tcPr>
          <w:p w:rsidR="005524CA" w:rsidRPr="005524CA" w:rsidRDefault="005524CA" w:rsidP="00050C51">
            <w:pPr>
              <w:pStyle w:val="NoSpacing"/>
              <w:rPr>
                <w:i/>
                <w:lang w:val="ro-RO"/>
              </w:rPr>
            </w:pPr>
            <w:r w:rsidRPr="005524CA">
              <w:rPr>
                <w:i/>
                <w:lang w:val="ro-RO"/>
              </w:rPr>
              <w:t>Mus musculus</w:t>
            </w:r>
          </w:p>
          <w:p w:rsidR="005524CA" w:rsidRPr="005524CA" w:rsidRDefault="005524CA" w:rsidP="00050C51">
            <w:pPr>
              <w:pStyle w:val="NoSpacing"/>
              <w:rPr>
                <w:i/>
                <w:lang w:val="ro-RO"/>
              </w:rPr>
            </w:pPr>
            <w:r w:rsidRPr="005524CA">
              <w:rPr>
                <w:i/>
                <w:lang w:val="ro-RO"/>
              </w:rPr>
              <w:t>Rattus norvegicus</w:t>
            </w:r>
          </w:p>
          <w:p w:rsidR="005524CA" w:rsidRPr="005524CA" w:rsidRDefault="005524CA" w:rsidP="00050C51">
            <w:pPr>
              <w:pStyle w:val="NoSpacing"/>
              <w:rPr>
                <w:i/>
                <w:lang w:val="ro-RO"/>
              </w:rPr>
            </w:pPr>
            <w:r w:rsidRPr="005524CA">
              <w:rPr>
                <w:i/>
                <w:lang w:val="ro-RO"/>
              </w:rPr>
              <w:t>Rattus rattus</w:t>
            </w:r>
          </w:p>
        </w:tc>
        <w:tc>
          <w:tcPr>
            <w:tcW w:w="1984" w:type="dxa"/>
            <w:shd w:val="clear" w:color="auto" w:fill="auto"/>
          </w:tcPr>
          <w:p w:rsidR="005524CA" w:rsidRPr="005524CA" w:rsidRDefault="005524CA" w:rsidP="00050C51">
            <w:pPr>
              <w:pStyle w:val="NoSpacing"/>
              <w:rPr>
                <w:lang w:val="ro-RO"/>
              </w:rPr>
            </w:pPr>
            <w:r w:rsidRPr="005524CA">
              <w:rPr>
                <w:lang w:val="ro-RO"/>
              </w:rPr>
              <w:t>Difenacoum</w:t>
            </w:r>
          </w:p>
          <w:p w:rsidR="005524CA" w:rsidRPr="005524CA" w:rsidRDefault="005524CA" w:rsidP="00050C51">
            <w:pPr>
              <w:pStyle w:val="NoSpacing"/>
              <w:rPr>
                <w:lang w:val="ro-RO"/>
              </w:rPr>
            </w:pPr>
            <w:r w:rsidRPr="005524CA">
              <w:rPr>
                <w:lang w:val="ro-RO"/>
              </w:rPr>
              <w:t>0.0028%</w:t>
            </w:r>
          </w:p>
          <w:p w:rsidR="005524CA" w:rsidRPr="005524CA" w:rsidRDefault="005524CA" w:rsidP="00050C51">
            <w:pPr>
              <w:pStyle w:val="NoSpacing"/>
              <w:rPr>
                <w:lang w:val="ro-RO"/>
              </w:rPr>
            </w:pPr>
            <w:r w:rsidRPr="005524CA">
              <w:rPr>
                <w:lang w:val="ro-RO"/>
              </w:rPr>
              <w:t>Momeală proaspată</w:t>
            </w:r>
          </w:p>
        </w:tc>
        <w:tc>
          <w:tcPr>
            <w:tcW w:w="1843" w:type="dxa"/>
            <w:shd w:val="clear" w:color="auto" w:fill="auto"/>
          </w:tcPr>
          <w:p w:rsidR="005524CA" w:rsidRPr="005524CA" w:rsidRDefault="005524CA" w:rsidP="00050C51">
            <w:pPr>
              <w:pStyle w:val="NoSpacing"/>
              <w:rPr>
                <w:lang w:val="ro-RO"/>
              </w:rPr>
            </w:pPr>
            <w:r w:rsidRPr="005524CA">
              <w:rPr>
                <w:lang w:val="ro-RO"/>
              </w:rPr>
              <w:t xml:space="preserve">Mortalitate 100%  </w:t>
            </w:r>
            <w:r w:rsidRPr="005524CA">
              <w:rPr>
                <w:rFonts w:ascii="Cambria Math" w:hAnsi="Cambria Math" w:cs="Cambria Math"/>
                <w:lang w:val="ro-RO"/>
              </w:rPr>
              <w:t>ȋ</w:t>
            </w:r>
            <w:r w:rsidRPr="005524CA">
              <w:rPr>
                <w:lang w:val="ro-RO"/>
              </w:rPr>
              <w:t>n  4 zile</w:t>
            </w:r>
          </w:p>
        </w:tc>
      </w:tr>
      <w:tr w:rsidR="005524CA" w:rsidRPr="005524CA" w:rsidTr="005524CA">
        <w:tc>
          <w:tcPr>
            <w:tcW w:w="1843" w:type="dxa"/>
            <w:shd w:val="clear" w:color="auto" w:fill="auto"/>
          </w:tcPr>
          <w:p w:rsidR="005524CA" w:rsidRPr="005524CA" w:rsidRDefault="005524CA" w:rsidP="00050C51">
            <w:pPr>
              <w:pStyle w:val="NoSpacing"/>
              <w:rPr>
                <w:lang w:val="ro-RO"/>
              </w:rPr>
            </w:pPr>
            <w:r w:rsidRPr="005524CA">
              <w:rPr>
                <w:lang w:val="ro-RO"/>
              </w:rPr>
              <w:t>Rodenticidă,</w:t>
            </w:r>
          </w:p>
          <w:p w:rsidR="005524CA" w:rsidRPr="005524CA" w:rsidRDefault="005524CA" w:rsidP="00050C51">
            <w:pPr>
              <w:pStyle w:val="NoSpacing"/>
              <w:rPr>
                <w:lang w:val="ro-RO"/>
              </w:rPr>
            </w:pPr>
            <w:r w:rsidRPr="005524CA">
              <w:rPr>
                <w:lang w:val="ro-RO"/>
              </w:rPr>
              <w:t>anticoagulant,</w:t>
            </w:r>
          </w:p>
          <w:p w:rsidR="005524CA" w:rsidRPr="005524CA" w:rsidRDefault="005524CA" w:rsidP="00050C51">
            <w:pPr>
              <w:pStyle w:val="NoSpacing"/>
              <w:rPr>
                <w:lang w:val="ro-RO"/>
              </w:rPr>
            </w:pPr>
            <w:r w:rsidRPr="005524CA">
              <w:rPr>
                <w:lang w:val="ro-RO"/>
              </w:rPr>
              <w:t>toxină cu acţiune prin ingestie</w:t>
            </w:r>
          </w:p>
        </w:tc>
        <w:tc>
          <w:tcPr>
            <w:tcW w:w="2552" w:type="dxa"/>
            <w:shd w:val="clear" w:color="auto" w:fill="auto"/>
          </w:tcPr>
          <w:p w:rsidR="005524CA" w:rsidRPr="005524CA" w:rsidRDefault="005524CA" w:rsidP="00050C51">
            <w:pPr>
              <w:pStyle w:val="NoSpacing"/>
              <w:rPr>
                <w:lang w:val="ro-RO"/>
              </w:rPr>
            </w:pPr>
            <w:r w:rsidRPr="005524CA">
              <w:rPr>
                <w:lang w:val="ro-RO"/>
              </w:rPr>
              <w:t xml:space="preserve">Metoda TNfG pentru TP14. Testare </w:t>
            </w:r>
            <w:r w:rsidRPr="005524CA">
              <w:rPr>
                <w:u w:val="single"/>
                <w:lang w:val="ro-RO"/>
              </w:rPr>
              <w:t xml:space="preserve"> în condiţii de laborator,</w:t>
            </w:r>
            <w:r w:rsidRPr="005524CA">
              <w:rPr>
                <w:lang w:val="ro-RO"/>
              </w:rPr>
              <w:t xml:space="preserve"> </w:t>
            </w:r>
            <w:r w:rsidRPr="005524CA">
              <w:t xml:space="preserve">Test de </w:t>
            </w:r>
            <w:proofErr w:type="spellStart"/>
            <w:r w:rsidRPr="005524CA">
              <w:t>hrănire</w:t>
            </w:r>
            <w:proofErr w:type="spellEnd"/>
            <w:r w:rsidRPr="005524CA">
              <w:t xml:space="preserve"> la </w:t>
            </w:r>
            <w:proofErr w:type="spellStart"/>
            <w:r w:rsidRPr="005524CA">
              <w:t>alegere</w:t>
            </w:r>
            <w:proofErr w:type="spellEnd"/>
            <w:r w:rsidRPr="005524CA">
              <w:rPr>
                <w:lang w:val="ro-RO"/>
              </w:rPr>
              <w:t xml:space="preserve"> </w:t>
            </w:r>
            <w:r>
              <w:rPr>
                <w:lang w:val="ro-RO"/>
              </w:rPr>
              <w:t>.</w:t>
            </w:r>
          </w:p>
        </w:tc>
        <w:tc>
          <w:tcPr>
            <w:tcW w:w="1701" w:type="dxa"/>
            <w:shd w:val="clear" w:color="auto" w:fill="auto"/>
          </w:tcPr>
          <w:p w:rsidR="005524CA" w:rsidRPr="005524CA" w:rsidRDefault="005524CA" w:rsidP="00050C51">
            <w:pPr>
              <w:pStyle w:val="NoSpacing"/>
              <w:rPr>
                <w:i/>
                <w:lang w:val="ro-RO"/>
              </w:rPr>
            </w:pPr>
            <w:r w:rsidRPr="005524CA">
              <w:rPr>
                <w:i/>
                <w:lang w:val="ro-RO"/>
              </w:rPr>
              <w:t>Mus musculus</w:t>
            </w:r>
          </w:p>
          <w:p w:rsidR="005524CA" w:rsidRPr="005524CA" w:rsidRDefault="005524CA" w:rsidP="00050C51">
            <w:pPr>
              <w:pStyle w:val="NoSpacing"/>
              <w:rPr>
                <w:i/>
                <w:lang w:val="ro-RO"/>
              </w:rPr>
            </w:pPr>
            <w:r w:rsidRPr="005524CA">
              <w:rPr>
                <w:i/>
                <w:lang w:val="ro-RO"/>
              </w:rPr>
              <w:t>Rattus norvegicus</w:t>
            </w:r>
          </w:p>
          <w:p w:rsidR="005524CA" w:rsidRPr="005524CA" w:rsidRDefault="005524CA" w:rsidP="00050C51">
            <w:pPr>
              <w:pStyle w:val="NoSpacing"/>
              <w:rPr>
                <w:i/>
                <w:lang w:val="ro-RO"/>
              </w:rPr>
            </w:pPr>
            <w:r w:rsidRPr="005524CA">
              <w:rPr>
                <w:i/>
                <w:lang w:val="ro-RO"/>
              </w:rPr>
              <w:t xml:space="preserve">Rattus rattus </w:t>
            </w:r>
          </w:p>
        </w:tc>
        <w:tc>
          <w:tcPr>
            <w:tcW w:w="1984" w:type="dxa"/>
            <w:shd w:val="clear" w:color="auto" w:fill="auto"/>
          </w:tcPr>
          <w:p w:rsidR="005524CA" w:rsidRPr="005524CA" w:rsidRDefault="005524CA" w:rsidP="00050C51">
            <w:pPr>
              <w:pStyle w:val="NoSpacing"/>
              <w:rPr>
                <w:lang w:val="ro-RO"/>
              </w:rPr>
            </w:pPr>
            <w:r w:rsidRPr="005524CA">
              <w:rPr>
                <w:lang w:val="ro-RO"/>
              </w:rPr>
              <w:t>Difenacoum</w:t>
            </w:r>
          </w:p>
          <w:p w:rsidR="005524CA" w:rsidRPr="005524CA" w:rsidRDefault="005524CA" w:rsidP="00050C51">
            <w:pPr>
              <w:pStyle w:val="NoSpacing"/>
              <w:rPr>
                <w:lang w:val="ro-RO"/>
              </w:rPr>
            </w:pPr>
            <w:r w:rsidRPr="005524CA">
              <w:rPr>
                <w:lang w:val="ro-RO"/>
              </w:rPr>
              <w:t>0.0028%</w:t>
            </w:r>
          </w:p>
          <w:p w:rsidR="005524CA" w:rsidRPr="005524CA" w:rsidRDefault="005524CA" w:rsidP="00050C51">
            <w:pPr>
              <w:pStyle w:val="NoSpacing"/>
              <w:rPr>
                <w:lang w:val="ro-RO"/>
              </w:rPr>
            </w:pPr>
            <w:r w:rsidRPr="005524CA">
              <w:rPr>
                <w:lang w:val="ro-RO"/>
              </w:rPr>
              <w:t>Momeală</w:t>
            </w:r>
          </w:p>
          <w:p w:rsidR="005524CA" w:rsidRPr="005524CA" w:rsidRDefault="005524CA" w:rsidP="00050C51">
            <w:pPr>
              <w:pStyle w:val="NoSpacing"/>
              <w:rPr>
                <w:lang w:val="ro-RO"/>
              </w:rPr>
            </w:pPr>
            <w:r w:rsidRPr="005524CA">
              <w:rPr>
                <w:rFonts w:ascii="Cambria Math" w:hAnsi="Cambria Math" w:cs="Cambria Math"/>
                <w:lang w:val="ro-RO"/>
              </w:rPr>
              <w:t>ȋ</w:t>
            </w:r>
            <w:r w:rsidRPr="005524CA">
              <w:rPr>
                <w:lang w:val="ro-RO"/>
              </w:rPr>
              <w:t>mbătrânită</w:t>
            </w:r>
          </w:p>
        </w:tc>
        <w:tc>
          <w:tcPr>
            <w:tcW w:w="1843" w:type="dxa"/>
            <w:shd w:val="clear" w:color="auto" w:fill="auto"/>
          </w:tcPr>
          <w:p w:rsidR="005524CA" w:rsidRPr="005524CA" w:rsidRDefault="005524CA" w:rsidP="00050C51">
            <w:pPr>
              <w:pStyle w:val="NoSpacing"/>
              <w:rPr>
                <w:lang w:val="ro-RO"/>
              </w:rPr>
            </w:pPr>
            <w:r w:rsidRPr="005524CA">
              <w:rPr>
                <w:lang w:val="ro-RO"/>
              </w:rPr>
              <w:t xml:space="preserve">Mortalitate 100%  </w:t>
            </w:r>
            <w:r w:rsidRPr="005524CA">
              <w:rPr>
                <w:rFonts w:ascii="Cambria Math" w:hAnsi="Cambria Math" w:cs="Cambria Math"/>
                <w:lang w:val="ro-RO"/>
              </w:rPr>
              <w:t>ȋ</w:t>
            </w:r>
            <w:r w:rsidRPr="005524CA">
              <w:rPr>
                <w:lang w:val="ro-RO"/>
              </w:rPr>
              <w:t>n 4 zile</w:t>
            </w:r>
          </w:p>
        </w:tc>
      </w:tr>
      <w:tr w:rsidR="005524CA" w:rsidRPr="005524CA" w:rsidTr="005524CA">
        <w:tc>
          <w:tcPr>
            <w:tcW w:w="1843" w:type="dxa"/>
            <w:shd w:val="clear" w:color="auto" w:fill="auto"/>
          </w:tcPr>
          <w:p w:rsidR="005524CA" w:rsidRPr="005524CA" w:rsidRDefault="005524CA" w:rsidP="00050C51">
            <w:pPr>
              <w:pStyle w:val="NoSpacing"/>
              <w:rPr>
                <w:lang w:val="ro-RO"/>
              </w:rPr>
            </w:pPr>
            <w:r w:rsidRPr="005524CA">
              <w:rPr>
                <w:lang w:val="ro-RO"/>
              </w:rPr>
              <w:t>Rodenticidă,</w:t>
            </w:r>
          </w:p>
          <w:p w:rsidR="005524CA" w:rsidRPr="005524CA" w:rsidRDefault="005524CA" w:rsidP="00050C51">
            <w:pPr>
              <w:pStyle w:val="NoSpacing"/>
              <w:rPr>
                <w:lang w:val="ro-RO"/>
              </w:rPr>
            </w:pPr>
            <w:r w:rsidRPr="005524CA">
              <w:rPr>
                <w:lang w:val="ro-RO"/>
              </w:rPr>
              <w:t>anticoagulant,</w:t>
            </w:r>
          </w:p>
          <w:p w:rsidR="005524CA" w:rsidRPr="005524CA" w:rsidRDefault="005524CA" w:rsidP="00050C51">
            <w:pPr>
              <w:pStyle w:val="NoSpacing"/>
              <w:rPr>
                <w:lang w:val="ro-RO"/>
              </w:rPr>
            </w:pPr>
            <w:r w:rsidRPr="005524CA">
              <w:rPr>
                <w:lang w:val="ro-RO"/>
              </w:rPr>
              <w:t>toxină cu acţiune prin ingestie</w:t>
            </w:r>
          </w:p>
        </w:tc>
        <w:tc>
          <w:tcPr>
            <w:tcW w:w="2552" w:type="dxa"/>
            <w:shd w:val="clear" w:color="auto" w:fill="auto"/>
          </w:tcPr>
          <w:p w:rsidR="005524CA" w:rsidRPr="005524CA" w:rsidRDefault="005524CA" w:rsidP="00050C51">
            <w:pPr>
              <w:pStyle w:val="NoSpacing"/>
              <w:rPr>
                <w:lang w:val="ro-RO"/>
              </w:rPr>
            </w:pPr>
            <w:r w:rsidRPr="005524CA">
              <w:rPr>
                <w:lang w:val="ro-RO"/>
              </w:rPr>
              <w:t xml:space="preserve">Metoda TNfG pentru TP14. </w:t>
            </w:r>
            <w:proofErr w:type="spellStart"/>
            <w:r w:rsidRPr="005524CA">
              <w:t>Testare</w:t>
            </w:r>
            <w:proofErr w:type="spellEnd"/>
            <w:r w:rsidRPr="005524CA">
              <w:t xml:space="preserve"> </w:t>
            </w:r>
            <w:proofErr w:type="spellStart"/>
            <w:r w:rsidRPr="005524CA">
              <w:rPr>
                <w:u w:val="single"/>
              </w:rPr>
              <w:t>în</w:t>
            </w:r>
            <w:proofErr w:type="spellEnd"/>
            <w:r w:rsidRPr="005524CA">
              <w:rPr>
                <w:u w:val="single"/>
              </w:rPr>
              <w:t xml:space="preserve"> </w:t>
            </w:r>
            <w:proofErr w:type="spellStart"/>
            <w:r w:rsidRPr="005524CA">
              <w:rPr>
                <w:u w:val="single"/>
              </w:rPr>
              <w:t>condiţii</w:t>
            </w:r>
            <w:proofErr w:type="spellEnd"/>
            <w:r w:rsidRPr="005524CA">
              <w:rPr>
                <w:u w:val="single"/>
              </w:rPr>
              <w:t xml:space="preserve"> de </w:t>
            </w:r>
            <w:proofErr w:type="spellStart"/>
            <w:r w:rsidRPr="005524CA">
              <w:rPr>
                <w:u w:val="single"/>
              </w:rPr>
              <w:t>teren</w:t>
            </w:r>
            <w:proofErr w:type="spellEnd"/>
            <w:r w:rsidRPr="005524CA">
              <w:rPr>
                <w:u w:val="single"/>
              </w:rPr>
              <w:t>.</w:t>
            </w:r>
          </w:p>
        </w:tc>
        <w:tc>
          <w:tcPr>
            <w:tcW w:w="1701" w:type="dxa"/>
            <w:shd w:val="clear" w:color="auto" w:fill="auto"/>
          </w:tcPr>
          <w:p w:rsidR="005524CA" w:rsidRPr="005524CA" w:rsidRDefault="005524CA" w:rsidP="00050C51">
            <w:pPr>
              <w:pStyle w:val="NoSpacing"/>
              <w:rPr>
                <w:i/>
                <w:lang w:val="ro-RO"/>
              </w:rPr>
            </w:pPr>
            <w:r w:rsidRPr="005524CA">
              <w:rPr>
                <w:i/>
                <w:lang w:val="ro-RO"/>
              </w:rPr>
              <w:t>Mus musculus</w:t>
            </w:r>
          </w:p>
          <w:p w:rsidR="005524CA" w:rsidRPr="005524CA" w:rsidRDefault="005524CA" w:rsidP="00050C51">
            <w:pPr>
              <w:pStyle w:val="NoSpacing"/>
              <w:rPr>
                <w:i/>
                <w:lang w:val="ro-RO"/>
              </w:rPr>
            </w:pPr>
            <w:r w:rsidRPr="005524CA">
              <w:rPr>
                <w:i/>
                <w:lang w:val="ro-RO"/>
              </w:rPr>
              <w:t>Rattus norvegicus</w:t>
            </w:r>
          </w:p>
          <w:p w:rsidR="005524CA" w:rsidRPr="005524CA" w:rsidRDefault="005524CA" w:rsidP="00050C51">
            <w:pPr>
              <w:pStyle w:val="NoSpacing"/>
              <w:rPr>
                <w:i/>
                <w:lang w:val="ro-RO"/>
              </w:rPr>
            </w:pPr>
          </w:p>
        </w:tc>
        <w:tc>
          <w:tcPr>
            <w:tcW w:w="1984" w:type="dxa"/>
            <w:shd w:val="clear" w:color="auto" w:fill="auto"/>
          </w:tcPr>
          <w:p w:rsidR="005524CA" w:rsidRPr="005524CA" w:rsidRDefault="005524CA" w:rsidP="00050C51">
            <w:pPr>
              <w:pStyle w:val="NoSpacing"/>
              <w:rPr>
                <w:lang w:val="ro-RO"/>
              </w:rPr>
            </w:pPr>
            <w:r w:rsidRPr="005524CA">
              <w:rPr>
                <w:lang w:val="ro-RO"/>
              </w:rPr>
              <w:t>Difenacoum</w:t>
            </w:r>
          </w:p>
          <w:p w:rsidR="005524CA" w:rsidRPr="005524CA" w:rsidRDefault="005524CA" w:rsidP="00050C51">
            <w:pPr>
              <w:pStyle w:val="NoSpacing"/>
              <w:rPr>
                <w:lang w:val="ro-RO"/>
              </w:rPr>
            </w:pPr>
            <w:r w:rsidRPr="005524CA">
              <w:rPr>
                <w:lang w:val="ro-RO"/>
              </w:rPr>
              <w:t>0.0028%</w:t>
            </w:r>
          </w:p>
          <w:p w:rsidR="005524CA" w:rsidRPr="005524CA" w:rsidRDefault="005524CA" w:rsidP="00050C51">
            <w:pPr>
              <w:pStyle w:val="NoSpacing"/>
              <w:rPr>
                <w:lang w:val="ro-RO"/>
              </w:rPr>
            </w:pPr>
            <w:r w:rsidRPr="005524CA">
              <w:rPr>
                <w:lang w:val="ro-RO"/>
              </w:rPr>
              <w:t>Momeală proaspată</w:t>
            </w:r>
          </w:p>
        </w:tc>
        <w:tc>
          <w:tcPr>
            <w:tcW w:w="1843" w:type="dxa"/>
            <w:shd w:val="clear" w:color="auto" w:fill="auto"/>
          </w:tcPr>
          <w:p w:rsidR="005524CA" w:rsidRPr="005524CA" w:rsidRDefault="005524CA" w:rsidP="00050C51">
            <w:pPr>
              <w:pStyle w:val="NoSpacing"/>
              <w:rPr>
                <w:lang w:val="ro-RO"/>
              </w:rPr>
            </w:pPr>
            <w:r w:rsidRPr="005524CA">
              <w:rPr>
                <w:lang w:val="ro-RO"/>
              </w:rPr>
              <w:t xml:space="preserve">Mortalitate 100%  </w:t>
            </w:r>
          </w:p>
        </w:tc>
      </w:tr>
    </w:tbl>
    <w:p w:rsidR="00795524" w:rsidRPr="00993707" w:rsidRDefault="00795524" w:rsidP="00050C51">
      <w:pPr>
        <w:pStyle w:val="NoSpacing"/>
        <w:rPr>
          <w:b/>
          <w:color w:val="000000"/>
          <w:sz w:val="10"/>
          <w:lang w:val="ro-RO"/>
        </w:rPr>
      </w:pPr>
    </w:p>
    <w:p w:rsidR="00B66405" w:rsidRPr="007707AC" w:rsidRDefault="00B66405" w:rsidP="00050C51">
      <w:pPr>
        <w:pStyle w:val="NoSpacing"/>
        <w:rPr>
          <w:b/>
          <w:color w:val="000000"/>
          <w:lang w:val="ro-RO"/>
        </w:rPr>
      </w:pPr>
      <w:r w:rsidRPr="007707AC">
        <w:rPr>
          <w:b/>
          <w:color w:val="000000"/>
          <w:lang w:val="ro-RO"/>
        </w:rPr>
        <w:t xml:space="preserve">XIV. </w:t>
      </w:r>
      <w:r w:rsidR="004473D1" w:rsidRPr="00016938">
        <w:rPr>
          <w:b/>
          <w:lang w:val="ro-RO"/>
        </w:rPr>
        <w:t>INSTRUCTIUNILE  SI DOZELE DE APLICARE</w:t>
      </w:r>
      <w:r w:rsidR="004473D1" w:rsidRPr="00016938">
        <w:rPr>
          <w:lang w:val="ro-RO"/>
        </w:rPr>
        <w:t xml:space="preserve"> </w:t>
      </w:r>
      <w:r w:rsidR="00D60970">
        <w:rPr>
          <w:lang w:val="ro-RO"/>
        </w:rPr>
        <w:t>:</w:t>
      </w:r>
    </w:p>
    <w:tbl>
      <w:tblPr>
        <w:tblStyle w:val="TableGrid"/>
        <w:tblW w:w="0" w:type="auto"/>
        <w:tblInd w:w="108" w:type="dxa"/>
        <w:tblLook w:val="04A0" w:firstRow="1" w:lastRow="0" w:firstColumn="1" w:lastColumn="0" w:noHBand="0" w:noVBand="1"/>
      </w:tblPr>
      <w:tblGrid>
        <w:gridCol w:w="9923"/>
      </w:tblGrid>
      <w:tr w:rsidR="00393522" w:rsidTr="00393522">
        <w:tc>
          <w:tcPr>
            <w:tcW w:w="9923" w:type="dxa"/>
          </w:tcPr>
          <w:p w:rsidR="000556C6" w:rsidRPr="000556C6" w:rsidRDefault="000556C6" w:rsidP="00050C51">
            <w:pPr>
              <w:pStyle w:val="NoSpacing"/>
              <w:rPr>
                <w:lang w:val="it-IT"/>
              </w:rPr>
            </w:pPr>
            <w:r w:rsidRPr="000556C6">
              <w:rPr>
                <w:u w:val="single"/>
                <w:lang w:val="it-IT"/>
              </w:rPr>
              <w:t>Manipulare</w:t>
            </w:r>
            <w:r w:rsidRPr="000556C6">
              <w:rPr>
                <w:lang w:val="it-IT"/>
              </w:rPr>
              <w:t xml:space="preserve">: </w:t>
            </w:r>
          </w:p>
          <w:p w:rsidR="000556C6" w:rsidRPr="000556C6" w:rsidRDefault="000556C6" w:rsidP="00050C51">
            <w:pPr>
              <w:pStyle w:val="NoSpacing"/>
              <w:rPr>
                <w:lang w:val="it-IT"/>
              </w:rPr>
            </w:pPr>
            <w:r w:rsidRPr="000556C6">
              <w:rPr>
                <w:lang w:val="it-IT"/>
              </w:rPr>
              <w:lastRenderedPageBreak/>
              <w:t>Se va purta mănu</w:t>
            </w:r>
            <w:r w:rsidRPr="000556C6">
              <w:rPr>
                <w:rFonts w:ascii="Cambria Math" w:hAnsi="Cambria Math" w:cs="Cambria Math"/>
                <w:lang w:val="it-IT"/>
              </w:rPr>
              <w:t>ș</w:t>
            </w:r>
            <w:r w:rsidRPr="000556C6">
              <w:rPr>
                <w:lang w:val="it-IT"/>
              </w:rPr>
              <w:t>i de protec</w:t>
            </w:r>
            <w:r w:rsidRPr="000556C6">
              <w:rPr>
                <w:rFonts w:ascii="Cambria Math" w:hAnsi="Cambria Math" w:cs="Cambria Math"/>
                <w:lang w:val="it-IT"/>
              </w:rPr>
              <w:t>ț</w:t>
            </w:r>
            <w:r w:rsidRPr="000556C6">
              <w:rPr>
                <w:lang w:val="it-IT"/>
              </w:rPr>
              <w:t>ie rezistente la produse chimice în timpul fazei de manipulare.</w:t>
            </w:r>
          </w:p>
          <w:p w:rsidR="000556C6" w:rsidRPr="000556C6" w:rsidRDefault="000556C6" w:rsidP="00050C51">
            <w:pPr>
              <w:pStyle w:val="NoSpacing"/>
              <w:rPr>
                <w:lang w:val="it-IT"/>
              </w:rPr>
            </w:pPr>
            <w:r w:rsidRPr="000556C6">
              <w:rPr>
                <w:lang w:val="it-IT"/>
              </w:rPr>
              <w:t xml:space="preserve">În timpul utilizării produsului nu se  mâncă, nu se bea </w:t>
            </w:r>
            <w:r w:rsidRPr="000556C6">
              <w:rPr>
                <w:rFonts w:ascii="Cambria Math" w:hAnsi="Cambria Math" w:cs="Cambria Math"/>
                <w:lang w:val="it-IT"/>
              </w:rPr>
              <w:t>ș</w:t>
            </w:r>
            <w:r w:rsidRPr="000556C6">
              <w:rPr>
                <w:lang w:val="it-IT"/>
              </w:rPr>
              <w:t>i nu se fumează.</w:t>
            </w:r>
          </w:p>
          <w:p w:rsidR="000556C6" w:rsidRPr="000556C6" w:rsidRDefault="000556C6" w:rsidP="00050C51">
            <w:pPr>
              <w:pStyle w:val="NoSpacing"/>
              <w:rPr>
                <w:lang w:val="it-IT"/>
              </w:rPr>
            </w:pPr>
            <w:r w:rsidRPr="000556C6">
              <w:rPr>
                <w:lang w:val="it-IT"/>
              </w:rPr>
              <w:t xml:space="preserve">Spălarea mâinilor este obligatorie după manipulare, conţinutul/recipientul se aruncă după utilizare în conformitate cu reglementările naţionale.   </w:t>
            </w:r>
          </w:p>
          <w:p w:rsidR="005524CA" w:rsidRPr="005524CA" w:rsidRDefault="005524CA" w:rsidP="00050C51">
            <w:pPr>
              <w:pStyle w:val="NoSpacing"/>
              <w:rPr>
                <w:bCs/>
                <w:lang w:val="fr-FR"/>
              </w:rPr>
            </w:pPr>
            <w:r w:rsidRPr="005524CA">
              <w:rPr>
                <w:bCs/>
                <w:u w:val="single"/>
                <w:lang w:val="ro-RO"/>
              </w:rPr>
              <w:t>Metodă de aplicare:</w:t>
            </w:r>
            <w:r w:rsidRPr="005524CA">
              <w:rPr>
                <w:bCs/>
                <w:lang w:val="ro-RO"/>
              </w:rPr>
              <w:t xml:space="preserve"> </w:t>
            </w:r>
            <w:r w:rsidRPr="005524CA">
              <w:t xml:space="preserve"> </w:t>
            </w:r>
            <w:proofErr w:type="spellStart"/>
            <w:r w:rsidRPr="005524CA">
              <w:t>Produsul</w:t>
            </w:r>
            <w:proofErr w:type="spellEnd"/>
            <w:r w:rsidRPr="005524CA">
              <w:t xml:space="preserve"> </w:t>
            </w:r>
            <w:proofErr w:type="spellStart"/>
            <w:r w:rsidRPr="005524CA">
              <w:t>constă</w:t>
            </w:r>
            <w:proofErr w:type="spellEnd"/>
            <w:r w:rsidRPr="005524CA">
              <w:t xml:space="preserve"> </w:t>
            </w:r>
            <w:proofErr w:type="spellStart"/>
            <w:r w:rsidRPr="005524CA">
              <w:t>în</w:t>
            </w:r>
            <w:proofErr w:type="spellEnd"/>
            <w:r w:rsidRPr="005524CA">
              <w:t xml:space="preserve"> </w:t>
            </w:r>
            <w:proofErr w:type="spellStart"/>
            <w:r w:rsidRPr="005524CA">
              <w:t>momeală</w:t>
            </w:r>
            <w:proofErr w:type="spellEnd"/>
            <w:r w:rsidRPr="005524CA">
              <w:t xml:space="preserve"> </w:t>
            </w:r>
            <w:proofErr w:type="spellStart"/>
            <w:r w:rsidRPr="005524CA">
              <w:t>rodenticidă</w:t>
            </w:r>
            <w:proofErr w:type="spellEnd"/>
            <w:r w:rsidRPr="005524CA">
              <w:t xml:space="preserve"> sub </w:t>
            </w:r>
            <w:proofErr w:type="spellStart"/>
            <w:r w:rsidRPr="005524CA">
              <w:t>formă</w:t>
            </w:r>
            <w:proofErr w:type="spellEnd"/>
            <w:r w:rsidRPr="005524CA">
              <w:t xml:space="preserve"> de </w:t>
            </w:r>
            <w:proofErr w:type="spellStart"/>
            <w:r w:rsidRPr="005524CA">
              <w:t>pastă</w:t>
            </w:r>
            <w:proofErr w:type="spellEnd"/>
            <w:r w:rsidRPr="005524CA">
              <w:t xml:space="preserve"> </w:t>
            </w:r>
            <w:proofErr w:type="spellStart"/>
            <w:r w:rsidRPr="005524CA">
              <w:t>proaspătă</w:t>
            </w:r>
            <w:proofErr w:type="spellEnd"/>
            <w:r w:rsidRPr="005524CA">
              <w:t xml:space="preserve">  </w:t>
            </w:r>
            <w:proofErr w:type="spellStart"/>
            <w:r w:rsidRPr="005524CA">
              <w:t>gata</w:t>
            </w:r>
            <w:proofErr w:type="spellEnd"/>
            <w:r w:rsidRPr="005524CA">
              <w:t xml:space="preserve"> de </w:t>
            </w:r>
            <w:proofErr w:type="spellStart"/>
            <w:r w:rsidRPr="005524CA">
              <w:t>utilizare</w:t>
            </w:r>
            <w:proofErr w:type="spellEnd"/>
            <w:r w:rsidRPr="005524CA">
              <w:t xml:space="preserve"> </w:t>
            </w:r>
            <w:proofErr w:type="spellStart"/>
            <w:r w:rsidRPr="005524CA">
              <w:t>pentru</w:t>
            </w:r>
            <w:proofErr w:type="spellEnd"/>
            <w:r w:rsidRPr="005524CA">
              <w:t xml:space="preserve"> </w:t>
            </w:r>
            <w:proofErr w:type="spellStart"/>
            <w:r w:rsidRPr="005524CA">
              <w:t>uz</w:t>
            </w:r>
            <w:proofErr w:type="spellEnd"/>
            <w:r w:rsidRPr="005524CA">
              <w:t xml:space="preserve"> </w:t>
            </w:r>
            <w:proofErr w:type="spellStart"/>
            <w:r w:rsidRPr="005524CA">
              <w:t>profesional</w:t>
            </w:r>
            <w:proofErr w:type="spellEnd"/>
            <w:r w:rsidRPr="005524CA">
              <w:t xml:space="preserve"> </w:t>
            </w:r>
            <w:proofErr w:type="spellStart"/>
            <w:r w:rsidRPr="005524CA">
              <w:t>şi</w:t>
            </w:r>
            <w:proofErr w:type="spellEnd"/>
            <w:r w:rsidRPr="005524CA">
              <w:t xml:space="preserve"> </w:t>
            </w:r>
            <w:proofErr w:type="spellStart"/>
            <w:r w:rsidRPr="005524CA">
              <w:t>neprofesional</w:t>
            </w:r>
            <w:proofErr w:type="spellEnd"/>
            <w:r w:rsidRPr="005524CA">
              <w:t xml:space="preserve">  </w:t>
            </w:r>
            <w:proofErr w:type="spellStart"/>
            <w:r w:rsidRPr="005524CA">
              <w:t>pentru</w:t>
            </w:r>
            <w:proofErr w:type="spellEnd"/>
            <w:r w:rsidRPr="005524CA">
              <w:t xml:space="preserve"> </w:t>
            </w:r>
            <w:proofErr w:type="spellStart"/>
            <w:r w:rsidRPr="005524CA">
              <w:t>combaterea</w:t>
            </w:r>
            <w:proofErr w:type="spellEnd"/>
            <w:r w:rsidRPr="005524CA">
              <w:t xml:space="preserve"> </w:t>
            </w:r>
            <w:proofErr w:type="spellStart"/>
            <w:r w:rsidRPr="005524CA">
              <w:t>infestării</w:t>
            </w:r>
            <w:proofErr w:type="spellEnd"/>
            <w:r w:rsidRPr="005524CA">
              <w:t xml:space="preserve"> cu </w:t>
            </w:r>
            <w:proofErr w:type="spellStart"/>
            <w:r w:rsidRPr="005524CA">
              <w:t>şoarece</w:t>
            </w:r>
            <w:proofErr w:type="spellEnd"/>
            <w:r w:rsidRPr="005524CA">
              <w:t xml:space="preserve"> de </w:t>
            </w:r>
            <w:proofErr w:type="spellStart"/>
            <w:r w:rsidRPr="005524CA">
              <w:t>casă</w:t>
            </w:r>
            <w:proofErr w:type="spellEnd"/>
            <w:r w:rsidRPr="005524CA">
              <w:t xml:space="preserve"> ( Mus </w:t>
            </w:r>
            <w:proofErr w:type="spellStart"/>
            <w:r w:rsidRPr="005524CA">
              <w:t>musculus</w:t>
            </w:r>
            <w:proofErr w:type="spellEnd"/>
            <w:r w:rsidRPr="005524CA">
              <w:t xml:space="preserve">) </w:t>
            </w:r>
            <w:proofErr w:type="spellStart"/>
            <w:r w:rsidRPr="005524CA">
              <w:t>şi</w:t>
            </w:r>
            <w:proofErr w:type="spellEnd"/>
            <w:r w:rsidRPr="005524CA">
              <w:t xml:space="preserve"> </w:t>
            </w:r>
            <w:proofErr w:type="spellStart"/>
            <w:r w:rsidRPr="005524CA">
              <w:t>pentru</w:t>
            </w:r>
            <w:proofErr w:type="spellEnd"/>
            <w:r w:rsidRPr="005524CA">
              <w:t xml:space="preserve"> </w:t>
            </w:r>
            <w:proofErr w:type="spellStart"/>
            <w:r w:rsidRPr="005524CA">
              <w:t>infestarea</w:t>
            </w:r>
            <w:proofErr w:type="spellEnd"/>
            <w:r w:rsidRPr="005524CA">
              <w:t xml:space="preserve"> cu </w:t>
            </w:r>
            <w:proofErr w:type="spellStart"/>
            <w:r w:rsidRPr="005524CA">
              <w:t>şobolan</w:t>
            </w:r>
            <w:proofErr w:type="spellEnd"/>
            <w:r w:rsidRPr="005524CA">
              <w:t xml:space="preserve"> </w:t>
            </w:r>
            <w:proofErr w:type="spellStart"/>
            <w:r w:rsidRPr="005524CA">
              <w:t>brun</w:t>
            </w:r>
            <w:proofErr w:type="spellEnd"/>
            <w:r w:rsidRPr="005524CA">
              <w:t xml:space="preserve"> (</w:t>
            </w:r>
            <w:proofErr w:type="spellStart"/>
            <w:r w:rsidRPr="005524CA">
              <w:t>Rattus</w:t>
            </w:r>
            <w:proofErr w:type="spellEnd"/>
            <w:r w:rsidRPr="005524CA">
              <w:t xml:space="preserve"> </w:t>
            </w:r>
            <w:proofErr w:type="spellStart"/>
            <w:r w:rsidRPr="005524CA">
              <w:t>norvegicus</w:t>
            </w:r>
            <w:proofErr w:type="spellEnd"/>
            <w:r w:rsidRPr="005524CA">
              <w:t xml:space="preserve">) </w:t>
            </w:r>
            <w:proofErr w:type="spellStart"/>
            <w:r w:rsidRPr="005524CA">
              <w:t>în</w:t>
            </w:r>
            <w:proofErr w:type="spellEnd"/>
            <w:r w:rsidRPr="005524CA">
              <w:t xml:space="preserve"> </w:t>
            </w:r>
            <w:proofErr w:type="spellStart"/>
            <w:r w:rsidRPr="005524CA">
              <w:t>interiorul</w:t>
            </w:r>
            <w:proofErr w:type="spellEnd"/>
            <w:r w:rsidRPr="005524CA">
              <w:t xml:space="preserve"> </w:t>
            </w:r>
            <w:proofErr w:type="spellStart"/>
            <w:r w:rsidRPr="005524CA">
              <w:t>şi</w:t>
            </w:r>
            <w:proofErr w:type="spellEnd"/>
            <w:r w:rsidRPr="005524CA">
              <w:t xml:space="preserve"> </w:t>
            </w:r>
            <w:proofErr w:type="spellStart"/>
            <w:r w:rsidRPr="005524CA">
              <w:t>în</w:t>
            </w:r>
            <w:proofErr w:type="spellEnd"/>
            <w:r w:rsidRPr="005524CA">
              <w:t xml:space="preserve"> </w:t>
            </w:r>
            <w:proofErr w:type="spellStart"/>
            <w:r w:rsidRPr="005524CA">
              <w:t>jurul</w:t>
            </w:r>
            <w:proofErr w:type="spellEnd"/>
            <w:r w:rsidRPr="005524CA">
              <w:t xml:space="preserve"> </w:t>
            </w:r>
            <w:proofErr w:type="spellStart"/>
            <w:r w:rsidRPr="005524CA">
              <w:t>clădirilor</w:t>
            </w:r>
            <w:proofErr w:type="spellEnd"/>
            <w:r w:rsidRPr="005524CA">
              <w:t xml:space="preserve">. </w:t>
            </w:r>
            <w:proofErr w:type="spellStart"/>
            <w:r w:rsidRPr="005524CA">
              <w:t>Produsul</w:t>
            </w:r>
            <w:proofErr w:type="spellEnd"/>
            <w:r w:rsidRPr="005524CA">
              <w:t xml:space="preserve"> nu se </w:t>
            </w:r>
            <w:proofErr w:type="spellStart"/>
            <w:r w:rsidRPr="005524CA">
              <w:t>foloseşte</w:t>
            </w:r>
            <w:proofErr w:type="spellEnd"/>
            <w:r w:rsidRPr="005524CA">
              <w:t xml:space="preserve"> </w:t>
            </w:r>
            <w:proofErr w:type="spellStart"/>
            <w:r w:rsidRPr="005524CA">
              <w:t>în</w:t>
            </w:r>
            <w:proofErr w:type="spellEnd"/>
            <w:r w:rsidRPr="005524CA">
              <w:t xml:space="preserve"> </w:t>
            </w:r>
            <w:proofErr w:type="spellStart"/>
            <w:r w:rsidRPr="005524CA">
              <w:t>agricultură</w:t>
            </w:r>
            <w:proofErr w:type="spellEnd"/>
            <w:r w:rsidRPr="005524CA">
              <w:t xml:space="preserve">. </w:t>
            </w:r>
            <w:proofErr w:type="spellStart"/>
            <w:r w:rsidRPr="005524CA">
              <w:t>Momeala</w:t>
            </w:r>
            <w:proofErr w:type="spellEnd"/>
            <w:r w:rsidRPr="005524CA">
              <w:t xml:space="preserve"> </w:t>
            </w:r>
            <w:proofErr w:type="spellStart"/>
            <w:r w:rsidRPr="005524CA">
              <w:t>rodenticidă</w:t>
            </w:r>
            <w:proofErr w:type="spellEnd"/>
            <w:r w:rsidRPr="005524CA">
              <w:t xml:space="preserve"> </w:t>
            </w:r>
            <w:proofErr w:type="spellStart"/>
            <w:r w:rsidRPr="005524CA">
              <w:t>trebuie</w:t>
            </w:r>
            <w:proofErr w:type="spellEnd"/>
            <w:r w:rsidRPr="005524CA">
              <w:t xml:space="preserve"> </w:t>
            </w:r>
            <w:proofErr w:type="spellStart"/>
            <w:r w:rsidRPr="005524CA">
              <w:t>aşezată</w:t>
            </w:r>
            <w:proofErr w:type="spellEnd"/>
            <w:r w:rsidRPr="005524CA">
              <w:t xml:space="preserve"> </w:t>
            </w:r>
            <w:proofErr w:type="spellStart"/>
            <w:r w:rsidRPr="005524CA">
              <w:t>în</w:t>
            </w:r>
            <w:proofErr w:type="spellEnd"/>
            <w:r w:rsidRPr="005524CA">
              <w:t xml:space="preserve"> </w:t>
            </w:r>
            <w:proofErr w:type="spellStart"/>
            <w:r w:rsidRPr="005524CA">
              <w:t>capcane</w:t>
            </w:r>
            <w:proofErr w:type="spellEnd"/>
            <w:r w:rsidRPr="005524CA">
              <w:t xml:space="preserve"> </w:t>
            </w:r>
            <w:proofErr w:type="spellStart"/>
            <w:r w:rsidRPr="005524CA">
              <w:t>adecvate</w:t>
            </w:r>
            <w:proofErr w:type="spellEnd"/>
            <w:r w:rsidRPr="005524CA">
              <w:t xml:space="preserve">, </w:t>
            </w:r>
            <w:proofErr w:type="spellStart"/>
            <w:r w:rsidRPr="005524CA">
              <w:t>protejate</w:t>
            </w:r>
            <w:proofErr w:type="spellEnd"/>
            <w:r w:rsidRPr="005524CA">
              <w:t xml:space="preserve"> </w:t>
            </w:r>
            <w:proofErr w:type="spellStart"/>
            <w:r w:rsidRPr="005524CA">
              <w:t>împotriva</w:t>
            </w:r>
            <w:proofErr w:type="spellEnd"/>
            <w:r w:rsidRPr="005524CA">
              <w:t xml:space="preserve"> </w:t>
            </w:r>
            <w:proofErr w:type="spellStart"/>
            <w:r w:rsidRPr="005524CA">
              <w:t>agenţilor</w:t>
            </w:r>
            <w:proofErr w:type="spellEnd"/>
            <w:r w:rsidRPr="005524CA">
              <w:t xml:space="preserve"> </w:t>
            </w:r>
            <w:proofErr w:type="spellStart"/>
            <w:r w:rsidRPr="005524CA">
              <w:t>atmosferici</w:t>
            </w:r>
            <w:proofErr w:type="spellEnd"/>
            <w:r w:rsidRPr="005524CA">
              <w:t xml:space="preserve"> </w:t>
            </w:r>
            <w:proofErr w:type="spellStart"/>
            <w:r w:rsidRPr="005524CA">
              <w:t>şi</w:t>
            </w:r>
            <w:proofErr w:type="spellEnd"/>
            <w:r w:rsidRPr="005524CA">
              <w:t xml:space="preserve"> </w:t>
            </w:r>
            <w:proofErr w:type="gramStart"/>
            <w:r w:rsidRPr="005524CA">
              <w:t>a</w:t>
            </w:r>
            <w:proofErr w:type="gramEnd"/>
            <w:r w:rsidRPr="005524CA">
              <w:t xml:space="preserve"> </w:t>
            </w:r>
            <w:proofErr w:type="spellStart"/>
            <w:r w:rsidRPr="005524CA">
              <w:t>ingestiei</w:t>
            </w:r>
            <w:proofErr w:type="spellEnd"/>
            <w:r w:rsidRPr="005524CA">
              <w:t xml:space="preserve"> </w:t>
            </w:r>
            <w:proofErr w:type="spellStart"/>
            <w:r w:rsidRPr="005524CA">
              <w:t>accidentale</w:t>
            </w:r>
            <w:proofErr w:type="spellEnd"/>
            <w:r w:rsidRPr="005524CA">
              <w:t xml:space="preserve"> de </w:t>
            </w:r>
            <w:proofErr w:type="spellStart"/>
            <w:r w:rsidRPr="005524CA">
              <w:t>către</w:t>
            </w:r>
            <w:proofErr w:type="spellEnd"/>
            <w:r w:rsidRPr="005524CA">
              <w:t xml:space="preserve"> </w:t>
            </w:r>
            <w:proofErr w:type="spellStart"/>
            <w:r w:rsidRPr="005524CA">
              <w:t>specii</w:t>
            </w:r>
            <w:proofErr w:type="spellEnd"/>
            <w:r w:rsidRPr="005524CA">
              <w:t xml:space="preserve"> </w:t>
            </w:r>
            <w:proofErr w:type="spellStart"/>
            <w:r w:rsidRPr="005524CA">
              <w:t>nevizate</w:t>
            </w:r>
            <w:proofErr w:type="spellEnd"/>
            <w:r w:rsidRPr="005524CA">
              <w:t>.</w:t>
            </w:r>
          </w:p>
          <w:p w:rsidR="005524CA" w:rsidRPr="005524CA" w:rsidRDefault="005524CA" w:rsidP="00050C51">
            <w:pPr>
              <w:pStyle w:val="NoSpacing"/>
              <w:rPr>
                <w:lang w:val="ro-RO"/>
              </w:rPr>
            </w:pPr>
            <w:r w:rsidRPr="005524CA">
              <w:rPr>
                <w:u w:val="single"/>
              </w:rPr>
              <w:t>D</w:t>
            </w:r>
            <w:r w:rsidRPr="005524CA">
              <w:rPr>
                <w:u w:val="single"/>
                <w:lang w:val="ro-RO"/>
              </w:rPr>
              <w:t>oze recomandate:</w:t>
            </w:r>
            <w:r w:rsidRPr="005524CA">
              <w:rPr>
                <w:lang w:val="ro-RO"/>
              </w:rPr>
              <w:t xml:space="preserve">  40g /staţie de intoxicare la distan</w:t>
            </w:r>
            <w:r w:rsidRPr="005524CA">
              <w:rPr>
                <w:rFonts w:ascii="Cambria Math" w:hAnsi="Cambria Math" w:cs="Cambria Math"/>
                <w:lang w:val="ro-RO"/>
              </w:rPr>
              <w:t>ț</w:t>
            </w:r>
            <w:r w:rsidRPr="005524CA">
              <w:rPr>
                <w:lang w:val="ro-RO"/>
              </w:rPr>
              <w:t xml:space="preserve">e de 2-5 m pentru şoarece de casă, 150g/staţie de intoxicare amplasate la 5-10m pentru şobolani, </w:t>
            </w:r>
            <w:r w:rsidRPr="005524CA">
              <w:rPr>
                <w:rFonts w:ascii="Cambria Math" w:hAnsi="Cambria Math" w:cs="Cambria Math"/>
                <w:lang w:val="ro-RO"/>
              </w:rPr>
              <w:t>ȋ</w:t>
            </w:r>
            <w:r w:rsidRPr="005524CA">
              <w:rPr>
                <w:lang w:val="ro-RO"/>
              </w:rPr>
              <w:t>n func</w:t>
            </w:r>
            <w:r w:rsidRPr="005524CA">
              <w:rPr>
                <w:rFonts w:ascii="Cambria Math" w:hAnsi="Cambria Math" w:cs="Cambria Math"/>
                <w:lang w:val="ro-RO"/>
              </w:rPr>
              <w:t>ț</w:t>
            </w:r>
            <w:r w:rsidRPr="005524CA">
              <w:rPr>
                <w:lang w:val="ro-RO"/>
              </w:rPr>
              <w:t xml:space="preserve">ie de gradul de infestare. Se verifică la 3-4 zile şi se </w:t>
            </w:r>
            <w:r w:rsidRPr="005524CA">
              <w:rPr>
                <w:rFonts w:ascii="Cambria Math" w:hAnsi="Cambria Math" w:cs="Cambria Math"/>
                <w:lang w:val="ro-RO"/>
              </w:rPr>
              <w:t>ȋ</w:t>
            </w:r>
            <w:r w:rsidRPr="005524CA">
              <w:rPr>
                <w:lang w:val="ro-RO"/>
              </w:rPr>
              <w:t>nlocuieşte momeala consumată sau deteriorată. Se utilizează mănuşi de cauciuc şi mască de protecţie.</w:t>
            </w:r>
          </w:p>
          <w:p w:rsidR="005524CA" w:rsidRPr="005524CA" w:rsidRDefault="005524CA" w:rsidP="00050C51">
            <w:pPr>
              <w:pStyle w:val="NoSpacing"/>
              <w:rPr>
                <w:lang w:val="ro-RO"/>
              </w:rPr>
            </w:pPr>
            <w:r w:rsidRPr="005524CA">
              <w:rPr>
                <w:lang w:val="ro-RO"/>
              </w:rPr>
              <w:t>Intervalul de timp pentru primul acces al oamenilor sau animalelor în zonele în care s-a folosit produsul biocid: nu este cazul.</w:t>
            </w:r>
          </w:p>
          <w:p w:rsidR="005524CA" w:rsidRPr="005524CA" w:rsidRDefault="005524CA" w:rsidP="00050C51">
            <w:pPr>
              <w:pStyle w:val="NoSpacing"/>
            </w:pPr>
            <w:r w:rsidRPr="005524CA">
              <w:rPr>
                <w:lang w:val="ro-RO"/>
              </w:rPr>
              <w:t>Perioada de aerisire necesară pentru zonele tratate: nu este cazul.</w:t>
            </w:r>
          </w:p>
          <w:p w:rsidR="00393522" w:rsidRPr="005524CA" w:rsidRDefault="005524CA" w:rsidP="00050C51">
            <w:pPr>
              <w:pStyle w:val="NoSpacing"/>
              <w:rPr>
                <w:b/>
              </w:rPr>
            </w:pPr>
            <w:r w:rsidRPr="005524CA">
              <w:rPr>
                <w:lang w:val="ro-RO"/>
              </w:rPr>
              <w:t>La sfârşitul campaniei de deratizare se verifică eliminarea completă a infestării. Daca se intâlneşte rezisten</w:t>
            </w:r>
            <w:r w:rsidRPr="005524CA">
              <w:rPr>
                <w:rFonts w:ascii="Cambria Math" w:hAnsi="Cambria Math" w:cs="Cambria Math"/>
                <w:lang w:val="ro-RO"/>
              </w:rPr>
              <w:t>ț</w:t>
            </w:r>
            <w:r w:rsidRPr="005524CA">
              <w:rPr>
                <w:lang w:val="ro-RO"/>
              </w:rPr>
              <w:t>a organismelor dăunatoare vizate se utilizează alte substan</w:t>
            </w:r>
            <w:r w:rsidRPr="005524CA">
              <w:rPr>
                <w:rFonts w:ascii="Cambria Math" w:hAnsi="Cambria Math" w:cs="Cambria Math"/>
                <w:lang w:val="ro-RO"/>
              </w:rPr>
              <w:t>ț</w:t>
            </w:r>
            <w:r w:rsidRPr="005524CA">
              <w:rPr>
                <w:lang w:val="ro-RO"/>
              </w:rPr>
              <w:t>e anticoagulante.</w:t>
            </w:r>
          </w:p>
        </w:tc>
      </w:tr>
    </w:tbl>
    <w:p w:rsidR="00FF3D0E" w:rsidRPr="00993707" w:rsidRDefault="00FF3D0E" w:rsidP="00050C51">
      <w:pPr>
        <w:pStyle w:val="NoSpacing"/>
        <w:rPr>
          <w:b/>
          <w:sz w:val="10"/>
          <w:lang w:val="ro-RO"/>
        </w:rPr>
      </w:pPr>
    </w:p>
    <w:p w:rsidR="00B66405" w:rsidRPr="0003534F" w:rsidRDefault="00B66405" w:rsidP="00050C51">
      <w:pPr>
        <w:pStyle w:val="NoSpacing"/>
        <w:rPr>
          <w:b/>
          <w:lang w:val="ro-RO"/>
        </w:rPr>
      </w:pPr>
      <w:r w:rsidRPr="0003534F">
        <w:rPr>
          <w:b/>
          <w:lang w:val="ro-RO"/>
        </w:rPr>
        <w:t>XV. INSTRUC</w:t>
      </w:r>
      <w:r w:rsidR="00EF1059" w:rsidRPr="0003534F">
        <w:rPr>
          <w:b/>
          <w:lang w:val="ro-RO"/>
        </w:rPr>
        <w:t>T</w:t>
      </w:r>
      <w:r w:rsidRPr="0003534F">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1F7047" w:rsidTr="006B235A">
        <w:tc>
          <w:tcPr>
            <w:tcW w:w="9923" w:type="dxa"/>
          </w:tcPr>
          <w:p w:rsidR="0064773D" w:rsidRPr="0064773D" w:rsidRDefault="0064773D" w:rsidP="00050C51">
            <w:pPr>
              <w:pStyle w:val="NoSpacing"/>
            </w:pPr>
            <w:proofErr w:type="spellStart"/>
            <w:r w:rsidRPr="0064773D">
              <w:t>În</w:t>
            </w:r>
            <w:proofErr w:type="spellEnd"/>
            <w:r w:rsidRPr="0064773D">
              <w:t xml:space="preserve"> </w:t>
            </w:r>
            <w:proofErr w:type="spellStart"/>
            <w:r w:rsidRPr="0064773D">
              <w:t>caz</w:t>
            </w:r>
            <w:proofErr w:type="spellEnd"/>
            <w:r w:rsidRPr="0064773D">
              <w:t xml:space="preserve"> de contact cu </w:t>
            </w:r>
            <w:proofErr w:type="spellStart"/>
            <w:r w:rsidRPr="0064773D">
              <w:t>pielea</w:t>
            </w:r>
            <w:proofErr w:type="spellEnd"/>
            <w:r w:rsidRPr="0064773D">
              <w:t xml:space="preserve">: </w:t>
            </w:r>
          </w:p>
          <w:p w:rsidR="0064773D" w:rsidRPr="0064773D" w:rsidRDefault="0064773D" w:rsidP="00050C51">
            <w:pPr>
              <w:pStyle w:val="NoSpacing"/>
            </w:pPr>
            <w:proofErr w:type="spellStart"/>
            <w:r w:rsidRPr="0064773D">
              <w:t>Zonele</w:t>
            </w:r>
            <w:proofErr w:type="spellEnd"/>
            <w:r w:rsidRPr="0064773D">
              <w:t xml:space="preserve"> </w:t>
            </w:r>
            <w:proofErr w:type="spellStart"/>
            <w:r w:rsidRPr="0064773D">
              <w:t>corpului</w:t>
            </w:r>
            <w:proofErr w:type="spellEnd"/>
            <w:r w:rsidRPr="0064773D">
              <w:t xml:space="preserve"> care au </w:t>
            </w:r>
            <w:proofErr w:type="spellStart"/>
            <w:r w:rsidRPr="0064773D">
              <w:t>venit</w:t>
            </w:r>
            <w:proofErr w:type="spellEnd"/>
            <w:r w:rsidRPr="0064773D">
              <w:t xml:space="preserve">, </w:t>
            </w:r>
            <w:proofErr w:type="spellStart"/>
            <w:r w:rsidRPr="0064773D">
              <w:t>sau</w:t>
            </w:r>
            <w:proofErr w:type="spellEnd"/>
            <w:r w:rsidRPr="0064773D">
              <w:t xml:space="preserve"> se </w:t>
            </w:r>
            <w:proofErr w:type="spellStart"/>
            <w:r w:rsidRPr="0064773D">
              <w:t>presupune</w:t>
            </w:r>
            <w:proofErr w:type="spellEnd"/>
            <w:r w:rsidRPr="0064773D">
              <w:t xml:space="preserve"> </w:t>
            </w:r>
            <w:proofErr w:type="spellStart"/>
            <w:r w:rsidRPr="0064773D">
              <w:t>numai</w:t>
            </w:r>
            <w:proofErr w:type="spellEnd"/>
            <w:r w:rsidRPr="0064773D">
              <w:t xml:space="preserve"> </w:t>
            </w:r>
            <w:proofErr w:type="spellStart"/>
            <w:r w:rsidRPr="0064773D">
              <w:t>că</w:t>
            </w:r>
            <w:proofErr w:type="spellEnd"/>
            <w:r w:rsidRPr="0064773D">
              <w:t xml:space="preserve"> au </w:t>
            </w:r>
            <w:proofErr w:type="spellStart"/>
            <w:r w:rsidRPr="0064773D">
              <w:t>venit</w:t>
            </w:r>
            <w:proofErr w:type="spellEnd"/>
            <w:r w:rsidRPr="0064773D">
              <w:t xml:space="preserve"> </w:t>
            </w:r>
            <w:proofErr w:type="spellStart"/>
            <w:r w:rsidRPr="0064773D">
              <w:t>în</w:t>
            </w:r>
            <w:proofErr w:type="spellEnd"/>
            <w:r w:rsidRPr="0064773D">
              <w:t xml:space="preserve"> contact cu </w:t>
            </w:r>
            <w:proofErr w:type="spellStart"/>
            <w:r w:rsidRPr="0064773D">
              <w:t>produsul</w:t>
            </w:r>
            <w:proofErr w:type="spellEnd"/>
            <w:r w:rsidRPr="0064773D">
              <w:t xml:space="preserve">, </w:t>
            </w:r>
            <w:proofErr w:type="spellStart"/>
            <w:r w:rsidRPr="0064773D">
              <w:t>trebuie</w:t>
            </w:r>
            <w:proofErr w:type="spellEnd"/>
            <w:r w:rsidRPr="0064773D">
              <w:t xml:space="preserve"> </w:t>
            </w:r>
            <w:proofErr w:type="spellStart"/>
            <w:r w:rsidRPr="0064773D">
              <w:t>spălate</w:t>
            </w:r>
            <w:proofErr w:type="spellEnd"/>
            <w:r w:rsidRPr="0064773D">
              <w:t xml:space="preserve"> </w:t>
            </w:r>
            <w:proofErr w:type="spellStart"/>
            <w:r w:rsidRPr="0064773D">
              <w:t>imediat</w:t>
            </w:r>
            <w:proofErr w:type="spellEnd"/>
            <w:r w:rsidRPr="0064773D">
              <w:t xml:space="preserve"> </w:t>
            </w:r>
            <w:proofErr w:type="spellStart"/>
            <w:r w:rsidRPr="0064773D">
              <w:rPr>
                <w:rFonts w:ascii="Cambria Math" w:hAnsi="Cambria Math" w:cs="Cambria Math"/>
              </w:rPr>
              <w:t>ș</w:t>
            </w:r>
            <w:r w:rsidRPr="0064773D">
              <w:t>i</w:t>
            </w:r>
            <w:proofErr w:type="spellEnd"/>
            <w:r w:rsidRPr="0064773D">
              <w:t xml:space="preserve"> </w:t>
            </w:r>
            <w:proofErr w:type="spellStart"/>
            <w:r w:rsidRPr="0064773D">
              <w:t>abundent</w:t>
            </w:r>
            <w:proofErr w:type="spellEnd"/>
            <w:r w:rsidRPr="0064773D">
              <w:t xml:space="preserve"> cu </w:t>
            </w:r>
            <w:proofErr w:type="spellStart"/>
            <w:r w:rsidRPr="0064773D">
              <w:t>apă</w:t>
            </w:r>
            <w:proofErr w:type="spellEnd"/>
            <w:r w:rsidRPr="0064773D">
              <w:t xml:space="preserve"> </w:t>
            </w:r>
            <w:proofErr w:type="spellStart"/>
            <w:r w:rsidRPr="0064773D">
              <w:t>curentă</w:t>
            </w:r>
            <w:proofErr w:type="spellEnd"/>
            <w:r w:rsidRPr="0064773D">
              <w:t xml:space="preserve">. </w:t>
            </w:r>
          </w:p>
          <w:p w:rsidR="0064773D" w:rsidRPr="0064773D" w:rsidRDefault="0064773D" w:rsidP="00050C51">
            <w:pPr>
              <w:pStyle w:val="NoSpacing"/>
            </w:pPr>
            <w:proofErr w:type="spellStart"/>
            <w:r w:rsidRPr="0064773D">
              <w:t>Spăla</w:t>
            </w:r>
            <w:r w:rsidRPr="0064773D">
              <w:rPr>
                <w:rFonts w:ascii="Cambria Math" w:hAnsi="Cambria Math" w:cs="Cambria Math"/>
              </w:rPr>
              <w:t>ț</w:t>
            </w:r>
            <w:r w:rsidRPr="0064773D">
              <w:t>i</w:t>
            </w:r>
            <w:proofErr w:type="spellEnd"/>
            <w:r w:rsidRPr="0064773D">
              <w:t xml:space="preserve"> cu </w:t>
            </w:r>
            <w:proofErr w:type="spellStart"/>
            <w:r w:rsidRPr="0064773D">
              <w:t>multă</w:t>
            </w:r>
            <w:proofErr w:type="spellEnd"/>
            <w:r w:rsidRPr="0064773D">
              <w:t xml:space="preserve"> </w:t>
            </w:r>
            <w:proofErr w:type="spellStart"/>
            <w:r w:rsidRPr="0064773D">
              <w:t>apă</w:t>
            </w:r>
            <w:proofErr w:type="spellEnd"/>
            <w:r w:rsidRPr="0064773D">
              <w:t xml:space="preserve"> </w:t>
            </w:r>
            <w:proofErr w:type="spellStart"/>
            <w:r w:rsidRPr="0064773D">
              <w:rPr>
                <w:rFonts w:ascii="Cambria Math" w:hAnsi="Cambria Math" w:cs="Cambria Math"/>
              </w:rPr>
              <w:t>ș</w:t>
            </w:r>
            <w:r w:rsidRPr="0064773D">
              <w:t>i</w:t>
            </w:r>
            <w:proofErr w:type="spellEnd"/>
            <w:r w:rsidRPr="0064773D">
              <w:t xml:space="preserve"> </w:t>
            </w:r>
            <w:proofErr w:type="spellStart"/>
            <w:r w:rsidRPr="0064773D">
              <w:t>săpun</w:t>
            </w:r>
            <w:proofErr w:type="spellEnd"/>
            <w:r w:rsidRPr="0064773D">
              <w:t xml:space="preserve">. </w:t>
            </w:r>
            <w:proofErr w:type="spellStart"/>
            <w:r w:rsidRPr="0064773D">
              <w:t>Spăla</w:t>
            </w:r>
            <w:r w:rsidRPr="0064773D">
              <w:rPr>
                <w:rFonts w:ascii="Cambria Math" w:hAnsi="Cambria Math" w:cs="Cambria Math"/>
              </w:rPr>
              <w:t>ț</w:t>
            </w:r>
            <w:r w:rsidRPr="0064773D">
              <w:t>i</w:t>
            </w:r>
            <w:proofErr w:type="spellEnd"/>
            <w:r w:rsidRPr="0064773D">
              <w:t xml:space="preserve"> </w:t>
            </w:r>
            <w:proofErr w:type="spellStart"/>
            <w:r w:rsidRPr="0064773D">
              <w:t>complet</w:t>
            </w:r>
            <w:proofErr w:type="spellEnd"/>
            <w:r w:rsidRPr="0064773D">
              <w:t xml:space="preserve"> </w:t>
            </w:r>
            <w:proofErr w:type="spellStart"/>
            <w:r w:rsidRPr="0064773D">
              <w:t>corpul</w:t>
            </w:r>
            <w:proofErr w:type="spellEnd"/>
            <w:r w:rsidRPr="0064773D">
              <w:t xml:space="preserve"> (</w:t>
            </w:r>
            <w:proofErr w:type="spellStart"/>
            <w:r w:rsidRPr="0064773D">
              <w:t>du</w:t>
            </w:r>
            <w:r w:rsidRPr="0064773D">
              <w:rPr>
                <w:rFonts w:ascii="Cambria Math" w:hAnsi="Cambria Math" w:cs="Cambria Math"/>
              </w:rPr>
              <w:t>ș</w:t>
            </w:r>
            <w:proofErr w:type="spellEnd"/>
            <w:r w:rsidRPr="0064773D">
              <w:t xml:space="preserve"> </w:t>
            </w:r>
            <w:proofErr w:type="spellStart"/>
            <w:r w:rsidRPr="0064773D">
              <w:t>sau</w:t>
            </w:r>
            <w:proofErr w:type="spellEnd"/>
            <w:r w:rsidRPr="0064773D">
              <w:t xml:space="preserve"> </w:t>
            </w:r>
            <w:proofErr w:type="spellStart"/>
            <w:r w:rsidRPr="0064773D">
              <w:t>baie</w:t>
            </w:r>
            <w:proofErr w:type="spellEnd"/>
            <w:r w:rsidRPr="0064773D">
              <w:t xml:space="preserve">). </w:t>
            </w:r>
          </w:p>
          <w:p w:rsidR="0064773D" w:rsidRPr="0064773D" w:rsidRDefault="0064773D" w:rsidP="00050C51">
            <w:pPr>
              <w:pStyle w:val="NoSpacing"/>
            </w:pPr>
            <w:proofErr w:type="spellStart"/>
            <w:r w:rsidRPr="0064773D">
              <w:t>Îndepărta</w:t>
            </w:r>
            <w:r w:rsidRPr="0064773D">
              <w:rPr>
                <w:rFonts w:ascii="Cambria Math" w:hAnsi="Cambria Math" w:cs="Cambria Math"/>
              </w:rPr>
              <w:t>ț</w:t>
            </w:r>
            <w:r w:rsidRPr="0064773D">
              <w:t>i</w:t>
            </w:r>
            <w:proofErr w:type="spellEnd"/>
            <w:r w:rsidRPr="0064773D">
              <w:t xml:space="preserve"> </w:t>
            </w:r>
            <w:proofErr w:type="spellStart"/>
            <w:r w:rsidRPr="0064773D">
              <w:t>imediat</w:t>
            </w:r>
            <w:proofErr w:type="spellEnd"/>
            <w:r w:rsidRPr="0064773D">
              <w:t xml:space="preserve"> </w:t>
            </w:r>
            <w:proofErr w:type="spellStart"/>
            <w:r w:rsidRPr="0064773D">
              <w:t>hainele</w:t>
            </w:r>
            <w:proofErr w:type="spellEnd"/>
            <w:r w:rsidRPr="0064773D">
              <w:t xml:space="preserve"> contaminate </w:t>
            </w:r>
            <w:proofErr w:type="spellStart"/>
            <w:r w:rsidRPr="0064773D">
              <w:rPr>
                <w:rFonts w:ascii="Cambria Math" w:hAnsi="Cambria Math" w:cs="Cambria Math"/>
              </w:rPr>
              <w:t>ș</w:t>
            </w:r>
            <w:r w:rsidRPr="0064773D">
              <w:t>i</w:t>
            </w:r>
            <w:proofErr w:type="spellEnd"/>
            <w:r w:rsidRPr="0064773D">
              <w:t xml:space="preserve"> </w:t>
            </w:r>
            <w:proofErr w:type="spellStart"/>
            <w:r w:rsidRPr="0064773D">
              <w:t>elimina</w:t>
            </w:r>
            <w:r w:rsidRPr="0064773D">
              <w:rPr>
                <w:rFonts w:ascii="Cambria Math" w:hAnsi="Cambria Math" w:cs="Cambria Math"/>
              </w:rPr>
              <w:t>ț</w:t>
            </w:r>
            <w:r w:rsidRPr="0064773D">
              <w:t>i</w:t>
            </w:r>
            <w:proofErr w:type="spellEnd"/>
            <w:r w:rsidRPr="0064773D">
              <w:t xml:space="preserve">-le </w:t>
            </w:r>
            <w:proofErr w:type="spellStart"/>
            <w:r w:rsidRPr="0064773D">
              <w:t>în</w:t>
            </w:r>
            <w:proofErr w:type="spellEnd"/>
            <w:r w:rsidRPr="0064773D">
              <w:t xml:space="preserve"> mod </w:t>
            </w:r>
            <w:proofErr w:type="spellStart"/>
            <w:r w:rsidRPr="0064773D">
              <w:t>sigur</w:t>
            </w:r>
            <w:proofErr w:type="spellEnd"/>
            <w:r w:rsidRPr="0064773D">
              <w:t xml:space="preserve">. </w:t>
            </w:r>
          </w:p>
          <w:p w:rsidR="0064773D" w:rsidRPr="0064773D" w:rsidRDefault="0064773D" w:rsidP="00050C51">
            <w:pPr>
              <w:pStyle w:val="NoSpacing"/>
            </w:pPr>
            <w:proofErr w:type="spellStart"/>
            <w:r w:rsidRPr="0064773D">
              <w:t>În</w:t>
            </w:r>
            <w:proofErr w:type="spellEnd"/>
            <w:r w:rsidRPr="0064773D">
              <w:t xml:space="preserve"> </w:t>
            </w:r>
            <w:proofErr w:type="spellStart"/>
            <w:r w:rsidRPr="0064773D">
              <w:t>caz</w:t>
            </w:r>
            <w:proofErr w:type="spellEnd"/>
            <w:r w:rsidRPr="0064773D">
              <w:t xml:space="preserve"> de contact cu </w:t>
            </w:r>
            <w:proofErr w:type="spellStart"/>
            <w:r w:rsidRPr="0064773D">
              <w:t>ochii</w:t>
            </w:r>
            <w:proofErr w:type="spellEnd"/>
            <w:r w:rsidRPr="0064773D">
              <w:t xml:space="preserve">: </w:t>
            </w:r>
          </w:p>
          <w:p w:rsidR="0064773D" w:rsidRPr="0064773D" w:rsidRDefault="0064773D" w:rsidP="00050C51">
            <w:pPr>
              <w:pStyle w:val="NoSpacing"/>
            </w:pPr>
            <w:proofErr w:type="spellStart"/>
            <w:r w:rsidRPr="0064773D">
              <w:t>În</w:t>
            </w:r>
            <w:proofErr w:type="spellEnd"/>
            <w:r w:rsidRPr="0064773D">
              <w:t xml:space="preserve"> </w:t>
            </w:r>
            <w:proofErr w:type="spellStart"/>
            <w:r w:rsidRPr="0064773D">
              <w:t>cazul</w:t>
            </w:r>
            <w:proofErr w:type="spellEnd"/>
            <w:r w:rsidRPr="0064773D">
              <w:t xml:space="preserve"> </w:t>
            </w:r>
            <w:proofErr w:type="spellStart"/>
            <w:r w:rsidRPr="0064773D">
              <w:t>contactului</w:t>
            </w:r>
            <w:proofErr w:type="spellEnd"/>
            <w:r w:rsidRPr="0064773D">
              <w:t xml:space="preserve"> cu </w:t>
            </w:r>
            <w:proofErr w:type="spellStart"/>
            <w:r w:rsidRPr="0064773D">
              <w:t>ochii</w:t>
            </w:r>
            <w:proofErr w:type="spellEnd"/>
            <w:r w:rsidRPr="0064773D">
              <w:t xml:space="preserve">, </w:t>
            </w:r>
            <w:proofErr w:type="spellStart"/>
            <w:r w:rsidRPr="0064773D">
              <w:t>spăla</w:t>
            </w:r>
            <w:r w:rsidRPr="0064773D">
              <w:rPr>
                <w:rFonts w:ascii="Cambria Math" w:hAnsi="Cambria Math" w:cs="Cambria Math"/>
              </w:rPr>
              <w:t>ț</w:t>
            </w:r>
            <w:r w:rsidRPr="0064773D">
              <w:t>i</w:t>
            </w:r>
            <w:proofErr w:type="spellEnd"/>
            <w:r w:rsidRPr="0064773D">
              <w:t xml:space="preserve"> </w:t>
            </w:r>
            <w:proofErr w:type="spellStart"/>
            <w:r w:rsidRPr="0064773D">
              <w:t>imediat</w:t>
            </w:r>
            <w:proofErr w:type="spellEnd"/>
            <w:r w:rsidRPr="0064773D">
              <w:t xml:space="preserve"> cu </w:t>
            </w:r>
            <w:proofErr w:type="spellStart"/>
            <w:r w:rsidRPr="0064773D">
              <w:t>multă</w:t>
            </w:r>
            <w:proofErr w:type="spellEnd"/>
            <w:r w:rsidRPr="0064773D">
              <w:t xml:space="preserve"> </w:t>
            </w:r>
            <w:proofErr w:type="spellStart"/>
            <w:r w:rsidRPr="0064773D">
              <w:t>apă</w:t>
            </w:r>
            <w:proofErr w:type="spellEnd"/>
            <w:r w:rsidRPr="0064773D">
              <w:t xml:space="preserve"> </w:t>
            </w:r>
            <w:proofErr w:type="spellStart"/>
            <w:r w:rsidRPr="0064773D">
              <w:rPr>
                <w:rFonts w:ascii="Cambria Math" w:hAnsi="Cambria Math" w:cs="Cambria Math"/>
              </w:rPr>
              <w:t>ș</w:t>
            </w:r>
            <w:r w:rsidRPr="0064773D">
              <w:t>i</w:t>
            </w:r>
            <w:proofErr w:type="spellEnd"/>
            <w:r w:rsidRPr="0064773D">
              <w:t xml:space="preserve"> </w:t>
            </w:r>
            <w:proofErr w:type="spellStart"/>
            <w:r w:rsidRPr="0064773D">
              <w:t>consulta</w:t>
            </w:r>
            <w:r w:rsidRPr="0064773D">
              <w:rPr>
                <w:rFonts w:ascii="Cambria Math" w:hAnsi="Cambria Math" w:cs="Cambria Math"/>
              </w:rPr>
              <w:t>ț</w:t>
            </w:r>
            <w:r w:rsidRPr="0064773D">
              <w:t>i</w:t>
            </w:r>
            <w:proofErr w:type="spellEnd"/>
            <w:r w:rsidRPr="0064773D">
              <w:t xml:space="preserve"> </w:t>
            </w:r>
            <w:proofErr w:type="spellStart"/>
            <w:r w:rsidRPr="0064773D">
              <w:t>medicul</w:t>
            </w:r>
            <w:proofErr w:type="spellEnd"/>
            <w:r w:rsidRPr="0064773D">
              <w:t xml:space="preserve"> </w:t>
            </w:r>
          </w:p>
          <w:p w:rsidR="0064773D" w:rsidRPr="0064773D" w:rsidRDefault="0064773D" w:rsidP="00050C51">
            <w:pPr>
              <w:pStyle w:val="NoSpacing"/>
            </w:pPr>
            <w:proofErr w:type="spellStart"/>
            <w:r w:rsidRPr="0064773D">
              <w:t>În</w:t>
            </w:r>
            <w:proofErr w:type="spellEnd"/>
            <w:r w:rsidRPr="0064773D">
              <w:t xml:space="preserve"> </w:t>
            </w:r>
            <w:proofErr w:type="spellStart"/>
            <w:r w:rsidRPr="0064773D">
              <w:t>caz</w:t>
            </w:r>
            <w:proofErr w:type="spellEnd"/>
            <w:r w:rsidRPr="0064773D">
              <w:t xml:space="preserve"> de </w:t>
            </w:r>
            <w:proofErr w:type="spellStart"/>
            <w:r w:rsidRPr="0064773D">
              <w:t>ingerare</w:t>
            </w:r>
            <w:proofErr w:type="spellEnd"/>
            <w:r w:rsidRPr="0064773D">
              <w:t xml:space="preserve">: </w:t>
            </w:r>
          </w:p>
          <w:p w:rsidR="0064773D" w:rsidRPr="0064773D" w:rsidRDefault="0064773D" w:rsidP="00050C51">
            <w:pPr>
              <w:pStyle w:val="NoSpacing"/>
            </w:pPr>
            <w:r w:rsidRPr="0064773D">
              <w:t xml:space="preserve">Nu </w:t>
            </w:r>
            <w:proofErr w:type="spellStart"/>
            <w:r w:rsidRPr="0064773D">
              <w:t>provoca</w:t>
            </w:r>
            <w:r w:rsidRPr="0064773D">
              <w:rPr>
                <w:rFonts w:ascii="Cambria Math" w:hAnsi="Cambria Math" w:cs="Cambria Math"/>
              </w:rPr>
              <w:t>ț</w:t>
            </w:r>
            <w:r w:rsidRPr="0064773D">
              <w:t>i</w:t>
            </w:r>
            <w:proofErr w:type="spellEnd"/>
            <w:r w:rsidRPr="0064773D">
              <w:t xml:space="preserve"> </w:t>
            </w:r>
            <w:proofErr w:type="spellStart"/>
            <w:r w:rsidRPr="0064773D">
              <w:t>în</w:t>
            </w:r>
            <w:proofErr w:type="spellEnd"/>
            <w:r w:rsidRPr="0064773D">
              <w:t xml:space="preserve"> </w:t>
            </w:r>
            <w:proofErr w:type="spellStart"/>
            <w:r w:rsidRPr="0064773D">
              <w:t>nici</w:t>
            </w:r>
            <w:proofErr w:type="spellEnd"/>
            <w:r w:rsidRPr="0064773D">
              <w:t xml:space="preserve"> un </w:t>
            </w:r>
            <w:proofErr w:type="spellStart"/>
            <w:r w:rsidRPr="0064773D">
              <w:t>caz</w:t>
            </w:r>
            <w:proofErr w:type="spellEnd"/>
            <w:r w:rsidRPr="0064773D">
              <w:t xml:space="preserve"> </w:t>
            </w:r>
            <w:proofErr w:type="spellStart"/>
            <w:r w:rsidRPr="0064773D">
              <w:t>voma</w:t>
            </w:r>
            <w:proofErr w:type="spellEnd"/>
            <w:r w:rsidRPr="0064773D">
              <w:t>. O</w:t>
            </w:r>
            <w:r w:rsidRPr="0064773D">
              <w:rPr>
                <w:lang w:val="ro-RO"/>
              </w:rPr>
              <w:t>b</w:t>
            </w:r>
            <w:r w:rsidRPr="0064773D">
              <w:rPr>
                <w:rFonts w:ascii="Cambria Math" w:hAnsi="Cambria Math" w:cs="Cambria Math"/>
                <w:lang w:val="ro-RO"/>
              </w:rPr>
              <w:t>ț</w:t>
            </w:r>
            <w:r w:rsidRPr="0064773D">
              <w:rPr>
                <w:lang w:val="ro-RO"/>
              </w:rPr>
              <w:t>ine</w:t>
            </w:r>
            <w:r w:rsidRPr="0064773D">
              <w:rPr>
                <w:rFonts w:ascii="Cambria Math" w:hAnsi="Cambria Math" w:cs="Cambria Math"/>
                <w:lang w:val="ro-RO"/>
              </w:rPr>
              <w:t>ț</w:t>
            </w:r>
            <w:r w:rsidRPr="0064773D">
              <w:rPr>
                <w:lang w:val="ro-RO"/>
              </w:rPr>
              <w:t>i asisten</w:t>
            </w:r>
            <w:r w:rsidRPr="0064773D">
              <w:rPr>
                <w:rFonts w:ascii="Cambria Math" w:hAnsi="Cambria Math" w:cs="Cambria Math"/>
                <w:lang w:val="ro-RO"/>
              </w:rPr>
              <w:t>ț</w:t>
            </w:r>
            <w:r w:rsidRPr="0064773D">
              <w:rPr>
                <w:lang w:val="ro-RO"/>
              </w:rPr>
              <w:t>ă medicală imediat.</w:t>
            </w:r>
            <w:r w:rsidRPr="0064773D">
              <w:t xml:space="preserve"> </w:t>
            </w:r>
          </w:p>
          <w:p w:rsidR="0064773D" w:rsidRPr="0064773D" w:rsidRDefault="0064773D" w:rsidP="00050C51">
            <w:pPr>
              <w:pStyle w:val="NoSpacing"/>
            </w:pPr>
            <w:proofErr w:type="spellStart"/>
            <w:r w:rsidRPr="0064773D">
              <w:t>În</w:t>
            </w:r>
            <w:proofErr w:type="spellEnd"/>
            <w:r w:rsidRPr="0064773D">
              <w:t xml:space="preserve"> </w:t>
            </w:r>
            <w:proofErr w:type="spellStart"/>
            <w:r w:rsidRPr="0064773D">
              <w:t>caz</w:t>
            </w:r>
            <w:proofErr w:type="spellEnd"/>
            <w:r w:rsidRPr="0064773D">
              <w:t xml:space="preserve"> de </w:t>
            </w:r>
            <w:proofErr w:type="spellStart"/>
            <w:r w:rsidRPr="0064773D">
              <w:t>inhalare</w:t>
            </w:r>
            <w:proofErr w:type="spellEnd"/>
            <w:r w:rsidRPr="0064773D">
              <w:t xml:space="preserve">: </w:t>
            </w:r>
          </w:p>
          <w:p w:rsidR="0064773D" w:rsidRPr="0064773D" w:rsidRDefault="0064773D" w:rsidP="00050C51">
            <w:pPr>
              <w:pStyle w:val="NoSpacing"/>
            </w:pPr>
            <w:proofErr w:type="spellStart"/>
            <w:r w:rsidRPr="0064773D">
              <w:t>Conduce</w:t>
            </w:r>
            <w:r w:rsidRPr="0064773D">
              <w:rPr>
                <w:rFonts w:ascii="Cambria Math" w:hAnsi="Cambria Math" w:cs="Cambria Math"/>
              </w:rPr>
              <w:t>ț</w:t>
            </w:r>
            <w:r w:rsidRPr="0064773D">
              <w:t>i</w:t>
            </w:r>
            <w:proofErr w:type="spellEnd"/>
            <w:r w:rsidRPr="0064773D">
              <w:t xml:space="preserve"> </w:t>
            </w:r>
            <w:proofErr w:type="spellStart"/>
            <w:r w:rsidRPr="0064773D">
              <w:t>accidentatul</w:t>
            </w:r>
            <w:proofErr w:type="spellEnd"/>
            <w:r w:rsidRPr="0064773D">
              <w:t xml:space="preserve"> la </w:t>
            </w:r>
            <w:proofErr w:type="spellStart"/>
            <w:r w:rsidRPr="0064773D">
              <w:t>aer</w:t>
            </w:r>
            <w:proofErr w:type="spellEnd"/>
            <w:r w:rsidRPr="0064773D">
              <w:t xml:space="preserve"> liber </w:t>
            </w:r>
            <w:proofErr w:type="spellStart"/>
            <w:r w:rsidRPr="0064773D">
              <w:rPr>
                <w:rFonts w:ascii="Cambria Math" w:hAnsi="Cambria Math" w:cs="Cambria Math"/>
              </w:rPr>
              <w:t>ș</w:t>
            </w:r>
            <w:r w:rsidRPr="0064773D">
              <w:t>i</w:t>
            </w:r>
            <w:proofErr w:type="spellEnd"/>
            <w:r w:rsidRPr="0064773D">
              <w:t xml:space="preserve"> </w:t>
            </w:r>
            <w:proofErr w:type="spellStart"/>
            <w:r w:rsidRPr="0064773D">
              <w:rPr>
                <w:rFonts w:ascii="Cambria Math" w:hAnsi="Cambria Math" w:cs="Cambria Math"/>
              </w:rPr>
              <w:t>ț</w:t>
            </w:r>
            <w:r w:rsidRPr="0064773D">
              <w:t>ine</w:t>
            </w:r>
            <w:r w:rsidRPr="0064773D">
              <w:rPr>
                <w:rFonts w:ascii="Cambria Math" w:hAnsi="Cambria Math" w:cs="Cambria Math"/>
              </w:rPr>
              <w:t>ț</w:t>
            </w:r>
            <w:r w:rsidRPr="0064773D">
              <w:t>i</w:t>
            </w:r>
            <w:proofErr w:type="spellEnd"/>
            <w:r w:rsidRPr="0064773D">
              <w:t xml:space="preserve">-l la </w:t>
            </w:r>
            <w:proofErr w:type="spellStart"/>
            <w:r w:rsidRPr="0064773D">
              <w:t>cald</w:t>
            </w:r>
            <w:proofErr w:type="spellEnd"/>
            <w:r w:rsidRPr="0064773D">
              <w:t xml:space="preserve"> </w:t>
            </w:r>
            <w:proofErr w:type="spellStart"/>
            <w:r w:rsidRPr="0064773D">
              <w:rPr>
                <w:rFonts w:ascii="Cambria Math" w:hAnsi="Cambria Math" w:cs="Cambria Math"/>
              </w:rPr>
              <w:t>ș</w:t>
            </w:r>
            <w:r w:rsidRPr="0064773D">
              <w:t>i</w:t>
            </w:r>
            <w:proofErr w:type="spellEnd"/>
            <w:r w:rsidRPr="0064773D">
              <w:t xml:space="preserve"> </w:t>
            </w:r>
            <w:proofErr w:type="spellStart"/>
            <w:r w:rsidRPr="0064773D">
              <w:t>în</w:t>
            </w:r>
            <w:proofErr w:type="spellEnd"/>
            <w:r w:rsidRPr="0064773D">
              <w:t xml:space="preserve"> </w:t>
            </w:r>
            <w:proofErr w:type="spellStart"/>
            <w:r w:rsidRPr="0064773D">
              <w:t>repaus</w:t>
            </w:r>
            <w:proofErr w:type="spellEnd"/>
            <w:r w:rsidRPr="0064773D">
              <w:t>.</w:t>
            </w:r>
          </w:p>
          <w:p w:rsidR="007E7969" w:rsidRPr="0064773D" w:rsidRDefault="0064773D" w:rsidP="00050C51">
            <w:pPr>
              <w:pStyle w:val="NoSpacing"/>
              <w:rPr>
                <w:lang w:val="ro-RO"/>
              </w:rPr>
            </w:pPr>
            <w:proofErr w:type="spellStart"/>
            <w:r w:rsidRPr="0064773D">
              <w:t>Tratament</w:t>
            </w:r>
            <w:proofErr w:type="spellEnd"/>
            <w:r w:rsidRPr="0064773D">
              <w:t xml:space="preserve">: </w:t>
            </w:r>
            <w:proofErr w:type="spellStart"/>
            <w:r w:rsidRPr="0064773D">
              <w:t>Vitamina</w:t>
            </w:r>
            <w:proofErr w:type="spellEnd"/>
            <w:r w:rsidRPr="0064773D">
              <w:t xml:space="preserve"> K1- </w:t>
            </w:r>
            <w:proofErr w:type="spellStart"/>
            <w:r w:rsidRPr="0064773D">
              <w:t>antidot</w:t>
            </w:r>
            <w:proofErr w:type="spellEnd"/>
            <w:r w:rsidRPr="0064773D">
              <w:t>.</w:t>
            </w:r>
          </w:p>
        </w:tc>
      </w:tr>
    </w:tbl>
    <w:p w:rsidR="00393522" w:rsidRPr="00993707" w:rsidRDefault="00393522" w:rsidP="00050C51">
      <w:pPr>
        <w:pStyle w:val="NoSpacing"/>
        <w:rPr>
          <w:b/>
          <w:sz w:val="10"/>
          <w:lang w:val="ro-RO"/>
        </w:rPr>
      </w:pPr>
    </w:p>
    <w:p w:rsidR="00B66405" w:rsidRPr="0003534F" w:rsidRDefault="00B66405" w:rsidP="00050C51">
      <w:pPr>
        <w:pStyle w:val="NoSpacing"/>
        <w:rPr>
          <w:b/>
          <w:lang w:val="ro-RO"/>
        </w:rPr>
      </w:pPr>
      <w:r w:rsidRPr="0003534F">
        <w:rPr>
          <w:b/>
          <w:lang w:val="ro-RO"/>
        </w:rPr>
        <w:t>XVI. MĂSURI PENTRU PROTEC</w:t>
      </w:r>
      <w:r w:rsidR="00400263" w:rsidRPr="0003534F">
        <w:rPr>
          <w:b/>
          <w:lang w:val="ro-RO"/>
        </w:rPr>
        <w:t>T</w:t>
      </w:r>
      <w:r w:rsidRPr="0003534F">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1F7047" w:rsidTr="006B235A">
        <w:tc>
          <w:tcPr>
            <w:tcW w:w="9923" w:type="dxa"/>
          </w:tcPr>
          <w:p w:rsidR="00B66405" w:rsidRPr="008158EC" w:rsidRDefault="00F42D7B" w:rsidP="00050C51">
            <w:pPr>
              <w:pStyle w:val="NoSpacing"/>
              <w:rPr>
                <w:u w:val="single"/>
                <w:lang w:val="ro-RO"/>
              </w:rPr>
            </w:pPr>
            <w:r w:rsidRPr="008158EC">
              <w:rPr>
                <w:u w:val="single"/>
                <w:lang w:val="ro-RO"/>
              </w:rPr>
              <w:t>Restrictii pentru utilizarea produsului biocid:</w:t>
            </w:r>
          </w:p>
          <w:p w:rsidR="00F42D7B" w:rsidRDefault="006E2EB0" w:rsidP="00050C51">
            <w:pPr>
              <w:pStyle w:val="NoSpacing"/>
              <w:rPr>
                <w:lang w:val="ro-RO"/>
              </w:rPr>
            </w:pPr>
            <w:r>
              <w:rPr>
                <w:lang w:val="ro-RO"/>
              </w:rPr>
              <w:t>Ev</w:t>
            </w:r>
            <w:r w:rsidR="00F42D7B">
              <w:rPr>
                <w:lang w:val="ro-RO"/>
              </w:rPr>
              <w:t>itati dispersarea in mediu. Impiedicati patrunderea in sol/subsol. Impiedicati varsarea in apele de suprafata sau in reteaua de canalizare.Retineti apa de spalat contaminata si eliminati-o</w:t>
            </w:r>
            <w:r w:rsidR="00F91D54">
              <w:rPr>
                <w:lang w:val="ro-RO"/>
              </w:rPr>
              <w:t>.Nu amplasati statiile de intoxicare in apropierea sistemelor de drenaj, unde momeala poate intra in contact cu apa. Amplasati capcanele in zone fara risc de inundare.Periculos pentru animalele salbatice. Nu lasati produsul la indemana copiilor, pasarilor, animalelor de companie si animalelor de ferma si a altor animale care nu sunt vizate.</w:t>
            </w:r>
          </w:p>
          <w:p w:rsidR="00F42D7B" w:rsidRPr="008158EC" w:rsidRDefault="00F91D54" w:rsidP="00050C51">
            <w:pPr>
              <w:pStyle w:val="NoSpacing"/>
              <w:rPr>
                <w:u w:val="single"/>
                <w:lang w:val="ro-RO"/>
              </w:rPr>
            </w:pPr>
            <w:r w:rsidRPr="008158EC">
              <w:rPr>
                <w:u w:val="single"/>
                <w:lang w:val="ro-RO"/>
              </w:rPr>
              <w:t>Masuri in caz de dispersare accidentala:</w:t>
            </w:r>
          </w:p>
          <w:p w:rsidR="00F91D54" w:rsidRDefault="00F91D54" w:rsidP="00050C51">
            <w:pPr>
              <w:pStyle w:val="NoSpacing"/>
              <w:rPr>
                <w:lang w:val="ro-RO"/>
              </w:rPr>
            </w:pPr>
            <w:r>
              <w:rPr>
                <w:lang w:val="ro-RO"/>
              </w:rPr>
              <w:t xml:space="preserve">In caz de scurgere de gaz sau penetrare in cursuri de apa, sol sau sistemul de canalizare, informati </w:t>
            </w:r>
            <w:r>
              <w:rPr>
                <w:lang w:val="ro-RO"/>
              </w:rPr>
              <w:lastRenderedPageBreak/>
              <w:t>autoritatile raspunzatoare. Material corespunzator pentru strangere : material absorbant, organic, nisip.</w:t>
            </w:r>
          </w:p>
          <w:p w:rsidR="00F91D54" w:rsidRPr="008158EC" w:rsidRDefault="00F91D54" w:rsidP="00050C51">
            <w:pPr>
              <w:pStyle w:val="NoSpacing"/>
              <w:rPr>
                <w:u w:val="single"/>
                <w:lang w:val="ro-RO"/>
              </w:rPr>
            </w:pPr>
            <w:r w:rsidRPr="008158EC">
              <w:rPr>
                <w:u w:val="single"/>
                <w:lang w:val="ro-RO"/>
              </w:rPr>
              <w:t>Metode de decontaminare:</w:t>
            </w:r>
          </w:p>
          <w:p w:rsidR="00F91D54" w:rsidRPr="00340FC3" w:rsidRDefault="00F91D54" w:rsidP="00050C51">
            <w:pPr>
              <w:pStyle w:val="NoSpacing"/>
              <w:rPr>
                <w:lang w:val="ro-RO"/>
              </w:rPr>
            </w:pPr>
            <w:r>
              <w:rPr>
                <w:lang w:val="ro-RO"/>
              </w:rPr>
              <w:t>Capcanele se inspecteaza cel putin o data la 3-5 zile pentru soareci sau 5-7 zile pentru sobolani, la inceperea tratamentului si cel putin saptamanal ulterior, pentru a verifica daca momeala este acceptata si daca se mentine integritatea capcanelor, precum si pentru a indeparta rozatoarele moarte .In cazul in care rodenticidul poate ajunge pe sol trebuie sa se ia masuri imediate pentru colectarea lui si curatarea zonei.</w:t>
            </w:r>
          </w:p>
        </w:tc>
      </w:tr>
    </w:tbl>
    <w:p w:rsidR="00FF3D0E" w:rsidRPr="00993707" w:rsidRDefault="00FF3D0E" w:rsidP="00050C51">
      <w:pPr>
        <w:pStyle w:val="NoSpacing"/>
        <w:rPr>
          <w:b/>
          <w:sz w:val="10"/>
          <w:lang w:val="fr-FR"/>
        </w:rPr>
      </w:pPr>
    </w:p>
    <w:p w:rsidR="00B66405" w:rsidRPr="0003534F" w:rsidRDefault="00B66405" w:rsidP="00050C51">
      <w:pPr>
        <w:pStyle w:val="NoSpacing"/>
        <w:rPr>
          <w:b/>
          <w:lang w:val="fr-FR"/>
        </w:rPr>
      </w:pPr>
      <w:r w:rsidRPr="0003534F">
        <w:rPr>
          <w:b/>
          <w:lang w:val="fr-FR"/>
        </w:rPr>
        <w:t>XVII. MASURI PENTRU PROTECTIA ANIMALELOR SI A HRANEI PENTRU ANIMALE</w:t>
      </w:r>
    </w:p>
    <w:tbl>
      <w:tblPr>
        <w:tblStyle w:val="TableGrid"/>
        <w:tblW w:w="0" w:type="auto"/>
        <w:tblInd w:w="108" w:type="dxa"/>
        <w:tblLook w:val="04A0" w:firstRow="1" w:lastRow="0" w:firstColumn="1" w:lastColumn="0" w:noHBand="0" w:noVBand="1"/>
      </w:tblPr>
      <w:tblGrid>
        <w:gridCol w:w="9923"/>
      </w:tblGrid>
      <w:tr w:rsidR="00393522" w:rsidRPr="003128E7" w:rsidTr="00393522">
        <w:tc>
          <w:tcPr>
            <w:tcW w:w="9923" w:type="dxa"/>
          </w:tcPr>
          <w:p w:rsidR="003128E7" w:rsidRPr="003128E7" w:rsidRDefault="003128E7" w:rsidP="00050C51">
            <w:pPr>
              <w:pStyle w:val="NoSpacing"/>
              <w:rPr>
                <w:lang w:val="it-IT"/>
              </w:rPr>
            </w:pPr>
            <w:r w:rsidRPr="003128E7">
              <w:rPr>
                <w:lang w:val="it-IT"/>
              </w:rPr>
              <w:t>Capcanelevor fi amplasate în zone fără risc de inundare. Momelile deteriorate de apă sau contaminate cu pământ din interiorul capcanelor vor fi înlocuite. Înainte de utilizare, citi</w:t>
            </w:r>
            <w:r w:rsidRPr="003128E7">
              <w:rPr>
                <w:rFonts w:ascii="Cambria Math" w:hAnsi="Cambria Math" w:cs="Cambria Math"/>
                <w:lang w:val="it-IT"/>
              </w:rPr>
              <w:t>ț</w:t>
            </w:r>
            <w:r w:rsidRPr="003128E7">
              <w:rPr>
                <w:lang w:val="it-IT"/>
              </w:rPr>
              <w:t xml:space="preserve">i </w:t>
            </w:r>
            <w:r w:rsidRPr="003128E7">
              <w:rPr>
                <w:rFonts w:ascii="Cambria Math" w:hAnsi="Cambria Math" w:cs="Cambria Math"/>
                <w:lang w:val="it-IT"/>
              </w:rPr>
              <w:t>ș</w:t>
            </w:r>
            <w:r w:rsidRPr="003128E7">
              <w:rPr>
                <w:lang w:val="it-IT"/>
              </w:rPr>
              <w:t>i respecta</w:t>
            </w:r>
            <w:r w:rsidRPr="003128E7">
              <w:rPr>
                <w:rFonts w:ascii="Cambria Math" w:hAnsi="Cambria Math" w:cs="Cambria Math"/>
                <w:lang w:val="it-IT"/>
              </w:rPr>
              <w:t>ț</w:t>
            </w:r>
            <w:r w:rsidRPr="003128E7">
              <w:rPr>
                <w:lang w:val="it-IT"/>
              </w:rPr>
              <w:t>i informa</w:t>
            </w:r>
            <w:r w:rsidRPr="003128E7">
              <w:rPr>
                <w:rFonts w:ascii="Cambria Math" w:hAnsi="Cambria Math" w:cs="Cambria Math"/>
                <w:lang w:val="it-IT"/>
              </w:rPr>
              <w:t>ț</w:t>
            </w:r>
            <w:r w:rsidRPr="003128E7">
              <w:rPr>
                <w:lang w:val="it-IT"/>
              </w:rPr>
              <w:t xml:space="preserve">iile despre produs </w:t>
            </w:r>
            <w:r w:rsidRPr="003128E7">
              <w:rPr>
                <w:rFonts w:ascii="Cambria Math" w:hAnsi="Cambria Math" w:cs="Cambria Math"/>
                <w:lang w:val="it-IT"/>
              </w:rPr>
              <w:t>ș</w:t>
            </w:r>
            <w:r w:rsidRPr="003128E7">
              <w:rPr>
                <w:lang w:val="it-IT"/>
              </w:rPr>
              <w:t>i toate informa</w:t>
            </w:r>
            <w:r w:rsidRPr="003128E7">
              <w:rPr>
                <w:rFonts w:ascii="Cambria Math" w:hAnsi="Cambria Math" w:cs="Cambria Math"/>
                <w:lang w:val="it-IT"/>
              </w:rPr>
              <w:t>ț</w:t>
            </w:r>
            <w:r w:rsidRPr="003128E7">
              <w:rPr>
                <w:lang w:val="it-IT"/>
              </w:rPr>
              <w:t>iile care îl înso</w:t>
            </w:r>
            <w:r w:rsidRPr="003128E7">
              <w:rPr>
                <w:rFonts w:ascii="Cambria Math" w:hAnsi="Cambria Math" w:cs="Cambria Math"/>
                <w:lang w:val="it-IT"/>
              </w:rPr>
              <w:t>ț</w:t>
            </w:r>
            <w:r w:rsidRPr="003128E7">
              <w:rPr>
                <w:lang w:val="it-IT"/>
              </w:rPr>
              <w:t xml:space="preserve">esc sau care sunt comunicate în momentul vânzării. </w:t>
            </w:r>
          </w:p>
          <w:p w:rsidR="003128E7" w:rsidRPr="003128E7" w:rsidRDefault="003128E7" w:rsidP="00050C51">
            <w:pPr>
              <w:pStyle w:val="NoSpacing"/>
              <w:rPr>
                <w:lang w:val="it-IT"/>
              </w:rPr>
            </w:pPr>
            <w:r w:rsidRPr="003128E7">
              <w:rPr>
                <w:lang w:val="it-IT"/>
              </w:rPr>
              <w:t>Îndepărta</w:t>
            </w:r>
            <w:r w:rsidRPr="003128E7">
              <w:rPr>
                <w:rFonts w:ascii="Cambria Math" w:hAnsi="Cambria Math" w:cs="Cambria Math"/>
                <w:lang w:val="it-IT"/>
              </w:rPr>
              <w:t>ț</w:t>
            </w:r>
            <w:r w:rsidRPr="003128E7">
              <w:rPr>
                <w:lang w:val="it-IT"/>
              </w:rPr>
              <w:t>i hrana la care rozătoarele pot ajunge u</w:t>
            </w:r>
            <w:r w:rsidRPr="003128E7">
              <w:rPr>
                <w:rFonts w:ascii="Cambria Math" w:hAnsi="Cambria Math" w:cs="Cambria Math"/>
                <w:lang w:val="it-IT"/>
              </w:rPr>
              <w:t>ș</w:t>
            </w:r>
            <w:r w:rsidRPr="003128E7">
              <w:rPr>
                <w:lang w:val="it-IT"/>
              </w:rPr>
              <w:t xml:space="preserve">or (de exemplu, boabe de cereale vărsate sau resturi de mâncare). </w:t>
            </w:r>
          </w:p>
          <w:p w:rsidR="003128E7" w:rsidRPr="003128E7" w:rsidRDefault="003128E7" w:rsidP="00050C51">
            <w:pPr>
              <w:pStyle w:val="NoSpacing"/>
              <w:rPr>
                <w:lang w:val="it-IT"/>
              </w:rPr>
            </w:pPr>
            <w:r w:rsidRPr="003128E7">
              <w:rPr>
                <w:lang w:val="it-IT"/>
              </w:rPr>
              <w:t>Pe lângă aceasta, nu se va cură</w:t>
            </w:r>
            <w:r w:rsidRPr="003128E7">
              <w:rPr>
                <w:rFonts w:ascii="Cambria Math" w:hAnsi="Cambria Math" w:cs="Cambria Math"/>
                <w:lang w:val="it-IT"/>
              </w:rPr>
              <w:t>ț</w:t>
            </w:r>
            <w:r w:rsidRPr="003128E7">
              <w:rPr>
                <w:lang w:val="it-IT"/>
              </w:rPr>
              <w:t>a zona infestată imediat înainte de tratament, deoarece astfel va fi deranjată popula</w:t>
            </w:r>
            <w:r w:rsidRPr="003128E7">
              <w:rPr>
                <w:rFonts w:ascii="Cambria Math" w:hAnsi="Cambria Math" w:cs="Cambria Math"/>
                <w:lang w:val="it-IT"/>
              </w:rPr>
              <w:t>ț</w:t>
            </w:r>
            <w:r w:rsidRPr="003128E7">
              <w:rPr>
                <w:lang w:val="it-IT"/>
              </w:rPr>
              <w:t xml:space="preserve">ia de rozătoare </w:t>
            </w:r>
            <w:r w:rsidRPr="003128E7">
              <w:rPr>
                <w:rFonts w:ascii="Cambria Math" w:hAnsi="Cambria Math" w:cs="Cambria Math"/>
                <w:lang w:val="it-IT"/>
              </w:rPr>
              <w:t>ș</w:t>
            </w:r>
            <w:r w:rsidRPr="003128E7">
              <w:rPr>
                <w:lang w:val="it-IT"/>
              </w:rPr>
              <w:t>i va fi  îngreunată acceptarea momelii. Capcanele trebuie să fie amplasate în imediata apropiere a locurilor în care s-a observat prezen</w:t>
            </w:r>
            <w:r w:rsidRPr="003128E7">
              <w:rPr>
                <w:rFonts w:ascii="Cambria Math" w:hAnsi="Cambria Math" w:cs="Cambria Math"/>
                <w:lang w:val="it-IT"/>
              </w:rPr>
              <w:t>ț</w:t>
            </w:r>
            <w:r w:rsidRPr="003128E7">
              <w:rPr>
                <w:lang w:val="it-IT"/>
              </w:rPr>
              <w:t xml:space="preserve">a rozătoarelor (de exemplu, căi de acces, locuri de cuibărit, jgheaburi de hrănire a animalelor, găuri, vizuini etc.). </w:t>
            </w:r>
          </w:p>
          <w:p w:rsidR="003128E7" w:rsidRPr="003128E7" w:rsidRDefault="003128E7" w:rsidP="00050C51">
            <w:pPr>
              <w:pStyle w:val="NoSpacing"/>
              <w:rPr>
                <w:lang w:val="it-IT"/>
              </w:rPr>
            </w:pPr>
            <w:r w:rsidRPr="003128E7">
              <w:rPr>
                <w:lang w:val="it-IT"/>
              </w:rPr>
              <w:t>Dacă este posibil, capcanele trebuie să fie fixate pe sol sau de alte structuri.  Nu se deschide plicurile care con</w:t>
            </w:r>
            <w:r w:rsidRPr="003128E7">
              <w:rPr>
                <w:rFonts w:ascii="Cambria Math" w:hAnsi="Cambria Math" w:cs="Cambria Math"/>
                <w:lang w:val="it-IT"/>
              </w:rPr>
              <w:t>ț</w:t>
            </w:r>
            <w:r w:rsidRPr="003128E7">
              <w:rPr>
                <w:lang w:val="it-IT"/>
              </w:rPr>
              <w:t>in momeala</w:t>
            </w:r>
          </w:p>
          <w:p w:rsidR="003128E7" w:rsidRPr="003128E7" w:rsidRDefault="003128E7" w:rsidP="00050C51">
            <w:pPr>
              <w:pStyle w:val="NoSpacing"/>
              <w:rPr>
                <w:lang w:val="it-IT"/>
              </w:rPr>
            </w:pPr>
            <w:r w:rsidRPr="003128E7">
              <w:rPr>
                <w:lang w:val="it-IT"/>
              </w:rPr>
              <w:t>Când produsul este utilizat în tăvi de plastic cu o singură doză, după pozi</w:t>
            </w:r>
            <w:r w:rsidRPr="003128E7">
              <w:rPr>
                <w:rFonts w:ascii="Cambria Math" w:hAnsi="Cambria Math" w:cs="Cambria Math"/>
                <w:lang w:val="it-IT"/>
              </w:rPr>
              <w:t>ț</w:t>
            </w:r>
            <w:r w:rsidRPr="003128E7">
              <w:rPr>
                <w:lang w:val="it-IT"/>
              </w:rPr>
              <w:t>ionare tăia</w:t>
            </w:r>
            <w:r w:rsidRPr="003128E7">
              <w:rPr>
                <w:rFonts w:ascii="Cambria Math" w:hAnsi="Cambria Math" w:cs="Cambria Math"/>
                <w:lang w:val="it-IT"/>
              </w:rPr>
              <w:t>ț</w:t>
            </w:r>
            <w:r w:rsidRPr="003128E7">
              <w:rPr>
                <w:lang w:val="it-IT"/>
              </w:rPr>
              <w:t>i pelicula de protec</w:t>
            </w:r>
            <w:r w:rsidRPr="003128E7">
              <w:rPr>
                <w:rFonts w:ascii="Cambria Math" w:hAnsi="Cambria Math" w:cs="Cambria Math"/>
                <w:lang w:val="it-IT"/>
              </w:rPr>
              <w:t>ț</w:t>
            </w:r>
            <w:r w:rsidRPr="003128E7">
              <w:rPr>
                <w:lang w:val="it-IT"/>
              </w:rPr>
              <w:t>ie superioară.</w:t>
            </w:r>
          </w:p>
          <w:p w:rsidR="003128E7" w:rsidRPr="003128E7" w:rsidRDefault="003128E7" w:rsidP="00050C51">
            <w:pPr>
              <w:pStyle w:val="NoSpacing"/>
              <w:rPr>
                <w:lang w:val="it-IT"/>
              </w:rPr>
            </w:pPr>
            <w:r w:rsidRPr="003128E7">
              <w:rPr>
                <w:lang w:val="it-IT"/>
              </w:rPr>
              <w:t xml:space="preserve"> Amplasa</w:t>
            </w:r>
            <w:r w:rsidRPr="003128E7">
              <w:rPr>
                <w:rFonts w:ascii="Cambria Math" w:hAnsi="Cambria Math" w:cs="Cambria Math"/>
                <w:lang w:val="it-IT"/>
              </w:rPr>
              <w:t>ț</w:t>
            </w:r>
            <w:r w:rsidRPr="003128E7">
              <w:rPr>
                <w:lang w:val="it-IT"/>
              </w:rPr>
              <w:t xml:space="preserve">i capcanele în locuri inaccesibile pentru copii, păsări, animale de companie, animale de fermă </w:t>
            </w:r>
            <w:r w:rsidRPr="003128E7">
              <w:rPr>
                <w:rFonts w:ascii="Cambria Math" w:hAnsi="Cambria Math" w:cs="Cambria Math"/>
                <w:lang w:val="it-IT"/>
              </w:rPr>
              <w:t>ș</w:t>
            </w:r>
            <w:r w:rsidRPr="003128E7">
              <w:rPr>
                <w:lang w:val="it-IT"/>
              </w:rPr>
              <w:t>i alte animale nevizate.  Capcanele sunt amplasate la distan</w:t>
            </w:r>
            <w:r w:rsidRPr="003128E7">
              <w:rPr>
                <w:rFonts w:ascii="Cambria Math" w:hAnsi="Cambria Math" w:cs="Cambria Math"/>
                <w:lang w:val="it-IT"/>
              </w:rPr>
              <w:t>ț</w:t>
            </w:r>
            <w:r w:rsidRPr="003128E7">
              <w:rPr>
                <w:lang w:val="it-IT"/>
              </w:rPr>
              <w:t xml:space="preserve">ă de alimente, băuturi </w:t>
            </w:r>
            <w:r w:rsidRPr="003128E7">
              <w:rPr>
                <w:rFonts w:ascii="Cambria Math" w:hAnsi="Cambria Math" w:cs="Cambria Math"/>
                <w:lang w:val="it-IT"/>
              </w:rPr>
              <w:t>ș</w:t>
            </w:r>
            <w:r w:rsidRPr="003128E7">
              <w:rPr>
                <w:lang w:val="it-IT"/>
              </w:rPr>
              <w:t xml:space="preserve">i hrană pentru animale, precum </w:t>
            </w:r>
            <w:r w:rsidRPr="003128E7">
              <w:rPr>
                <w:rFonts w:ascii="Cambria Math" w:hAnsi="Cambria Math" w:cs="Cambria Math"/>
                <w:lang w:val="it-IT"/>
              </w:rPr>
              <w:t>ș</w:t>
            </w:r>
            <w:r w:rsidRPr="003128E7">
              <w:rPr>
                <w:lang w:val="it-IT"/>
              </w:rPr>
              <w:t>i de ustensilele sau suprafe</w:t>
            </w:r>
            <w:r w:rsidRPr="003128E7">
              <w:rPr>
                <w:rFonts w:ascii="Cambria Math" w:hAnsi="Cambria Math" w:cs="Cambria Math"/>
                <w:lang w:val="it-IT"/>
              </w:rPr>
              <w:t>ț</w:t>
            </w:r>
            <w:r w:rsidRPr="003128E7">
              <w:rPr>
                <w:lang w:val="it-IT"/>
              </w:rPr>
              <w:t>ele aflate în contact cu acestea. Nu se amplasează capcanele în apropierea sistemelor de scurgere a apei, unde pot intra în contact cu apa.</w:t>
            </w:r>
          </w:p>
          <w:p w:rsidR="003128E7" w:rsidRPr="003128E7" w:rsidRDefault="003128E7" w:rsidP="00050C51">
            <w:pPr>
              <w:pStyle w:val="NoSpacing"/>
              <w:rPr>
                <w:lang w:val="it-IT"/>
              </w:rPr>
            </w:pPr>
            <w:r w:rsidRPr="003128E7">
              <w:rPr>
                <w:lang w:val="it-IT"/>
              </w:rPr>
              <w:t xml:space="preserve"> Îndepărta</w:t>
            </w:r>
            <w:r w:rsidRPr="003128E7">
              <w:rPr>
                <w:rFonts w:ascii="Cambria Math" w:hAnsi="Cambria Math" w:cs="Cambria Math"/>
                <w:lang w:val="it-IT"/>
              </w:rPr>
              <w:t>ț</w:t>
            </w:r>
            <w:r w:rsidRPr="003128E7">
              <w:rPr>
                <w:lang w:val="it-IT"/>
              </w:rPr>
              <w:t>i momeala rămasă sau capcanele la sfâr</w:t>
            </w:r>
            <w:r w:rsidRPr="003128E7">
              <w:rPr>
                <w:rFonts w:ascii="Cambria Math" w:hAnsi="Cambria Math" w:cs="Cambria Math"/>
                <w:lang w:val="it-IT"/>
              </w:rPr>
              <w:t>ș</w:t>
            </w:r>
            <w:r w:rsidRPr="003128E7">
              <w:rPr>
                <w:lang w:val="it-IT"/>
              </w:rPr>
              <w:t>itul perioadei de tratament.</w:t>
            </w:r>
          </w:p>
          <w:p w:rsidR="003128E7" w:rsidRPr="003128E7" w:rsidRDefault="003128E7" w:rsidP="00050C51">
            <w:pPr>
              <w:pStyle w:val="NoSpacing"/>
              <w:rPr>
                <w:lang w:val="it-IT"/>
              </w:rPr>
            </w:pPr>
            <w:r w:rsidRPr="003128E7">
              <w:rPr>
                <w:lang w:val="it-IT"/>
              </w:rPr>
              <w:t>Capcanele trebuie să fie etichetate cu următoarele informa</w:t>
            </w:r>
            <w:r w:rsidRPr="003128E7">
              <w:rPr>
                <w:rFonts w:ascii="Cambria Math" w:hAnsi="Cambria Math" w:cs="Cambria Math"/>
                <w:lang w:val="it-IT"/>
              </w:rPr>
              <w:t>ț</w:t>
            </w:r>
            <w:r w:rsidRPr="003128E7">
              <w:rPr>
                <w:lang w:val="it-IT"/>
              </w:rPr>
              <w:t>ii: „a nu se muta sau deschide”; „con</w:t>
            </w:r>
            <w:r w:rsidRPr="003128E7">
              <w:rPr>
                <w:rFonts w:ascii="Cambria Math" w:hAnsi="Cambria Math" w:cs="Cambria Math"/>
                <w:lang w:val="it-IT"/>
              </w:rPr>
              <w:t>ț</w:t>
            </w:r>
            <w:r w:rsidRPr="003128E7">
              <w:rPr>
                <w:lang w:val="it-IT"/>
              </w:rPr>
              <w:t>ine un produs rodenticid”; „Murin Pasta Defend sau numărul de autoriza</w:t>
            </w:r>
            <w:r w:rsidRPr="003128E7">
              <w:rPr>
                <w:rFonts w:ascii="Cambria Math" w:hAnsi="Cambria Math" w:cs="Cambria Math"/>
                <w:lang w:val="it-IT"/>
              </w:rPr>
              <w:t>ț</w:t>
            </w:r>
            <w:r w:rsidRPr="003128E7">
              <w:rPr>
                <w:lang w:val="it-IT"/>
              </w:rPr>
              <w:t>ie”; „substan</w:t>
            </w:r>
            <w:r w:rsidRPr="003128E7">
              <w:rPr>
                <w:rFonts w:ascii="Cambria Math" w:hAnsi="Cambria Math" w:cs="Cambria Math"/>
                <w:lang w:val="it-IT"/>
              </w:rPr>
              <w:t>ț</w:t>
            </w:r>
            <w:r w:rsidRPr="003128E7">
              <w:rPr>
                <w:lang w:val="it-IT"/>
              </w:rPr>
              <w:t xml:space="preserve">ă(e) activă(e)” </w:t>
            </w:r>
            <w:r w:rsidRPr="003128E7">
              <w:rPr>
                <w:rFonts w:ascii="Cambria Math" w:hAnsi="Cambria Math" w:cs="Cambria Math"/>
                <w:lang w:val="it-IT"/>
              </w:rPr>
              <w:t>ș</w:t>
            </w:r>
            <w:r w:rsidRPr="003128E7">
              <w:rPr>
                <w:lang w:val="it-IT"/>
              </w:rPr>
              <w:t>i „în caz de incident, se va suna la un centru de informare toxicologică.</w:t>
            </w:r>
            <w:r w:rsidRPr="003128E7">
              <w:t xml:space="preserve"> </w:t>
            </w:r>
            <w:r w:rsidRPr="003128E7">
              <w:rPr>
                <w:lang w:val="it-IT"/>
              </w:rPr>
              <w:t>La sfâr</w:t>
            </w:r>
            <w:r w:rsidRPr="003128E7">
              <w:rPr>
                <w:rFonts w:ascii="Cambria Math" w:hAnsi="Cambria Math" w:cs="Cambria Math"/>
                <w:lang w:val="it-IT"/>
              </w:rPr>
              <w:t>ș</w:t>
            </w:r>
            <w:r w:rsidRPr="003128E7">
              <w:rPr>
                <w:lang w:val="it-IT"/>
              </w:rPr>
              <w:t>itul perioadei de tratament, elimina</w:t>
            </w:r>
            <w:r w:rsidRPr="003128E7">
              <w:rPr>
                <w:rFonts w:ascii="Cambria Math" w:hAnsi="Cambria Math" w:cs="Cambria Math"/>
                <w:lang w:val="it-IT"/>
              </w:rPr>
              <w:t>ț</w:t>
            </w:r>
            <w:r w:rsidRPr="003128E7">
              <w:rPr>
                <w:lang w:val="it-IT"/>
              </w:rPr>
              <w:t xml:space="preserve">i momeala neconsumată </w:t>
            </w:r>
            <w:r w:rsidRPr="003128E7">
              <w:rPr>
                <w:rFonts w:ascii="Cambria Math" w:hAnsi="Cambria Math" w:cs="Cambria Math"/>
                <w:lang w:val="it-IT"/>
              </w:rPr>
              <w:t>ș</w:t>
            </w:r>
            <w:r w:rsidRPr="003128E7">
              <w:rPr>
                <w:lang w:val="it-IT"/>
              </w:rPr>
              <w:t>i ambalajul în conformitate cu cerin</w:t>
            </w:r>
            <w:r w:rsidRPr="003128E7">
              <w:rPr>
                <w:rFonts w:ascii="Cambria Math" w:hAnsi="Cambria Math" w:cs="Cambria Math"/>
                <w:lang w:val="it-IT"/>
              </w:rPr>
              <w:t>ț</w:t>
            </w:r>
            <w:r w:rsidRPr="003128E7">
              <w:rPr>
                <w:lang w:val="it-IT"/>
              </w:rPr>
              <w:t>ele locale.</w:t>
            </w:r>
          </w:p>
          <w:p w:rsidR="003128E7" w:rsidRPr="003128E7" w:rsidRDefault="003128E7" w:rsidP="00050C51">
            <w:pPr>
              <w:pStyle w:val="NoSpacing"/>
              <w:rPr>
                <w:lang w:val="it-IT"/>
              </w:rPr>
            </w:pPr>
            <w:r w:rsidRPr="003128E7">
              <w:rPr>
                <w:lang w:val="it-IT"/>
              </w:rPr>
              <w:t>Dacă este posibil, înainte de tratament, informa</w:t>
            </w:r>
            <w:r w:rsidRPr="003128E7">
              <w:rPr>
                <w:rFonts w:ascii="Cambria Math" w:hAnsi="Cambria Math" w:cs="Cambria Math"/>
                <w:lang w:val="it-IT"/>
              </w:rPr>
              <w:t>ț</w:t>
            </w:r>
            <w:r w:rsidRPr="003128E7">
              <w:rPr>
                <w:lang w:val="it-IT"/>
              </w:rPr>
              <w:t xml:space="preserve">i persoanele care s-ar putea afla în preajma capcanelor (de exemplu, utilizatorii zonei tratate </w:t>
            </w:r>
            <w:r w:rsidRPr="003128E7">
              <w:rPr>
                <w:rFonts w:ascii="Cambria Math" w:hAnsi="Cambria Math" w:cs="Cambria Math"/>
                <w:lang w:val="it-IT"/>
              </w:rPr>
              <w:t>ș</w:t>
            </w:r>
            <w:r w:rsidRPr="003128E7">
              <w:rPr>
                <w:lang w:val="it-IT"/>
              </w:rPr>
              <w:t>i ai împrejurimilor acesteia) în legătură cu campania de combatere a rozătoarelor.</w:t>
            </w:r>
          </w:p>
          <w:p w:rsidR="00393522" w:rsidRPr="003128E7" w:rsidRDefault="003128E7" w:rsidP="00050C51">
            <w:pPr>
              <w:pStyle w:val="NoSpacing"/>
              <w:rPr>
                <w:lang w:val="it-IT"/>
              </w:rPr>
            </w:pPr>
            <w:r w:rsidRPr="003128E7">
              <w:rPr>
                <w:lang w:val="it-IT"/>
              </w:rPr>
              <w:t>Periculos pentru animalele sălbatice.</w:t>
            </w:r>
          </w:p>
        </w:tc>
      </w:tr>
    </w:tbl>
    <w:p w:rsidR="00993707" w:rsidRPr="00993707" w:rsidRDefault="00993707" w:rsidP="00050C51">
      <w:pPr>
        <w:pStyle w:val="NoSpacing"/>
        <w:rPr>
          <w:b/>
          <w:sz w:val="10"/>
          <w:lang w:val="ro-RO"/>
        </w:rPr>
      </w:pPr>
    </w:p>
    <w:p w:rsidR="00B66405" w:rsidRPr="0003534F" w:rsidRDefault="00B66405" w:rsidP="00050C51">
      <w:pPr>
        <w:pStyle w:val="NoSpacing"/>
        <w:rPr>
          <w:b/>
          <w:lang w:val="ro-RO"/>
        </w:rPr>
      </w:pPr>
      <w:r w:rsidRPr="0003534F">
        <w:rPr>
          <w:b/>
          <w:lang w:val="ro-RO"/>
        </w:rPr>
        <w:t>XVIII.</w:t>
      </w:r>
      <w:r w:rsidR="00EF1059" w:rsidRPr="0003534F">
        <w:rPr>
          <w:b/>
          <w:lang w:val="ro-RO"/>
        </w:rPr>
        <w:t xml:space="preserve"> INSTRUCT</w:t>
      </w:r>
      <w:r w:rsidRPr="0003534F">
        <w:rPr>
          <w:b/>
          <w:lang w:val="ro-RO"/>
        </w:rPr>
        <w:t>IUNI PENTRU ELIMINAREA ÎN SIGURAN</w:t>
      </w:r>
      <w:r w:rsidR="00EF1059" w:rsidRPr="0003534F">
        <w:rPr>
          <w:b/>
          <w:lang w:val="ro-RO"/>
        </w:rPr>
        <w:t>T</w:t>
      </w:r>
      <w:r w:rsidRPr="0003534F">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7707AC" w:rsidTr="000E2EF7">
        <w:tc>
          <w:tcPr>
            <w:tcW w:w="9923" w:type="dxa"/>
          </w:tcPr>
          <w:p w:rsidR="007707AC" w:rsidRPr="007707AC" w:rsidRDefault="003B38F7" w:rsidP="00050C51">
            <w:pPr>
              <w:pStyle w:val="NoSpacing"/>
              <w:rPr>
                <w:lang w:val="ro-RO"/>
              </w:rPr>
            </w:pPr>
            <w:r w:rsidRPr="003B38F7">
              <w:rPr>
                <w:lang w:val="ro-RO"/>
              </w:rPr>
              <w:t>Eliminarea resurselor de produse si a ambalajelor acestora se face in conformitate cu prevederile Legii 211/2011 privind regimul deseurilor, de catre operatorii  autorizati.</w:t>
            </w:r>
            <w:r w:rsidR="00BD60E7">
              <w:rPr>
                <w:lang w:val="ro-RO"/>
              </w:rPr>
              <w:t xml:space="preserve"> Produsul nu este destinat utilizarii permanente ( durata maxima de 35 zile )</w:t>
            </w:r>
          </w:p>
        </w:tc>
      </w:tr>
      <w:tr w:rsidR="007707AC" w:rsidRPr="007707AC" w:rsidTr="000E2EF7">
        <w:tc>
          <w:tcPr>
            <w:tcW w:w="9923" w:type="dxa"/>
          </w:tcPr>
          <w:p w:rsidR="007707AC" w:rsidRPr="007707AC" w:rsidRDefault="007707AC" w:rsidP="00050C51">
            <w:pPr>
              <w:pStyle w:val="NoSpacing"/>
              <w:rPr>
                <w:lang w:val="ro-RO"/>
              </w:rPr>
            </w:pPr>
            <w:r w:rsidRPr="007707AC">
              <w:rPr>
                <w:lang w:val="ro-RO"/>
              </w:rPr>
              <w:t>Ambalaj:</w:t>
            </w:r>
            <w:r w:rsidRPr="007707AC">
              <w:rPr>
                <w:i/>
                <w:lang w:val="ro-RO"/>
              </w:rPr>
              <w:t xml:space="preserve"> </w:t>
            </w:r>
            <w:r w:rsidRPr="007707AC">
              <w:rPr>
                <w:lang w:val="ro-RO"/>
              </w:rPr>
              <w:t xml:space="preserve">Nu se reutilizează ambalajul </w:t>
            </w:r>
            <w:r w:rsidRPr="007707AC">
              <w:rPr>
                <w:rFonts w:ascii="Cambria Math" w:hAnsi="Cambria Math" w:cs="Cambria Math"/>
                <w:lang w:val="ro-RO"/>
              </w:rPr>
              <w:t>ș</w:t>
            </w:r>
            <w:r w:rsidRPr="007707AC">
              <w:rPr>
                <w:lang w:val="ro-RO"/>
              </w:rPr>
              <w:t>i nu se eliberează în mediu produsul biocid</w:t>
            </w:r>
            <w:r w:rsidR="00BD60E7">
              <w:rPr>
                <w:lang w:val="ro-RO"/>
              </w:rPr>
              <w:t xml:space="preserve">. Eliminati </w:t>
            </w:r>
            <w:r w:rsidR="00BD60E7">
              <w:rPr>
                <w:lang w:val="ro-RO"/>
              </w:rPr>
              <w:lastRenderedPageBreak/>
              <w:t>rozatoarele moarte in conformitate cu cerintele locale. La sfarsitul perioadei de tratament, eliminati momeala neconsumata si ambalajul in conformitate cu cerintele locale.Nu atingeti rozatoarele moarte cu mainile neprotejate, utilizati manusi sau instrumente (clesti) atunci cand le indepartati.</w:t>
            </w:r>
          </w:p>
        </w:tc>
      </w:tr>
    </w:tbl>
    <w:p w:rsidR="00FF3D0E" w:rsidRPr="00993707" w:rsidRDefault="00FF3D0E" w:rsidP="00050C51">
      <w:pPr>
        <w:rPr>
          <w:b/>
          <w:color w:val="000000"/>
          <w:sz w:val="10"/>
          <w:lang w:val="ro-RO"/>
        </w:rPr>
      </w:pPr>
    </w:p>
    <w:p w:rsidR="00EA12B3" w:rsidRPr="004416A0" w:rsidRDefault="00B66405" w:rsidP="00050C51">
      <w:pPr>
        <w:rPr>
          <w:rFonts w:eastAsiaTheme="minorHAnsi"/>
          <w:sz w:val="22"/>
          <w:szCs w:val="22"/>
        </w:rPr>
      </w:pPr>
      <w:r w:rsidRPr="007707AC">
        <w:rPr>
          <w:b/>
          <w:color w:val="000000"/>
          <w:lang w:val="ro-RO"/>
        </w:rPr>
        <w:t>XIX.</w:t>
      </w:r>
      <w:r w:rsidRPr="007707AC">
        <w:rPr>
          <w:color w:val="000000"/>
          <w:lang w:val="ro-RO"/>
        </w:rPr>
        <w:t xml:space="preserve"> </w:t>
      </w:r>
      <w:r w:rsidRPr="007707AC">
        <w:rPr>
          <w:b/>
          <w:color w:val="000000"/>
          <w:lang w:val="ro-RO"/>
        </w:rPr>
        <w:t>CONDI</w:t>
      </w:r>
      <w:r w:rsidR="00EF1059" w:rsidRPr="007707AC">
        <w:rPr>
          <w:b/>
          <w:color w:val="000000"/>
          <w:lang w:val="ro-RO"/>
        </w:rPr>
        <w:t>T</w:t>
      </w:r>
      <w:r w:rsidRPr="007707AC">
        <w:rPr>
          <w:b/>
          <w:color w:val="000000"/>
          <w:lang w:val="ro-RO"/>
        </w:rPr>
        <w:t>IILE DE DEPOZITARE</w:t>
      </w:r>
      <w:r w:rsidRPr="007707AC">
        <w:rPr>
          <w:color w:val="000000"/>
          <w:lang w:val="ro-RO"/>
        </w:rPr>
        <w:t xml:space="preserve"> </w:t>
      </w:r>
      <w:r w:rsidR="006E4D8B" w:rsidRPr="007707AC">
        <w:rPr>
          <w:color w:val="000000"/>
          <w:lang w:val="ro-RO"/>
        </w:rPr>
        <w:t>:</w:t>
      </w:r>
      <w:r w:rsidR="004416A0">
        <w:rPr>
          <w:color w:val="000000"/>
          <w:lang w:val="it-IT"/>
        </w:rPr>
        <w:t xml:space="preserve"> Evitati temperaturile peste 40</w:t>
      </w:r>
      <w:r w:rsidR="004416A0" w:rsidRPr="004416A0">
        <w:rPr>
          <w:color w:val="000000"/>
          <w:vertAlign w:val="superscript"/>
          <w:lang w:val="it-IT"/>
        </w:rPr>
        <w:t>o</w:t>
      </w:r>
      <w:r w:rsidR="004416A0">
        <w:rPr>
          <w:color w:val="000000"/>
          <w:lang w:val="it-IT"/>
        </w:rPr>
        <w:t>C. A se pastra intr-un loc uscat, racoros si bine ventilat. A se pastra recipientul inchis si ferit de lumina directa a soarelui. A se pastra in locuri unde nu au acces copii, pasari, animale de companie si animale de ferma .</w:t>
      </w:r>
    </w:p>
    <w:p w:rsidR="001D43BA" w:rsidRDefault="00B66405" w:rsidP="00050C51">
      <w:pPr>
        <w:rPr>
          <w:b/>
          <w:lang w:val="ro-RO"/>
        </w:rPr>
      </w:pPr>
      <w:r w:rsidRPr="007707AC">
        <w:rPr>
          <w:lang w:val="ro-RO"/>
        </w:rPr>
        <w:t>DURATA DE CONSERVARE A PRODUSELOR BIOCIDE ÎN CONDI</w:t>
      </w:r>
      <w:r w:rsidR="00EF1059" w:rsidRPr="007707AC">
        <w:rPr>
          <w:lang w:val="ro-RO"/>
        </w:rPr>
        <w:t>T</w:t>
      </w:r>
      <w:r w:rsidRPr="007707AC">
        <w:rPr>
          <w:lang w:val="ro-RO"/>
        </w:rPr>
        <w:t xml:space="preserve">II NORMALE DE DEPOZITARE </w:t>
      </w:r>
      <w:r w:rsidR="007406C6" w:rsidRPr="00847CDB">
        <w:rPr>
          <w:b/>
          <w:lang w:val="ro-RO"/>
        </w:rPr>
        <w:t xml:space="preserve">: </w:t>
      </w:r>
      <w:r w:rsidR="004416A0">
        <w:rPr>
          <w:b/>
          <w:lang w:val="ro-RO"/>
        </w:rPr>
        <w:t>24 luni</w:t>
      </w:r>
    </w:p>
    <w:p w:rsidR="00050C51" w:rsidRPr="00993707" w:rsidRDefault="00050C51" w:rsidP="00050C51">
      <w:pPr>
        <w:rPr>
          <w:b/>
          <w:sz w:val="10"/>
          <w:lang w:val="ro-RO"/>
        </w:rPr>
      </w:pPr>
    </w:p>
    <w:p w:rsidR="00C15D60" w:rsidRPr="00C15D60" w:rsidRDefault="0003534F" w:rsidP="00050C51">
      <w:pPr>
        <w:pStyle w:val="NoSpacing"/>
        <w:rPr>
          <w:lang w:val="ro-RO"/>
        </w:rPr>
      </w:pPr>
      <w:r w:rsidRPr="0003534F">
        <w:rPr>
          <w:b/>
          <w:lang w:val="ro-RO"/>
        </w:rPr>
        <w:t>XX.</w:t>
      </w:r>
      <w:r w:rsidR="00D60970">
        <w:rPr>
          <w:b/>
          <w:lang w:val="ro-RO"/>
        </w:rPr>
        <w:t xml:space="preserve"> </w:t>
      </w:r>
      <w:r w:rsidR="00B66405" w:rsidRPr="0003534F">
        <w:rPr>
          <w:b/>
          <w:lang w:val="ro-RO"/>
        </w:rPr>
        <w:t>ALTE INFORMA</w:t>
      </w:r>
      <w:r w:rsidR="00EF1059" w:rsidRPr="0003534F">
        <w:rPr>
          <w:b/>
          <w:lang w:val="ro-RO"/>
        </w:rPr>
        <w:t>T</w:t>
      </w:r>
      <w:r w:rsidR="004D1157">
        <w:rPr>
          <w:b/>
          <w:lang w:val="ro-RO"/>
        </w:rPr>
        <w:t xml:space="preserve">II: </w:t>
      </w:r>
    </w:p>
    <w:p w:rsidR="004416A0" w:rsidRPr="004416A0" w:rsidRDefault="004416A0" w:rsidP="00050C51">
      <w:pPr>
        <w:pStyle w:val="NoSpacing"/>
        <w:rPr>
          <w:u w:val="single"/>
          <w:lang w:val="ro-RO"/>
        </w:rPr>
      </w:pPr>
      <w:r w:rsidRPr="004416A0">
        <w:rPr>
          <w:u w:val="single"/>
          <w:lang w:val="ro-RO"/>
        </w:rPr>
        <w:t>Respectati restrictiile pentru utilizarea produsului biocid si anume:</w:t>
      </w:r>
    </w:p>
    <w:p w:rsidR="004416A0" w:rsidRPr="004416A0" w:rsidRDefault="004416A0" w:rsidP="00050C51">
      <w:pPr>
        <w:pStyle w:val="NoSpacing"/>
        <w:rPr>
          <w:b/>
          <w:lang w:val="ro-RO"/>
        </w:rPr>
      </w:pPr>
      <w:r w:rsidRPr="004416A0">
        <w:rPr>
          <w:lang w:val="ro-RO"/>
        </w:rPr>
        <w:t>Efitati dispersarea in mediu. Impiedicati patrunderea in sol/subsol. Impiedicati varsarea in apele de suprafata sau in reteaua de canalizare.Retineti apa de spalat contaminata si eliminati-o.Nu amplasati statiile de intoxicare in apropierea sistemelor de drenaj, unde momeala poate intra in contact cu apa. Amplasati capcanele in zone fara risc de inundare.Periculos pentru animalele salbatice. Nu lasati produsul la indemana copiilor, pasarilor, animalelor de companie si animalelor de ferma si a altor animale care nu sunt vizate.</w:t>
      </w:r>
    </w:p>
    <w:p w:rsidR="0064773D" w:rsidRPr="0064773D" w:rsidRDefault="0064773D" w:rsidP="00050C51">
      <w:pPr>
        <w:pStyle w:val="NoSpacing"/>
        <w:rPr>
          <w:lang w:val="ro-RO"/>
        </w:rPr>
      </w:pPr>
      <w:r w:rsidRPr="0064773D">
        <w:rPr>
          <w:u w:val="single"/>
          <w:lang w:val="ro-RO"/>
        </w:rPr>
        <w:t xml:space="preserve">Caracterizarea riscului </w:t>
      </w:r>
    </w:p>
    <w:p w:rsidR="0064773D" w:rsidRPr="0064773D" w:rsidRDefault="0064773D" w:rsidP="00050C51">
      <w:pPr>
        <w:pStyle w:val="NoSpacing"/>
        <w:rPr>
          <w:lang w:val="ro-RO"/>
        </w:rPr>
      </w:pPr>
      <w:r w:rsidRPr="0064773D">
        <w:rPr>
          <w:lang w:val="ro-RO"/>
        </w:rPr>
        <w:t>Utilizatori profesionali</w:t>
      </w:r>
    </w:p>
    <w:p w:rsidR="0064773D" w:rsidRPr="0064773D" w:rsidRDefault="0064773D" w:rsidP="00050C51">
      <w:pPr>
        <w:pStyle w:val="NoSpacing"/>
        <w:rPr>
          <w:lang w:val="ro-RO"/>
        </w:rPr>
      </w:pPr>
      <w:r w:rsidRPr="0064773D">
        <w:rPr>
          <w:u w:val="single"/>
          <w:lang w:val="ro-RO"/>
        </w:rPr>
        <w:t>Expunerea dermală</w:t>
      </w:r>
      <w:r w:rsidRPr="0064773D">
        <w:rPr>
          <w:lang w:val="ro-RO"/>
        </w:rPr>
        <w:t xml:space="preserve"> Se recomandă utilizarea echipamentului de protec</w:t>
      </w:r>
      <w:r w:rsidRPr="0064773D">
        <w:rPr>
          <w:rFonts w:ascii="Cambria Math" w:hAnsi="Cambria Math" w:cs="Cambria Math"/>
          <w:lang w:val="ro-RO"/>
        </w:rPr>
        <w:t>ț</w:t>
      </w:r>
      <w:r w:rsidRPr="0064773D">
        <w:rPr>
          <w:lang w:val="ro-RO"/>
        </w:rPr>
        <w:t>ie (mănu</w:t>
      </w:r>
      <w:r w:rsidRPr="0064773D">
        <w:rPr>
          <w:rFonts w:ascii="Cambria Math" w:hAnsi="Cambria Math" w:cs="Cambria Math"/>
          <w:lang w:val="ro-RO"/>
        </w:rPr>
        <w:t>ș</w:t>
      </w:r>
      <w:r w:rsidRPr="0064773D">
        <w:rPr>
          <w:lang w:val="ro-RO"/>
        </w:rPr>
        <w:t xml:space="preserve">i, mască)  atunci când se aplică momelile, respectiv la înlăturarea lor </w:t>
      </w:r>
      <w:r w:rsidRPr="0064773D">
        <w:rPr>
          <w:rFonts w:ascii="Cambria Math" w:hAnsi="Cambria Math" w:cs="Cambria Math"/>
          <w:lang w:val="ro-RO"/>
        </w:rPr>
        <w:t>ș</w:t>
      </w:r>
      <w:r w:rsidRPr="0064773D">
        <w:rPr>
          <w:lang w:val="ro-RO"/>
        </w:rPr>
        <w:t>i a cadavrelor de animale. Momelile fiind ambalate individual în săcule</w:t>
      </w:r>
      <w:r w:rsidRPr="0064773D">
        <w:rPr>
          <w:rFonts w:ascii="Cambria Math" w:hAnsi="Cambria Math" w:cs="Cambria Math"/>
          <w:lang w:val="ro-RO"/>
        </w:rPr>
        <w:t>ț</w:t>
      </w:r>
      <w:r w:rsidRPr="0064773D">
        <w:rPr>
          <w:lang w:val="ro-RO"/>
        </w:rPr>
        <w:t>e de hârtie sau plasatic, riscul expunerii dermale este  redus</w:t>
      </w:r>
    </w:p>
    <w:p w:rsidR="0064773D" w:rsidRPr="0064773D" w:rsidRDefault="0064773D" w:rsidP="00050C51">
      <w:pPr>
        <w:pStyle w:val="NoSpacing"/>
        <w:rPr>
          <w:lang w:val="ro-RO"/>
        </w:rPr>
      </w:pPr>
      <w:r w:rsidRPr="0064773D">
        <w:rPr>
          <w:u w:val="single"/>
          <w:lang w:val="it-IT"/>
        </w:rPr>
        <w:t>Expunerea inhalatorie şi orală</w:t>
      </w:r>
      <w:r w:rsidRPr="0064773D">
        <w:rPr>
          <w:lang w:val="it-IT"/>
        </w:rPr>
        <w:t xml:space="preserve"> pentru utilizatori profesionali se consideră neglijabilă, dacă se respectă instrucţiunile de utilizare prezentate pe eticheta produsului.</w:t>
      </w:r>
    </w:p>
    <w:p w:rsidR="0064773D" w:rsidRPr="0064773D" w:rsidRDefault="0064773D" w:rsidP="00050C51">
      <w:pPr>
        <w:pStyle w:val="NoSpacing"/>
        <w:rPr>
          <w:lang w:val="ro-RO"/>
        </w:rPr>
      </w:pPr>
      <w:r w:rsidRPr="0064773D">
        <w:rPr>
          <w:lang w:val="ro-RO"/>
        </w:rPr>
        <w:t>Utilizatori neprofesionali</w:t>
      </w:r>
    </w:p>
    <w:p w:rsidR="0064773D" w:rsidRPr="0064773D" w:rsidRDefault="0064773D" w:rsidP="00050C51">
      <w:pPr>
        <w:pStyle w:val="NoSpacing"/>
        <w:rPr>
          <w:lang w:val="ro-RO"/>
        </w:rPr>
      </w:pPr>
      <w:r w:rsidRPr="0064773D">
        <w:rPr>
          <w:u w:val="single"/>
          <w:lang w:val="it-IT"/>
        </w:rPr>
        <w:t>Expunerea dermală, inhalatorie şi orală</w:t>
      </w:r>
      <w:r w:rsidRPr="0064773D">
        <w:rPr>
          <w:lang w:val="it-IT"/>
        </w:rPr>
        <w:t xml:space="preserve"> pentru utilizatori neprofesionali </w:t>
      </w:r>
      <w:r w:rsidRPr="0064773D">
        <w:rPr>
          <w:lang w:val="ro-RO"/>
        </w:rPr>
        <w:t xml:space="preserve">la aplicarea momelii prin plicuri </w:t>
      </w:r>
      <w:r w:rsidRPr="0064773D">
        <w:rPr>
          <w:rFonts w:ascii="Cambria Math" w:hAnsi="Cambria Math" w:cs="Cambria Math"/>
          <w:lang w:val="ro-RO"/>
        </w:rPr>
        <w:t>ș</w:t>
      </w:r>
      <w:r w:rsidRPr="0064773D">
        <w:rPr>
          <w:lang w:val="ro-RO"/>
        </w:rPr>
        <w:t xml:space="preserve">i tăvi </w:t>
      </w:r>
      <w:r w:rsidRPr="0064773D">
        <w:rPr>
          <w:lang w:val="it-IT"/>
        </w:rPr>
        <w:t>se consideră neglijabilă, dacă se respectă instrucţiunile de utilizare prezentate pe eticheta produsului.</w:t>
      </w:r>
      <w:r w:rsidRPr="0064773D">
        <w:rPr>
          <w:lang w:val="ro-RO"/>
        </w:rPr>
        <w:t xml:space="preserve"> </w:t>
      </w:r>
    </w:p>
    <w:p w:rsidR="0064773D" w:rsidRPr="0064773D" w:rsidRDefault="0064773D" w:rsidP="00050C51">
      <w:pPr>
        <w:pStyle w:val="NoSpacing"/>
        <w:rPr>
          <w:lang w:val="fr-FR"/>
        </w:rPr>
      </w:pPr>
      <w:proofErr w:type="spellStart"/>
      <w:r w:rsidRPr="0064773D">
        <w:rPr>
          <w:lang w:val="fr-FR"/>
        </w:rPr>
        <w:t>Expunerea</w:t>
      </w:r>
      <w:proofErr w:type="spellEnd"/>
      <w:r w:rsidRPr="0064773D">
        <w:rPr>
          <w:lang w:val="fr-FR"/>
        </w:rPr>
        <w:t xml:space="preserve"> </w:t>
      </w:r>
      <w:proofErr w:type="spellStart"/>
      <w:r w:rsidRPr="0064773D">
        <w:rPr>
          <w:lang w:val="fr-FR"/>
        </w:rPr>
        <w:t>secundară</w:t>
      </w:r>
      <w:proofErr w:type="spellEnd"/>
    </w:p>
    <w:p w:rsidR="0064773D" w:rsidRPr="0064773D" w:rsidRDefault="0064773D" w:rsidP="00050C51">
      <w:pPr>
        <w:pStyle w:val="NoSpacing"/>
        <w:rPr>
          <w:lang w:val="it-IT"/>
        </w:rPr>
      </w:pPr>
      <w:r w:rsidRPr="0064773D">
        <w:rPr>
          <w:lang w:val="it-IT"/>
        </w:rPr>
        <w:t>Conform estimărilor copii prezintă risc de expunere la ingerarea accidentală a momelii. Totuşi această expunere este improbabilă, momelile conţinând substanţe indeziderabile consumului, şi dacă măsurile de precauţie privind plasarea staţiilor de momeală sunt respectate.</w:t>
      </w:r>
    </w:p>
    <w:p w:rsidR="00C15D60" w:rsidRPr="00993707" w:rsidRDefault="00C15D60" w:rsidP="00050C51">
      <w:pPr>
        <w:pStyle w:val="NoSpacing"/>
        <w:rPr>
          <w:b/>
          <w:sz w:val="10"/>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7707AC" w:rsidTr="006B235A">
        <w:tc>
          <w:tcPr>
            <w:tcW w:w="9923" w:type="dxa"/>
          </w:tcPr>
          <w:p w:rsidR="00B66405" w:rsidRPr="007707AC" w:rsidRDefault="00B66405" w:rsidP="00050C51">
            <w:pPr>
              <w:pStyle w:val="NoSpacing"/>
              <w:rPr>
                <w:lang w:val="ro-RO"/>
              </w:rPr>
            </w:pPr>
            <w:r w:rsidRPr="007707AC">
              <w:rPr>
                <w:lang w:val="ro-RO"/>
              </w:rPr>
              <w:t>Prezenta autoriza</w:t>
            </w:r>
            <w:r w:rsidR="007707AC" w:rsidRPr="007707AC">
              <w:rPr>
                <w:lang w:val="ro-RO"/>
              </w:rPr>
              <w:t>t</w:t>
            </w:r>
            <w:r w:rsidRPr="007707AC">
              <w:rPr>
                <w:lang w:val="ro-RO"/>
              </w:rPr>
              <w:t>ie este înso</w:t>
            </w:r>
            <w:r w:rsidR="007707AC" w:rsidRPr="007707AC">
              <w:rPr>
                <w:lang w:val="ro-RO"/>
              </w:rPr>
              <w:t>t</w:t>
            </w:r>
            <w:r w:rsidRPr="007707AC">
              <w:rPr>
                <w:lang w:val="ro-RO"/>
              </w:rPr>
              <w:t>ită de următoarele documente :</w:t>
            </w:r>
          </w:p>
          <w:p w:rsidR="00B66405" w:rsidRPr="007707AC" w:rsidRDefault="0089407B" w:rsidP="00050C51">
            <w:pPr>
              <w:pStyle w:val="NoSpacing"/>
              <w:rPr>
                <w:lang w:val="ro-RO"/>
              </w:rPr>
            </w:pPr>
            <w:r>
              <w:rPr>
                <w:lang w:val="ro-RO"/>
              </w:rPr>
              <w:t>-</w:t>
            </w:r>
            <w:r w:rsidR="00B66405" w:rsidRPr="007707AC">
              <w:rPr>
                <w:lang w:val="ro-RO"/>
              </w:rPr>
              <w:t>proiect de etichetă a produsului biocid</w:t>
            </w:r>
          </w:p>
          <w:p w:rsidR="00B66405" w:rsidRPr="007707AC" w:rsidRDefault="0089407B" w:rsidP="00050C51">
            <w:pPr>
              <w:pStyle w:val="NoSpacing"/>
              <w:rPr>
                <w:lang w:val="ro-RO"/>
              </w:rPr>
            </w:pPr>
            <w:r>
              <w:rPr>
                <w:lang w:val="ro-RO"/>
              </w:rPr>
              <w:t>-</w:t>
            </w:r>
            <w:r w:rsidR="00B66405" w:rsidRPr="007707AC">
              <w:rPr>
                <w:lang w:val="ro-RO"/>
              </w:rPr>
              <w:t>fi</w:t>
            </w:r>
            <w:r w:rsidR="007707AC" w:rsidRPr="007707AC">
              <w:rPr>
                <w:lang w:val="ro-RO"/>
              </w:rPr>
              <w:t>s</w:t>
            </w:r>
            <w:r w:rsidR="00B66405" w:rsidRPr="007707AC">
              <w:rPr>
                <w:lang w:val="ro-RO"/>
              </w:rPr>
              <w:t>a cu date de securitate a produsului biocid</w:t>
            </w:r>
          </w:p>
          <w:p w:rsidR="00B66405" w:rsidRPr="007707AC" w:rsidRDefault="0089407B" w:rsidP="00050C51">
            <w:pPr>
              <w:pStyle w:val="NoSpacing"/>
              <w:rPr>
                <w:lang w:val="ro-RO"/>
              </w:rPr>
            </w:pPr>
            <w:r>
              <w:rPr>
                <w:lang w:val="ro-RO"/>
              </w:rPr>
              <w:t>-</w:t>
            </w:r>
            <w:r w:rsidR="00B66405" w:rsidRPr="007707AC">
              <w:rPr>
                <w:lang w:val="ro-RO"/>
              </w:rPr>
              <w:t xml:space="preserve">rezumatul caracteristicilor produsului biocid </w:t>
            </w:r>
          </w:p>
        </w:tc>
      </w:tr>
    </w:tbl>
    <w:p w:rsidR="00B66405" w:rsidRPr="007707AC" w:rsidRDefault="00B66405" w:rsidP="00050C51">
      <w:pPr>
        <w:numPr>
          <w:ilvl w:val="0"/>
          <w:numId w:val="7"/>
        </w:numPr>
        <w:ind w:left="709"/>
        <w:rPr>
          <w:lang w:val="ro-RO"/>
        </w:rPr>
      </w:pPr>
      <w:r w:rsidRPr="007707AC">
        <w:rPr>
          <w:lang w:val="ro-RO"/>
        </w:rPr>
        <w:t>Este obligatorie transmiterea de către de</w:t>
      </w:r>
      <w:r w:rsidR="007707AC" w:rsidRPr="007707AC">
        <w:rPr>
          <w:lang w:val="ro-RO"/>
        </w:rPr>
        <w:t>tinătorul autorizatiei a fis</w:t>
      </w:r>
      <w:r w:rsidRPr="007707AC">
        <w:rPr>
          <w:lang w:val="ro-RO"/>
        </w:rPr>
        <w:t>ei cu date de</w:t>
      </w:r>
      <w:r w:rsidR="007707AC" w:rsidRPr="007707AC">
        <w:rPr>
          <w:lang w:val="ro-RO"/>
        </w:rPr>
        <w:t xml:space="preserve"> securitate către Institutul Nat</w:t>
      </w:r>
      <w:r w:rsidRPr="007707AC">
        <w:rPr>
          <w:lang w:val="ro-RO"/>
        </w:rPr>
        <w:t xml:space="preserve">ional de Sănătate Publică </w:t>
      </w:r>
      <w:r w:rsidR="007707AC" w:rsidRPr="007707AC">
        <w:rPr>
          <w:lang w:val="ro-RO"/>
        </w:rPr>
        <w:t>– Biroul RSI s</w:t>
      </w:r>
      <w:r w:rsidRPr="007707AC">
        <w:rPr>
          <w:lang w:val="ro-RO"/>
        </w:rPr>
        <w:t>i Informare Toxicologică</w:t>
      </w:r>
    </w:p>
    <w:p w:rsidR="00B66405" w:rsidRPr="007707AC" w:rsidRDefault="00B66405" w:rsidP="00050C51">
      <w:pPr>
        <w:numPr>
          <w:ilvl w:val="0"/>
          <w:numId w:val="7"/>
        </w:numPr>
        <w:ind w:left="709"/>
        <w:rPr>
          <w:lang w:val="ro-RO"/>
        </w:rPr>
      </w:pPr>
      <w:r w:rsidRPr="007707AC">
        <w:rPr>
          <w:lang w:val="ro-RO"/>
        </w:rPr>
        <w:t>P</w:t>
      </w:r>
      <w:r w:rsidR="007707AC" w:rsidRPr="007707AC">
        <w:rPr>
          <w:lang w:val="ro-RO"/>
        </w:rPr>
        <w:t>rezentul document poate fi însot</w:t>
      </w:r>
      <w:r w:rsidRPr="007707AC">
        <w:rPr>
          <w:lang w:val="ro-RO"/>
        </w:rPr>
        <w:t>it de anexă în cazul modificărilor administrative</w:t>
      </w:r>
    </w:p>
    <w:p w:rsidR="00B66405" w:rsidRPr="007707AC" w:rsidRDefault="00B66405" w:rsidP="00050C51">
      <w:pPr>
        <w:rPr>
          <w:lang w:val="ro-RO"/>
        </w:rPr>
      </w:pPr>
    </w:p>
    <w:p w:rsidR="00322FFE" w:rsidRDefault="00B66405" w:rsidP="00050C51">
      <w:pPr>
        <w:pStyle w:val="NoSpacing"/>
        <w:rPr>
          <w:lang w:val="ro-RO"/>
        </w:rPr>
      </w:pP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lang w:val="ro-RO"/>
        </w:rPr>
        <w:t>PRE</w:t>
      </w:r>
      <w:r w:rsidR="00A616BE" w:rsidRPr="007707AC">
        <w:rPr>
          <w:lang w:val="ro-RO"/>
        </w:rPr>
        <w:t>S</w:t>
      </w:r>
      <w:r w:rsidRPr="007707AC">
        <w:rPr>
          <w:lang w:val="ro-RO"/>
        </w:rPr>
        <w:t>EDINTE,</w:t>
      </w:r>
    </w:p>
    <w:p w:rsidR="00016938" w:rsidRPr="007707AC" w:rsidRDefault="00A04268" w:rsidP="00993707">
      <w:pPr>
        <w:pStyle w:val="NoSpacing"/>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Dr. Chim. Gabriela Cilinca</w:t>
      </w:r>
      <w:r w:rsidR="00016938">
        <w:rPr>
          <w:lang w:val="ro-RO"/>
        </w:rPr>
        <w:tab/>
      </w:r>
    </w:p>
    <w:sectPr w:rsidR="00016938" w:rsidRPr="007707AC" w:rsidSect="007A7A2C">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7D1" w:rsidRDefault="00DF67D1">
      <w:r>
        <w:separator/>
      </w:r>
    </w:p>
  </w:endnote>
  <w:endnote w:type="continuationSeparator" w:id="0">
    <w:p w:rsidR="00DF67D1" w:rsidRDefault="00DF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CE3206">
            <w:rPr>
              <w:rFonts w:ascii="Arial" w:hAnsi="Arial"/>
              <w:noProof/>
              <w:sz w:val="18"/>
            </w:rPr>
            <w:t>2</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CE3206">
            <w:rPr>
              <w:rFonts w:ascii="Arial" w:hAnsi="Arial"/>
              <w:noProof/>
              <w:sz w:val="18"/>
            </w:rPr>
            <w:t>7</w:t>
          </w:r>
          <w:r w:rsidRPr="00EA2CC9">
            <w:rPr>
              <w:rFonts w:ascii="Arial" w:hAnsi="Arial"/>
              <w:sz w:val="18"/>
            </w:rPr>
            <w:fldChar w:fldCharType="end"/>
          </w:r>
        </w:p>
      </w:tc>
      <w:tc>
        <w:tcPr>
          <w:tcW w:w="8222" w:type="dxa"/>
          <w:shd w:val="clear" w:color="auto" w:fill="auto"/>
        </w:tcPr>
        <w:p w:rsidR="00C42415" w:rsidRPr="007A1CBD" w:rsidRDefault="00DF67D1" w:rsidP="007716CC">
          <w:pPr>
            <w:pStyle w:val="Header"/>
            <w:jc w:val="center"/>
            <w:rPr>
              <w:rFonts w:ascii="Arial" w:hAnsi="Arial"/>
              <w:sz w:val="6"/>
            </w:rPr>
          </w:pPr>
        </w:p>
        <w:p w:rsidR="00C42415" w:rsidRPr="00E255D8" w:rsidRDefault="00A50DBB" w:rsidP="00A50DBB">
          <w:pPr>
            <w:pStyle w:val="Header"/>
          </w:pPr>
          <w:r>
            <w:t xml:space="preserve">            </w:t>
          </w:r>
          <w:proofErr w:type="spellStart"/>
          <w:r w:rsidR="00B66405" w:rsidRPr="00E255D8">
            <w:t>Autorizatie</w:t>
          </w:r>
          <w:proofErr w:type="spellEnd"/>
          <w:r w:rsidR="00B66405" w:rsidRPr="00E255D8">
            <w:t xml:space="preserve"> </w:t>
          </w:r>
          <w:proofErr w:type="spellStart"/>
          <w:r w:rsidR="00B66405" w:rsidRPr="00E255D8">
            <w:t>nr</w:t>
          </w:r>
          <w:proofErr w:type="spellEnd"/>
          <w:r w:rsidR="00B66405" w:rsidRPr="00E255D8">
            <w:t>.</w:t>
          </w:r>
          <w:r w:rsidRPr="00E255D8">
            <w:rPr>
              <w:lang w:val="it-IT"/>
            </w:rPr>
            <w:t xml:space="preserve"> </w:t>
          </w:r>
          <w:r w:rsidR="00E255D8" w:rsidRPr="00E255D8">
            <w:rPr>
              <w:lang w:val="it-IT"/>
            </w:rPr>
            <w:t>RO/2019/0241/MRA/IT/2017/00374</w:t>
          </w:r>
        </w:p>
      </w:tc>
    </w:tr>
  </w:tbl>
  <w:p w:rsidR="00C42415" w:rsidRDefault="00DF6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7D1" w:rsidRDefault="00DF67D1">
      <w:r>
        <w:separator/>
      </w:r>
    </w:p>
  </w:footnote>
  <w:footnote w:type="continuationSeparator" w:id="0">
    <w:p w:rsidR="00DF67D1" w:rsidRDefault="00DF6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DF67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636F00"/>
    <w:multiLevelType w:val="hybridMultilevel"/>
    <w:tmpl w:val="5BD2EF60"/>
    <w:lvl w:ilvl="0" w:tplc="65782560">
      <w:start w:val="1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nsid w:val="4859372A"/>
    <w:multiLevelType w:val="hybridMultilevel"/>
    <w:tmpl w:val="69E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9">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A849FF"/>
    <w:multiLevelType w:val="hybridMultilevel"/>
    <w:tmpl w:val="CA54AAB4"/>
    <w:lvl w:ilvl="0" w:tplc="531CE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31"/>
  </w:num>
  <w:num w:numId="4">
    <w:abstractNumId w:val="24"/>
  </w:num>
  <w:num w:numId="5">
    <w:abstractNumId w:val="0"/>
  </w:num>
  <w:num w:numId="6">
    <w:abstractNumId w:val="30"/>
  </w:num>
  <w:num w:numId="7">
    <w:abstractNumId w:val="7"/>
  </w:num>
  <w:num w:numId="8">
    <w:abstractNumId w:val="35"/>
  </w:num>
  <w:num w:numId="9">
    <w:abstractNumId w:val="25"/>
  </w:num>
  <w:num w:numId="10">
    <w:abstractNumId w:val="16"/>
  </w:num>
  <w:num w:numId="11">
    <w:abstractNumId w:val="34"/>
  </w:num>
  <w:num w:numId="12">
    <w:abstractNumId w:val="28"/>
  </w:num>
  <w:num w:numId="13">
    <w:abstractNumId w:val="6"/>
  </w:num>
  <w:num w:numId="14">
    <w:abstractNumId w:val="4"/>
  </w:num>
  <w:num w:numId="15">
    <w:abstractNumId w:val="14"/>
  </w:num>
  <w:num w:numId="16">
    <w:abstractNumId w:val="20"/>
  </w:num>
  <w:num w:numId="17">
    <w:abstractNumId w:val="9"/>
  </w:num>
  <w:num w:numId="18">
    <w:abstractNumId w:val="1"/>
  </w:num>
  <w:num w:numId="19">
    <w:abstractNumId w:val="2"/>
  </w:num>
  <w:num w:numId="20">
    <w:abstractNumId w:val="32"/>
  </w:num>
  <w:num w:numId="21">
    <w:abstractNumId w:val="15"/>
  </w:num>
  <w:num w:numId="22">
    <w:abstractNumId w:val="5"/>
  </w:num>
  <w:num w:numId="23">
    <w:abstractNumId w:val="8"/>
  </w:num>
  <w:num w:numId="24">
    <w:abstractNumId w:val="3"/>
  </w:num>
  <w:num w:numId="25">
    <w:abstractNumId w:val="36"/>
  </w:num>
  <w:num w:numId="26">
    <w:abstractNumId w:val="19"/>
  </w:num>
  <w:num w:numId="27">
    <w:abstractNumId w:val="18"/>
  </w:num>
  <w:num w:numId="28">
    <w:abstractNumId w:val="29"/>
  </w:num>
  <w:num w:numId="29">
    <w:abstractNumId w:val="11"/>
  </w:num>
  <w:num w:numId="30">
    <w:abstractNumId w:val="26"/>
  </w:num>
  <w:num w:numId="31">
    <w:abstractNumId w:val="13"/>
  </w:num>
  <w:num w:numId="32">
    <w:abstractNumId w:val="23"/>
  </w:num>
  <w:num w:numId="33">
    <w:abstractNumId w:val="22"/>
  </w:num>
  <w:num w:numId="34">
    <w:abstractNumId w:val="27"/>
  </w:num>
  <w:num w:numId="35">
    <w:abstractNumId w:val="33"/>
  </w:num>
  <w:num w:numId="36">
    <w:abstractNumId w:val="2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0875"/>
    <w:rsid w:val="00016938"/>
    <w:rsid w:val="00023F07"/>
    <w:rsid w:val="000272EF"/>
    <w:rsid w:val="00027CC5"/>
    <w:rsid w:val="00031285"/>
    <w:rsid w:val="0003534F"/>
    <w:rsid w:val="00037CA8"/>
    <w:rsid w:val="00041494"/>
    <w:rsid w:val="00044538"/>
    <w:rsid w:val="0004550C"/>
    <w:rsid w:val="00050B00"/>
    <w:rsid w:val="00050C51"/>
    <w:rsid w:val="000556C6"/>
    <w:rsid w:val="00056AD7"/>
    <w:rsid w:val="00056E50"/>
    <w:rsid w:val="000624BD"/>
    <w:rsid w:val="000752A2"/>
    <w:rsid w:val="00076880"/>
    <w:rsid w:val="000863C7"/>
    <w:rsid w:val="00094ED4"/>
    <w:rsid w:val="000E652C"/>
    <w:rsid w:val="000F0086"/>
    <w:rsid w:val="00111292"/>
    <w:rsid w:val="00111DB4"/>
    <w:rsid w:val="00113112"/>
    <w:rsid w:val="001247DF"/>
    <w:rsid w:val="001416A2"/>
    <w:rsid w:val="00141EB5"/>
    <w:rsid w:val="00146C23"/>
    <w:rsid w:val="001546AC"/>
    <w:rsid w:val="00160E12"/>
    <w:rsid w:val="00161F7B"/>
    <w:rsid w:val="00173022"/>
    <w:rsid w:val="001801D2"/>
    <w:rsid w:val="001859C3"/>
    <w:rsid w:val="00193653"/>
    <w:rsid w:val="00196CB8"/>
    <w:rsid w:val="001A096C"/>
    <w:rsid w:val="001A29C7"/>
    <w:rsid w:val="001A55AF"/>
    <w:rsid w:val="001B1762"/>
    <w:rsid w:val="001B1AC4"/>
    <w:rsid w:val="001B2EA8"/>
    <w:rsid w:val="001C5D0F"/>
    <w:rsid w:val="001D30C6"/>
    <w:rsid w:val="001D43BA"/>
    <w:rsid w:val="001D551C"/>
    <w:rsid w:val="001E1025"/>
    <w:rsid w:val="001E1B75"/>
    <w:rsid w:val="001F7047"/>
    <w:rsid w:val="00201651"/>
    <w:rsid w:val="00203F73"/>
    <w:rsid w:val="00205041"/>
    <w:rsid w:val="00205548"/>
    <w:rsid w:val="002069AB"/>
    <w:rsid w:val="002069D8"/>
    <w:rsid w:val="00207796"/>
    <w:rsid w:val="002155D9"/>
    <w:rsid w:val="002270A6"/>
    <w:rsid w:val="00232E95"/>
    <w:rsid w:val="00236B13"/>
    <w:rsid w:val="002610E0"/>
    <w:rsid w:val="00261BB3"/>
    <w:rsid w:val="00262400"/>
    <w:rsid w:val="00267338"/>
    <w:rsid w:val="00267B5C"/>
    <w:rsid w:val="00270DC7"/>
    <w:rsid w:val="00270F95"/>
    <w:rsid w:val="00276845"/>
    <w:rsid w:val="00285749"/>
    <w:rsid w:val="002877F4"/>
    <w:rsid w:val="00293EA8"/>
    <w:rsid w:val="00294AB3"/>
    <w:rsid w:val="002A6BEB"/>
    <w:rsid w:val="002B09E0"/>
    <w:rsid w:val="002C1F65"/>
    <w:rsid w:val="002D3684"/>
    <w:rsid w:val="002D59F1"/>
    <w:rsid w:val="002D65DA"/>
    <w:rsid w:val="002E67AA"/>
    <w:rsid w:val="002F1B9A"/>
    <w:rsid w:val="002F2D46"/>
    <w:rsid w:val="002F6B33"/>
    <w:rsid w:val="002F6F5D"/>
    <w:rsid w:val="00312270"/>
    <w:rsid w:val="0031250E"/>
    <w:rsid w:val="003128E7"/>
    <w:rsid w:val="003141DD"/>
    <w:rsid w:val="00315635"/>
    <w:rsid w:val="00322856"/>
    <w:rsid w:val="00326B6A"/>
    <w:rsid w:val="00340FC3"/>
    <w:rsid w:val="00343AE3"/>
    <w:rsid w:val="00346AEE"/>
    <w:rsid w:val="00347A72"/>
    <w:rsid w:val="00353583"/>
    <w:rsid w:val="00357673"/>
    <w:rsid w:val="003711FA"/>
    <w:rsid w:val="00385365"/>
    <w:rsid w:val="0039240C"/>
    <w:rsid w:val="00393522"/>
    <w:rsid w:val="003A21DF"/>
    <w:rsid w:val="003A3556"/>
    <w:rsid w:val="003A4CA3"/>
    <w:rsid w:val="003B38F7"/>
    <w:rsid w:val="003C4685"/>
    <w:rsid w:val="003C57BD"/>
    <w:rsid w:val="003E0582"/>
    <w:rsid w:val="003E25B6"/>
    <w:rsid w:val="003E4CCE"/>
    <w:rsid w:val="003E5741"/>
    <w:rsid w:val="003F01C7"/>
    <w:rsid w:val="003F1E56"/>
    <w:rsid w:val="00400263"/>
    <w:rsid w:val="004020CE"/>
    <w:rsid w:val="004058F7"/>
    <w:rsid w:val="00407CD5"/>
    <w:rsid w:val="00410C1A"/>
    <w:rsid w:val="00414655"/>
    <w:rsid w:val="00420EED"/>
    <w:rsid w:val="00427601"/>
    <w:rsid w:val="004416A0"/>
    <w:rsid w:val="004473D1"/>
    <w:rsid w:val="0045414D"/>
    <w:rsid w:val="00463AA3"/>
    <w:rsid w:val="004678F9"/>
    <w:rsid w:val="00467F1E"/>
    <w:rsid w:val="00470AE5"/>
    <w:rsid w:val="00475130"/>
    <w:rsid w:val="004878B2"/>
    <w:rsid w:val="00491026"/>
    <w:rsid w:val="004A208E"/>
    <w:rsid w:val="004A7633"/>
    <w:rsid w:val="004D1157"/>
    <w:rsid w:val="004D276B"/>
    <w:rsid w:val="004E17C7"/>
    <w:rsid w:val="004E26F2"/>
    <w:rsid w:val="004E3A12"/>
    <w:rsid w:val="004F11D6"/>
    <w:rsid w:val="004F30E7"/>
    <w:rsid w:val="004F60DD"/>
    <w:rsid w:val="00506DC3"/>
    <w:rsid w:val="005118EB"/>
    <w:rsid w:val="00513FBB"/>
    <w:rsid w:val="00521903"/>
    <w:rsid w:val="00523724"/>
    <w:rsid w:val="0054192A"/>
    <w:rsid w:val="0054365D"/>
    <w:rsid w:val="005524CA"/>
    <w:rsid w:val="00556592"/>
    <w:rsid w:val="0055665A"/>
    <w:rsid w:val="005603AD"/>
    <w:rsid w:val="00561B6F"/>
    <w:rsid w:val="00563B04"/>
    <w:rsid w:val="00564DC0"/>
    <w:rsid w:val="00565D4E"/>
    <w:rsid w:val="00571122"/>
    <w:rsid w:val="00586D5F"/>
    <w:rsid w:val="00591001"/>
    <w:rsid w:val="0059478D"/>
    <w:rsid w:val="00595C61"/>
    <w:rsid w:val="005A2AC9"/>
    <w:rsid w:val="005B7030"/>
    <w:rsid w:val="005C2BCF"/>
    <w:rsid w:val="005C742F"/>
    <w:rsid w:val="005D143E"/>
    <w:rsid w:val="005D1DDF"/>
    <w:rsid w:val="005D755B"/>
    <w:rsid w:val="005D7610"/>
    <w:rsid w:val="005F17DF"/>
    <w:rsid w:val="006034D2"/>
    <w:rsid w:val="0060460B"/>
    <w:rsid w:val="00616F38"/>
    <w:rsid w:val="006172D3"/>
    <w:rsid w:val="00631E8B"/>
    <w:rsid w:val="00640A10"/>
    <w:rsid w:val="00645617"/>
    <w:rsid w:val="0064773D"/>
    <w:rsid w:val="00656221"/>
    <w:rsid w:val="0066180E"/>
    <w:rsid w:val="00665A11"/>
    <w:rsid w:val="006670CF"/>
    <w:rsid w:val="006746BB"/>
    <w:rsid w:val="00674B30"/>
    <w:rsid w:val="0068059F"/>
    <w:rsid w:val="0068479C"/>
    <w:rsid w:val="00687379"/>
    <w:rsid w:val="00687B1A"/>
    <w:rsid w:val="006927E4"/>
    <w:rsid w:val="00697846"/>
    <w:rsid w:val="006A185A"/>
    <w:rsid w:val="006A3624"/>
    <w:rsid w:val="006A485C"/>
    <w:rsid w:val="006A6021"/>
    <w:rsid w:val="006B1D76"/>
    <w:rsid w:val="006B2E78"/>
    <w:rsid w:val="006B3A40"/>
    <w:rsid w:val="006C0566"/>
    <w:rsid w:val="006C4927"/>
    <w:rsid w:val="006C6B0C"/>
    <w:rsid w:val="006D1392"/>
    <w:rsid w:val="006D7C9A"/>
    <w:rsid w:val="006E2EB0"/>
    <w:rsid w:val="006E4D8B"/>
    <w:rsid w:val="006E6A04"/>
    <w:rsid w:val="006F18CA"/>
    <w:rsid w:val="00703B00"/>
    <w:rsid w:val="00712714"/>
    <w:rsid w:val="0072471C"/>
    <w:rsid w:val="00725906"/>
    <w:rsid w:val="00726A7F"/>
    <w:rsid w:val="007406C6"/>
    <w:rsid w:val="0074080B"/>
    <w:rsid w:val="007524F5"/>
    <w:rsid w:val="00761B4C"/>
    <w:rsid w:val="00764CB3"/>
    <w:rsid w:val="00764EC2"/>
    <w:rsid w:val="007677C7"/>
    <w:rsid w:val="007707AC"/>
    <w:rsid w:val="00774E2B"/>
    <w:rsid w:val="007831EA"/>
    <w:rsid w:val="007909E4"/>
    <w:rsid w:val="00793687"/>
    <w:rsid w:val="00795524"/>
    <w:rsid w:val="007A05A1"/>
    <w:rsid w:val="007A5F68"/>
    <w:rsid w:val="007B3C7D"/>
    <w:rsid w:val="007B7E80"/>
    <w:rsid w:val="007D4F10"/>
    <w:rsid w:val="007D7B63"/>
    <w:rsid w:val="007E0A6D"/>
    <w:rsid w:val="007E5F0B"/>
    <w:rsid w:val="007E7969"/>
    <w:rsid w:val="007E7C3C"/>
    <w:rsid w:val="0080257F"/>
    <w:rsid w:val="008050E7"/>
    <w:rsid w:val="00805614"/>
    <w:rsid w:val="00810522"/>
    <w:rsid w:val="008158EC"/>
    <w:rsid w:val="00816917"/>
    <w:rsid w:val="00821834"/>
    <w:rsid w:val="008272C5"/>
    <w:rsid w:val="00834908"/>
    <w:rsid w:val="00837C46"/>
    <w:rsid w:val="008414AB"/>
    <w:rsid w:val="00841BA1"/>
    <w:rsid w:val="0084654A"/>
    <w:rsid w:val="00847CDB"/>
    <w:rsid w:val="00863B06"/>
    <w:rsid w:val="00864E48"/>
    <w:rsid w:val="00873739"/>
    <w:rsid w:val="00877A9A"/>
    <w:rsid w:val="00884803"/>
    <w:rsid w:val="0089407B"/>
    <w:rsid w:val="008966F5"/>
    <w:rsid w:val="008A59A7"/>
    <w:rsid w:val="008B2B1D"/>
    <w:rsid w:val="008B76F1"/>
    <w:rsid w:val="008C0E3D"/>
    <w:rsid w:val="008C1CAA"/>
    <w:rsid w:val="008C5688"/>
    <w:rsid w:val="008D09E1"/>
    <w:rsid w:val="008E57E0"/>
    <w:rsid w:val="008F17F8"/>
    <w:rsid w:val="008F2A5C"/>
    <w:rsid w:val="00904C82"/>
    <w:rsid w:val="009172F1"/>
    <w:rsid w:val="0093642C"/>
    <w:rsid w:val="0094744F"/>
    <w:rsid w:val="00950AA5"/>
    <w:rsid w:val="00952E7F"/>
    <w:rsid w:val="0095319E"/>
    <w:rsid w:val="00953C09"/>
    <w:rsid w:val="00954B28"/>
    <w:rsid w:val="00956949"/>
    <w:rsid w:val="00960C98"/>
    <w:rsid w:val="0097595E"/>
    <w:rsid w:val="0097717D"/>
    <w:rsid w:val="009847DB"/>
    <w:rsid w:val="00986B8D"/>
    <w:rsid w:val="00993707"/>
    <w:rsid w:val="009958C8"/>
    <w:rsid w:val="009A6C9D"/>
    <w:rsid w:val="009A76C1"/>
    <w:rsid w:val="009B1754"/>
    <w:rsid w:val="009B471E"/>
    <w:rsid w:val="009B5A35"/>
    <w:rsid w:val="009B7F38"/>
    <w:rsid w:val="009C4090"/>
    <w:rsid w:val="009C5DB1"/>
    <w:rsid w:val="009C6F3A"/>
    <w:rsid w:val="009D0DF6"/>
    <w:rsid w:val="009D3AAA"/>
    <w:rsid w:val="009D3F40"/>
    <w:rsid w:val="009E0B2A"/>
    <w:rsid w:val="009E5DDE"/>
    <w:rsid w:val="009F0C16"/>
    <w:rsid w:val="00A04268"/>
    <w:rsid w:val="00A0615A"/>
    <w:rsid w:val="00A14B5E"/>
    <w:rsid w:val="00A15604"/>
    <w:rsid w:val="00A2139A"/>
    <w:rsid w:val="00A24682"/>
    <w:rsid w:val="00A33127"/>
    <w:rsid w:val="00A376F3"/>
    <w:rsid w:val="00A50DBB"/>
    <w:rsid w:val="00A54726"/>
    <w:rsid w:val="00A56AB3"/>
    <w:rsid w:val="00A56AE6"/>
    <w:rsid w:val="00A57FC5"/>
    <w:rsid w:val="00A616BE"/>
    <w:rsid w:val="00A64181"/>
    <w:rsid w:val="00A64BFA"/>
    <w:rsid w:val="00A67E22"/>
    <w:rsid w:val="00A76929"/>
    <w:rsid w:val="00A9153B"/>
    <w:rsid w:val="00A95A75"/>
    <w:rsid w:val="00AA29A6"/>
    <w:rsid w:val="00AA5493"/>
    <w:rsid w:val="00AA7DB0"/>
    <w:rsid w:val="00AB2496"/>
    <w:rsid w:val="00AB4DF3"/>
    <w:rsid w:val="00AB6076"/>
    <w:rsid w:val="00AC7CA9"/>
    <w:rsid w:val="00AD58C1"/>
    <w:rsid w:val="00AE2645"/>
    <w:rsid w:val="00AF0B6E"/>
    <w:rsid w:val="00AF0C71"/>
    <w:rsid w:val="00B01816"/>
    <w:rsid w:val="00B03652"/>
    <w:rsid w:val="00B12538"/>
    <w:rsid w:val="00B260D2"/>
    <w:rsid w:val="00B27767"/>
    <w:rsid w:val="00B34D0B"/>
    <w:rsid w:val="00B434F4"/>
    <w:rsid w:val="00B43C2A"/>
    <w:rsid w:val="00B47EFD"/>
    <w:rsid w:val="00B5490B"/>
    <w:rsid w:val="00B60E65"/>
    <w:rsid w:val="00B62212"/>
    <w:rsid w:val="00B6475A"/>
    <w:rsid w:val="00B66405"/>
    <w:rsid w:val="00B7542D"/>
    <w:rsid w:val="00B75A0D"/>
    <w:rsid w:val="00B91E9D"/>
    <w:rsid w:val="00BB062A"/>
    <w:rsid w:val="00BB10E8"/>
    <w:rsid w:val="00BB139A"/>
    <w:rsid w:val="00BD1D48"/>
    <w:rsid w:val="00BD5D56"/>
    <w:rsid w:val="00BD60E7"/>
    <w:rsid w:val="00BE2CE9"/>
    <w:rsid w:val="00BF0448"/>
    <w:rsid w:val="00C02372"/>
    <w:rsid w:val="00C0568B"/>
    <w:rsid w:val="00C15379"/>
    <w:rsid w:val="00C15D4A"/>
    <w:rsid w:val="00C15D60"/>
    <w:rsid w:val="00C40F69"/>
    <w:rsid w:val="00C43A97"/>
    <w:rsid w:val="00C44986"/>
    <w:rsid w:val="00C5247F"/>
    <w:rsid w:val="00C531B2"/>
    <w:rsid w:val="00C548E1"/>
    <w:rsid w:val="00C56F91"/>
    <w:rsid w:val="00C7109B"/>
    <w:rsid w:val="00C81370"/>
    <w:rsid w:val="00C96F7C"/>
    <w:rsid w:val="00CA160E"/>
    <w:rsid w:val="00CA3BC4"/>
    <w:rsid w:val="00CC2A74"/>
    <w:rsid w:val="00CD094E"/>
    <w:rsid w:val="00CD1608"/>
    <w:rsid w:val="00CD47B0"/>
    <w:rsid w:val="00CD51C6"/>
    <w:rsid w:val="00CE2819"/>
    <w:rsid w:val="00CE3206"/>
    <w:rsid w:val="00CE47C0"/>
    <w:rsid w:val="00CE4F92"/>
    <w:rsid w:val="00CE732B"/>
    <w:rsid w:val="00CF19CC"/>
    <w:rsid w:val="00CF3B18"/>
    <w:rsid w:val="00CF4C68"/>
    <w:rsid w:val="00D0182F"/>
    <w:rsid w:val="00D06D68"/>
    <w:rsid w:val="00D143A7"/>
    <w:rsid w:val="00D21BA6"/>
    <w:rsid w:val="00D27580"/>
    <w:rsid w:val="00D30533"/>
    <w:rsid w:val="00D35682"/>
    <w:rsid w:val="00D421CF"/>
    <w:rsid w:val="00D47862"/>
    <w:rsid w:val="00D51290"/>
    <w:rsid w:val="00D51815"/>
    <w:rsid w:val="00D52338"/>
    <w:rsid w:val="00D56D02"/>
    <w:rsid w:val="00D60970"/>
    <w:rsid w:val="00D61AFE"/>
    <w:rsid w:val="00D661F7"/>
    <w:rsid w:val="00D87EFC"/>
    <w:rsid w:val="00D925BC"/>
    <w:rsid w:val="00D97D9A"/>
    <w:rsid w:val="00DA6D2A"/>
    <w:rsid w:val="00DA7192"/>
    <w:rsid w:val="00DB46C9"/>
    <w:rsid w:val="00DB4F8D"/>
    <w:rsid w:val="00DB5D89"/>
    <w:rsid w:val="00DC2451"/>
    <w:rsid w:val="00DC79DE"/>
    <w:rsid w:val="00DD76ED"/>
    <w:rsid w:val="00DE1A54"/>
    <w:rsid w:val="00DE5738"/>
    <w:rsid w:val="00DE67DB"/>
    <w:rsid w:val="00DF67D1"/>
    <w:rsid w:val="00DF7DF2"/>
    <w:rsid w:val="00E061E6"/>
    <w:rsid w:val="00E10648"/>
    <w:rsid w:val="00E23831"/>
    <w:rsid w:val="00E255D8"/>
    <w:rsid w:val="00E301E6"/>
    <w:rsid w:val="00E30465"/>
    <w:rsid w:val="00E40E25"/>
    <w:rsid w:val="00E443E2"/>
    <w:rsid w:val="00E45F51"/>
    <w:rsid w:val="00E47BD7"/>
    <w:rsid w:val="00E54294"/>
    <w:rsid w:val="00E613E5"/>
    <w:rsid w:val="00E61B4D"/>
    <w:rsid w:val="00E6478C"/>
    <w:rsid w:val="00E64EE3"/>
    <w:rsid w:val="00E7607D"/>
    <w:rsid w:val="00E81B0E"/>
    <w:rsid w:val="00E906CC"/>
    <w:rsid w:val="00E95131"/>
    <w:rsid w:val="00E95505"/>
    <w:rsid w:val="00EA12B3"/>
    <w:rsid w:val="00EA18ED"/>
    <w:rsid w:val="00EB3264"/>
    <w:rsid w:val="00EB3F6A"/>
    <w:rsid w:val="00EC4992"/>
    <w:rsid w:val="00ED4708"/>
    <w:rsid w:val="00EE20D9"/>
    <w:rsid w:val="00EE55ED"/>
    <w:rsid w:val="00EF1059"/>
    <w:rsid w:val="00EF6AEA"/>
    <w:rsid w:val="00EF6F11"/>
    <w:rsid w:val="00F0527E"/>
    <w:rsid w:val="00F07B10"/>
    <w:rsid w:val="00F10393"/>
    <w:rsid w:val="00F1361B"/>
    <w:rsid w:val="00F1580B"/>
    <w:rsid w:val="00F20DAC"/>
    <w:rsid w:val="00F235BB"/>
    <w:rsid w:val="00F30520"/>
    <w:rsid w:val="00F42D7B"/>
    <w:rsid w:val="00F46279"/>
    <w:rsid w:val="00F5743E"/>
    <w:rsid w:val="00F65548"/>
    <w:rsid w:val="00F65CFA"/>
    <w:rsid w:val="00F91279"/>
    <w:rsid w:val="00F91D54"/>
    <w:rsid w:val="00F95FA0"/>
    <w:rsid w:val="00F9731B"/>
    <w:rsid w:val="00FA2FAC"/>
    <w:rsid w:val="00FB3858"/>
    <w:rsid w:val="00FC2AEA"/>
    <w:rsid w:val="00FC6C07"/>
    <w:rsid w:val="00FD60FC"/>
    <w:rsid w:val="00FE05AC"/>
    <w:rsid w:val="00FE0923"/>
    <w:rsid w:val="00FE1D07"/>
    <w:rsid w:val="00FF16C2"/>
    <w:rsid w:val="00FF3D0E"/>
    <w:rsid w:val="00FF3D10"/>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4C99AB-3B83-49CF-A735-AB120E79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4294967274</TotalTime>
  <Pages>1</Pages>
  <Words>2709</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 Biocide</dc:creator>
  <cp:lastModifiedBy>Anamaria - Biocide</cp:lastModifiedBy>
  <cp:revision>9</cp:revision>
  <cp:lastPrinted>2019-07-26T07:02:00Z</cp:lastPrinted>
  <dcterms:created xsi:type="dcterms:W3CDTF">2019-06-10T08:39:00Z</dcterms:created>
  <dcterms:modified xsi:type="dcterms:W3CDTF">2019-07-26T06:31:00Z</dcterms:modified>
</cp:coreProperties>
</file>