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55A986"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60ECAB0F" wp14:editId="726B5043">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6F9BA"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02554A9B" w14:textId="77777777" w:rsidR="009D0C0B" w:rsidRDefault="009D0C0B">
      <w:pPr>
        <w:tabs>
          <w:tab w:val="left" w:pos="8505"/>
        </w:tabs>
        <w:ind w:left="-142" w:right="-45"/>
        <w:rPr>
          <w:sz w:val="36"/>
          <w:szCs w:val="36"/>
        </w:rPr>
      </w:pPr>
    </w:p>
    <w:p w14:paraId="1D1BD661" w14:textId="77777777" w:rsidR="009D0C0B" w:rsidRDefault="009D0C0B">
      <w:pPr>
        <w:tabs>
          <w:tab w:val="left" w:pos="8505"/>
        </w:tabs>
        <w:ind w:left="-142" w:right="-45"/>
        <w:jc w:val="center"/>
        <w:rPr>
          <w:b/>
          <w:bCs/>
          <w:sz w:val="22"/>
          <w:szCs w:val="36"/>
        </w:rPr>
      </w:pPr>
    </w:p>
    <w:p w14:paraId="4FFC1850" w14:textId="77777777" w:rsidR="009D0C0B" w:rsidRDefault="00FA480B">
      <w:pPr>
        <w:jc w:val="center"/>
        <w:rPr>
          <w:b/>
          <w:bCs/>
          <w:sz w:val="24"/>
          <w:szCs w:val="24"/>
        </w:rPr>
      </w:pPr>
      <w:r>
        <w:rPr>
          <w:b/>
          <w:bCs/>
          <w:sz w:val="36"/>
          <w:szCs w:val="36"/>
        </w:rPr>
        <w:t>PRODUCT ASSESSMENT REPORT OF A BIOCIDAL PRODUCT FOR NATIONAL AUTHORISATION APPLICATIONS</w:t>
      </w:r>
    </w:p>
    <w:p w14:paraId="153D9413" w14:textId="77777777" w:rsidR="009D0C0B" w:rsidRDefault="009D0C0B">
      <w:pPr>
        <w:tabs>
          <w:tab w:val="left" w:pos="8505"/>
        </w:tabs>
        <w:ind w:left="-142" w:right="-45"/>
        <w:jc w:val="center"/>
        <w:rPr>
          <w:b/>
          <w:bCs/>
          <w:sz w:val="24"/>
          <w:szCs w:val="24"/>
        </w:rPr>
      </w:pPr>
    </w:p>
    <w:p w14:paraId="76665CAA" w14:textId="77777777" w:rsidR="009D0C0B" w:rsidRDefault="00FA480B">
      <w:pPr>
        <w:tabs>
          <w:tab w:val="left" w:pos="8505"/>
        </w:tabs>
        <w:ind w:left="-142" w:right="-45"/>
        <w:jc w:val="center"/>
        <w:rPr>
          <w:b/>
          <w:bCs/>
          <w:sz w:val="36"/>
          <w:szCs w:val="24"/>
          <w:lang w:val="en-US"/>
        </w:rPr>
      </w:pPr>
      <w:r>
        <w:rPr>
          <w:bCs/>
          <w:sz w:val="24"/>
          <w:szCs w:val="24"/>
        </w:rPr>
        <w:t>(</w:t>
      </w:r>
      <w:proofErr w:type="gramStart"/>
      <w:r>
        <w:rPr>
          <w:bCs/>
          <w:sz w:val="24"/>
          <w:szCs w:val="24"/>
        </w:rPr>
        <w:t>submitted</w:t>
      </w:r>
      <w:proofErr w:type="gramEnd"/>
      <w:r>
        <w:rPr>
          <w:bCs/>
          <w:sz w:val="24"/>
          <w:szCs w:val="24"/>
        </w:rPr>
        <w:t xml:space="preserve"> by the evaluating Competent Authority)</w:t>
      </w:r>
    </w:p>
    <w:p w14:paraId="4FFDD5B3" w14:textId="77777777" w:rsidR="009D0C0B" w:rsidRDefault="009D0C0B">
      <w:pPr>
        <w:tabs>
          <w:tab w:val="left" w:pos="8505"/>
        </w:tabs>
        <w:ind w:left="-142" w:right="-45"/>
        <w:jc w:val="center"/>
        <w:rPr>
          <w:b/>
          <w:bCs/>
          <w:sz w:val="36"/>
          <w:szCs w:val="24"/>
          <w:lang w:val="en-US"/>
        </w:rPr>
      </w:pPr>
    </w:p>
    <w:p w14:paraId="57FC1C40"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19F3172C" wp14:editId="1DCCBE24">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7DD4B67C" w14:textId="77777777" w:rsidR="009D0C0B" w:rsidRDefault="00FA480B">
      <w:pPr>
        <w:keepNext/>
        <w:widowControl w:val="0"/>
        <w:tabs>
          <w:tab w:val="left" w:pos="1304"/>
        </w:tabs>
        <w:autoSpaceDE w:val="0"/>
        <w:spacing w:before="480" w:after="120" w:line="400" w:lineRule="atLeast"/>
        <w:jc w:val="center"/>
        <w:rPr>
          <w:bCs/>
          <w:sz w:val="32"/>
          <w:szCs w:val="32"/>
        </w:rPr>
      </w:pPr>
      <w:r>
        <w:rPr>
          <w:bCs/>
          <w:sz w:val="32"/>
          <w:szCs w:val="32"/>
        </w:rPr>
        <w:t>[</w:t>
      </w:r>
      <w:r w:rsidR="00BD437B">
        <w:rPr>
          <w:bCs/>
          <w:sz w:val="32"/>
          <w:szCs w:val="32"/>
          <w:lang w:val="en-US"/>
        </w:rPr>
        <w:t>IODIGUARD</w:t>
      </w:r>
      <w:r>
        <w:rPr>
          <w:bCs/>
          <w:sz w:val="32"/>
          <w:szCs w:val="32"/>
        </w:rPr>
        <w:t>]</w:t>
      </w:r>
    </w:p>
    <w:p w14:paraId="6469C12F" w14:textId="77777777" w:rsidR="009D0C0B" w:rsidRDefault="009D0C0B">
      <w:pPr>
        <w:rPr>
          <w:bCs/>
          <w:sz w:val="32"/>
          <w:szCs w:val="32"/>
        </w:rPr>
      </w:pPr>
    </w:p>
    <w:p w14:paraId="482517F1" w14:textId="77777777" w:rsidR="009D0C0B" w:rsidRDefault="00FA480B">
      <w:pPr>
        <w:tabs>
          <w:tab w:val="left" w:pos="8505"/>
        </w:tabs>
        <w:ind w:left="-142" w:right="-45"/>
        <w:jc w:val="center"/>
        <w:rPr>
          <w:bCs/>
          <w:sz w:val="32"/>
          <w:szCs w:val="32"/>
        </w:rPr>
      </w:pPr>
      <w:r>
        <w:rPr>
          <w:bCs/>
          <w:sz w:val="32"/>
          <w:szCs w:val="32"/>
        </w:rPr>
        <w:t>Product type [</w:t>
      </w:r>
      <w:r w:rsidR="00BD437B">
        <w:rPr>
          <w:bCs/>
          <w:sz w:val="32"/>
          <w:szCs w:val="32"/>
        </w:rPr>
        <w:t>3</w:t>
      </w:r>
      <w:r>
        <w:rPr>
          <w:bCs/>
          <w:sz w:val="32"/>
          <w:szCs w:val="32"/>
        </w:rPr>
        <w:t>]</w:t>
      </w:r>
    </w:p>
    <w:p w14:paraId="521459A8" w14:textId="77777777" w:rsidR="009D0C0B" w:rsidRDefault="009D0C0B">
      <w:pPr>
        <w:tabs>
          <w:tab w:val="left" w:pos="8505"/>
        </w:tabs>
        <w:ind w:right="-45"/>
        <w:rPr>
          <w:bCs/>
          <w:sz w:val="32"/>
          <w:szCs w:val="32"/>
        </w:rPr>
      </w:pPr>
    </w:p>
    <w:p w14:paraId="71C06B74" w14:textId="77777777" w:rsidR="009D0C0B" w:rsidRDefault="00FA480B">
      <w:pPr>
        <w:tabs>
          <w:tab w:val="left" w:pos="8505"/>
        </w:tabs>
        <w:ind w:left="-142" w:right="-45"/>
        <w:jc w:val="center"/>
        <w:rPr>
          <w:bCs/>
          <w:sz w:val="32"/>
          <w:szCs w:val="32"/>
        </w:rPr>
      </w:pPr>
      <w:r>
        <w:rPr>
          <w:bCs/>
          <w:sz w:val="32"/>
          <w:szCs w:val="32"/>
        </w:rPr>
        <w:t>[</w:t>
      </w:r>
      <w:r w:rsidR="00BD437B">
        <w:rPr>
          <w:bCs/>
          <w:sz w:val="32"/>
          <w:szCs w:val="32"/>
          <w:lang w:val="en-US"/>
        </w:rPr>
        <w:t>Iodine (including PVP-iodine)</w:t>
      </w:r>
      <w:r w:rsidR="00037937">
        <w:rPr>
          <w:bCs/>
          <w:sz w:val="32"/>
          <w:szCs w:val="32"/>
          <w:lang w:val="en-US"/>
        </w:rPr>
        <w:t xml:space="preserve"> </w:t>
      </w:r>
      <w:r>
        <w:rPr>
          <w:bCs/>
          <w:sz w:val="32"/>
          <w:szCs w:val="32"/>
        </w:rPr>
        <w:t>as included in the Union list of approved active substances]</w:t>
      </w:r>
    </w:p>
    <w:p w14:paraId="7DE730C8" w14:textId="77777777" w:rsidR="009D0C0B" w:rsidRDefault="009D0C0B">
      <w:pPr>
        <w:tabs>
          <w:tab w:val="left" w:pos="8505"/>
        </w:tabs>
        <w:ind w:right="-45"/>
        <w:rPr>
          <w:bCs/>
          <w:sz w:val="32"/>
          <w:szCs w:val="32"/>
        </w:rPr>
      </w:pPr>
    </w:p>
    <w:p w14:paraId="29475B60" w14:textId="77777777" w:rsidR="009D0C0B" w:rsidRDefault="009D0C0B">
      <w:pPr>
        <w:tabs>
          <w:tab w:val="left" w:pos="8505"/>
        </w:tabs>
        <w:ind w:right="-45"/>
        <w:jc w:val="center"/>
        <w:rPr>
          <w:bCs/>
          <w:sz w:val="32"/>
          <w:szCs w:val="32"/>
        </w:rPr>
      </w:pPr>
    </w:p>
    <w:p w14:paraId="318928F3" w14:textId="77777777" w:rsidR="009D0C0B" w:rsidRDefault="00FA480B">
      <w:pPr>
        <w:tabs>
          <w:tab w:val="left" w:pos="8505"/>
        </w:tabs>
        <w:ind w:right="-45"/>
        <w:jc w:val="center"/>
        <w:rPr>
          <w:bCs/>
          <w:sz w:val="32"/>
          <w:szCs w:val="32"/>
        </w:rPr>
      </w:pPr>
      <w:r>
        <w:rPr>
          <w:bCs/>
          <w:sz w:val="32"/>
          <w:szCs w:val="32"/>
        </w:rPr>
        <w:t>Case Number in R4BP: [</w:t>
      </w:r>
      <w:r w:rsidR="00BD437B" w:rsidRPr="00862F48">
        <w:rPr>
          <w:bCs/>
          <w:sz w:val="32"/>
          <w:szCs w:val="32"/>
          <w:lang w:val="en-US"/>
        </w:rPr>
        <w:t>BC-FA019472-65</w:t>
      </w:r>
      <w:r>
        <w:rPr>
          <w:bCs/>
          <w:sz w:val="32"/>
          <w:szCs w:val="32"/>
        </w:rPr>
        <w:t>]</w:t>
      </w:r>
    </w:p>
    <w:p w14:paraId="75F4B928" w14:textId="77777777" w:rsidR="009D0C0B" w:rsidRDefault="009D0C0B">
      <w:pPr>
        <w:tabs>
          <w:tab w:val="left" w:pos="8505"/>
        </w:tabs>
        <w:ind w:right="-45"/>
        <w:rPr>
          <w:bCs/>
          <w:sz w:val="32"/>
          <w:szCs w:val="32"/>
        </w:rPr>
      </w:pPr>
    </w:p>
    <w:p w14:paraId="48702D4A" w14:textId="77777777" w:rsidR="009D0C0B" w:rsidRDefault="009D0C0B">
      <w:pPr>
        <w:tabs>
          <w:tab w:val="left" w:pos="8505"/>
        </w:tabs>
        <w:ind w:left="-142" w:right="-45"/>
        <w:jc w:val="center"/>
        <w:rPr>
          <w:bCs/>
          <w:sz w:val="32"/>
          <w:szCs w:val="32"/>
        </w:rPr>
      </w:pPr>
    </w:p>
    <w:p w14:paraId="1286502B" w14:textId="77777777" w:rsidR="009D0C0B" w:rsidRDefault="00FA480B">
      <w:pPr>
        <w:tabs>
          <w:tab w:val="left" w:pos="8505"/>
        </w:tabs>
        <w:ind w:left="-142" w:right="-45"/>
        <w:jc w:val="center"/>
        <w:rPr>
          <w:rFonts w:eastAsia="Verdana"/>
        </w:rPr>
      </w:pPr>
      <w:r>
        <w:rPr>
          <w:bCs/>
          <w:sz w:val="32"/>
          <w:szCs w:val="32"/>
        </w:rPr>
        <w:t>Evaluating Competent Authority: [</w:t>
      </w:r>
      <w:r w:rsidR="00BD437B">
        <w:rPr>
          <w:bCs/>
          <w:sz w:val="32"/>
          <w:szCs w:val="32"/>
        </w:rPr>
        <w:t>FR</w:t>
      </w:r>
      <w:r>
        <w:rPr>
          <w:bCs/>
          <w:sz w:val="32"/>
          <w:szCs w:val="32"/>
        </w:rPr>
        <w:t>]</w:t>
      </w:r>
    </w:p>
    <w:p w14:paraId="45BE44C2" w14:textId="77777777" w:rsidR="009D0C0B" w:rsidRDefault="00FA480B">
      <w:pPr>
        <w:tabs>
          <w:tab w:val="left" w:pos="8505"/>
        </w:tabs>
        <w:ind w:left="-142" w:right="-45"/>
        <w:jc w:val="center"/>
        <w:rPr>
          <w:bCs/>
          <w:sz w:val="32"/>
          <w:szCs w:val="32"/>
        </w:rPr>
      </w:pPr>
      <w:r>
        <w:rPr>
          <w:rFonts w:eastAsia="Verdana"/>
        </w:rPr>
        <w:t xml:space="preserve"> </w:t>
      </w:r>
    </w:p>
    <w:p w14:paraId="2F6096BA" w14:textId="77777777" w:rsidR="009D0C0B" w:rsidRDefault="009D0C0B">
      <w:pPr>
        <w:tabs>
          <w:tab w:val="left" w:pos="8505"/>
        </w:tabs>
        <w:ind w:left="-142" w:right="-45"/>
        <w:jc w:val="center"/>
        <w:rPr>
          <w:bCs/>
          <w:sz w:val="32"/>
          <w:szCs w:val="32"/>
        </w:rPr>
      </w:pPr>
    </w:p>
    <w:p w14:paraId="278325A7" w14:textId="131D0546" w:rsidR="009D0C0B" w:rsidRDefault="00FA480B">
      <w:pPr>
        <w:tabs>
          <w:tab w:val="left" w:pos="8505"/>
        </w:tabs>
        <w:ind w:left="-142" w:right="-45"/>
        <w:jc w:val="center"/>
        <w:rPr>
          <w:rFonts w:ascii="Times New Roman" w:hAnsi="Times New Roman" w:cs="Times New Roman"/>
          <w:bCs/>
          <w:sz w:val="50"/>
          <w:szCs w:val="50"/>
        </w:rPr>
      </w:pPr>
      <w:r>
        <w:rPr>
          <w:bCs/>
          <w:sz w:val="32"/>
          <w:szCs w:val="32"/>
        </w:rPr>
        <w:t>Date: [</w:t>
      </w:r>
      <w:r w:rsidR="00B77498">
        <w:rPr>
          <w:bCs/>
          <w:sz w:val="32"/>
          <w:szCs w:val="32"/>
        </w:rPr>
        <w:t xml:space="preserve">January </w:t>
      </w:r>
      <w:r w:rsidR="009218A7">
        <w:rPr>
          <w:bCs/>
          <w:sz w:val="32"/>
          <w:szCs w:val="32"/>
        </w:rPr>
        <w:t>202</w:t>
      </w:r>
      <w:r w:rsidR="00B77498">
        <w:rPr>
          <w:bCs/>
          <w:sz w:val="32"/>
          <w:szCs w:val="32"/>
        </w:rPr>
        <w:t>1</w:t>
      </w:r>
      <w:r>
        <w:rPr>
          <w:bCs/>
          <w:sz w:val="32"/>
          <w:szCs w:val="32"/>
        </w:rPr>
        <w:t xml:space="preserve">] </w:t>
      </w:r>
    </w:p>
    <w:p w14:paraId="6D484777" w14:textId="77777777" w:rsidR="009D0C0B" w:rsidRDefault="00FA480B" w:rsidP="009109EB">
      <w:pPr>
        <w:pStyle w:val="Inhaltsverzeichnisberschrift"/>
        <w:pageBreakBefore/>
        <w:jc w:val="center"/>
        <w:rPr>
          <w:rFonts w:cs="Verdana"/>
          <w:color w:val="000000"/>
          <w:u w:val="single"/>
        </w:rPr>
      </w:pPr>
      <w:bookmarkStart w:id="0" w:name="_Toc516669734"/>
      <w:r>
        <w:rPr>
          <w:rFonts w:ascii="Verdana" w:hAnsi="Verdana" w:cs="Verdana"/>
          <w:color w:val="000000"/>
          <w:u w:val="single"/>
        </w:rPr>
        <w:lastRenderedPageBreak/>
        <w:t>Table of Contents</w:t>
      </w:r>
      <w:bookmarkEnd w:id="0"/>
    </w:p>
    <w:p w14:paraId="08EA8B3B" w14:textId="77777777" w:rsidR="009D0C0B" w:rsidRDefault="009D0C0B">
      <w:pPr>
        <w:rPr>
          <w:color w:val="000000"/>
          <w:u w:val="single"/>
          <w:lang w:val="en-US" w:eastAsia="ja-JP"/>
        </w:rPr>
      </w:pPr>
    </w:p>
    <w:p w14:paraId="28EC1899" w14:textId="27001CD5" w:rsidR="00631D8F"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ED50F5">
        <w:rPr>
          <w:rFonts w:ascii="Verdana" w:hAnsi="Verdana"/>
        </w:rPr>
        <w:fldChar w:fldCharType="begin"/>
      </w:r>
      <w:r w:rsidRPr="00ED50F5">
        <w:rPr>
          <w:rFonts w:ascii="Verdana" w:hAnsi="Verdana"/>
        </w:rPr>
        <w:instrText xml:space="preserve"> TOC \o "1-4" \h</w:instrText>
      </w:r>
      <w:r w:rsidRPr="00ED50F5">
        <w:rPr>
          <w:rFonts w:ascii="Verdana" w:hAnsi="Verdana"/>
        </w:rPr>
        <w:fldChar w:fldCharType="separate"/>
      </w:r>
      <w:hyperlink w:anchor="_Toc516669734" w:history="1">
        <w:r w:rsidR="00631D8F" w:rsidRPr="00732D8E">
          <w:rPr>
            <w:rStyle w:val="Lienhypertexte"/>
            <w:rFonts w:ascii="Verdana" w:hAnsi="Verdana" w:cs="Verdana"/>
            <w:noProof/>
          </w:rPr>
          <w:t>Table of Contents</w:t>
        </w:r>
        <w:r w:rsidR="00631D8F">
          <w:rPr>
            <w:noProof/>
          </w:rPr>
          <w:tab/>
        </w:r>
        <w:r w:rsidR="00631D8F">
          <w:rPr>
            <w:noProof/>
          </w:rPr>
          <w:fldChar w:fldCharType="begin"/>
        </w:r>
        <w:r w:rsidR="00631D8F">
          <w:rPr>
            <w:noProof/>
          </w:rPr>
          <w:instrText xml:space="preserve"> PAGEREF _Toc516669734 \h </w:instrText>
        </w:r>
        <w:r w:rsidR="00631D8F">
          <w:rPr>
            <w:noProof/>
          </w:rPr>
        </w:r>
        <w:r w:rsidR="00631D8F">
          <w:rPr>
            <w:noProof/>
          </w:rPr>
          <w:fldChar w:fldCharType="separate"/>
        </w:r>
        <w:r w:rsidR="00A7414C">
          <w:rPr>
            <w:noProof/>
          </w:rPr>
          <w:t>2</w:t>
        </w:r>
        <w:r w:rsidR="00631D8F">
          <w:rPr>
            <w:noProof/>
          </w:rPr>
          <w:fldChar w:fldCharType="end"/>
        </w:r>
      </w:hyperlink>
    </w:p>
    <w:p w14:paraId="047867F9" w14:textId="03410542" w:rsidR="00631D8F" w:rsidRDefault="005E1E28">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16669735" w:history="1">
        <w:r w:rsidR="00631D8F" w:rsidRPr="00732D8E">
          <w:rPr>
            <w:rStyle w:val="Lienhypertexte"/>
            <w:rFonts w:eastAsia="Calibri" w:cs="Times New Roman"/>
            <w:i/>
            <w:noProof/>
            <w:kern w:val="1"/>
            <w:lang w:eastAsia="en-US" w:bidi="x-none"/>
          </w:rPr>
          <w:t>1</w:t>
        </w:r>
        <w:r w:rsidR="00631D8F">
          <w:rPr>
            <w:rFonts w:asciiTheme="minorHAnsi" w:eastAsiaTheme="minorEastAsia" w:hAnsiTheme="minorHAnsi" w:cstheme="minorBidi"/>
            <w:b w:val="0"/>
            <w:bCs w:val="0"/>
            <w:caps w:val="0"/>
            <w:noProof/>
            <w:sz w:val="22"/>
            <w:szCs w:val="22"/>
            <w:lang w:val="fr-FR" w:eastAsia="fr-FR"/>
          </w:rPr>
          <w:tab/>
        </w:r>
        <w:r w:rsidR="00631D8F" w:rsidRPr="00732D8E">
          <w:rPr>
            <w:rStyle w:val="Lienhypertexte"/>
            <w:rFonts w:eastAsia="Calibri"/>
            <w:noProof/>
          </w:rPr>
          <w:t>CONCLUSION</w:t>
        </w:r>
        <w:r w:rsidR="00631D8F">
          <w:rPr>
            <w:noProof/>
          </w:rPr>
          <w:tab/>
        </w:r>
        <w:r w:rsidR="00631D8F">
          <w:rPr>
            <w:noProof/>
          </w:rPr>
          <w:fldChar w:fldCharType="begin"/>
        </w:r>
        <w:r w:rsidR="00631D8F">
          <w:rPr>
            <w:noProof/>
          </w:rPr>
          <w:instrText xml:space="preserve"> PAGEREF _Toc516669735 \h </w:instrText>
        </w:r>
        <w:r w:rsidR="00631D8F">
          <w:rPr>
            <w:noProof/>
          </w:rPr>
        </w:r>
        <w:r w:rsidR="00631D8F">
          <w:rPr>
            <w:noProof/>
          </w:rPr>
          <w:fldChar w:fldCharType="separate"/>
        </w:r>
        <w:r w:rsidR="00A7414C">
          <w:rPr>
            <w:noProof/>
          </w:rPr>
          <w:t>4</w:t>
        </w:r>
        <w:r w:rsidR="00631D8F">
          <w:rPr>
            <w:noProof/>
          </w:rPr>
          <w:fldChar w:fldCharType="end"/>
        </w:r>
      </w:hyperlink>
    </w:p>
    <w:p w14:paraId="1A396C63" w14:textId="09022F19" w:rsidR="00631D8F" w:rsidRDefault="005E1E28">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16669736" w:history="1">
        <w:r w:rsidR="00631D8F" w:rsidRPr="00732D8E">
          <w:rPr>
            <w:rStyle w:val="Lienhypertexte"/>
            <w:rFonts w:cs="Times New Roman"/>
            <w:i/>
            <w:noProof/>
            <w:kern w:val="1"/>
            <w:lang w:bidi="x-none"/>
          </w:rPr>
          <w:t>2</w:t>
        </w:r>
        <w:r w:rsidR="00631D8F">
          <w:rPr>
            <w:rFonts w:asciiTheme="minorHAnsi" w:eastAsiaTheme="minorEastAsia" w:hAnsiTheme="minorHAnsi" w:cstheme="minorBidi"/>
            <w:b w:val="0"/>
            <w:bCs w:val="0"/>
            <w:caps w:val="0"/>
            <w:noProof/>
            <w:sz w:val="22"/>
            <w:szCs w:val="22"/>
            <w:lang w:val="fr-FR" w:eastAsia="fr-FR"/>
          </w:rPr>
          <w:tab/>
        </w:r>
        <w:r w:rsidR="00631D8F" w:rsidRPr="00732D8E">
          <w:rPr>
            <w:rStyle w:val="Lienhypertexte"/>
            <w:rFonts w:eastAsia="Calibri"/>
            <w:noProof/>
          </w:rPr>
          <w:t>ASSESSMENT REPORT</w:t>
        </w:r>
        <w:r w:rsidR="00631D8F">
          <w:rPr>
            <w:noProof/>
          </w:rPr>
          <w:tab/>
        </w:r>
        <w:r w:rsidR="00631D8F">
          <w:rPr>
            <w:noProof/>
          </w:rPr>
          <w:fldChar w:fldCharType="begin"/>
        </w:r>
        <w:r w:rsidR="00631D8F">
          <w:rPr>
            <w:noProof/>
          </w:rPr>
          <w:instrText xml:space="preserve"> PAGEREF _Toc516669736 \h </w:instrText>
        </w:r>
        <w:r w:rsidR="00631D8F">
          <w:rPr>
            <w:noProof/>
          </w:rPr>
        </w:r>
        <w:r w:rsidR="00631D8F">
          <w:rPr>
            <w:noProof/>
          </w:rPr>
          <w:fldChar w:fldCharType="separate"/>
        </w:r>
        <w:r w:rsidR="00A7414C">
          <w:rPr>
            <w:noProof/>
          </w:rPr>
          <w:t>7</w:t>
        </w:r>
        <w:r w:rsidR="00631D8F">
          <w:rPr>
            <w:noProof/>
          </w:rPr>
          <w:fldChar w:fldCharType="end"/>
        </w:r>
      </w:hyperlink>
    </w:p>
    <w:p w14:paraId="27FFDCE5" w14:textId="51F2BF7A" w:rsidR="00631D8F" w:rsidRDefault="005E1E28">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6669737" w:history="1">
        <w:r w:rsidR="00631D8F" w:rsidRPr="00732D8E">
          <w:rPr>
            <w:rStyle w:val="Lienhypertexte"/>
            <w:noProof/>
            <w:lang w:val="de-DE"/>
          </w:rPr>
          <w:t>2.1</w:t>
        </w:r>
        <w:r w:rsidR="00631D8F">
          <w:rPr>
            <w:rFonts w:asciiTheme="minorHAnsi" w:eastAsiaTheme="minorEastAsia" w:hAnsiTheme="minorHAnsi" w:cstheme="minorBidi"/>
            <w:smallCaps w:val="0"/>
            <w:noProof/>
            <w:sz w:val="22"/>
            <w:szCs w:val="22"/>
            <w:lang w:val="fr-FR" w:eastAsia="fr-FR"/>
          </w:rPr>
          <w:tab/>
        </w:r>
        <w:r w:rsidR="00631D8F" w:rsidRPr="00732D8E">
          <w:rPr>
            <w:rStyle w:val="Lienhypertexte"/>
            <w:noProof/>
          </w:rPr>
          <w:t>Summary of the product assessment</w:t>
        </w:r>
        <w:r w:rsidR="00631D8F">
          <w:rPr>
            <w:noProof/>
          </w:rPr>
          <w:tab/>
        </w:r>
        <w:r w:rsidR="00631D8F">
          <w:rPr>
            <w:noProof/>
          </w:rPr>
          <w:fldChar w:fldCharType="begin"/>
        </w:r>
        <w:r w:rsidR="00631D8F">
          <w:rPr>
            <w:noProof/>
          </w:rPr>
          <w:instrText xml:space="preserve"> PAGEREF _Toc516669737 \h </w:instrText>
        </w:r>
        <w:r w:rsidR="00631D8F">
          <w:rPr>
            <w:noProof/>
          </w:rPr>
        </w:r>
        <w:r w:rsidR="00631D8F">
          <w:rPr>
            <w:noProof/>
          </w:rPr>
          <w:fldChar w:fldCharType="separate"/>
        </w:r>
        <w:r w:rsidR="00A7414C">
          <w:rPr>
            <w:noProof/>
          </w:rPr>
          <w:t>7</w:t>
        </w:r>
        <w:r w:rsidR="00631D8F">
          <w:rPr>
            <w:noProof/>
          </w:rPr>
          <w:fldChar w:fldCharType="end"/>
        </w:r>
      </w:hyperlink>
    </w:p>
    <w:p w14:paraId="1DCA093F" w14:textId="651CD5AC"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38" w:history="1">
        <w:r w:rsidR="00631D8F" w:rsidRPr="00732D8E">
          <w:rPr>
            <w:rStyle w:val="Lienhypertexte"/>
            <w:noProof/>
          </w:rPr>
          <w:t>2.1.1</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Administrative information</w:t>
        </w:r>
        <w:r w:rsidR="00631D8F">
          <w:rPr>
            <w:noProof/>
          </w:rPr>
          <w:tab/>
        </w:r>
        <w:r w:rsidR="00631D8F">
          <w:rPr>
            <w:noProof/>
          </w:rPr>
          <w:fldChar w:fldCharType="begin"/>
        </w:r>
        <w:r w:rsidR="00631D8F">
          <w:rPr>
            <w:noProof/>
          </w:rPr>
          <w:instrText xml:space="preserve"> PAGEREF _Toc516669738 \h </w:instrText>
        </w:r>
        <w:r w:rsidR="00631D8F">
          <w:rPr>
            <w:noProof/>
          </w:rPr>
        </w:r>
        <w:r w:rsidR="00631D8F">
          <w:rPr>
            <w:noProof/>
          </w:rPr>
          <w:fldChar w:fldCharType="separate"/>
        </w:r>
        <w:r w:rsidR="00A7414C">
          <w:rPr>
            <w:noProof/>
          </w:rPr>
          <w:t>7</w:t>
        </w:r>
        <w:r w:rsidR="00631D8F">
          <w:rPr>
            <w:noProof/>
          </w:rPr>
          <w:fldChar w:fldCharType="end"/>
        </w:r>
      </w:hyperlink>
    </w:p>
    <w:p w14:paraId="6AD1775F" w14:textId="26A4B9F7"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39" w:history="1">
        <w:r w:rsidR="00631D8F" w:rsidRPr="00732D8E">
          <w:rPr>
            <w:rStyle w:val="Lienhypertexte"/>
            <w:bCs/>
            <w:noProof/>
            <w:lang w:eastAsia="en-GB"/>
          </w:rPr>
          <w:t>2.1.1.1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Identifier of the product</w:t>
        </w:r>
        <w:r w:rsidR="00631D8F">
          <w:rPr>
            <w:noProof/>
          </w:rPr>
          <w:tab/>
        </w:r>
        <w:r w:rsidR="00631D8F">
          <w:rPr>
            <w:noProof/>
          </w:rPr>
          <w:fldChar w:fldCharType="begin"/>
        </w:r>
        <w:r w:rsidR="00631D8F">
          <w:rPr>
            <w:noProof/>
          </w:rPr>
          <w:instrText xml:space="preserve"> PAGEREF _Toc516669739 \h </w:instrText>
        </w:r>
        <w:r w:rsidR="00631D8F">
          <w:rPr>
            <w:noProof/>
          </w:rPr>
        </w:r>
        <w:r w:rsidR="00631D8F">
          <w:rPr>
            <w:noProof/>
          </w:rPr>
          <w:fldChar w:fldCharType="separate"/>
        </w:r>
        <w:r w:rsidR="00A7414C">
          <w:rPr>
            <w:noProof/>
          </w:rPr>
          <w:t>7</w:t>
        </w:r>
        <w:r w:rsidR="00631D8F">
          <w:rPr>
            <w:noProof/>
          </w:rPr>
          <w:fldChar w:fldCharType="end"/>
        </w:r>
      </w:hyperlink>
    </w:p>
    <w:p w14:paraId="00DD6E47" w14:textId="3EBD1A11"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0" w:history="1">
        <w:r w:rsidR="00631D8F" w:rsidRPr="00732D8E">
          <w:rPr>
            <w:rStyle w:val="Lienhypertexte"/>
            <w:bCs/>
            <w:noProof/>
            <w:lang w:eastAsia="en-GB"/>
          </w:rPr>
          <w:t>2.1.1.2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Authorisation holder</w:t>
        </w:r>
        <w:r w:rsidR="00631D8F">
          <w:rPr>
            <w:noProof/>
          </w:rPr>
          <w:tab/>
        </w:r>
        <w:r w:rsidR="00631D8F">
          <w:rPr>
            <w:noProof/>
          </w:rPr>
          <w:fldChar w:fldCharType="begin"/>
        </w:r>
        <w:r w:rsidR="00631D8F">
          <w:rPr>
            <w:noProof/>
          </w:rPr>
          <w:instrText xml:space="preserve"> PAGEREF _Toc516669740 \h </w:instrText>
        </w:r>
        <w:r w:rsidR="00631D8F">
          <w:rPr>
            <w:noProof/>
          </w:rPr>
        </w:r>
        <w:r w:rsidR="00631D8F">
          <w:rPr>
            <w:noProof/>
          </w:rPr>
          <w:fldChar w:fldCharType="separate"/>
        </w:r>
        <w:r w:rsidR="00A7414C">
          <w:rPr>
            <w:noProof/>
          </w:rPr>
          <w:t>7</w:t>
        </w:r>
        <w:r w:rsidR="00631D8F">
          <w:rPr>
            <w:noProof/>
          </w:rPr>
          <w:fldChar w:fldCharType="end"/>
        </w:r>
      </w:hyperlink>
    </w:p>
    <w:p w14:paraId="49DC4986" w14:textId="15E7AFDC"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1" w:history="1">
        <w:r w:rsidR="00631D8F" w:rsidRPr="00732D8E">
          <w:rPr>
            <w:rStyle w:val="Lienhypertexte"/>
            <w:bCs/>
            <w:noProof/>
            <w:lang w:eastAsia="en-GB"/>
          </w:rPr>
          <w:t>2.1.1.3</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Manufacturer of the product</w:t>
        </w:r>
        <w:r w:rsidR="00631D8F">
          <w:rPr>
            <w:noProof/>
          </w:rPr>
          <w:tab/>
        </w:r>
        <w:r w:rsidR="00631D8F">
          <w:rPr>
            <w:noProof/>
          </w:rPr>
          <w:fldChar w:fldCharType="begin"/>
        </w:r>
        <w:r w:rsidR="00631D8F">
          <w:rPr>
            <w:noProof/>
          </w:rPr>
          <w:instrText xml:space="preserve"> PAGEREF _Toc516669741 \h </w:instrText>
        </w:r>
        <w:r w:rsidR="00631D8F">
          <w:rPr>
            <w:noProof/>
          </w:rPr>
        </w:r>
        <w:r w:rsidR="00631D8F">
          <w:rPr>
            <w:noProof/>
          </w:rPr>
          <w:fldChar w:fldCharType="separate"/>
        </w:r>
        <w:r w:rsidR="00A7414C">
          <w:rPr>
            <w:noProof/>
          </w:rPr>
          <w:t>7</w:t>
        </w:r>
        <w:r w:rsidR="00631D8F">
          <w:rPr>
            <w:noProof/>
          </w:rPr>
          <w:fldChar w:fldCharType="end"/>
        </w:r>
      </w:hyperlink>
    </w:p>
    <w:p w14:paraId="22FD6835" w14:textId="6C2F809E"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2" w:history="1">
        <w:r w:rsidR="00631D8F" w:rsidRPr="00732D8E">
          <w:rPr>
            <w:rStyle w:val="Lienhypertexte"/>
            <w:bCs/>
            <w:noProof/>
            <w:lang w:eastAsia="en-GB"/>
          </w:rPr>
          <w:t>2.1.1.4</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Manufacturers of the active substance</w:t>
        </w:r>
        <w:r w:rsidR="00631D8F">
          <w:rPr>
            <w:noProof/>
          </w:rPr>
          <w:tab/>
        </w:r>
        <w:r w:rsidR="00631D8F">
          <w:rPr>
            <w:noProof/>
          </w:rPr>
          <w:fldChar w:fldCharType="begin"/>
        </w:r>
        <w:r w:rsidR="00631D8F">
          <w:rPr>
            <w:noProof/>
          </w:rPr>
          <w:instrText xml:space="preserve"> PAGEREF _Toc516669742 \h </w:instrText>
        </w:r>
        <w:r w:rsidR="00631D8F">
          <w:rPr>
            <w:noProof/>
          </w:rPr>
        </w:r>
        <w:r w:rsidR="00631D8F">
          <w:rPr>
            <w:noProof/>
          </w:rPr>
          <w:fldChar w:fldCharType="separate"/>
        </w:r>
        <w:r w:rsidR="00A7414C">
          <w:rPr>
            <w:noProof/>
          </w:rPr>
          <w:t>7</w:t>
        </w:r>
        <w:r w:rsidR="00631D8F">
          <w:rPr>
            <w:noProof/>
          </w:rPr>
          <w:fldChar w:fldCharType="end"/>
        </w:r>
      </w:hyperlink>
    </w:p>
    <w:p w14:paraId="6E9385FA" w14:textId="22BF8CB3"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43" w:history="1">
        <w:r w:rsidR="00631D8F" w:rsidRPr="00732D8E">
          <w:rPr>
            <w:rStyle w:val="Lienhypertexte"/>
            <w:rFonts w:eastAsia="Calibri"/>
            <w:noProof/>
            <w:lang w:eastAsia="en-US"/>
          </w:rPr>
          <w:t>2.1.2</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Product composition and formulation</w:t>
        </w:r>
        <w:r w:rsidR="00631D8F">
          <w:rPr>
            <w:noProof/>
          </w:rPr>
          <w:tab/>
        </w:r>
        <w:r w:rsidR="00631D8F">
          <w:rPr>
            <w:noProof/>
          </w:rPr>
          <w:fldChar w:fldCharType="begin"/>
        </w:r>
        <w:r w:rsidR="00631D8F">
          <w:rPr>
            <w:noProof/>
          </w:rPr>
          <w:instrText xml:space="preserve"> PAGEREF _Toc516669743 \h </w:instrText>
        </w:r>
        <w:r w:rsidR="00631D8F">
          <w:rPr>
            <w:noProof/>
          </w:rPr>
        </w:r>
        <w:r w:rsidR="00631D8F">
          <w:rPr>
            <w:noProof/>
          </w:rPr>
          <w:fldChar w:fldCharType="separate"/>
        </w:r>
        <w:r w:rsidR="00A7414C">
          <w:rPr>
            <w:noProof/>
          </w:rPr>
          <w:t>10</w:t>
        </w:r>
        <w:r w:rsidR="00631D8F">
          <w:rPr>
            <w:noProof/>
          </w:rPr>
          <w:fldChar w:fldCharType="end"/>
        </w:r>
      </w:hyperlink>
    </w:p>
    <w:p w14:paraId="2C87C806" w14:textId="5DE0A489"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4" w:history="1">
        <w:r w:rsidR="00631D8F" w:rsidRPr="00732D8E">
          <w:rPr>
            <w:rStyle w:val="Lienhypertexte"/>
            <w:noProof/>
            <w:lang w:eastAsia="en-US"/>
          </w:rPr>
          <w:t>2.1.2.1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Identity of the active substance</w:t>
        </w:r>
        <w:r w:rsidR="00631D8F">
          <w:rPr>
            <w:noProof/>
          </w:rPr>
          <w:tab/>
        </w:r>
        <w:r w:rsidR="00631D8F">
          <w:rPr>
            <w:noProof/>
          </w:rPr>
          <w:fldChar w:fldCharType="begin"/>
        </w:r>
        <w:r w:rsidR="00631D8F">
          <w:rPr>
            <w:noProof/>
          </w:rPr>
          <w:instrText xml:space="preserve"> PAGEREF _Toc516669744 \h </w:instrText>
        </w:r>
        <w:r w:rsidR="00631D8F">
          <w:rPr>
            <w:noProof/>
          </w:rPr>
        </w:r>
        <w:r w:rsidR="00631D8F">
          <w:rPr>
            <w:noProof/>
          </w:rPr>
          <w:fldChar w:fldCharType="separate"/>
        </w:r>
        <w:r w:rsidR="00A7414C">
          <w:rPr>
            <w:noProof/>
          </w:rPr>
          <w:t>10</w:t>
        </w:r>
        <w:r w:rsidR="00631D8F">
          <w:rPr>
            <w:noProof/>
          </w:rPr>
          <w:fldChar w:fldCharType="end"/>
        </w:r>
      </w:hyperlink>
    </w:p>
    <w:p w14:paraId="70115FED" w14:textId="6B425C68"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5" w:history="1">
        <w:r w:rsidR="00631D8F" w:rsidRPr="00732D8E">
          <w:rPr>
            <w:rStyle w:val="Lienhypertexte"/>
            <w:rFonts w:cs="Times New Roman"/>
            <w:noProof/>
            <w:lang w:eastAsia="fr-FR"/>
          </w:rPr>
          <w:t>2.1.2.2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Candidate(s) for substitution</w:t>
        </w:r>
        <w:r w:rsidR="00631D8F">
          <w:rPr>
            <w:noProof/>
          </w:rPr>
          <w:tab/>
        </w:r>
        <w:r w:rsidR="00631D8F">
          <w:rPr>
            <w:noProof/>
          </w:rPr>
          <w:fldChar w:fldCharType="begin"/>
        </w:r>
        <w:r w:rsidR="00631D8F">
          <w:rPr>
            <w:noProof/>
          </w:rPr>
          <w:instrText xml:space="preserve"> PAGEREF _Toc516669745 \h </w:instrText>
        </w:r>
        <w:r w:rsidR="00631D8F">
          <w:rPr>
            <w:noProof/>
          </w:rPr>
        </w:r>
        <w:r w:rsidR="00631D8F">
          <w:rPr>
            <w:noProof/>
          </w:rPr>
          <w:fldChar w:fldCharType="separate"/>
        </w:r>
        <w:r w:rsidR="00A7414C">
          <w:rPr>
            <w:noProof/>
          </w:rPr>
          <w:t>10</w:t>
        </w:r>
        <w:r w:rsidR="00631D8F">
          <w:rPr>
            <w:noProof/>
          </w:rPr>
          <w:fldChar w:fldCharType="end"/>
        </w:r>
      </w:hyperlink>
    </w:p>
    <w:p w14:paraId="6599E774" w14:textId="76CC522C"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6" w:history="1">
        <w:r w:rsidR="00631D8F" w:rsidRPr="00732D8E">
          <w:rPr>
            <w:rStyle w:val="Lienhypertexte"/>
            <w:bCs/>
            <w:noProof/>
            <w:lang w:eastAsia="en-GB"/>
          </w:rPr>
          <w:t>2.1.2.3</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Qualitative and quantitative information on the composition of the biocidal product</w:t>
        </w:r>
        <w:r w:rsidR="00631D8F">
          <w:rPr>
            <w:noProof/>
          </w:rPr>
          <w:tab/>
        </w:r>
        <w:r w:rsidR="00631D8F">
          <w:rPr>
            <w:noProof/>
          </w:rPr>
          <w:fldChar w:fldCharType="begin"/>
        </w:r>
        <w:r w:rsidR="00631D8F">
          <w:rPr>
            <w:noProof/>
          </w:rPr>
          <w:instrText xml:space="preserve"> PAGEREF _Toc516669746 \h </w:instrText>
        </w:r>
        <w:r w:rsidR="00631D8F">
          <w:rPr>
            <w:noProof/>
          </w:rPr>
        </w:r>
        <w:r w:rsidR="00631D8F">
          <w:rPr>
            <w:noProof/>
          </w:rPr>
          <w:fldChar w:fldCharType="separate"/>
        </w:r>
        <w:r w:rsidR="00A7414C">
          <w:rPr>
            <w:noProof/>
          </w:rPr>
          <w:t>11</w:t>
        </w:r>
        <w:r w:rsidR="00631D8F">
          <w:rPr>
            <w:noProof/>
          </w:rPr>
          <w:fldChar w:fldCharType="end"/>
        </w:r>
      </w:hyperlink>
    </w:p>
    <w:p w14:paraId="5C513DC2" w14:textId="7614AB98"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7" w:history="1">
        <w:r w:rsidR="00631D8F" w:rsidRPr="00732D8E">
          <w:rPr>
            <w:rStyle w:val="Lienhypertexte"/>
            <w:rFonts w:cs="Times New Roman"/>
            <w:noProof/>
            <w:lang w:eastAsia="fr-FR"/>
          </w:rPr>
          <w:t>2.1.2.4</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Information on technical equivalence</w:t>
        </w:r>
        <w:r w:rsidR="00631D8F">
          <w:rPr>
            <w:noProof/>
          </w:rPr>
          <w:tab/>
        </w:r>
        <w:r w:rsidR="00631D8F">
          <w:rPr>
            <w:noProof/>
          </w:rPr>
          <w:fldChar w:fldCharType="begin"/>
        </w:r>
        <w:r w:rsidR="00631D8F">
          <w:rPr>
            <w:noProof/>
          </w:rPr>
          <w:instrText xml:space="preserve"> PAGEREF _Toc516669747 \h </w:instrText>
        </w:r>
        <w:r w:rsidR="00631D8F">
          <w:rPr>
            <w:noProof/>
          </w:rPr>
        </w:r>
        <w:r w:rsidR="00631D8F">
          <w:rPr>
            <w:noProof/>
          </w:rPr>
          <w:fldChar w:fldCharType="separate"/>
        </w:r>
        <w:r w:rsidR="00A7414C">
          <w:rPr>
            <w:noProof/>
          </w:rPr>
          <w:t>11</w:t>
        </w:r>
        <w:r w:rsidR="00631D8F">
          <w:rPr>
            <w:noProof/>
          </w:rPr>
          <w:fldChar w:fldCharType="end"/>
        </w:r>
      </w:hyperlink>
    </w:p>
    <w:p w14:paraId="33BB158B" w14:textId="2CC77301"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8" w:history="1">
        <w:r w:rsidR="00631D8F" w:rsidRPr="00732D8E">
          <w:rPr>
            <w:rStyle w:val="Lienhypertexte"/>
            <w:rFonts w:cs="Times"/>
            <w:bCs/>
            <w:noProof/>
          </w:rPr>
          <w:t>2.1.2.5</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Information on the substance(s) of concern</w:t>
        </w:r>
        <w:r w:rsidR="00631D8F">
          <w:rPr>
            <w:noProof/>
          </w:rPr>
          <w:tab/>
        </w:r>
        <w:r w:rsidR="00631D8F">
          <w:rPr>
            <w:noProof/>
          </w:rPr>
          <w:fldChar w:fldCharType="begin"/>
        </w:r>
        <w:r w:rsidR="00631D8F">
          <w:rPr>
            <w:noProof/>
          </w:rPr>
          <w:instrText xml:space="preserve"> PAGEREF _Toc516669748 \h </w:instrText>
        </w:r>
        <w:r w:rsidR="00631D8F">
          <w:rPr>
            <w:noProof/>
          </w:rPr>
        </w:r>
        <w:r w:rsidR="00631D8F">
          <w:rPr>
            <w:noProof/>
          </w:rPr>
          <w:fldChar w:fldCharType="separate"/>
        </w:r>
        <w:r w:rsidR="00A7414C">
          <w:rPr>
            <w:noProof/>
          </w:rPr>
          <w:t>11</w:t>
        </w:r>
        <w:r w:rsidR="00631D8F">
          <w:rPr>
            <w:noProof/>
          </w:rPr>
          <w:fldChar w:fldCharType="end"/>
        </w:r>
      </w:hyperlink>
    </w:p>
    <w:p w14:paraId="2B3635B6" w14:textId="14D1E92A"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49" w:history="1">
        <w:r w:rsidR="00631D8F" w:rsidRPr="00732D8E">
          <w:rPr>
            <w:rStyle w:val="Lienhypertexte"/>
            <w:noProof/>
          </w:rPr>
          <w:t>2.1.2.6</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Type of formulation</w:t>
        </w:r>
        <w:r w:rsidR="00631D8F">
          <w:rPr>
            <w:noProof/>
          </w:rPr>
          <w:tab/>
        </w:r>
        <w:r w:rsidR="00631D8F">
          <w:rPr>
            <w:noProof/>
          </w:rPr>
          <w:fldChar w:fldCharType="begin"/>
        </w:r>
        <w:r w:rsidR="00631D8F">
          <w:rPr>
            <w:noProof/>
          </w:rPr>
          <w:instrText xml:space="preserve"> PAGEREF _Toc516669749 \h </w:instrText>
        </w:r>
        <w:r w:rsidR="00631D8F">
          <w:rPr>
            <w:noProof/>
          </w:rPr>
        </w:r>
        <w:r w:rsidR="00631D8F">
          <w:rPr>
            <w:noProof/>
          </w:rPr>
          <w:fldChar w:fldCharType="separate"/>
        </w:r>
        <w:r w:rsidR="00A7414C">
          <w:rPr>
            <w:noProof/>
          </w:rPr>
          <w:t>11</w:t>
        </w:r>
        <w:r w:rsidR="00631D8F">
          <w:rPr>
            <w:noProof/>
          </w:rPr>
          <w:fldChar w:fldCharType="end"/>
        </w:r>
      </w:hyperlink>
    </w:p>
    <w:p w14:paraId="59B75424" w14:textId="000A53AA"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50" w:history="1">
        <w:r w:rsidR="00631D8F" w:rsidRPr="00732D8E">
          <w:rPr>
            <w:rStyle w:val="Lienhypertexte"/>
            <w:noProof/>
          </w:rPr>
          <w:t>2.1.3</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Hazard and precautionary statements</w:t>
        </w:r>
        <w:r w:rsidR="00631D8F">
          <w:rPr>
            <w:noProof/>
          </w:rPr>
          <w:tab/>
        </w:r>
        <w:r w:rsidR="00631D8F">
          <w:rPr>
            <w:noProof/>
          </w:rPr>
          <w:fldChar w:fldCharType="begin"/>
        </w:r>
        <w:r w:rsidR="00631D8F">
          <w:rPr>
            <w:noProof/>
          </w:rPr>
          <w:instrText xml:space="preserve"> PAGEREF _Toc516669750 \h </w:instrText>
        </w:r>
        <w:r w:rsidR="00631D8F">
          <w:rPr>
            <w:noProof/>
          </w:rPr>
        </w:r>
        <w:r w:rsidR="00631D8F">
          <w:rPr>
            <w:noProof/>
          </w:rPr>
          <w:fldChar w:fldCharType="separate"/>
        </w:r>
        <w:r w:rsidR="00A7414C">
          <w:rPr>
            <w:noProof/>
          </w:rPr>
          <w:t>11</w:t>
        </w:r>
        <w:r w:rsidR="00631D8F">
          <w:rPr>
            <w:noProof/>
          </w:rPr>
          <w:fldChar w:fldCharType="end"/>
        </w:r>
      </w:hyperlink>
    </w:p>
    <w:p w14:paraId="6923DECA" w14:textId="7CB8416F"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51" w:history="1">
        <w:r w:rsidR="00631D8F" w:rsidRPr="00732D8E">
          <w:rPr>
            <w:rStyle w:val="Lienhypertexte"/>
            <w:noProof/>
          </w:rPr>
          <w:t>2.1.4</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Authorised use(s)</w:t>
        </w:r>
        <w:r w:rsidR="00631D8F">
          <w:rPr>
            <w:noProof/>
          </w:rPr>
          <w:tab/>
        </w:r>
        <w:r w:rsidR="00631D8F">
          <w:rPr>
            <w:noProof/>
          </w:rPr>
          <w:fldChar w:fldCharType="begin"/>
        </w:r>
        <w:r w:rsidR="00631D8F">
          <w:rPr>
            <w:noProof/>
          </w:rPr>
          <w:instrText xml:space="preserve"> PAGEREF _Toc516669751 \h </w:instrText>
        </w:r>
        <w:r w:rsidR="00631D8F">
          <w:rPr>
            <w:noProof/>
          </w:rPr>
        </w:r>
        <w:r w:rsidR="00631D8F">
          <w:rPr>
            <w:noProof/>
          </w:rPr>
          <w:fldChar w:fldCharType="separate"/>
        </w:r>
        <w:r w:rsidR="00A7414C">
          <w:rPr>
            <w:noProof/>
          </w:rPr>
          <w:t>12</w:t>
        </w:r>
        <w:r w:rsidR="00631D8F">
          <w:rPr>
            <w:noProof/>
          </w:rPr>
          <w:fldChar w:fldCharType="end"/>
        </w:r>
      </w:hyperlink>
    </w:p>
    <w:p w14:paraId="2026D2F0" w14:textId="3A8B735A"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52" w:history="1">
        <w:r w:rsidR="00631D8F" w:rsidRPr="00732D8E">
          <w:rPr>
            <w:rStyle w:val="Lienhypertexte"/>
            <w:noProof/>
          </w:rPr>
          <w:t>2.1.4.1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Use description</w:t>
        </w:r>
        <w:r w:rsidR="00631D8F">
          <w:rPr>
            <w:noProof/>
          </w:rPr>
          <w:tab/>
        </w:r>
        <w:r w:rsidR="00631D8F">
          <w:rPr>
            <w:noProof/>
          </w:rPr>
          <w:fldChar w:fldCharType="begin"/>
        </w:r>
        <w:r w:rsidR="00631D8F">
          <w:rPr>
            <w:noProof/>
          </w:rPr>
          <w:instrText xml:space="preserve"> PAGEREF _Toc516669752 \h </w:instrText>
        </w:r>
        <w:r w:rsidR="00631D8F">
          <w:rPr>
            <w:noProof/>
          </w:rPr>
        </w:r>
        <w:r w:rsidR="00631D8F">
          <w:rPr>
            <w:noProof/>
          </w:rPr>
          <w:fldChar w:fldCharType="separate"/>
        </w:r>
        <w:r w:rsidR="00A7414C">
          <w:rPr>
            <w:noProof/>
          </w:rPr>
          <w:t>12</w:t>
        </w:r>
        <w:r w:rsidR="00631D8F">
          <w:rPr>
            <w:noProof/>
          </w:rPr>
          <w:fldChar w:fldCharType="end"/>
        </w:r>
      </w:hyperlink>
    </w:p>
    <w:p w14:paraId="0C76F5B7" w14:textId="501D8316"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53" w:history="1">
        <w:r w:rsidR="00631D8F" w:rsidRPr="00732D8E">
          <w:rPr>
            <w:rStyle w:val="Lienhypertexte"/>
            <w:rFonts w:cs="Times"/>
            <w:bCs/>
            <w:noProof/>
          </w:rPr>
          <w:t>2.1.4.2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Use-specific instructions for use</w:t>
        </w:r>
        <w:r w:rsidR="00631D8F">
          <w:rPr>
            <w:noProof/>
          </w:rPr>
          <w:tab/>
        </w:r>
        <w:r w:rsidR="00631D8F">
          <w:rPr>
            <w:noProof/>
          </w:rPr>
          <w:fldChar w:fldCharType="begin"/>
        </w:r>
        <w:r w:rsidR="00631D8F">
          <w:rPr>
            <w:noProof/>
          </w:rPr>
          <w:instrText xml:space="preserve"> PAGEREF _Toc516669753 \h </w:instrText>
        </w:r>
        <w:r w:rsidR="00631D8F">
          <w:rPr>
            <w:noProof/>
          </w:rPr>
        </w:r>
        <w:r w:rsidR="00631D8F">
          <w:rPr>
            <w:noProof/>
          </w:rPr>
          <w:fldChar w:fldCharType="separate"/>
        </w:r>
        <w:r w:rsidR="00A7414C">
          <w:rPr>
            <w:noProof/>
          </w:rPr>
          <w:t>12</w:t>
        </w:r>
        <w:r w:rsidR="00631D8F">
          <w:rPr>
            <w:noProof/>
          </w:rPr>
          <w:fldChar w:fldCharType="end"/>
        </w:r>
      </w:hyperlink>
    </w:p>
    <w:p w14:paraId="4ABD2D9E" w14:textId="11CE6F5A"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54" w:history="1">
        <w:r w:rsidR="00631D8F" w:rsidRPr="00732D8E">
          <w:rPr>
            <w:rStyle w:val="Lienhypertexte"/>
            <w:rFonts w:cs="Times"/>
            <w:bCs/>
            <w:noProof/>
          </w:rPr>
          <w:t>2.1.4.3</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Use-specific risk mitigation measures</w:t>
        </w:r>
        <w:r w:rsidR="00631D8F">
          <w:rPr>
            <w:noProof/>
          </w:rPr>
          <w:tab/>
        </w:r>
        <w:r w:rsidR="00631D8F">
          <w:rPr>
            <w:noProof/>
          </w:rPr>
          <w:fldChar w:fldCharType="begin"/>
        </w:r>
        <w:r w:rsidR="00631D8F">
          <w:rPr>
            <w:noProof/>
          </w:rPr>
          <w:instrText xml:space="preserve"> PAGEREF _Toc516669754 \h </w:instrText>
        </w:r>
        <w:r w:rsidR="00631D8F">
          <w:rPr>
            <w:noProof/>
          </w:rPr>
        </w:r>
        <w:r w:rsidR="00631D8F">
          <w:rPr>
            <w:noProof/>
          </w:rPr>
          <w:fldChar w:fldCharType="separate"/>
        </w:r>
        <w:r w:rsidR="00A7414C">
          <w:rPr>
            <w:noProof/>
          </w:rPr>
          <w:t>12</w:t>
        </w:r>
        <w:r w:rsidR="00631D8F">
          <w:rPr>
            <w:noProof/>
          </w:rPr>
          <w:fldChar w:fldCharType="end"/>
        </w:r>
      </w:hyperlink>
    </w:p>
    <w:p w14:paraId="568BF2D2" w14:textId="038BC08F"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55" w:history="1">
        <w:r w:rsidR="00631D8F" w:rsidRPr="00732D8E">
          <w:rPr>
            <w:rStyle w:val="Lienhypertexte"/>
            <w:rFonts w:cs="Times"/>
            <w:bCs/>
            <w:noProof/>
          </w:rPr>
          <w:t>2.1.4.4</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Where specific to the use, the particulars of likely direct or indirect effects, first aid instructions and emergency measures to protect the environment</w:t>
        </w:r>
        <w:r w:rsidR="00631D8F">
          <w:rPr>
            <w:noProof/>
          </w:rPr>
          <w:tab/>
        </w:r>
        <w:r w:rsidR="00631D8F">
          <w:rPr>
            <w:noProof/>
          </w:rPr>
          <w:fldChar w:fldCharType="begin"/>
        </w:r>
        <w:r w:rsidR="00631D8F">
          <w:rPr>
            <w:noProof/>
          </w:rPr>
          <w:instrText xml:space="preserve"> PAGEREF _Toc516669755 \h </w:instrText>
        </w:r>
        <w:r w:rsidR="00631D8F">
          <w:rPr>
            <w:noProof/>
          </w:rPr>
        </w:r>
        <w:r w:rsidR="00631D8F">
          <w:rPr>
            <w:noProof/>
          </w:rPr>
          <w:fldChar w:fldCharType="separate"/>
        </w:r>
        <w:r w:rsidR="00A7414C">
          <w:rPr>
            <w:noProof/>
          </w:rPr>
          <w:t>12</w:t>
        </w:r>
        <w:r w:rsidR="00631D8F">
          <w:rPr>
            <w:noProof/>
          </w:rPr>
          <w:fldChar w:fldCharType="end"/>
        </w:r>
      </w:hyperlink>
    </w:p>
    <w:p w14:paraId="51EF35C2" w14:textId="4C1FFA07"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56" w:history="1">
        <w:r w:rsidR="00631D8F" w:rsidRPr="00732D8E">
          <w:rPr>
            <w:rStyle w:val="Lienhypertexte"/>
            <w:rFonts w:cs="Times"/>
            <w:bCs/>
            <w:noProof/>
          </w:rPr>
          <w:t>2.1.4.5</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Where specific to the use, the instructions for safe disposal of the product and its packaging</w:t>
        </w:r>
        <w:r w:rsidR="00631D8F">
          <w:rPr>
            <w:noProof/>
          </w:rPr>
          <w:tab/>
        </w:r>
        <w:r w:rsidR="00631D8F">
          <w:rPr>
            <w:noProof/>
          </w:rPr>
          <w:fldChar w:fldCharType="begin"/>
        </w:r>
        <w:r w:rsidR="00631D8F">
          <w:rPr>
            <w:noProof/>
          </w:rPr>
          <w:instrText xml:space="preserve"> PAGEREF _Toc516669756 \h </w:instrText>
        </w:r>
        <w:r w:rsidR="00631D8F">
          <w:rPr>
            <w:noProof/>
          </w:rPr>
        </w:r>
        <w:r w:rsidR="00631D8F">
          <w:rPr>
            <w:noProof/>
          </w:rPr>
          <w:fldChar w:fldCharType="separate"/>
        </w:r>
        <w:r w:rsidR="00A7414C">
          <w:rPr>
            <w:noProof/>
          </w:rPr>
          <w:t>12</w:t>
        </w:r>
        <w:r w:rsidR="00631D8F">
          <w:rPr>
            <w:noProof/>
          </w:rPr>
          <w:fldChar w:fldCharType="end"/>
        </w:r>
      </w:hyperlink>
    </w:p>
    <w:p w14:paraId="60EE3AA7" w14:textId="76BBEAA9"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57" w:history="1">
        <w:r w:rsidR="00631D8F" w:rsidRPr="00732D8E">
          <w:rPr>
            <w:rStyle w:val="Lienhypertexte"/>
            <w:rFonts w:cs="Times"/>
            <w:bCs/>
            <w:noProof/>
          </w:rPr>
          <w:t>2.1.4.6</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Where specific to the use, the conditions of storage and shelf-life of the product under normal conditions of storage</w:t>
        </w:r>
        <w:r w:rsidR="00631D8F">
          <w:rPr>
            <w:noProof/>
          </w:rPr>
          <w:tab/>
        </w:r>
        <w:r w:rsidR="00631D8F">
          <w:rPr>
            <w:noProof/>
          </w:rPr>
          <w:fldChar w:fldCharType="begin"/>
        </w:r>
        <w:r w:rsidR="00631D8F">
          <w:rPr>
            <w:noProof/>
          </w:rPr>
          <w:instrText xml:space="preserve"> PAGEREF _Toc516669757 \h </w:instrText>
        </w:r>
        <w:r w:rsidR="00631D8F">
          <w:rPr>
            <w:noProof/>
          </w:rPr>
        </w:r>
        <w:r w:rsidR="00631D8F">
          <w:rPr>
            <w:noProof/>
          </w:rPr>
          <w:fldChar w:fldCharType="separate"/>
        </w:r>
        <w:r w:rsidR="00A7414C">
          <w:rPr>
            <w:noProof/>
          </w:rPr>
          <w:t>12</w:t>
        </w:r>
        <w:r w:rsidR="00631D8F">
          <w:rPr>
            <w:noProof/>
          </w:rPr>
          <w:fldChar w:fldCharType="end"/>
        </w:r>
      </w:hyperlink>
    </w:p>
    <w:p w14:paraId="2E4CF714" w14:textId="4756B078"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58" w:history="1">
        <w:r w:rsidR="00631D8F" w:rsidRPr="00732D8E">
          <w:rPr>
            <w:rStyle w:val="Lienhypertexte"/>
            <w:noProof/>
          </w:rPr>
          <w:t>2.1.5</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General directions for use</w:t>
        </w:r>
        <w:r w:rsidR="00631D8F">
          <w:rPr>
            <w:noProof/>
          </w:rPr>
          <w:tab/>
        </w:r>
        <w:r w:rsidR="00631D8F">
          <w:rPr>
            <w:noProof/>
          </w:rPr>
          <w:fldChar w:fldCharType="begin"/>
        </w:r>
        <w:r w:rsidR="00631D8F">
          <w:rPr>
            <w:noProof/>
          </w:rPr>
          <w:instrText xml:space="preserve"> PAGEREF _Toc516669758 \h </w:instrText>
        </w:r>
        <w:r w:rsidR="00631D8F">
          <w:rPr>
            <w:noProof/>
          </w:rPr>
        </w:r>
        <w:r w:rsidR="00631D8F">
          <w:rPr>
            <w:noProof/>
          </w:rPr>
          <w:fldChar w:fldCharType="separate"/>
        </w:r>
        <w:r w:rsidR="00A7414C">
          <w:rPr>
            <w:noProof/>
          </w:rPr>
          <w:t>12</w:t>
        </w:r>
        <w:r w:rsidR="00631D8F">
          <w:rPr>
            <w:noProof/>
          </w:rPr>
          <w:fldChar w:fldCharType="end"/>
        </w:r>
      </w:hyperlink>
    </w:p>
    <w:p w14:paraId="59AF8F02" w14:textId="681E26F5"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59" w:history="1">
        <w:r w:rsidR="00631D8F" w:rsidRPr="00732D8E">
          <w:rPr>
            <w:rStyle w:val="Lienhypertexte"/>
            <w:noProof/>
          </w:rPr>
          <w:t>2.1.5.1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Instructions for use</w:t>
        </w:r>
        <w:r w:rsidR="00631D8F">
          <w:rPr>
            <w:noProof/>
          </w:rPr>
          <w:tab/>
        </w:r>
        <w:r w:rsidR="00631D8F">
          <w:rPr>
            <w:noProof/>
          </w:rPr>
          <w:fldChar w:fldCharType="begin"/>
        </w:r>
        <w:r w:rsidR="00631D8F">
          <w:rPr>
            <w:noProof/>
          </w:rPr>
          <w:instrText xml:space="preserve"> PAGEREF _Toc516669759 \h </w:instrText>
        </w:r>
        <w:r w:rsidR="00631D8F">
          <w:rPr>
            <w:noProof/>
          </w:rPr>
        </w:r>
        <w:r w:rsidR="00631D8F">
          <w:rPr>
            <w:noProof/>
          </w:rPr>
          <w:fldChar w:fldCharType="separate"/>
        </w:r>
        <w:r w:rsidR="00A7414C">
          <w:rPr>
            <w:noProof/>
          </w:rPr>
          <w:t>12</w:t>
        </w:r>
        <w:r w:rsidR="00631D8F">
          <w:rPr>
            <w:noProof/>
          </w:rPr>
          <w:fldChar w:fldCharType="end"/>
        </w:r>
      </w:hyperlink>
    </w:p>
    <w:p w14:paraId="3F0E2A46" w14:textId="6C9C1E1F" w:rsidR="00631D8F" w:rsidRDefault="005E1E28">
      <w:pPr>
        <w:pStyle w:val="TM4"/>
        <w:tabs>
          <w:tab w:val="left" w:pos="1000"/>
          <w:tab w:val="right" w:leader="dot" w:pos="9203"/>
        </w:tabs>
        <w:rPr>
          <w:rFonts w:asciiTheme="minorHAnsi" w:eastAsiaTheme="minorEastAsia" w:hAnsiTheme="minorHAnsi" w:cstheme="minorBidi"/>
          <w:noProof/>
          <w:sz w:val="22"/>
          <w:szCs w:val="22"/>
          <w:lang w:val="fr-FR" w:eastAsia="fr-FR"/>
        </w:rPr>
      </w:pPr>
      <w:hyperlink w:anchor="_Toc516669760" w:history="1">
        <w:r w:rsidR="00631D8F" w:rsidRPr="00732D8E">
          <w:rPr>
            <w:rStyle w:val="Lienhypertexte"/>
            <w:bCs/>
            <w:iCs/>
            <w:noProof/>
            <w:lang w:val="sv-SE"/>
          </w:rPr>
          <w:t>-</w:t>
        </w:r>
        <w:r w:rsidR="00631D8F">
          <w:rPr>
            <w:rFonts w:asciiTheme="minorHAnsi" w:eastAsiaTheme="minorEastAsia" w:hAnsiTheme="minorHAnsi" w:cstheme="minorBidi"/>
            <w:noProof/>
            <w:sz w:val="22"/>
            <w:szCs w:val="22"/>
            <w:lang w:val="fr-FR" w:eastAsia="fr-FR"/>
          </w:rPr>
          <w:tab/>
        </w:r>
        <w:r w:rsidR="00631D8F" w:rsidRPr="00732D8E">
          <w:rPr>
            <w:rStyle w:val="Lienhypertexte"/>
            <w:rFonts w:cs="Arial"/>
            <w:bCs/>
            <w:iCs/>
            <w:noProof/>
            <w:lang w:val="sv-SE"/>
          </w:rPr>
          <w:t>Inform the registration holder if the treatment is ineffective.</w:t>
        </w:r>
        <w:r w:rsidR="00631D8F">
          <w:rPr>
            <w:noProof/>
          </w:rPr>
          <w:tab/>
        </w:r>
        <w:r w:rsidR="00631D8F">
          <w:rPr>
            <w:noProof/>
          </w:rPr>
          <w:fldChar w:fldCharType="begin"/>
        </w:r>
        <w:r w:rsidR="00631D8F">
          <w:rPr>
            <w:noProof/>
          </w:rPr>
          <w:instrText xml:space="preserve"> PAGEREF _Toc516669760 \h </w:instrText>
        </w:r>
        <w:r w:rsidR="00631D8F">
          <w:rPr>
            <w:noProof/>
          </w:rPr>
        </w:r>
        <w:r w:rsidR="00631D8F">
          <w:rPr>
            <w:noProof/>
          </w:rPr>
          <w:fldChar w:fldCharType="separate"/>
        </w:r>
        <w:r w:rsidR="00A7414C">
          <w:rPr>
            <w:noProof/>
          </w:rPr>
          <w:t>13</w:t>
        </w:r>
        <w:r w:rsidR="00631D8F">
          <w:rPr>
            <w:noProof/>
          </w:rPr>
          <w:fldChar w:fldCharType="end"/>
        </w:r>
      </w:hyperlink>
    </w:p>
    <w:p w14:paraId="1D78A483" w14:textId="7EA8B351"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61" w:history="1">
        <w:r w:rsidR="00631D8F" w:rsidRPr="00732D8E">
          <w:rPr>
            <w:rStyle w:val="Lienhypertexte"/>
            <w:noProof/>
          </w:rPr>
          <w:t>2.1.5.2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Risk mitigation measures</w:t>
        </w:r>
        <w:r w:rsidR="00631D8F">
          <w:rPr>
            <w:noProof/>
          </w:rPr>
          <w:tab/>
        </w:r>
        <w:r w:rsidR="00631D8F">
          <w:rPr>
            <w:noProof/>
          </w:rPr>
          <w:fldChar w:fldCharType="begin"/>
        </w:r>
        <w:r w:rsidR="00631D8F">
          <w:rPr>
            <w:noProof/>
          </w:rPr>
          <w:instrText xml:space="preserve"> PAGEREF _Toc516669761 \h </w:instrText>
        </w:r>
        <w:r w:rsidR="00631D8F">
          <w:rPr>
            <w:noProof/>
          </w:rPr>
        </w:r>
        <w:r w:rsidR="00631D8F">
          <w:rPr>
            <w:noProof/>
          </w:rPr>
          <w:fldChar w:fldCharType="separate"/>
        </w:r>
        <w:r w:rsidR="00A7414C">
          <w:rPr>
            <w:noProof/>
          </w:rPr>
          <w:t>13</w:t>
        </w:r>
        <w:r w:rsidR="00631D8F">
          <w:rPr>
            <w:noProof/>
          </w:rPr>
          <w:fldChar w:fldCharType="end"/>
        </w:r>
      </w:hyperlink>
    </w:p>
    <w:p w14:paraId="384BEA57" w14:textId="61589CE8"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62" w:history="1">
        <w:r w:rsidR="00631D8F" w:rsidRPr="00732D8E">
          <w:rPr>
            <w:rStyle w:val="Lienhypertexte"/>
            <w:noProof/>
          </w:rPr>
          <w:t>2.1.5.3</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Particulars of likely direct or indirect effects, first aid instructions and emergency measures to protect the environment</w:t>
        </w:r>
        <w:r w:rsidR="00631D8F">
          <w:rPr>
            <w:noProof/>
          </w:rPr>
          <w:tab/>
        </w:r>
        <w:r w:rsidR="00631D8F">
          <w:rPr>
            <w:noProof/>
          </w:rPr>
          <w:fldChar w:fldCharType="begin"/>
        </w:r>
        <w:r w:rsidR="00631D8F">
          <w:rPr>
            <w:noProof/>
          </w:rPr>
          <w:instrText xml:space="preserve"> PAGEREF _Toc516669762 \h </w:instrText>
        </w:r>
        <w:r w:rsidR="00631D8F">
          <w:rPr>
            <w:noProof/>
          </w:rPr>
        </w:r>
        <w:r w:rsidR="00631D8F">
          <w:rPr>
            <w:noProof/>
          </w:rPr>
          <w:fldChar w:fldCharType="separate"/>
        </w:r>
        <w:r w:rsidR="00A7414C">
          <w:rPr>
            <w:noProof/>
          </w:rPr>
          <w:t>13</w:t>
        </w:r>
        <w:r w:rsidR="00631D8F">
          <w:rPr>
            <w:noProof/>
          </w:rPr>
          <w:fldChar w:fldCharType="end"/>
        </w:r>
      </w:hyperlink>
    </w:p>
    <w:p w14:paraId="5369E0A6" w14:textId="0AF10AF0"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63" w:history="1">
        <w:r w:rsidR="00631D8F" w:rsidRPr="00732D8E">
          <w:rPr>
            <w:rStyle w:val="Lienhypertexte"/>
            <w:noProof/>
          </w:rPr>
          <w:t>2.1.5.4</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Instructions for safe disposal of the product and its packaging</w:t>
        </w:r>
        <w:r w:rsidR="00631D8F">
          <w:rPr>
            <w:noProof/>
          </w:rPr>
          <w:tab/>
        </w:r>
        <w:r w:rsidR="00631D8F">
          <w:rPr>
            <w:noProof/>
          </w:rPr>
          <w:fldChar w:fldCharType="begin"/>
        </w:r>
        <w:r w:rsidR="00631D8F">
          <w:rPr>
            <w:noProof/>
          </w:rPr>
          <w:instrText xml:space="preserve"> PAGEREF _Toc516669763 \h </w:instrText>
        </w:r>
        <w:r w:rsidR="00631D8F">
          <w:rPr>
            <w:noProof/>
          </w:rPr>
        </w:r>
        <w:r w:rsidR="00631D8F">
          <w:rPr>
            <w:noProof/>
          </w:rPr>
          <w:fldChar w:fldCharType="separate"/>
        </w:r>
        <w:r w:rsidR="00A7414C">
          <w:rPr>
            <w:noProof/>
          </w:rPr>
          <w:t>13</w:t>
        </w:r>
        <w:r w:rsidR="00631D8F">
          <w:rPr>
            <w:noProof/>
          </w:rPr>
          <w:fldChar w:fldCharType="end"/>
        </w:r>
      </w:hyperlink>
    </w:p>
    <w:p w14:paraId="1FDC205D" w14:textId="61052EE5"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64" w:history="1">
        <w:r w:rsidR="00631D8F" w:rsidRPr="00732D8E">
          <w:rPr>
            <w:rStyle w:val="Lienhypertexte"/>
            <w:noProof/>
          </w:rPr>
          <w:t>2.1.5.5</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Conditions of storage and shelf-life of the product under normal conditions of storage</w:t>
        </w:r>
        <w:r w:rsidR="00631D8F">
          <w:rPr>
            <w:noProof/>
          </w:rPr>
          <w:tab/>
        </w:r>
        <w:r w:rsidR="00631D8F">
          <w:rPr>
            <w:noProof/>
          </w:rPr>
          <w:fldChar w:fldCharType="begin"/>
        </w:r>
        <w:r w:rsidR="00631D8F">
          <w:rPr>
            <w:noProof/>
          </w:rPr>
          <w:instrText xml:space="preserve"> PAGEREF _Toc516669764 \h </w:instrText>
        </w:r>
        <w:r w:rsidR="00631D8F">
          <w:rPr>
            <w:noProof/>
          </w:rPr>
        </w:r>
        <w:r w:rsidR="00631D8F">
          <w:rPr>
            <w:noProof/>
          </w:rPr>
          <w:fldChar w:fldCharType="separate"/>
        </w:r>
        <w:r w:rsidR="00A7414C">
          <w:rPr>
            <w:noProof/>
          </w:rPr>
          <w:t>13</w:t>
        </w:r>
        <w:r w:rsidR="00631D8F">
          <w:rPr>
            <w:noProof/>
          </w:rPr>
          <w:fldChar w:fldCharType="end"/>
        </w:r>
      </w:hyperlink>
    </w:p>
    <w:p w14:paraId="5AD26461" w14:textId="21F577DB"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65" w:history="1">
        <w:r w:rsidR="00631D8F" w:rsidRPr="00732D8E">
          <w:rPr>
            <w:rStyle w:val="Lienhypertexte"/>
            <w:noProof/>
          </w:rPr>
          <w:t>2.1.6</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Other information</w:t>
        </w:r>
        <w:r w:rsidR="00631D8F">
          <w:rPr>
            <w:noProof/>
          </w:rPr>
          <w:tab/>
        </w:r>
        <w:r w:rsidR="00631D8F">
          <w:rPr>
            <w:noProof/>
          </w:rPr>
          <w:fldChar w:fldCharType="begin"/>
        </w:r>
        <w:r w:rsidR="00631D8F">
          <w:rPr>
            <w:noProof/>
          </w:rPr>
          <w:instrText xml:space="preserve"> PAGEREF _Toc516669765 \h </w:instrText>
        </w:r>
        <w:r w:rsidR="00631D8F">
          <w:rPr>
            <w:noProof/>
          </w:rPr>
        </w:r>
        <w:r w:rsidR="00631D8F">
          <w:rPr>
            <w:noProof/>
          </w:rPr>
          <w:fldChar w:fldCharType="separate"/>
        </w:r>
        <w:r w:rsidR="00A7414C">
          <w:rPr>
            <w:noProof/>
          </w:rPr>
          <w:t>14</w:t>
        </w:r>
        <w:r w:rsidR="00631D8F">
          <w:rPr>
            <w:noProof/>
          </w:rPr>
          <w:fldChar w:fldCharType="end"/>
        </w:r>
      </w:hyperlink>
    </w:p>
    <w:p w14:paraId="5461B9D9" w14:textId="6C90EE59"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66" w:history="1">
        <w:r w:rsidR="00631D8F" w:rsidRPr="00732D8E">
          <w:rPr>
            <w:rStyle w:val="Lienhypertexte"/>
            <w:rFonts w:eastAsia="Calibri"/>
            <w:noProof/>
            <w:lang w:eastAsia="en-US"/>
          </w:rPr>
          <w:t>2.1.7</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Packaging of the biocidal product</w:t>
        </w:r>
        <w:r w:rsidR="00631D8F">
          <w:rPr>
            <w:noProof/>
          </w:rPr>
          <w:tab/>
        </w:r>
        <w:r w:rsidR="00631D8F">
          <w:rPr>
            <w:noProof/>
          </w:rPr>
          <w:fldChar w:fldCharType="begin"/>
        </w:r>
        <w:r w:rsidR="00631D8F">
          <w:rPr>
            <w:noProof/>
          </w:rPr>
          <w:instrText xml:space="preserve"> PAGEREF _Toc516669766 \h </w:instrText>
        </w:r>
        <w:r w:rsidR="00631D8F">
          <w:rPr>
            <w:noProof/>
          </w:rPr>
        </w:r>
        <w:r w:rsidR="00631D8F">
          <w:rPr>
            <w:noProof/>
          </w:rPr>
          <w:fldChar w:fldCharType="separate"/>
        </w:r>
        <w:r w:rsidR="00A7414C">
          <w:rPr>
            <w:noProof/>
          </w:rPr>
          <w:t>14</w:t>
        </w:r>
        <w:r w:rsidR="00631D8F">
          <w:rPr>
            <w:noProof/>
          </w:rPr>
          <w:fldChar w:fldCharType="end"/>
        </w:r>
      </w:hyperlink>
    </w:p>
    <w:p w14:paraId="4423A727" w14:textId="22ACC2FD"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67" w:history="1">
        <w:r w:rsidR="00631D8F" w:rsidRPr="00732D8E">
          <w:rPr>
            <w:rStyle w:val="Lienhypertexte"/>
            <w:noProof/>
          </w:rPr>
          <w:t>2.1.8</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lang w:eastAsia="en-US"/>
          </w:rPr>
          <w:t>Documentation</w:t>
        </w:r>
        <w:r w:rsidR="00631D8F">
          <w:rPr>
            <w:noProof/>
          </w:rPr>
          <w:tab/>
        </w:r>
        <w:r w:rsidR="00631D8F">
          <w:rPr>
            <w:noProof/>
          </w:rPr>
          <w:fldChar w:fldCharType="begin"/>
        </w:r>
        <w:r w:rsidR="00631D8F">
          <w:rPr>
            <w:noProof/>
          </w:rPr>
          <w:instrText xml:space="preserve"> PAGEREF _Toc516669767 \h </w:instrText>
        </w:r>
        <w:r w:rsidR="00631D8F">
          <w:rPr>
            <w:noProof/>
          </w:rPr>
        </w:r>
        <w:r w:rsidR="00631D8F">
          <w:rPr>
            <w:noProof/>
          </w:rPr>
          <w:fldChar w:fldCharType="separate"/>
        </w:r>
        <w:r w:rsidR="00A7414C">
          <w:rPr>
            <w:noProof/>
          </w:rPr>
          <w:t>14</w:t>
        </w:r>
        <w:r w:rsidR="00631D8F">
          <w:rPr>
            <w:noProof/>
          </w:rPr>
          <w:fldChar w:fldCharType="end"/>
        </w:r>
      </w:hyperlink>
    </w:p>
    <w:p w14:paraId="26D05D89" w14:textId="53884405"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68" w:history="1">
        <w:r w:rsidR="00631D8F" w:rsidRPr="00732D8E">
          <w:rPr>
            <w:rStyle w:val="Lienhypertexte"/>
            <w:rFonts w:cs="Times New Roman"/>
            <w:iCs/>
            <w:noProof/>
            <w:lang w:eastAsia="en-US"/>
          </w:rPr>
          <w:t>2.1.8.1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Data submitted in relation to product application</w:t>
        </w:r>
        <w:r w:rsidR="00631D8F">
          <w:rPr>
            <w:noProof/>
          </w:rPr>
          <w:tab/>
        </w:r>
        <w:r w:rsidR="00631D8F">
          <w:rPr>
            <w:noProof/>
          </w:rPr>
          <w:fldChar w:fldCharType="begin"/>
        </w:r>
        <w:r w:rsidR="00631D8F">
          <w:rPr>
            <w:noProof/>
          </w:rPr>
          <w:instrText xml:space="preserve"> PAGEREF _Toc516669768 \h </w:instrText>
        </w:r>
        <w:r w:rsidR="00631D8F">
          <w:rPr>
            <w:noProof/>
          </w:rPr>
        </w:r>
        <w:r w:rsidR="00631D8F">
          <w:rPr>
            <w:noProof/>
          </w:rPr>
          <w:fldChar w:fldCharType="separate"/>
        </w:r>
        <w:r w:rsidR="00A7414C">
          <w:rPr>
            <w:noProof/>
          </w:rPr>
          <w:t>14</w:t>
        </w:r>
        <w:r w:rsidR="00631D8F">
          <w:rPr>
            <w:noProof/>
          </w:rPr>
          <w:fldChar w:fldCharType="end"/>
        </w:r>
      </w:hyperlink>
    </w:p>
    <w:p w14:paraId="22A1067F" w14:textId="249F31C7"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69" w:history="1">
        <w:r w:rsidR="00631D8F" w:rsidRPr="00732D8E">
          <w:rPr>
            <w:rStyle w:val="Lienhypertexte"/>
            <w:rFonts w:cs="Times New Roman"/>
            <w:iCs/>
            <w:noProof/>
            <w:lang w:eastAsia="en-US"/>
          </w:rPr>
          <w:t>2.1.8.2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Access to documentation</w:t>
        </w:r>
        <w:r w:rsidR="00631D8F">
          <w:rPr>
            <w:noProof/>
          </w:rPr>
          <w:tab/>
        </w:r>
        <w:r w:rsidR="00631D8F">
          <w:rPr>
            <w:noProof/>
          </w:rPr>
          <w:fldChar w:fldCharType="begin"/>
        </w:r>
        <w:r w:rsidR="00631D8F">
          <w:rPr>
            <w:noProof/>
          </w:rPr>
          <w:instrText xml:space="preserve"> PAGEREF _Toc516669769 \h </w:instrText>
        </w:r>
        <w:r w:rsidR="00631D8F">
          <w:rPr>
            <w:noProof/>
          </w:rPr>
        </w:r>
        <w:r w:rsidR="00631D8F">
          <w:rPr>
            <w:noProof/>
          </w:rPr>
          <w:fldChar w:fldCharType="separate"/>
        </w:r>
        <w:r w:rsidR="00A7414C">
          <w:rPr>
            <w:noProof/>
          </w:rPr>
          <w:t>15</w:t>
        </w:r>
        <w:r w:rsidR="00631D8F">
          <w:rPr>
            <w:noProof/>
          </w:rPr>
          <w:fldChar w:fldCharType="end"/>
        </w:r>
      </w:hyperlink>
    </w:p>
    <w:p w14:paraId="1682F2AE" w14:textId="25C48171" w:rsidR="00631D8F" w:rsidRDefault="005E1E28">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6669770" w:history="1">
        <w:r w:rsidR="00631D8F" w:rsidRPr="00732D8E">
          <w:rPr>
            <w:rStyle w:val="Lienhypertexte"/>
            <w:noProof/>
            <w:lang w:val="de-DE"/>
          </w:rPr>
          <w:t>2.2</w:t>
        </w:r>
        <w:r w:rsidR="00631D8F">
          <w:rPr>
            <w:rFonts w:asciiTheme="minorHAnsi" w:eastAsiaTheme="minorEastAsia" w:hAnsiTheme="minorHAnsi" w:cstheme="minorBidi"/>
            <w:smallCaps w:val="0"/>
            <w:noProof/>
            <w:sz w:val="22"/>
            <w:szCs w:val="22"/>
            <w:lang w:val="fr-FR" w:eastAsia="fr-FR"/>
          </w:rPr>
          <w:tab/>
        </w:r>
        <w:r w:rsidR="00631D8F" w:rsidRPr="00732D8E">
          <w:rPr>
            <w:rStyle w:val="Lienhypertexte"/>
            <w:noProof/>
          </w:rPr>
          <w:t>Assessment of the biocidal product</w:t>
        </w:r>
        <w:r w:rsidR="00631D8F">
          <w:rPr>
            <w:noProof/>
          </w:rPr>
          <w:tab/>
        </w:r>
        <w:r w:rsidR="00631D8F">
          <w:rPr>
            <w:noProof/>
          </w:rPr>
          <w:fldChar w:fldCharType="begin"/>
        </w:r>
        <w:r w:rsidR="00631D8F">
          <w:rPr>
            <w:noProof/>
          </w:rPr>
          <w:instrText xml:space="preserve"> PAGEREF _Toc516669770 \h </w:instrText>
        </w:r>
        <w:r w:rsidR="00631D8F">
          <w:rPr>
            <w:noProof/>
          </w:rPr>
        </w:r>
        <w:r w:rsidR="00631D8F">
          <w:rPr>
            <w:noProof/>
          </w:rPr>
          <w:fldChar w:fldCharType="separate"/>
        </w:r>
        <w:r w:rsidR="00A7414C">
          <w:rPr>
            <w:noProof/>
          </w:rPr>
          <w:t>15</w:t>
        </w:r>
        <w:r w:rsidR="00631D8F">
          <w:rPr>
            <w:noProof/>
          </w:rPr>
          <w:fldChar w:fldCharType="end"/>
        </w:r>
      </w:hyperlink>
    </w:p>
    <w:p w14:paraId="38A4CE0F" w14:textId="656A8647"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71" w:history="1">
        <w:r w:rsidR="00631D8F" w:rsidRPr="00732D8E">
          <w:rPr>
            <w:rStyle w:val="Lienhypertexte"/>
            <w:noProof/>
          </w:rPr>
          <w:t>2.2.1</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Intended use(s) as applied for by the applicant</w:t>
        </w:r>
        <w:r w:rsidR="00631D8F">
          <w:rPr>
            <w:noProof/>
          </w:rPr>
          <w:tab/>
        </w:r>
        <w:r w:rsidR="00631D8F">
          <w:rPr>
            <w:noProof/>
          </w:rPr>
          <w:fldChar w:fldCharType="begin"/>
        </w:r>
        <w:r w:rsidR="00631D8F">
          <w:rPr>
            <w:noProof/>
          </w:rPr>
          <w:instrText xml:space="preserve"> PAGEREF _Toc516669771 \h </w:instrText>
        </w:r>
        <w:r w:rsidR="00631D8F">
          <w:rPr>
            <w:noProof/>
          </w:rPr>
        </w:r>
        <w:r w:rsidR="00631D8F">
          <w:rPr>
            <w:noProof/>
          </w:rPr>
          <w:fldChar w:fldCharType="separate"/>
        </w:r>
        <w:r w:rsidR="00A7414C">
          <w:rPr>
            <w:noProof/>
          </w:rPr>
          <w:t>15</w:t>
        </w:r>
        <w:r w:rsidR="00631D8F">
          <w:rPr>
            <w:noProof/>
          </w:rPr>
          <w:fldChar w:fldCharType="end"/>
        </w:r>
      </w:hyperlink>
    </w:p>
    <w:p w14:paraId="2581EEEA" w14:textId="4EB4DE81"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72" w:history="1">
        <w:r w:rsidR="00631D8F" w:rsidRPr="00732D8E">
          <w:rPr>
            <w:rStyle w:val="Lienhypertexte"/>
            <w:noProof/>
          </w:rPr>
          <w:t>2.2.2</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Physical, chemical and technical properties</w:t>
        </w:r>
        <w:r w:rsidR="00631D8F">
          <w:rPr>
            <w:noProof/>
          </w:rPr>
          <w:tab/>
        </w:r>
        <w:r w:rsidR="00631D8F">
          <w:rPr>
            <w:noProof/>
          </w:rPr>
          <w:fldChar w:fldCharType="begin"/>
        </w:r>
        <w:r w:rsidR="00631D8F">
          <w:rPr>
            <w:noProof/>
          </w:rPr>
          <w:instrText xml:space="preserve"> PAGEREF _Toc516669772 \h </w:instrText>
        </w:r>
        <w:r w:rsidR="00631D8F">
          <w:rPr>
            <w:noProof/>
          </w:rPr>
        </w:r>
        <w:r w:rsidR="00631D8F">
          <w:rPr>
            <w:noProof/>
          </w:rPr>
          <w:fldChar w:fldCharType="separate"/>
        </w:r>
        <w:r w:rsidR="00A7414C">
          <w:rPr>
            <w:noProof/>
          </w:rPr>
          <w:t>16</w:t>
        </w:r>
        <w:r w:rsidR="00631D8F">
          <w:rPr>
            <w:noProof/>
          </w:rPr>
          <w:fldChar w:fldCharType="end"/>
        </w:r>
      </w:hyperlink>
    </w:p>
    <w:p w14:paraId="04B75C35" w14:textId="36F44846"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73" w:history="1">
        <w:r w:rsidR="00631D8F" w:rsidRPr="00732D8E">
          <w:rPr>
            <w:rStyle w:val="Lienhypertexte"/>
            <w:rFonts w:eastAsia="Calibri"/>
            <w:noProof/>
            <w:lang w:eastAsia="en-US"/>
          </w:rPr>
          <w:t>2.2.3</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Physical hazards and respective characteristics</w:t>
        </w:r>
        <w:r w:rsidR="00631D8F">
          <w:rPr>
            <w:noProof/>
          </w:rPr>
          <w:tab/>
        </w:r>
        <w:r w:rsidR="00631D8F">
          <w:rPr>
            <w:noProof/>
          </w:rPr>
          <w:fldChar w:fldCharType="begin"/>
        </w:r>
        <w:r w:rsidR="00631D8F">
          <w:rPr>
            <w:noProof/>
          </w:rPr>
          <w:instrText xml:space="preserve"> PAGEREF _Toc516669773 \h </w:instrText>
        </w:r>
        <w:r w:rsidR="00631D8F">
          <w:rPr>
            <w:noProof/>
          </w:rPr>
        </w:r>
        <w:r w:rsidR="00631D8F">
          <w:rPr>
            <w:noProof/>
          </w:rPr>
          <w:fldChar w:fldCharType="separate"/>
        </w:r>
        <w:r w:rsidR="00A7414C">
          <w:rPr>
            <w:noProof/>
          </w:rPr>
          <w:t>21</w:t>
        </w:r>
        <w:r w:rsidR="00631D8F">
          <w:rPr>
            <w:noProof/>
          </w:rPr>
          <w:fldChar w:fldCharType="end"/>
        </w:r>
      </w:hyperlink>
    </w:p>
    <w:p w14:paraId="0958FE87" w14:textId="6A57EC4D"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74" w:history="1">
        <w:r w:rsidR="00631D8F" w:rsidRPr="00732D8E">
          <w:rPr>
            <w:rStyle w:val="Lienhypertexte"/>
            <w:noProof/>
          </w:rPr>
          <w:t>2.2.4</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Methods for detection and identification</w:t>
        </w:r>
        <w:r w:rsidR="00631D8F">
          <w:rPr>
            <w:noProof/>
          </w:rPr>
          <w:tab/>
        </w:r>
        <w:r w:rsidR="00631D8F">
          <w:rPr>
            <w:noProof/>
          </w:rPr>
          <w:fldChar w:fldCharType="begin"/>
        </w:r>
        <w:r w:rsidR="00631D8F">
          <w:rPr>
            <w:noProof/>
          </w:rPr>
          <w:instrText xml:space="preserve"> PAGEREF _Toc516669774 \h </w:instrText>
        </w:r>
        <w:r w:rsidR="00631D8F">
          <w:rPr>
            <w:noProof/>
          </w:rPr>
        </w:r>
        <w:r w:rsidR="00631D8F">
          <w:rPr>
            <w:noProof/>
          </w:rPr>
          <w:fldChar w:fldCharType="separate"/>
        </w:r>
        <w:r w:rsidR="00A7414C">
          <w:rPr>
            <w:noProof/>
          </w:rPr>
          <w:t>24</w:t>
        </w:r>
        <w:r w:rsidR="00631D8F">
          <w:rPr>
            <w:noProof/>
          </w:rPr>
          <w:fldChar w:fldCharType="end"/>
        </w:r>
      </w:hyperlink>
    </w:p>
    <w:p w14:paraId="36292708" w14:textId="24E7A079"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75" w:history="1">
        <w:r w:rsidR="00631D8F" w:rsidRPr="00732D8E">
          <w:rPr>
            <w:rStyle w:val="Lienhypertexte"/>
            <w:noProof/>
          </w:rPr>
          <w:t>2.2.5</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Efficacy against target organisms</w:t>
        </w:r>
        <w:r w:rsidR="00631D8F">
          <w:rPr>
            <w:noProof/>
          </w:rPr>
          <w:tab/>
        </w:r>
        <w:r w:rsidR="00631D8F">
          <w:rPr>
            <w:noProof/>
          </w:rPr>
          <w:fldChar w:fldCharType="begin"/>
        </w:r>
        <w:r w:rsidR="00631D8F">
          <w:rPr>
            <w:noProof/>
          </w:rPr>
          <w:instrText xml:space="preserve"> PAGEREF _Toc516669775 \h </w:instrText>
        </w:r>
        <w:r w:rsidR="00631D8F">
          <w:rPr>
            <w:noProof/>
          </w:rPr>
        </w:r>
        <w:r w:rsidR="00631D8F">
          <w:rPr>
            <w:noProof/>
          </w:rPr>
          <w:fldChar w:fldCharType="separate"/>
        </w:r>
        <w:r w:rsidR="00A7414C">
          <w:rPr>
            <w:noProof/>
          </w:rPr>
          <w:t>35</w:t>
        </w:r>
        <w:r w:rsidR="00631D8F">
          <w:rPr>
            <w:noProof/>
          </w:rPr>
          <w:fldChar w:fldCharType="end"/>
        </w:r>
      </w:hyperlink>
    </w:p>
    <w:p w14:paraId="63CB3B44" w14:textId="2918C566"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76" w:history="1">
        <w:r w:rsidR="00631D8F" w:rsidRPr="00732D8E">
          <w:rPr>
            <w:rStyle w:val="Lienhypertexte"/>
            <w:rFonts w:cs="Times New Roman"/>
            <w:iCs/>
            <w:noProof/>
            <w:lang w:eastAsia="en-US"/>
          </w:rPr>
          <w:t>2.2.5.1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Function and field of use</w:t>
        </w:r>
        <w:r w:rsidR="00631D8F">
          <w:rPr>
            <w:noProof/>
          </w:rPr>
          <w:tab/>
        </w:r>
        <w:r w:rsidR="00631D8F">
          <w:rPr>
            <w:noProof/>
          </w:rPr>
          <w:fldChar w:fldCharType="begin"/>
        </w:r>
        <w:r w:rsidR="00631D8F">
          <w:rPr>
            <w:noProof/>
          </w:rPr>
          <w:instrText xml:space="preserve"> PAGEREF _Toc516669776 \h </w:instrText>
        </w:r>
        <w:r w:rsidR="00631D8F">
          <w:rPr>
            <w:noProof/>
          </w:rPr>
        </w:r>
        <w:r w:rsidR="00631D8F">
          <w:rPr>
            <w:noProof/>
          </w:rPr>
          <w:fldChar w:fldCharType="separate"/>
        </w:r>
        <w:r w:rsidR="00A7414C">
          <w:rPr>
            <w:noProof/>
          </w:rPr>
          <w:t>35</w:t>
        </w:r>
        <w:r w:rsidR="00631D8F">
          <w:rPr>
            <w:noProof/>
          </w:rPr>
          <w:fldChar w:fldCharType="end"/>
        </w:r>
      </w:hyperlink>
    </w:p>
    <w:p w14:paraId="06AD85FC" w14:textId="08873E6D"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77" w:history="1">
        <w:r w:rsidR="00631D8F" w:rsidRPr="00732D8E">
          <w:rPr>
            <w:rStyle w:val="Lienhypertexte"/>
            <w:rFonts w:cs="Times New Roman"/>
            <w:iCs/>
            <w:noProof/>
            <w:lang w:eastAsia="en-US"/>
          </w:rPr>
          <w:t>2.2.5.2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Organisms to be controlled and products, organisms or objects to be protected</w:t>
        </w:r>
        <w:r w:rsidR="00631D8F">
          <w:rPr>
            <w:noProof/>
          </w:rPr>
          <w:tab/>
        </w:r>
        <w:r w:rsidR="00631D8F">
          <w:rPr>
            <w:noProof/>
          </w:rPr>
          <w:fldChar w:fldCharType="begin"/>
        </w:r>
        <w:r w:rsidR="00631D8F">
          <w:rPr>
            <w:noProof/>
          </w:rPr>
          <w:instrText xml:space="preserve"> PAGEREF _Toc516669777 \h </w:instrText>
        </w:r>
        <w:r w:rsidR="00631D8F">
          <w:rPr>
            <w:noProof/>
          </w:rPr>
        </w:r>
        <w:r w:rsidR="00631D8F">
          <w:rPr>
            <w:noProof/>
          </w:rPr>
          <w:fldChar w:fldCharType="separate"/>
        </w:r>
        <w:r w:rsidR="00A7414C">
          <w:rPr>
            <w:noProof/>
          </w:rPr>
          <w:t>35</w:t>
        </w:r>
        <w:r w:rsidR="00631D8F">
          <w:rPr>
            <w:noProof/>
          </w:rPr>
          <w:fldChar w:fldCharType="end"/>
        </w:r>
      </w:hyperlink>
    </w:p>
    <w:p w14:paraId="49F9C5B3" w14:textId="72C57D81"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78" w:history="1">
        <w:r w:rsidR="00631D8F" w:rsidRPr="00732D8E">
          <w:rPr>
            <w:rStyle w:val="Lienhypertexte"/>
            <w:rFonts w:cs="Times New Roman"/>
            <w:iCs/>
            <w:noProof/>
            <w:lang w:eastAsia="en-US"/>
          </w:rPr>
          <w:t>2.2.5.3</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Effects on target organisms, including unacceptable suffering</w:t>
        </w:r>
        <w:r w:rsidR="00631D8F">
          <w:rPr>
            <w:noProof/>
          </w:rPr>
          <w:tab/>
        </w:r>
        <w:r w:rsidR="00631D8F">
          <w:rPr>
            <w:noProof/>
          </w:rPr>
          <w:fldChar w:fldCharType="begin"/>
        </w:r>
        <w:r w:rsidR="00631D8F">
          <w:rPr>
            <w:noProof/>
          </w:rPr>
          <w:instrText xml:space="preserve"> PAGEREF _Toc516669778 \h </w:instrText>
        </w:r>
        <w:r w:rsidR="00631D8F">
          <w:rPr>
            <w:noProof/>
          </w:rPr>
        </w:r>
        <w:r w:rsidR="00631D8F">
          <w:rPr>
            <w:noProof/>
          </w:rPr>
          <w:fldChar w:fldCharType="separate"/>
        </w:r>
        <w:r w:rsidR="00A7414C">
          <w:rPr>
            <w:noProof/>
          </w:rPr>
          <w:t>35</w:t>
        </w:r>
        <w:r w:rsidR="00631D8F">
          <w:rPr>
            <w:noProof/>
          </w:rPr>
          <w:fldChar w:fldCharType="end"/>
        </w:r>
      </w:hyperlink>
    </w:p>
    <w:p w14:paraId="0E2243DD" w14:textId="0C0FA28D"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79" w:history="1">
        <w:r w:rsidR="00631D8F" w:rsidRPr="00732D8E">
          <w:rPr>
            <w:rStyle w:val="Lienhypertexte"/>
            <w:rFonts w:cs="Times New Roman"/>
            <w:iCs/>
            <w:noProof/>
            <w:lang w:eastAsia="en-US"/>
          </w:rPr>
          <w:t>2.2.5.4</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Mode of action, including time delay</w:t>
        </w:r>
        <w:r w:rsidR="00631D8F">
          <w:rPr>
            <w:noProof/>
          </w:rPr>
          <w:tab/>
        </w:r>
        <w:r w:rsidR="00631D8F">
          <w:rPr>
            <w:noProof/>
          </w:rPr>
          <w:fldChar w:fldCharType="begin"/>
        </w:r>
        <w:r w:rsidR="00631D8F">
          <w:rPr>
            <w:noProof/>
          </w:rPr>
          <w:instrText xml:space="preserve"> PAGEREF _Toc516669779 \h </w:instrText>
        </w:r>
        <w:r w:rsidR="00631D8F">
          <w:rPr>
            <w:noProof/>
          </w:rPr>
        </w:r>
        <w:r w:rsidR="00631D8F">
          <w:rPr>
            <w:noProof/>
          </w:rPr>
          <w:fldChar w:fldCharType="separate"/>
        </w:r>
        <w:r w:rsidR="00A7414C">
          <w:rPr>
            <w:noProof/>
          </w:rPr>
          <w:t>35</w:t>
        </w:r>
        <w:r w:rsidR="00631D8F">
          <w:rPr>
            <w:noProof/>
          </w:rPr>
          <w:fldChar w:fldCharType="end"/>
        </w:r>
      </w:hyperlink>
    </w:p>
    <w:p w14:paraId="539234F9" w14:textId="738F44BD"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0" w:history="1">
        <w:r w:rsidR="00631D8F" w:rsidRPr="00732D8E">
          <w:rPr>
            <w:rStyle w:val="Lienhypertexte"/>
            <w:rFonts w:cs="Times New Roman"/>
            <w:iCs/>
            <w:noProof/>
            <w:lang w:eastAsia="en-US"/>
          </w:rPr>
          <w:t>2.2.5.5</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Efficacy data</w:t>
        </w:r>
        <w:r w:rsidR="00631D8F">
          <w:rPr>
            <w:noProof/>
          </w:rPr>
          <w:tab/>
        </w:r>
        <w:r w:rsidR="00631D8F">
          <w:rPr>
            <w:noProof/>
          </w:rPr>
          <w:fldChar w:fldCharType="begin"/>
        </w:r>
        <w:r w:rsidR="00631D8F">
          <w:rPr>
            <w:noProof/>
          </w:rPr>
          <w:instrText xml:space="preserve"> PAGEREF _Toc516669780 \h </w:instrText>
        </w:r>
        <w:r w:rsidR="00631D8F">
          <w:rPr>
            <w:noProof/>
          </w:rPr>
        </w:r>
        <w:r w:rsidR="00631D8F">
          <w:rPr>
            <w:noProof/>
          </w:rPr>
          <w:fldChar w:fldCharType="separate"/>
        </w:r>
        <w:r w:rsidR="00A7414C">
          <w:rPr>
            <w:noProof/>
          </w:rPr>
          <w:t>36</w:t>
        </w:r>
        <w:r w:rsidR="00631D8F">
          <w:rPr>
            <w:noProof/>
          </w:rPr>
          <w:fldChar w:fldCharType="end"/>
        </w:r>
      </w:hyperlink>
    </w:p>
    <w:p w14:paraId="2B071D6F" w14:textId="7EBAA3E6"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1" w:history="1">
        <w:r w:rsidR="00631D8F" w:rsidRPr="00732D8E">
          <w:rPr>
            <w:rStyle w:val="Lienhypertexte"/>
            <w:rFonts w:cs="Times New Roman"/>
            <w:iCs/>
            <w:noProof/>
            <w:lang w:eastAsia="en-US"/>
          </w:rPr>
          <w:t>2.2.5.6</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Occurrence of resistance and resistance management</w:t>
        </w:r>
        <w:r w:rsidR="00631D8F">
          <w:rPr>
            <w:noProof/>
          </w:rPr>
          <w:tab/>
        </w:r>
        <w:r w:rsidR="00631D8F">
          <w:rPr>
            <w:noProof/>
          </w:rPr>
          <w:fldChar w:fldCharType="begin"/>
        </w:r>
        <w:r w:rsidR="00631D8F">
          <w:rPr>
            <w:noProof/>
          </w:rPr>
          <w:instrText xml:space="preserve"> PAGEREF _Toc516669781 \h </w:instrText>
        </w:r>
        <w:r w:rsidR="00631D8F">
          <w:rPr>
            <w:noProof/>
          </w:rPr>
        </w:r>
        <w:r w:rsidR="00631D8F">
          <w:rPr>
            <w:noProof/>
          </w:rPr>
          <w:fldChar w:fldCharType="separate"/>
        </w:r>
        <w:r w:rsidR="00A7414C">
          <w:rPr>
            <w:noProof/>
          </w:rPr>
          <w:t>42</w:t>
        </w:r>
        <w:r w:rsidR="00631D8F">
          <w:rPr>
            <w:noProof/>
          </w:rPr>
          <w:fldChar w:fldCharType="end"/>
        </w:r>
      </w:hyperlink>
    </w:p>
    <w:p w14:paraId="4B00F128" w14:textId="1A9D049A" w:rsidR="00631D8F" w:rsidRDefault="005E1E28">
      <w:pPr>
        <w:pStyle w:val="TM4"/>
        <w:tabs>
          <w:tab w:val="right" w:leader="dot" w:pos="9203"/>
        </w:tabs>
        <w:rPr>
          <w:rFonts w:asciiTheme="minorHAnsi" w:eastAsiaTheme="minorEastAsia" w:hAnsiTheme="minorHAnsi" w:cstheme="minorBidi"/>
          <w:noProof/>
          <w:sz w:val="22"/>
          <w:szCs w:val="22"/>
          <w:lang w:val="fr-FR" w:eastAsia="fr-FR"/>
        </w:rPr>
      </w:pPr>
      <w:hyperlink w:anchor="_Toc516669782" w:history="1">
        <w:r w:rsidR="00631D8F" w:rsidRPr="00732D8E">
          <w:rPr>
            <w:rStyle w:val="Lienhypertexte"/>
            <w:rFonts w:cs="Arial"/>
            <w:noProof/>
          </w:rPr>
          <w:t>To ensure a satisfactory level of efficacy and avoid the development of resistance, the recommendations proposed in the SPC have to be implemented.</w:t>
        </w:r>
        <w:r w:rsidR="00631D8F">
          <w:rPr>
            <w:noProof/>
          </w:rPr>
          <w:tab/>
        </w:r>
        <w:r w:rsidR="00631D8F">
          <w:rPr>
            <w:noProof/>
          </w:rPr>
          <w:fldChar w:fldCharType="begin"/>
        </w:r>
        <w:r w:rsidR="00631D8F">
          <w:rPr>
            <w:noProof/>
          </w:rPr>
          <w:instrText xml:space="preserve"> PAGEREF _Toc516669782 \h </w:instrText>
        </w:r>
        <w:r w:rsidR="00631D8F">
          <w:rPr>
            <w:noProof/>
          </w:rPr>
        </w:r>
        <w:r w:rsidR="00631D8F">
          <w:rPr>
            <w:noProof/>
          </w:rPr>
          <w:fldChar w:fldCharType="separate"/>
        </w:r>
        <w:r w:rsidR="00A7414C">
          <w:rPr>
            <w:noProof/>
          </w:rPr>
          <w:t>42</w:t>
        </w:r>
        <w:r w:rsidR="00631D8F">
          <w:rPr>
            <w:noProof/>
          </w:rPr>
          <w:fldChar w:fldCharType="end"/>
        </w:r>
      </w:hyperlink>
    </w:p>
    <w:p w14:paraId="7E307075" w14:textId="03F0D950"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3" w:history="1">
        <w:r w:rsidR="00631D8F" w:rsidRPr="00732D8E">
          <w:rPr>
            <w:rStyle w:val="Lienhypertexte"/>
            <w:rFonts w:cs="Times New Roman"/>
            <w:iCs/>
            <w:noProof/>
            <w:lang w:eastAsia="en-US"/>
          </w:rPr>
          <w:t>2.2.5.7</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Known limitations</w:t>
        </w:r>
        <w:r w:rsidR="00631D8F">
          <w:rPr>
            <w:noProof/>
          </w:rPr>
          <w:tab/>
        </w:r>
        <w:r w:rsidR="00631D8F">
          <w:rPr>
            <w:noProof/>
          </w:rPr>
          <w:fldChar w:fldCharType="begin"/>
        </w:r>
        <w:r w:rsidR="00631D8F">
          <w:rPr>
            <w:noProof/>
          </w:rPr>
          <w:instrText xml:space="preserve"> PAGEREF _Toc516669783 \h </w:instrText>
        </w:r>
        <w:r w:rsidR="00631D8F">
          <w:rPr>
            <w:noProof/>
          </w:rPr>
        </w:r>
        <w:r w:rsidR="00631D8F">
          <w:rPr>
            <w:noProof/>
          </w:rPr>
          <w:fldChar w:fldCharType="separate"/>
        </w:r>
        <w:r w:rsidR="00A7414C">
          <w:rPr>
            <w:noProof/>
          </w:rPr>
          <w:t>42</w:t>
        </w:r>
        <w:r w:rsidR="00631D8F">
          <w:rPr>
            <w:noProof/>
          </w:rPr>
          <w:fldChar w:fldCharType="end"/>
        </w:r>
      </w:hyperlink>
    </w:p>
    <w:p w14:paraId="23572C0C" w14:textId="4BBA5E4F"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4" w:history="1">
        <w:r w:rsidR="00631D8F" w:rsidRPr="00732D8E">
          <w:rPr>
            <w:rStyle w:val="Lienhypertexte"/>
            <w:rFonts w:cs="Times New Roman"/>
            <w:iCs/>
            <w:noProof/>
            <w:lang w:eastAsia="en-US"/>
          </w:rPr>
          <w:t>2.2.5.8</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Evaluation of the label claims</w:t>
        </w:r>
        <w:r w:rsidR="00631D8F">
          <w:rPr>
            <w:noProof/>
          </w:rPr>
          <w:tab/>
        </w:r>
        <w:r w:rsidR="00631D8F">
          <w:rPr>
            <w:noProof/>
          </w:rPr>
          <w:fldChar w:fldCharType="begin"/>
        </w:r>
        <w:r w:rsidR="00631D8F">
          <w:rPr>
            <w:noProof/>
          </w:rPr>
          <w:instrText xml:space="preserve"> PAGEREF _Toc516669784 \h </w:instrText>
        </w:r>
        <w:r w:rsidR="00631D8F">
          <w:rPr>
            <w:noProof/>
          </w:rPr>
        </w:r>
        <w:r w:rsidR="00631D8F">
          <w:rPr>
            <w:noProof/>
          </w:rPr>
          <w:fldChar w:fldCharType="separate"/>
        </w:r>
        <w:r w:rsidR="00A7414C">
          <w:rPr>
            <w:noProof/>
          </w:rPr>
          <w:t>42</w:t>
        </w:r>
        <w:r w:rsidR="00631D8F">
          <w:rPr>
            <w:noProof/>
          </w:rPr>
          <w:fldChar w:fldCharType="end"/>
        </w:r>
      </w:hyperlink>
    </w:p>
    <w:p w14:paraId="62417F6E" w14:textId="1C953E59"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5" w:history="1">
        <w:r w:rsidR="00631D8F" w:rsidRPr="00732D8E">
          <w:rPr>
            <w:rStyle w:val="Lienhypertexte"/>
            <w:noProof/>
          </w:rPr>
          <w:t>2.2.5.9</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Relevant information if the product is intended to be authorised for use with other biocidal product(s)</w:t>
        </w:r>
        <w:r w:rsidR="00631D8F">
          <w:rPr>
            <w:noProof/>
          </w:rPr>
          <w:tab/>
        </w:r>
        <w:r w:rsidR="00631D8F">
          <w:rPr>
            <w:noProof/>
          </w:rPr>
          <w:fldChar w:fldCharType="begin"/>
        </w:r>
        <w:r w:rsidR="00631D8F">
          <w:rPr>
            <w:noProof/>
          </w:rPr>
          <w:instrText xml:space="preserve"> PAGEREF _Toc516669785 \h </w:instrText>
        </w:r>
        <w:r w:rsidR="00631D8F">
          <w:rPr>
            <w:noProof/>
          </w:rPr>
        </w:r>
        <w:r w:rsidR="00631D8F">
          <w:rPr>
            <w:noProof/>
          </w:rPr>
          <w:fldChar w:fldCharType="separate"/>
        </w:r>
        <w:r w:rsidR="00A7414C">
          <w:rPr>
            <w:noProof/>
          </w:rPr>
          <w:t>43</w:t>
        </w:r>
        <w:r w:rsidR="00631D8F">
          <w:rPr>
            <w:noProof/>
          </w:rPr>
          <w:fldChar w:fldCharType="end"/>
        </w:r>
      </w:hyperlink>
    </w:p>
    <w:p w14:paraId="05C28C36" w14:textId="544C8DFD"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86" w:history="1">
        <w:r w:rsidR="00631D8F" w:rsidRPr="00732D8E">
          <w:rPr>
            <w:rStyle w:val="Lienhypertexte"/>
            <w:rFonts w:eastAsia="Calibri" w:cs="Times New Roman"/>
            <w:noProof/>
            <w:lang w:eastAsia="en-US"/>
          </w:rPr>
          <w:t>2.2.6</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Risk assessment for human health</w:t>
        </w:r>
        <w:r w:rsidR="00631D8F">
          <w:rPr>
            <w:noProof/>
          </w:rPr>
          <w:tab/>
        </w:r>
        <w:r w:rsidR="00631D8F">
          <w:rPr>
            <w:noProof/>
          </w:rPr>
          <w:fldChar w:fldCharType="begin"/>
        </w:r>
        <w:r w:rsidR="00631D8F">
          <w:rPr>
            <w:noProof/>
          </w:rPr>
          <w:instrText xml:space="preserve"> PAGEREF _Toc516669786 \h </w:instrText>
        </w:r>
        <w:r w:rsidR="00631D8F">
          <w:rPr>
            <w:noProof/>
          </w:rPr>
        </w:r>
        <w:r w:rsidR="00631D8F">
          <w:rPr>
            <w:noProof/>
          </w:rPr>
          <w:fldChar w:fldCharType="separate"/>
        </w:r>
        <w:r w:rsidR="00A7414C">
          <w:rPr>
            <w:noProof/>
          </w:rPr>
          <w:t>43</w:t>
        </w:r>
        <w:r w:rsidR="00631D8F">
          <w:rPr>
            <w:noProof/>
          </w:rPr>
          <w:fldChar w:fldCharType="end"/>
        </w:r>
      </w:hyperlink>
    </w:p>
    <w:p w14:paraId="1389A0A7" w14:textId="23C4697A"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7" w:history="1">
        <w:r w:rsidR="00631D8F" w:rsidRPr="00732D8E">
          <w:rPr>
            <w:rStyle w:val="Lienhypertexte"/>
            <w:noProof/>
          </w:rPr>
          <w:t>2.2.6.1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Assessment of effects on Human Health</w:t>
        </w:r>
        <w:r w:rsidR="00631D8F">
          <w:rPr>
            <w:noProof/>
          </w:rPr>
          <w:tab/>
        </w:r>
        <w:r w:rsidR="00631D8F">
          <w:rPr>
            <w:noProof/>
          </w:rPr>
          <w:fldChar w:fldCharType="begin"/>
        </w:r>
        <w:r w:rsidR="00631D8F">
          <w:rPr>
            <w:noProof/>
          </w:rPr>
          <w:instrText xml:space="preserve"> PAGEREF _Toc516669787 \h </w:instrText>
        </w:r>
        <w:r w:rsidR="00631D8F">
          <w:rPr>
            <w:noProof/>
          </w:rPr>
        </w:r>
        <w:r w:rsidR="00631D8F">
          <w:rPr>
            <w:noProof/>
          </w:rPr>
          <w:fldChar w:fldCharType="separate"/>
        </w:r>
        <w:r w:rsidR="00A7414C">
          <w:rPr>
            <w:noProof/>
          </w:rPr>
          <w:t>43</w:t>
        </w:r>
        <w:r w:rsidR="00631D8F">
          <w:rPr>
            <w:noProof/>
          </w:rPr>
          <w:fldChar w:fldCharType="end"/>
        </w:r>
      </w:hyperlink>
    </w:p>
    <w:p w14:paraId="21E4E084" w14:textId="2F3BBF1E"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8" w:history="1">
        <w:r w:rsidR="00631D8F" w:rsidRPr="00732D8E">
          <w:rPr>
            <w:rStyle w:val="Lienhypertexte"/>
            <w:rFonts w:cs="Times New Roman"/>
            <w:iCs/>
            <w:noProof/>
            <w:lang w:eastAsia="en-US"/>
          </w:rPr>
          <w:t>2.2.6.2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Exposure assessment</w:t>
        </w:r>
        <w:r w:rsidR="00631D8F">
          <w:rPr>
            <w:noProof/>
          </w:rPr>
          <w:tab/>
        </w:r>
        <w:r w:rsidR="00631D8F">
          <w:rPr>
            <w:noProof/>
          </w:rPr>
          <w:fldChar w:fldCharType="begin"/>
        </w:r>
        <w:r w:rsidR="00631D8F">
          <w:rPr>
            <w:noProof/>
          </w:rPr>
          <w:instrText xml:space="preserve"> PAGEREF _Toc516669788 \h </w:instrText>
        </w:r>
        <w:r w:rsidR="00631D8F">
          <w:rPr>
            <w:noProof/>
          </w:rPr>
        </w:r>
        <w:r w:rsidR="00631D8F">
          <w:rPr>
            <w:noProof/>
          </w:rPr>
          <w:fldChar w:fldCharType="separate"/>
        </w:r>
        <w:r w:rsidR="00A7414C">
          <w:rPr>
            <w:noProof/>
          </w:rPr>
          <w:t>46</w:t>
        </w:r>
        <w:r w:rsidR="00631D8F">
          <w:rPr>
            <w:noProof/>
          </w:rPr>
          <w:fldChar w:fldCharType="end"/>
        </w:r>
      </w:hyperlink>
    </w:p>
    <w:p w14:paraId="6485E41E" w14:textId="1AE4686A"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89" w:history="1">
        <w:r w:rsidR="00631D8F" w:rsidRPr="00732D8E">
          <w:rPr>
            <w:rStyle w:val="Lienhypertexte"/>
            <w:noProof/>
          </w:rPr>
          <w:t>2.2.6.3</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Risk characterisation for human health</w:t>
        </w:r>
        <w:r w:rsidR="00631D8F">
          <w:rPr>
            <w:noProof/>
          </w:rPr>
          <w:tab/>
        </w:r>
        <w:r w:rsidR="00631D8F">
          <w:rPr>
            <w:noProof/>
          </w:rPr>
          <w:fldChar w:fldCharType="begin"/>
        </w:r>
        <w:r w:rsidR="00631D8F">
          <w:rPr>
            <w:noProof/>
          </w:rPr>
          <w:instrText xml:space="preserve"> PAGEREF _Toc516669789 \h </w:instrText>
        </w:r>
        <w:r w:rsidR="00631D8F">
          <w:rPr>
            <w:noProof/>
          </w:rPr>
        </w:r>
        <w:r w:rsidR="00631D8F">
          <w:rPr>
            <w:noProof/>
          </w:rPr>
          <w:fldChar w:fldCharType="separate"/>
        </w:r>
        <w:r w:rsidR="00A7414C">
          <w:rPr>
            <w:noProof/>
          </w:rPr>
          <w:t>57</w:t>
        </w:r>
        <w:r w:rsidR="00631D8F">
          <w:rPr>
            <w:noProof/>
          </w:rPr>
          <w:fldChar w:fldCharType="end"/>
        </w:r>
      </w:hyperlink>
    </w:p>
    <w:p w14:paraId="7F8D4DA1" w14:textId="1B0FFE79"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90" w:history="1">
        <w:r w:rsidR="00631D8F" w:rsidRPr="00732D8E">
          <w:rPr>
            <w:rStyle w:val="Lienhypertexte"/>
            <w:rFonts w:eastAsia="Calibri" w:cs="Times New Roman"/>
            <w:noProof/>
            <w:lang w:eastAsia="en-US"/>
          </w:rPr>
          <w:t>2.2.7</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Risk assessment for animal health</w:t>
        </w:r>
        <w:r w:rsidR="00631D8F">
          <w:rPr>
            <w:noProof/>
          </w:rPr>
          <w:tab/>
        </w:r>
        <w:r w:rsidR="00631D8F">
          <w:rPr>
            <w:noProof/>
          </w:rPr>
          <w:fldChar w:fldCharType="begin"/>
        </w:r>
        <w:r w:rsidR="00631D8F">
          <w:rPr>
            <w:noProof/>
          </w:rPr>
          <w:instrText xml:space="preserve"> PAGEREF _Toc516669790 \h </w:instrText>
        </w:r>
        <w:r w:rsidR="00631D8F">
          <w:rPr>
            <w:noProof/>
          </w:rPr>
        </w:r>
        <w:r w:rsidR="00631D8F">
          <w:rPr>
            <w:noProof/>
          </w:rPr>
          <w:fldChar w:fldCharType="separate"/>
        </w:r>
        <w:r w:rsidR="00A7414C">
          <w:rPr>
            <w:noProof/>
          </w:rPr>
          <w:t>61</w:t>
        </w:r>
        <w:r w:rsidR="00631D8F">
          <w:rPr>
            <w:noProof/>
          </w:rPr>
          <w:fldChar w:fldCharType="end"/>
        </w:r>
      </w:hyperlink>
    </w:p>
    <w:p w14:paraId="6AE8078E" w14:textId="4032F2AA"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91" w:history="1">
        <w:r w:rsidR="00631D8F" w:rsidRPr="00732D8E">
          <w:rPr>
            <w:rStyle w:val="Lienhypertexte"/>
            <w:noProof/>
          </w:rPr>
          <w:t>2.2.8</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Risk assessment for the environment</w:t>
        </w:r>
        <w:r w:rsidR="00631D8F">
          <w:rPr>
            <w:noProof/>
          </w:rPr>
          <w:tab/>
        </w:r>
        <w:r w:rsidR="00631D8F">
          <w:rPr>
            <w:noProof/>
          </w:rPr>
          <w:fldChar w:fldCharType="begin"/>
        </w:r>
        <w:r w:rsidR="00631D8F">
          <w:rPr>
            <w:noProof/>
          </w:rPr>
          <w:instrText xml:space="preserve"> PAGEREF _Toc516669791 \h </w:instrText>
        </w:r>
        <w:r w:rsidR="00631D8F">
          <w:rPr>
            <w:noProof/>
          </w:rPr>
        </w:r>
        <w:r w:rsidR="00631D8F">
          <w:rPr>
            <w:noProof/>
          </w:rPr>
          <w:fldChar w:fldCharType="separate"/>
        </w:r>
        <w:r w:rsidR="00A7414C">
          <w:rPr>
            <w:noProof/>
          </w:rPr>
          <w:t>62</w:t>
        </w:r>
        <w:r w:rsidR="00631D8F">
          <w:rPr>
            <w:noProof/>
          </w:rPr>
          <w:fldChar w:fldCharType="end"/>
        </w:r>
      </w:hyperlink>
    </w:p>
    <w:p w14:paraId="6276CC58" w14:textId="46D4F529"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92" w:history="1">
        <w:r w:rsidR="00631D8F" w:rsidRPr="00732D8E">
          <w:rPr>
            <w:rStyle w:val="Lienhypertexte"/>
            <w:rFonts w:cs="Times New Roman"/>
            <w:iCs/>
            <w:noProof/>
            <w:lang w:eastAsia="en-US"/>
          </w:rPr>
          <w:t>2.2.8.1</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Effects assessment on the environment</w:t>
        </w:r>
        <w:r w:rsidR="00631D8F">
          <w:rPr>
            <w:noProof/>
          </w:rPr>
          <w:tab/>
        </w:r>
        <w:r w:rsidR="00631D8F">
          <w:rPr>
            <w:noProof/>
          </w:rPr>
          <w:fldChar w:fldCharType="begin"/>
        </w:r>
        <w:r w:rsidR="00631D8F">
          <w:rPr>
            <w:noProof/>
          </w:rPr>
          <w:instrText xml:space="preserve"> PAGEREF _Toc516669792 \h </w:instrText>
        </w:r>
        <w:r w:rsidR="00631D8F">
          <w:rPr>
            <w:noProof/>
          </w:rPr>
        </w:r>
        <w:r w:rsidR="00631D8F">
          <w:rPr>
            <w:noProof/>
          </w:rPr>
          <w:fldChar w:fldCharType="separate"/>
        </w:r>
        <w:r w:rsidR="00A7414C">
          <w:rPr>
            <w:noProof/>
          </w:rPr>
          <w:t>62</w:t>
        </w:r>
        <w:r w:rsidR="00631D8F">
          <w:rPr>
            <w:noProof/>
          </w:rPr>
          <w:fldChar w:fldCharType="end"/>
        </w:r>
      </w:hyperlink>
    </w:p>
    <w:p w14:paraId="028A2C41" w14:textId="0AAA24BC"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93" w:history="1">
        <w:r w:rsidR="00631D8F" w:rsidRPr="00732D8E">
          <w:rPr>
            <w:rStyle w:val="Lienhypertexte"/>
            <w:rFonts w:cs="Times New Roman"/>
            <w:noProof/>
            <w:lang w:eastAsia="en-US"/>
          </w:rPr>
          <w:t>2.2.8.2</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Exposure assessment</w:t>
        </w:r>
        <w:r w:rsidR="00631D8F">
          <w:rPr>
            <w:noProof/>
          </w:rPr>
          <w:tab/>
        </w:r>
        <w:r w:rsidR="00631D8F">
          <w:rPr>
            <w:noProof/>
          </w:rPr>
          <w:fldChar w:fldCharType="begin"/>
        </w:r>
        <w:r w:rsidR="00631D8F">
          <w:rPr>
            <w:noProof/>
          </w:rPr>
          <w:instrText xml:space="preserve"> PAGEREF _Toc516669793 \h </w:instrText>
        </w:r>
        <w:r w:rsidR="00631D8F">
          <w:rPr>
            <w:noProof/>
          </w:rPr>
        </w:r>
        <w:r w:rsidR="00631D8F">
          <w:rPr>
            <w:noProof/>
          </w:rPr>
          <w:fldChar w:fldCharType="separate"/>
        </w:r>
        <w:r w:rsidR="00A7414C">
          <w:rPr>
            <w:noProof/>
          </w:rPr>
          <w:t>65</w:t>
        </w:r>
        <w:r w:rsidR="00631D8F">
          <w:rPr>
            <w:noProof/>
          </w:rPr>
          <w:fldChar w:fldCharType="end"/>
        </w:r>
      </w:hyperlink>
    </w:p>
    <w:p w14:paraId="09D07CC1" w14:textId="4B5E81F8" w:rsidR="00631D8F" w:rsidRDefault="005E1E28">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516669794" w:history="1">
        <w:r w:rsidR="00631D8F" w:rsidRPr="00732D8E">
          <w:rPr>
            <w:rStyle w:val="Lienhypertexte"/>
            <w:noProof/>
            <w:lang w:eastAsia="en-US"/>
          </w:rPr>
          <w:t>2.2.8.3</w:t>
        </w:r>
        <w:r w:rsidR="00631D8F">
          <w:rPr>
            <w:rFonts w:asciiTheme="minorHAnsi" w:eastAsiaTheme="minorEastAsia" w:hAnsiTheme="minorHAnsi" w:cstheme="minorBidi"/>
            <w:noProof/>
            <w:sz w:val="22"/>
            <w:szCs w:val="22"/>
            <w:lang w:val="fr-FR" w:eastAsia="fr-FR"/>
          </w:rPr>
          <w:tab/>
        </w:r>
        <w:r w:rsidR="00631D8F" w:rsidRPr="00732D8E">
          <w:rPr>
            <w:rStyle w:val="Lienhypertexte"/>
            <w:noProof/>
          </w:rPr>
          <w:t>Risk characterisation</w:t>
        </w:r>
        <w:r w:rsidR="00631D8F">
          <w:rPr>
            <w:noProof/>
          </w:rPr>
          <w:tab/>
        </w:r>
        <w:r w:rsidR="00631D8F">
          <w:rPr>
            <w:noProof/>
          </w:rPr>
          <w:fldChar w:fldCharType="begin"/>
        </w:r>
        <w:r w:rsidR="00631D8F">
          <w:rPr>
            <w:noProof/>
          </w:rPr>
          <w:instrText xml:space="preserve"> PAGEREF _Toc516669794 \h </w:instrText>
        </w:r>
        <w:r w:rsidR="00631D8F">
          <w:rPr>
            <w:noProof/>
          </w:rPr>
        </w:r>
        <w:r w:rsidR="00631D8F">
          <w:rPr>
            <w:noProof/>
          </w:rPr>
          <w:fldChar w:fldCharType="separate"/>
        </w:r>
        <w:r w:rsidR="00A7414C">
          <w:rPr>
            <w:noProof/>
          </w:rPr>
          <w:t>75</w:t>
        </w:r>
        <w:r w:rsidR="00631D8F">
          <w:rPr>
            <w:noProof/>
          </w:rPr>
          <w:fldChar w:fldCharType="end"/>
        </w:r>
      </w:hyperlink>
    </w:p>
    <w:p w14:paraId="1E4EA201" w14:textId="5649F1AD"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95" w:history="1">
        <w:r w:rsidR="00631D8F" w:rsidRPr="00732D8E">
          <w:rPr>
            <w:rStyle w:val="Lienhypertexte"/>
            <w:rFonts w:eastAsia="Calibri" w:cs="Times New Roman"/>
            <w:noProof/>
            <w:lang w:eastAsia="en-US"/>
          </w:rPr>
          <w:t>2.2.9</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Measures to protect man, animals and the environment</w:t>
        </w:r>
        <w:r w:rsidR="00631D8F">
          <w:rPr>
            <w:noProof/>
          </w:rPr>
          <w:tab/>
        </w:r>
        <w:r w:rsidR="00631D8F">
          <w:rPr>
            <w:noProof/>
          </w:rPr>
          <w:fldChar w:fldCharType="begin"/>
        </w:r>
        <w:r w:rsidR="00631D8F">
          <w:rPr>
            <w:noProof/>
          </w:rPr>
          <w:instrText xml:space="preserve"> PAGEREF _Toc516669795 \h </w:instrText>
        </w:r>
        <w:r w:rsidR="00631D8F">
          <w:rPr>
            <w:noProof/>
          </w:rPr>
        </w:r>
        <w:r w:rsidR="00631D8F">
          <w:rPr>
            <w:noProof/>
          </w:rPr>
          <w:fldChar w:fldCharType="separate"/>
        </w:r>
        <w:r w:rsidR="00A7414C">
          <w:rPr>
            <w:noProof/>
          </w:rPr>
          <w:t>79</w:t>
        </w:r>
        <w:r w:rsidR="00631D8F">
          <w:rPr>
            <w:noProof/>
          </w:rPr>
          <w:fldChar w:fldCharType="end"/>
        </w:r>
      </w:hyperlink>
    </w:p>
    <w:p w14:paraId="49A9B913" w14:textId="58BA53DF"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96" w:history="1">
        <w:r w:rsidR="00631D8F" w:rsidRPr="00732D8E">
          <w:rPr>
            <w:rStyle w:val="Lienhypertexte"/>
            <w:rFonts w:eastAsia="Calibri"/>
            <w:noProof/>
            <w:lang w:eastAsia="en-US"/>
          </w:rPr>
          <w:t>2.2.10</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Assessment of a combination of biocidal products</w:t>
        </w:r>
        <w:r w:rsidR="00631D8F">
          <w:rPr>
            <w:noProof/>
          </w:rPr>
          <w:tab/>
        </w:r>
        <w:r w:rsidR="00631D8F">
          <w:rPr>
            <w:noProof/>
          </w:rPr>
          <w:fldChar w:fldCharType="begin"/>
        </w:r>
        <w:r w:rsidR="00631D8F">
          <w:rPr>
            <w:noProof/>
          </w:rPr>
          <w:instrText xml:space="preserve"> PAGEREF _Toc516669796 \h </w:instrText>
        </w:r>
        <w:r w:rsidR="00631D8F">
          <w:rPr>
            <w:noProof/>
          </w:rPr>
        </w:r>
        <w:r w:rsidR="00631D8F">
          <w:rPr>
            <w:noProof/>
          </w:rPr>
          <w:fldChar w:fldCharType="separate"/>
        </w:r>
        <w:r w:rsidR="00A7414C">
          <w:rPr>
            <w:noProof/>
          </w:rPr>
          <w:t>79</w:t>
        </w:r>
        <w:r w:rsidR="00631D8F">
          <w:rPr>
            <w:noProof/>
          </w:rPr>
          <w:fldChar w:fldCharType="end"/>
        </w:r>
      </w:hyperlink>
    </w:p>
    <w:p w14:paraId="0F2DEBC1" w14:textId="76B43091" w:rsidR="00631D8F" w:rsidRDefault="005E1E28">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516669797" w:history="1">
        <w:r w:rsidR="00631D8F" w:rsidRPr="00732D8E">
          <w:rPr>
            <w:rStyle w:val="Lienhypertexte"/>
            <w:rFonts w:eastAsia="Calibri" w:cs="Times New Roman"/>
            <w:noProof/>
            <w:lang w:eastAsia="en-US"/>
          </w:rPr>
          <w:t>2.2.11</w:t>
        </w:r>
        <w:r w:rsidR="00631D8F">
          <w:rPr>
            <w:rFonts w:asciiTheme="minorHAnsi" w:eastAsiaTheme="minorEastAsia" w:hAnsiTheme="minorHAnsi" w:cstheme="minorBidi"/>
            <w:i w:val="0"/>
            <w:iCs w:val="0"/>
            <w:noProof/>
            <w:sz w:val="22"/>
            <w:szCs w:val="22"/>
            <w:lang w:val="fr-FR" w:eastAsia="fr-FR"/>
          </w:rPr>
          <w:tab/>
        </w:r>
        <w:r w:rsidR="00631D8F" w:rsidRPr="00732D8E">
          <w:rPr>
            <w:rStyle w:val="Lienhypertexte"/>
            <w:noProof/>
          </w:rPr>
          <w:t>Comparative assessment</w:t>
        </w:r>
        <w:r w:rsidR="00631D8F">
          <w:rPr>
            <w:noProof/>
          </w:rPr>
          <w:tab/>
        </w:r>
        <w:r w:rsidR="00631D8F">
          <w:rPr>
            <w:noProof/>
          </w:rPr>
          <w:fldChar w:fldCharType="begin"/>
        </w:r>
        <w:r w:rsidR="00631D8F">
          <w:rPr>
            <w:noProof/>
          </w:rPr>
          <w:instrText xml:space="preserve"> PAGEREF _Toc516669797 \h </w:instrText>
        </w:r>
        <w:r w:rsidR="00631D8F">
          <w:rPr>
            <w:noProof/>
          </w:rPr>
        </w:r>
        <w:r w:rsidR="00631D8F">
          <w:rPr>
            <w:noProof/>
          </w:rPr>
          <w:fldChar w:fldCharType="separate"/>
        </w:r>
        <w:r w:rsidR="00A7414C">
          <w:rPr>
            <w:noProof/>
          </w:rPr>
          <w:t>79</w:t>
        </w:r>
        <w:r w:rsidR="00631D8F">
          <w:rPr>
            <w:noProof/>
          </w:rPr>
          <w:fldChar w:fldCharType="end"/>
        </w:r>
      </w:hyperlink>
    </w:p>
    <w:p w14:paraId="6FB9FED0" w14:textId="76B7A4BD" w:rsidR="00631D8F" w:rsidRDefault="005E1E28">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516669798" w:history="1">
        <w:r w:rsidR="00631D8F" w:rsidRPr="00732D8E">
          <w:rPr>
            <w:rStyle w:val="Lienhypertexte"/>
            <w:rFonts w:cs="Times New Roman"/>
            <w:i/>
            <w:noProof/>
            <w:kern w:val="1"/>
            <w:lang w:bidi="x-none"/>
          </w:rPr>
          <w:t>3</w:t>
        </w:r>
        <w:r w:rsidR="00631D8F">
          <w:rPr>
            <w:rFonts w:asciiTheme="minorHAnsi" w:eastAsiaTheme="minorEastAsia" w:hAnsiTheme="minorHAnsi" w:cstheme="minorBidi"/>
            <w:b w:val="0"/>
            <w:bCs w:val="0"/>
            <w:caps w:val="0"/>
            <w:noProof/>
            <w:sz w:val="22"/>
            <w:szCs w:val="22"/>
            <w:lang w:val="fr-FR" w:eastAsia="fr-FR"/>
          </w:rPr>
          <w:tab/>
        </w:r>
        <w:r w:rsidR="00631D8F" w:rsidRPr="00732D8E">
          <w:rPr>
            <w:rStyle w:val="Lienhypertexte"/>
            <w:rFonts w:eastAsia="Calibri"/>
            <w:noProof/>
          </w:rPr>
          <w:t>Annexes</w:t>
        </w:r>
        <w:r w:rsidR="00631D8F">
          <w:rPr>
            <w:noProof/>
          </w:rPr>
          <w:tab/>
        </w:r>
        <w:r w:rsidR="00631D8F">
          <w:rPr>
            <w:noProof/>
          </w:rPr>
          <w:fldChar w:fldCharType="begin"/>
        </w:r>
        <w:r w:rsidR="00631D8F">
          <w:rPr>
            <w:noProof/>
          </w:rPr>
          <w:instrText xml:space="preserve"> PAGEREF _Toc516669798 \h </w:instrText>
        </w:r>
        <w:r w:rsidR="00631D8F">
          <w:rPr>
            <w:noProof/>
          </w:rPr>
        </w:r>
        <w:r w:rsidR="00631D8F">
          <w:rPr>
            <w:noProof/>
          </w:rPr>
          <w:fldChar w:fldCharType="separate"/>
        </w:r>
        <w:r w:rsidR="00A7414C">
          <w:rPr>
            <w:noProof/>
          </w:rPr>
          <w:t>80</w:t>
        </w:r>
        <w:r w:rsidR="00631D8F">
          <w:rPr>
            <w:noProof/>
          </w:rPr>
          <w:fldChar w:fldCharType="end"/>
        </w:r>
      </w:hyperlink>
    </w:p>
    <w:p w14:paraId="4D715824" w14:textId="4EB44AA3" w:rsidR="00631D8F" w:rsidRDefault="005E1E28">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6669799" w:history="1">
        <w:r w:rsidR="00631D8F" w:rsidRPr="00732D8E">
          <w:rPr>
            <w:rStyle w:val="Lienhypertexte"/>
            <w:caps/>
            <w:noProof/>
            <w:lang w:val="de-DE" w:eastAsia="en-US"/>
          </w:rPr>
          <w:t>3.1</w:t>
        </w:r>
        <w:r w:rsidR="00631D8F">
          <w:rPr>
            <w:rFonts w:asciiTheme="minorHAnsi" w:eastAsiaTheme="minorEastAsia" w:hAnsiTheme="minorHAnsi" w:cstheme="minorBidi"/>
            <w:smallCaps w:val="0"/>
            <w:noProof/>
            <w:sz w:val="22"/>
            <w:szCs w:val="22"/>
            <w:lang w:val="fr-FR" w:eastAsia="fr-FR"/>
          </w:rPr>
          <w:tab/>
        </w:r>
        <w:r w:rsidR="00631D8F" w:rsidRPr="00732D8E">
          <w:rPr>
            <w:rStyle w:val="Lienhypertexte"/>
            <w:noProof/>
          </w:rPr>
          <w:t>List of studies for the biocidal product</w:t>
        </w:r>
        <w:r w:rsidR="00631D8F">
          <w:rPr>
            <w:noProof/>
          </w:rPr>
          <w:tab/>
        </w:r>
        <w:r w:rsidR="00631D8F">
          <w:rPr>
            <w:noProof/>
          </w:rPr>
          <w:fldChar w:fldCharType="begin"/>
        </w:r>
        <w:r w:rsidR="00631D8F">
          <w:rPr>
            <w:noProof/>
          </w:rPr>
          <w:instrText xml:space="preserve"> PAGEREF _Toc516669799 \h </w:instrText>
        </w:r>
        <w:r w:rsidR="00631D8F">
          <w:rPr>
            <w:noProof/>
          </w:rPr>
        </w:r>
        <w:r w:rsidR="00631D8F">
          <w:rPr>
            <w:noProof/>
          </w:rPr>
          <w:fldChar w:fldCharType="separate"/>
        </w:r>
        <w:r w:rsidR="00A7414C">
          <w:rPr>
            <w:noProof/>
          </w:rPr>
          <w:t>80</w:t>
        </w:r>
        <w:r w:rsidR="00631D8F">
          <w:rPr>
            <w:noProof/>
          </w:rPr>
          <w:fldChar w:fldCharType="end"/>
        </w:r>
      </w:hyperlink>
    </w:p>
    <w:p w14:paraId="104F2A2F" w14:textId="625B08DB" w:rsidR="00631D8F" w:rsidRDefault="005E1E28">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6669800" w:history="1">
        <w:r w:rsidR="00631D8F" w:rsidRPr="00732D8E">
          <w:rPr>
            <w:rStyle w:val="Lienhypertexte"/>
            <w:caps/>
            <w:noProof/>
            <w:lang w:val="de-DE" w:eastAsia="en-US"/>
          </w:rPr>
          <w:t>3.2</w:t>
        </w:r>
        <w:r w:rsidR="00631D8F">
          <w:rPr>
            <w:rFonts w:asciiTheme="minorHAnsi" w:eastAsiaTheme="minorEastAsia" w:hAnsiTheme="minorHAnsi" w:cstheme="minorBidi"/>
            <w:smallCaps w:val="0"/>
            <w:noProof/>
            <w:sz w:val="22"/>
            <w:szCs w:val="22"/>
            <w:lang w:val="fr-FR" w:eastAsia="fr-FR"/>
          </w:rPr>
          <w:tab/>
        </w:r>
        <w:r w:rsidR="00631D8F" w:rsidRPr="00732D8E">
          <w:rPr>
            <w:rStyle w:val="Lienhypertexte"/>
            <w:noProof/>
          </w:rPr>
          <w:t>Output tables from exposure assessment tools</w:t>
        </w:r>
        <w:r w:rsidR="00631D8F">
          <w:rPr>
            <w:noProof/>
          </w:rPr>
          <w:tab/>
        </w:r>
        <w:r w:rsidR="00631D8F">
          <w:rPr>
            <w:noProof/>
          </w:rPr>
          <w:fldChar w:fldCharType="begin"/>
        </w:r>
        <w:r w:rsidR="00631D8F">
          <w:rPr>
            <w:noProof/>
          </w:rPr>
          <w:instrText xml:space="preserve"> PAGEREF _Toc516669800 \h </w:instrText>
        </w:r>
        <w:r w:rsidR="00631D8F">
          <w:rPr>
            <w:noProof/>
          </w:rPr>
        </w:r>
        <w:r w:rsidR="00631D8F">
          <w:rPr>
            <w:noProof/>
          </w:rPr>
          <w:fldChar w:fldCharType="separate"/>
        </w:r>
        <w:r w:rsidR="00A7414C">
          <w:rPr>
            <w:noProof/>
          </w:rPr>
          <w:t>81</w:t>
        </w:r>
        <w:r w:rsidR="00631D8F">
          <w:rPr>
            <w:noProof/>
          </w:rPr>
          <w:fldChar w:fldCharType="end"/>
        </w:r>
      </w:hyperlink>
    </w:p>
    <w:p w14:paraId="4811FD07" w14:textId="060E125F" w:rsidR="00631D8F" w:rsidRDefault="005E1E28">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6669801" w:history="1">
        <w:r w:rsidR="00631D8F" w:rsidRPr="00732D8E">
          <w:rPr>
            <w:rStyle w:val="Lienhypertexte"/>
            <w:noProof/>
            <w:lang w:val="de-DE"/>
          </w:rPr>
          <w:t>3.3</w:t>
        </w:r>
        <w:r w:rsidR="00631D8F">
          <w:rPr>
            <w:rFonts w:asciiTheme="minorHAnsi" w:eastAsiaTheme="minorEastAsia" w:hAnsiTheme="minorHAnsi" w:cstheme="minorBidi"/>
            <w:smallCaps w:val="0"/>
            <w:noProof/>
            <w:sz w:val="22"/>
            <w:szCs w:val="22"/>
            <w:lang w:val="fr-FR" w:eastAsia="fr-FR"/>
          </w:rPr>
          <w:tab/>
        </w:r>
        <w:r w:rsidR="00631D8F" w:rsidRPr="00732D8E">
          <w:rPr>
            <w:rStyle w:val="Lienhypertexte"/>
            <w:noProof/>
            <w:lang w:val="de-DE"/>
          </w:rPr>
          <w:t>Residue behaviour</w:t>
        </w:r>
        <w:r w:rsidR="00631D8F">
          <w:rPr>
            <w:noProof/>
          </w:rPr>
          <w:tab/>
        </w:r>
        <w:r w:rsidR="00631D8F">
          <w:rPr>
            <w:noProof/>
          </w:rPr>
          <w:fldChar w:fldCharType="begin"/>
        </w:r>
        <w:r w:rsidR="00631D8F">
          <w:rPr>
            <w:noProof/>
          </w:rPr>
          <w:instrText xml:space="preserve"> PAGEREF _Toc516669801 \h </w:instrText>
        </w:r>
        <w:r w:rsidR="00631D8F">
          <w:rPr>
            <w:noProof/>
          </w:rPr>
        </w:r>
        <w:r w:rsidR="00631D8F">
          <w:rPr>
            <w:noProof/>
          </w:rPr>
          <w:fldChar w:fldCharType="separate"/>
        </w:r>
        <w:r w:rsidR="00A7414C">
          <w:rPr>
            <w:noProof/>
          </w:rPr>
          <w:t>81</w:t>
        </w:r>
        <w:r w:rsidR="00631D8F">
          <w:rPr>
            <w:noProof/>
          </w:rPr>
          <w:fldChar w:fldCharType="end"/>
        </w:r>
      </w:hyperlink>
    </w:p>
    <w:p w14:paraId="7524D8F8" w14:textId="1DCD4E6C" w:rsidR="00631D8F" w:rsidRDefault="005E1E28">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516669802" w:history="1">
        <w:r w:rsidR="00631D8F" w:rsidRPr="00732D8E">
          <w:rPr>
            <w:rStyle w:val="Lienhypertexte"/>
            <w:caps/>
            <w:noProof/>
            <w:lang w:val="de-DE" w:eastAsia="en-US"/>
          </w:rPr>
          <w:t>3.4</w:t>
        </w:r>
        <w:r w:rsidR="00631D8F">
          <w:rPr>
            <w:rFonts w:asciiTheme="minorHAnsi" w:eastAsiaTheme="minorEastAsia" w:hAnsiTheme="minorHAnsi" w:cstheme="minorBidi"/>
            <w:smallCaps w:val="0"/>
            <w:noProof/>
            <w:sz w:val="22"/>
            <w:szCs w:val="22"/>
            <w:lang w:val="fr-FR" w:eastAsia="fr-FR"/>
          </w:rPr>
          <w:tab/>
        </w:r>
        <w:r w:rsidR="00631D8F" w:rsidRPr="00732D8E">
          <w:rPr>
            <w:rStyle w:val="Lienhypertexte"/>
            <w:noProof/>
          </w:rPr>
          <w:t>Summaries of the efficacy studies</w:t>
        </w:r>
        <w:r w:rsidR="00631D8F">
          <w:rPr>
            <w:noProof/>
          </w:rPr>
          <w:tab/>
        </w:r>
        <w:r w:rsidR="00631D8F">
          <w:rPr>
            <w:noProof/>
          </w:rPr>
          <w:fldChar w:fldCharType="begin"/>
        </w:r>
        <w:r w:rsidR="00631D8F">
          <w:rPr>
            <w:noProof/>
          </w:rPr>
          <w:instrText xml:space="preserve"> PAGEREF _Toc516669802 \h </w:instrText>
        </w:r>
        <w:r w:rsidR="00631D8F">
          <w:rPr>
            <w:noProof/>
          </w:rPr>
        </w:r>
        <w:r w:rsidR="00631D8F">
          <w:rPr>
            <w:noProof/>
          </w:rPr>
          <w:fldChar w:fldCharType="separate"/>
        </w:r>
        <w:r w:rsidR="00A7414C">
          <w:rPr>
            <w:noProof/>
          </w:rPr>
          <w:t>83</w:t>
        </w:r>
        <w:r w:rsidR="00631D8F">
          <w:rPr>
            <w:noProof/>
          </w:rPr>
          <w:fldChar w:fldCharType="end"/>
        </w:r>
      </w:hyperlink>
    </w:p>
    <w:p w14:paraId="21A4A3B9" w14:textId="77777777" w:rsidR="009D0C0B" w:rsidRPr="00ED50F5" w:rsidRDefault="00FA480B">
      <w:pPr>
        <w:spacing w:line="276" w:lineRule="auto"/>
        <w:rPr>
          <w:rFonts w:eastAsia="Calibri"/>
          <w:b/>
          <w:bCs/>
          <w:caps/>
          <w:lang w:val="fr-FR" w:eastAsia="en-US"/>
        </w:rPr>
      </w:pPr>
      <w:r w:rsidRPr="00ED50F5">
        <w:fldChar w:fldCharType="end"/>
      </w:r>
    </w:p>
    <w:p w14:paraId="4429ACF9" w14:textId="77777777" w:rsidR="009218A7" w:rsidRDefault="009218A7" w:rsidP="009218A7">
      <w:pPr>
        <w:jc w:val="both"/>
        <w:rPr>
          <w:rFonts w:ascii="Arial" w:hAnsi="Arial" w:cs="Arial"/>
          <w:b/>
          <w:bCs/>
          <w:u w:val="single"/>
        </w:rPr>
      </w:pPr>
      <w:bookmarkStart w:id="1" w:name="_Toc516669735"/>
    </w:p>
    <w:p w14:paraId="0DDDB237" w14:textId="77777777" w:rsidR="009218A7" w:rsidRDefault="009218A7" w:rsidP="009218A7">
      <w:pPr>
        <w:jc w:val="both"/>
        <w:rPr>
          <w:rFonts w:ascii="Arial" w:hAnsi="Arial" w:cs="Arial"/>
          <w:b/>
          <w:bCs/>
          <w:u w:val="single"/>
        </w:rPr>
      </w:pPr>
    </w:p>
    <w:p w14:paraId="0D0A8EB9" w14:textId="77777777" w:rsidR="009218A7" w:rsidRDefault="009218A7" w:rsidP="009218A7">
      <w:pPr>
        <w:jc w:val="both"/>
        <w:rPr>
          <w:rFonts w:ascii="Arial" w:hAnsi="Arial" w:cs="Arial"/>
          <w:b/>
          <w:bCs/>
          <w:u w:val="single"/>
        </w:rPr>
      </w:pPr>
    </w:p>
    <w:p w14:paraId="6911FF29" w14:textId="77777777" w:rsidR="009218A7" w:rsidRDefault="009218A7" w:rsidP="009218A7">
      <w:pPr>
        <w:jc w:val="both"/>
        <w:rPr>
          <w:rFonts w:ascii="Arial" w:hAnsi="Arial" w:cs="Arial"/>
          <w:b/>
          <w:bCs/>
          <w:u w:val="single"/>
        </w:rPr>
      </w:pPr>
    </w:p>
    <w:p w14:paraId="7276AB52" w14:textId="77777777" w:rsidR="009218A7" w:rsidRDefault="009218A7" w:rsidP="009218A7">
      <w:pPr>
        <w:jc w:val="both"/>
        <w:rPr>
          <w:rFonts w:ascii="Arial" w:hAnsi="Arial" w:cs="Arial"/>
          <w:b/>
          <w:bCs/>
          <w:u w:val="single"/>
        </w:rPr>
      </w:pPr>
    </w:p>
    <w:p w14:paraId="4D976A6A" w14:textId="77777777" w:rsidR="009218A7" w:rsidRDefault="009218A7" w:rsidP="009218A7">
      <w:pPr>
        <w:jc w:val="both"/>
        <w:rPr>
          <w:rFonts w:ascii="Arial" w:hAnsi="Arial" w:cs="Arial"/>
          <w:b/>
          <w:bCs/>
          <w:u w:val="single"/>
        </w:rPr>
      </w:pPr>
    </w:p>
    <w:p w14:paraId="44DA47A3" w14:textId="77777777" w:rsidR="009218A7" w:rsidRDefault="009218A7" w:rsidP="009218A7">
      <w:pPr>
        <w:jc w:val="both"/>
        <w:rPr>
          <w:rFonts w:ascii="Arial" w:hAnsi="Arial" w:cs="Arial"/>
          <w:b/>
          <w:bCs/>
          <w:u w:val="single"/>
        </w:rPr>
      </w:pPr>
    </w:p>
    <w:p w14:paraId="04FB1DF9" w14:textId="77777777" w:rsidR="009218A7" w:rsidRDefault="009218A7" w:rsidP="009218A7">
      <w:pPr>
        <w:jc w:val="both"/>
        <w:rPr>
          <w:rFonts w:ascii="Arial" w:hAnsi="Arial" w:cs="Arial"/>
          <w:b/>
          <w:bCs/>
          <w:u w:val="single"/>
        </w:rPr>
      </w:pPr>
    </w:p>
    <w:p w14:paraId="30B98032" w14:textId="77777777" w:rsidR="009218A7" w:rsidRDefault="009218A7" w:rsidP="009218A7">
      <w:pPr>
        <w:jc w:val="both"/>
        <w:rPr>
          <w:rFonts w:ascii="Arial" w:hAnsi="Arial" w:cs="Arial"/>
          <w:b/>
          <w:bCs/>
          <w:u w:val="single"/>
        </w:rPr>
      </w:pPr>
    </w:p>
    <w:p w14:paraId="5777D47B" w14:textId="77777777" w:rsidR="009218A7" w:rsidRDefault="009218A7" w:rsidP="009218A7">
      <w:pPr>
        <w:jc w:val="both"/>
        <w:rPr>
          <w:rFonts w:ascii="Arial" w:hAnsi="Arial" w:cs="Arial"/>
          <w:b/>
          <w:bCs/>
          <w:u w:val="single"/>
        </w:rPr>
      </w:pPr>
    </w:p>
    <w:p w14:paraId="2B1F561D" w14:textId="77777777" w:rsidR="009218A7" w:rsidRDefault="009218A7" w:rsidP="009218A7">
      <w:pPr>
        <w:jc w:val="both"/>
        <w:rPr>
          <w:rFonts w:ascii="Arial" w:hAnsi="Arial" w:cs="Arial"/>
          <w:b/>
          <w:bCs/>
          <w:u w:val="single"/>
        </w:rPr>
      </w:pPr>
    </w:p>
    <w:p w14:paraId="6C3771CC" w14:textId="77777777" w:rsidR="009218A7" w:rsidRDefault="009218A7" w:rsidP="009218A7">
      <w:pPr>
        <w:jc w:val="both"/>
        <w:rPr>
          <w:rFonts w:ascii="Arial" w:hAnsi="Arial" w:cs="Arial"/>
          <w:b/>
          <w:bCs/>
          <w:u w:val="single"/>
        </w:rPr>
      </w:pPr>
    </w:p>
    <w:p w14:paraId="26158217" w14:textId="77777777" w:rsidR="009218A7" w:rsidRDefault="009218A7" w:rsidP="009218A7">
      <w:pPr>
        <w:jc w:val="both"/>
        <w:rPr>
          <w:rFonts w:ascii="Arial" w:hAnsi="Arial" w:cs="Arial"/>
          <w:b/>
          <w:bCs/>
          <w:u w:val="single"/>
        </w:rPr>
      </w:pPr>
    </w:p>
    <w:p w14:paraId="222C8440" w14:textId="77777777" w:rsidR="009218A7" w:rsidRDefault="009218A7" w:rsidP="009218A7">
      <w:pPr>
        <w:jc w:val="both"/>
        <w:rPr>
          <w:rFonts w:ascii="Arial" w:hAnsi="Arial" w:cs="Arial"/>
          <w:b/>
          <w:bCs/>
          <w:u w:val="single"/>
        </w:rPr>
      </w:pPr>
    </w:p>
    <w:p w14:paraId="20DA4133" w14:textId="77777777" w:rsidR="009218A7" w:rsidRDefault="009218A7" w:rsidP="009218A7">
      <w:pPr>
        <w:jc w:val="both"/>
        <w:rPr>
          <w:rFonts w:ascii="Arial" w:hAnsi="Arial" w:cs="Arial"/>
          <w:b/>
          <w:bCs/>
          <w:u w:val="single"/>
        </w:rPr>
      </w:pPr>
    </w:p>
    <w:p w14:paraId="700412F9" w14:textId="77777777" w:rsidR="009218A7" w:rsidRDefault="009218A7" w:rsidP="009218A7">
      <w:pPr>
        <w:jc w:val="both"/>
        <w:rPr>
          <w:rFonts w:ascii="Arial" w:hAnsi="Arial" w:cs="Arial"/>
          <w:b/>
          <w:bCs/>
          <w:u w:val="single"/>
        </w:rPr>
      </w:pPr>
    </w:p>
    <w:p w14:paraId="6758C54D" w14:textId="77777777" w:rsidR="009218A7" w:rsidRDefault="009218A7" w:rsidP="009218A7">
      <w:pPr>
        <w:jc w:val="both"/>
        <w:rPr>
          <w:rFonts w:ascii="Arial" w:hAnsi="Arial" w:cs="Arial"/>
          <w:b/>
          <w:bCs/>
          <w:u w:val="single"/>
        </w:rPr>
      </w:pPr>
    </w:p>
    <w:p w14:paraId="53961C13" w14:textId="77777777" w:rsidR="009218A7" w:rsidRDefault="009218A7" w:rsidP="009218A7">
      <w:pPr>
        <w:jc w:val="both"/>
        <w:rPr>
          <w:rFonts w:ascii="Arial" w:hAnsi="Arial" w:cs="Arial"/>
          <w:b/>
          <w:bCs/>
          <w:u w:val="single"/>
        </w:rPr>
      </w:pPr>
    </w:p>
    <w:p w14:paraId="40BFDD78" w14:textId="77777777" w:rsidR="009218A7" w:rsidRDefault="009218A7" w:rsidP="009218A7">
      <w:pPr>
        <w:jc w:val="both"/>
        <w:rPr>
          <w:rFonts w:ascii="Arial" w:hAnsi="Arial" w:cs="Arial"/>
          <w:b/>
          <w:bCs/>
          <w:u w:val="single"/>
        </w:rPr>
      </w:pPr>
    </w:p>
    <w:p w14:paraId="1BA012E5" w14:textId="77777777" w:rsidR="009218A7" w:rsidRDefault="009218A7" w:rsidP="009218A7">
      <w:pPr>
        <w:jc w:val="both"/>
        <w:rPr>
          <w:rFonts w:ascii="Arial" w:hAnsi="Arial" w:cs="Arial"/>
          <w:b/>
          <w:bCs/>
          <w:u w:val="single"/>
        </w:rPr>
      </w:pPr>
    </w:p>
    <w:p w14:paraId="6701ADE9" w14:textId="77777777" w:rsidR="009218A7" w:rsidRDefault="009218A7" w:rsidP="009218A7">
      <w:pPr>
        <w:jc w:val="both"/>
        <w:rPr>
          <w:rFonts w:ascii="Arial" w:hAnsi="Arial" w:cs="Arial"/>
          <w:b/>
          <w:bCs/>
          <w:u w:val="single"/>
        </w:rPr>
      </w:pPr>
    </w:p>
    <w:p w14:paraId="4679B1DD" w14:textId="77777777" w:rsidR="009218A7" w:rsidRDefault="009218A7" w:rsidP="009218A7">
      <w:pPr>
        <w:jc w:val="both"/>
        <w:rPr>
          <w:rFonts w:ascii="Arial" w:hAnsi="Arial" w:cs="Arial"/>
          <w:b/>
          <w:bCs/>
          <w:u w:val="single"/>
        </w:rPr>
      </w:pPr>
    </w:p>
    <w:p w14:paraId="45A94C8B" w14:textId="77777777" w:rsidR="009218A7" w:rsidRDefault="009218A7" w:rsidP="009218A7">
      <w:pPr>
        <w:jc w:val="both"/>
        <w:rPr>
          <w:rFonts w:ascii="Arial" w:hAnsi="Arial" w:cs="Arial"/>
          <w:b/>
          <w:bCs/>
          <w:u w:val="single"/>
        </w:rPr>
      </w:pPr>
    </w:p>
    <w:p w14:paraId="0AEA417F" w14:textId="77777777" w:rsidR="009218A7" w:rsidRDefault="009218A7" w:rsidP="009218A7">
      <w:pPr>
        <w:jc w:val="both"/>
        <w:rPr>
          <w:rFonts w:ascii="Arial" w:hAnsi="Arial" w:cs="Arial"/>
          <w:b/>
          <w:bCs/>
          <w:u w:val="single"/>
        </w:rPr>
      </w:pPr>
    </w:p>
    <w:p w14:paraId="57DF662C" w14:textId="77777777" w:rsidR="009218A7" w:rsidRDefault="009218A7" w:rsidP="009218A7">
      <w:pPr>
        <w:jc w:val="both"/>
        <w:rPr>
          <w:rFonts w:ascii="Arial" w:hAnsi="Arial" w:cs="Arial"/>
          <w:b/>
          <w:bCs/>
          <w:u w:val="single"/>
        </w:rPr>
      </w:pPr>
    </w:p>
    <w:p w14:paraId="305F994D" w14:textId="77777777" w:rsidR="009218A7" w:rsidRDefault="009218A7" w:rsidP="009218A7">
      <w:pPr>
        <w:jc w:val="both"/>
        <w:rPr>
          <w:rFonts w:ascii="Arial" w:hAnsi="Arial" w:cs="Arial"/>
          <w:b/>
          <w:bCs/>
          <w:u w:val="single"/>
        </w:rPr>
      </w:pPr>
    </w:p>
    <w:p w14:paraId="5E88E75A" w14:textId="77777777" w:rsidR="009218A7" w:rsidRDefault="009218A7" w:rsidP="009218A7">
      <w:pPr>
        <w:jc w:val="both"/>
        <w:rPr>
          <w:rFonts w:ascii="Arial" w:hAnsi="Arial" w:cs="Arial"/>
          <w:b/>
          <w:bCs/>
          <w:u w:val="single"/>
        </w:rPr>
      </w:pPr>
    </w:p>
    <w:p w14:paraId="4520535E" w14:textId="77777777" w:rsidR="009218A7" w:rsidRDefault="009218A7" w:rsidP="009218A7">
      <w:pPr>
        <w:jc w:val="both"/>
        <w:rPr>
          <w:rFonts w:ascii="Arial" w:hAnsi="Arial" w:cs="Arial"/>
          <w:b/>
          <w:bCs/>
          <w:u w:val="single"/>
        </w:rPr>
      </w:pPr>
    </w:p>
    <w:p w14:paraId="042B17AA" w14:textId="77777777" w:rsidR="009218A7" w:rsidRDefault="009218A7" w:rsidP="009218A7">
      <w:pPr>
        <w:jc w:val="both"/>
        <w:rPr>
          <w:rFonts w:ascii="Arial" w:hAnsi="Arial" w:cs="Arial"/>
          <w:b/>
          <w:bCs/>
          <w:u w:val="single"/>
        </w:rPr>
      </w:pPr>
    </w:p>
    <w:p w14:paraId="0437986C" w14:textId="77777777" w:rsidR="009218A7" w:rsidRDefault="009218A7" w:rsidP="009218A7">
      <w:pPr>
        <w:jc w:val="both"/>
        <w:rPr>
          <w:rFonts w:ascii="Arial" w:hAnsi="Arial" w:cs="Arial"/>
          <w:b/>
          <w:bCs/>
          <w:u w:val="single"/>
        </w:rPr>
      </w:pPr>
    </w:p>
    <w:p w14:paraId="63DF1B88" w14:textId="77777777" w:rsidR="009218A7" w:rsidRDefault="009218A7" w:rsidP="009218A7">
      <w:pPr>
        <w:jc w:val="both"/>
        <w:rPr>
          <w:rFonts w:ascii="Arial" w:hAnsi="Arial" w:cs="Arial"/>
          <w:b/>
          <w:bCs/>
          <w:u w:val="single"/>
        </w:rPr>
      </w:pPr>
    </w:p>
    <w:p w14:paraId="0130285F" w14:textId="31101095" w:rsidR="009218A7" w:rsidRDefault="009218A7" w:rsidP="009218A7">
      <w:pPr>
        <w:jc w:val="both"/>
        <w:rPr>
          <w:rFonts w:ascii="Arial" w:hAnsi="Arial" w:cs="Arial"/>
          <w:b/>
          <w:bCs/>
          <w:u w:val="single"/>
        </w:rPr>
      </w:pPr>
    </w:p>
    <w:p w14:paraId="505903A9" w14:textId="705D4529" w:rsidR="006D5801" w:rsidRDefault="006D5801" w:rsidP="009218A7">
      <w:pPr>
        <w:jc w:val="both"/>
        <w:rPr>
          <w:rFonts w:ascii="Arial" w:hAnsi="Arial" w:cs="Arial"/>
          <w:b/>
          <w:bCs/>
          <w:u w:val="single"/>
        </w:rPr>
      </w:pPr>
    </w:p>
    <w:p w14:paraId="453329E2" w14:textId="77777777" w:rsidR="006D5801" w:rsidRDefault="006D5801" w:rsidP="009218A7">
      <w:pPr>
        <w:jc w:val="both"/>
        <w:rPr>
          <w:rFonts w:ascii="Arial" w:hAnsi="Arial" w:cs="Arial"/>
          <w:b/>
          <w:bCs/>
          <w:u w:val="single"/>
        </w:rPr>
      </w:pPr>
    </w:p>
    <w:p w14:paraId="2F897092" w14:textId="77777777" w:rsidR="009218A7" w:rsidRDefault="009218A7" w:rsidP="009218A7">
      <w:pPr>
        <w:jc w:val="both"/>
        <w:rPr>
          <w:rFonts w:ascii="Arial" w:hAnsi="Arial" w:cs="Arial"/>
          <w:b/>
          <w:bCs/>
          <w:u w:val="single"/>
        </w:rPr>
      </w:pPr>
    </w:p>
    <w:p w14:paraId="46B06363" w14:textId="77777777" w:rsidR="009218A7" w:rsidRPr="00DC29E4" w:rsidRDefault="009218A7" w:rsidP="009218A7">
      <w:pPr>
        <w:jc w:val="both"/>
        <w:rPr>
          <w:rFonts w:cs="Arial"/>
          <w:b/>
          <w:bCs/>
          <w:u w:val="single"/>
        </w:rPr>
      </w:pPr>
      <w:r w:rsidRPr="00DC29E4">
        <w:rPr>
          <w:rFonts w:cs="Arial"/>
          <w:b/>
          <w:bCs/>
          <w:u w:val="single"/>
        </w:rPr>
        <w:t>Note to the reader</w:t>
      </w:r>
    </w:p>
    <w:p w14:paraId="77E1A3D7" w14:textId="77777777" w:rsidR="009218A7" w:rsidRPr="00DC29E4" w:rsidRDefault="009218A7" w:rsidP="009218A7">
      <w:pPr>
        <w:jc w:val="both"/>
        <w:rPr>
          <w:rFonts w:cs="Arial"/>
          <w:b/>
          <w:bCs/>
        </w:rPr>
      </w:pPr>
    </w:p>
    <w:p w14:paraId="26577395" w14:textId="77777777" w:rsidR="009218A7" w:rsidRPr="00DC29E4" w:rsidRDefault="009218A7" w:rsidP="009218A7">
      <w:pPr>
        <w:jc w:val="both"/>
        <w:rPr>
          <w:rFonts w:cs="Arial"/>
          <w:bCs/>
        </w:rPr>
      </w:pPr>
      <w:r w:rsidRPr="00DC29E4">
        <w:rPr>
          <w:rFonts w:cs="Arial"/>
          <w:bCs/>
        </w:rPr>
        <w:t xml:space="preserve">This PAR has been updated with the post-authorisation data provided by the applicant and is based on the PAR of the first authorisation. </w:t>
      </w:r>
    </w:p>
    <w:p w14:paraId="03F9D401" w14:textId="77777777" w:rsidR="009218A7" w:rsidRPr="00DC29E4" w:rsidRDefault="009218A7" w:rsidP="009218A7">
      <w:pPr>
        <w:jc w:val="both"/>
        <w:rPr>
          <w:rFonts w:cs="Arial"/>
          <w:bCs/>
        </w:rPr>
      </w:pPr>
      <w:r w:rsidRPr="00DC29E4">
        <w:rPr>
          <w:rFonts w:cs="Arial"/>
          <w:bCs/>
        </w:rPr>
        <w:t>In this consolidated PAR, the assessments related to the post authorisation data of the product are at the end of the concerned section and are highlighted in grey.</w:t>
      </w:r>
    </w:p>
    <w:p w14:paraId="2246D8AC" w14:textId="77777777" w:rsidR="009218A7" w:rsidRPr="00DC29E4" w:rsidRDefault="009218A7" w:rsidP="009218A7">
      <w:pPr>
        <w:jc w:val="both"/>
        <w:rPr>
          <w:rFonts w:cs="Arial"/>
          <w:bCs/>
        </w:rPr>
      </w:pPr>
    </w:p>
    <w:p w14:paraId="12F2FBB4" w14:textId="77777777" w:rsidR="009218A7" w:rsidRPr="00DC29E4" w:rsidRDefault="009218A7" w:rsidP="009218A7">
      <w:pPr>
        <w:jc w:val="both"/>
        <w:rPr>
          <w:rFonts w:cs="Arial"/>
          <w:bCs/>
          <w:sz w:val="24"/>
        </w:rPr>
      </w:pPr>
      <w:r w:rsidRPr="00DC29E4">
        <w:rPr>
          <w:rFonts w:cs="Arial"/>
          <w:bCs/>
        </w:rPr>
        <w:t>The SPC (in the first section of the PAR) corresponds to the currently authorised uses in France.</w:t>
      </w:r>
    </w:p>
    <w:p w14:paraId="0EAEEB3B" w14:textId="77777777" w:rsidR="009218A7" w:rsidRPr="00DC29E4" w:rsidRDefault="009218A7" w:rsidP="009218A7">
      <w:pPr>
        <w:jc w:val="both"/>
        <w:rPr>
          <w:rFonts w:cs="Arial"/>
          <w:bCs/>
        </w:rPr>
      </w:pPr>
    </w:p>
    <w:p w14:paraId="6782EACE" w14:textId="77777777" w:rsidR="009218A7" w:rsidRPr="00DC29E4" w:rsidRDefault="009218A7" w:rsidP="009218A7">
      <w:pPr>
        <w:rPr>
          <w:rFonts w:cs="Arial"/>
          <w:b/>
          <w:u w:val="single"/>
        </w:rPr>
      </w:pPr>
      <w:r w:rsidRPr="00DC29E4">
        <w:rPr>
          <w:rFonts w:cs="Arial"/>
          <w:b/>
          <w:u w:val="single"/>
        </w:rPr>
        <w:t>History of the dossier</w:t>
      </w:r>
    </w:p>
    <w:p w14:paraId="2476DFC4" w14:textId="77777777" w:rsidR="009218A7" w:rsidRPr="00DC29E4" w:rsidRDefault="009218A7" w:rsidP="009218A7">
      <w:pPr>
        <w:rPr>
          <w:rFonts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34"/>
        <w:gridCol w:w="1899"/>
        <w:gridCol w:w="1447"/>
        <w:gridCol w:w="2884"/>
      </w:tblGrid>
      <w:tr w:rsidR="009218A7" w:rsidRPr="009218A7" w14:paraId="09D19BC9" w14:textId="77777777" w:rsidTr="005C7089">
        <w:trPr>
          <w:trHeight w:val="609"/>
        </w:trPr>
        <w:tc>
          <w:tcPr>
            <w:tcW w:w="999" w:type="pct"/>
            <w:shd w:val="clear" w:color="auto" w:fill="F2F2F2"/>
            <w:vAlign w:val="center"/>
          </w:tcPr>
          <w:p w14:paraId="7F733080" w14:textId="77777777" w:rsidR="009218A7" w:rsidRPr="00DC29E4" w:rsidRDefault="009218A7" w:rsidP="005C7089">
            <w:pPr>
              <w:jc w:val="center"/>
              <w:rPr>
                <w:rFonts w:cs="Arial"/>
                <w:b/>
              </w:rPr>
            </w:pPr>
            <w:r w:rsidRPr="00DC29E4">
              <w:rPr>
                <w:rFonts w:cs="Arial"/>
                <w:b/>
              </w:rPr>
              <w:t>Application type</w:t>
            </w:r>
          </w:p>
        </w:tc>
        <w:tc>
          <w:tcPr>
            <w:tcW w:w="616" w:type="pct"/>
            <w:shd w:val="clear" w:color="auto" w:fill="F2F2F2"/>
            <w:vAlign w:val="center"/>
          </w:tcPr>
          <w:p w14:paraId="01189797" w14:textId="77777777" w:rsidR="009218A7" w:rsidRPr="00DC29E4" w:rsidRDefault="009218A7" w:rsidP="005C7089">
            <w:pPr>
              <w:jc w:val="center"/>
              <w:rPr>
                <w:rFonts w:cs="Arial"/>
                <w:b/>
              </w:rPr>
            </w:pPr>
            <w:r w:rsidRPr="00DC29E4">
              <w:rPr>
                <w:rFonts w:cs="Arial"/>
                <w:b/>
              </w:rPr>
              <w:t>refMS</w:t>
            </w:r>
          </w:p>
        </w:tc>
        <w:tc>
          <w:tcPr>
            <w:tcW w:w="1032" w:type="pct"/>
            <w:shd w:val="clear" w:color="auto" w:fill="F2F2F2"/>
            <w:vAlign w:val="center"/>
          </w:tcPr>
          <w:p w14:paraId="277C1D5A" w14:textId="77777777" w:rsidR="009218A7" w:rsidRPr="00DC29E4" w:rsidRDefault="009218A7" w:rsidP="005C7089">
            <w:pPr>
              <w:jc w:val="center"/>
              <w:rPr>
                <w:rFonts w:cs="Arial"/>
                <w:b/>
              </w:rPr>
            </w:pPr>
            <w:r w:rsidRPr="00DC29E4">
              <w:rPr>
                <w:rFonts w:cs="Arial"/>
                <w:b/>
              </w:rPr>
              <w:t>Case number in the refMS</w:t>
            </w:r>
          </w:p>
        </w:tc>
        <w:tc>
          <w:tcPr>
            <w:tcW w:w="786" w:type="pct"/>
            <w:shd w:val="clear" w:color="auto" w:fill="F2F2F2"/>
            <w:vAlign w:val="center"/>
          </w:tcPr>
          <w:p w14:paraId="5F7EC097" w14:textId="77777777" w:rsidR="009218A7" w:rsidRPr="00DC29E4" w:rsidRDefault="009218A7" w:rsidP="005C7089">
            <w:pPr>
              <w:jc w:val="center"/>
              <w:rPr>
                <w:rFonts w:cs="Arial"/>
                <w:b/>
              </w:rPr>
            </w:pPr>
            <w:r w:rsidRPr="00DC29E4">
              <w:rPr>
                <w:rFonts w:cs="Arial"/>
                <w:b/>
              </w:rPr>
              <w:t>Decision date</w:t>
            </w:r>
          </w:p>
        </w:tc>
        <w:tc>
          <w:tcPr>
            <w:tcW w:w="1567" w:type="pct"/>
            <w:shd w:val="clear" w:color="auto" w:fill="F2F2F2"/>
            <w:vAlign w:val="center"/>
          </w:tcPr>
          <w:p w14:paraId="1CAF3D5B" w14:textId="77777777" w:rsidR="009218A7" w:rsidRPr="00DC29E4" w:rsidRDefault="009218A7" w:rsidP="005C7089">
            <w:pPr>
              <w:jc w:val="center"/>
              <w:rPr>
                <w:rFonts w:cs="Arial"/>
                <w:b/>
              </w:rPr>
            </w:pPr>
            <w:r w:rsidRPr="00DC29E4">
              <w:rPr>
                <w:rFonts w:cs="Arial"/>
                <w:b/>
              </w:rPr>
              <w:t>Assessment carried out (i.e. first authorisation / amendment /renewal)</w:t>
            </w:r>
          </w:p>
        </w:tc>
      </w:tr>
      <w:tr w:rsidR="009218A7" w:rsidRPr="009218A7" w14:paraId="76EA30BE" w14:textId="77777777" w:rsidTr="005C7089">
        <w:trPr>
          <w:trHeight w:val="1098"/>
        </w:trPr>
        <w:tc>
          <w:tcPr>
            <w:tcW w:w="999" w:type="pct"/>
            <w:shd w:val="clear" w:color="auto" w:fill="auto"/>
            <w:vAlign w:val="center"/>
          </w:tcPr>
          <w:p w14:paraId="49522BAF" w14:textId="77777777" w:rsidR="009218A7" w:rsidRPr="00DC29E4" w:rsidRDefault="009218A7" w:rsidP="005C7089">
            <w:pPr>
              <w:jc w:val="center"/>
              <w:rPr>
                <w:rFonts w:cs="Arial"/>
              </w:rPr>
            </w:pPr>
            <w:r w:rsidRPr="00DC29E4">
              <w:rPr>
                <w:rFonts w:cs="Arial"/>
              </w:rPr>
              <w:t>NA-APP</w:t>
            </w:r>
          </w:p>
        </w:tc>
        <w:tc>
          <w:tcPr>
            <w:tcW w:w="616" w:type="pct"/>
            <w:shd w:val="clear" w:color="auto" w:fill="auto"/>
            <w:vAlign w:val="center"/>
          </w:tcPr>
          <w:p w14:paraId="7062C538" w14:textId="77777777" w:rsidR="009218A7" w:rsidRPr="00DC29E4" w:rsidRDefault="009218A7" w:rsidP="005C7089">
            <w:pPr>
              <w:jc w:val="center"/>
              <w:rPr>
                <w:rFonts w:cs="Arial"/>
              </w:rPr>
            </w:pPr>
            <w:r w:rsidRPr="00DC29E4">
              <w:rPr>
                <w:rFonts w:cs="Arial"/>
              </w:rPr>
              <w:t>FR</w:t>
            </w:r>
          </w:p>
        </w:tc>
        <w:tc>
          <w:tcPr>
            <w:tcW w:w="1032" w:type="pct"/>
            <w:shd w:val="clear" w:color="auto" w:fill="auto"/>
            <w:vAlign w:val="center"/>
          </w:tcPr>
          <w:p w14:paraId="1834DDB9" w14:textId="77777777" w:rsidR="009218A7" w:rsidRPr="00DC29E4" w:rsidRDefault="009218A7" w:rsidP="009218A7">
            <w:pPr>
              <w:jc w:val="center"/>
              <w:rPr>
                <w:rFonts w:cs="Arial"/>
              </w:rPr>
            </w:pPr>
            <w:r w:rsidRPr="00DC29E4">
              <w:rPr>
                <w:rFonts w:cs="Arial"/>
              </w:rPr>
              <w:t>BC-FA019472-65</w:t>
            </w:r>
          </w:p>
        </w:tc>
        <w:tc>
          <w:tcPr>
            <w:tcW w:w="786" w:type="pct"/>
            <w:shd w:val="clear" w:color="auto" w:fill="auto"/>
            <w:vAlign w:val="center"/>
          </w:tcPr>
          <w:p w14:paraId="3F2AB6BB" w14:textId="60D09050" w:rsidR="009218A7" w:rsidRPr="00DC29E4" w:rsidRDefault="009218A7" w:rsidP="00444E55">
            <w:pPr>
              <w:jc w:val="center"/>
              <w:rPr>
                <w:rFonts w:cs="Arial"/>
              </w:rPr>
            </w:pPr>
            <w:r w:rsidRPr="00DC29E4">
              <w:rPr>
                <w:rFonts w:cs="Arial"/>
              </w:rPr>
              <w:t>20.08.</w:t>
            </w:r>
            <w:r w:rsidR="00444E55" w:rsidRPr="00DC29E4">
              <w:rPr>
                <w:rFonts w:cs="Arial"/>
              </w:rPr>
              <w:t>20</w:t>
            </w:r>
            <w:r w:rsidR="00444E55" w:rsidRPr="00444E55">
              <w:rPr>
                <w:rFonts w:cs="Arial"/>
              </w:rPr>
              <w:t>18</w:t>
            </w:r>
          </w:p>
        </w:tc>
        <w:tc>
          <w:tcPr>
            <w:tcW w:w="1567" w:type="pct"/>
            <w:shd w:val="clear" w:color="auto" w:fill="auto"/>
            <w:vAlign w:val="center"/>
          </w:tcPr>
          <w:p w14:paraId="64B10A6F" w14:textId="77777777" w:rsidR="009218A7" w:rsidRPr="00DC29E4" w:rsidRDefault="009218A7" w:rsidP="005C7089">
            <w:pPr>
              <w:jc w:val="center"/>
              <w:rPr>
                <w:rFonts w:cs="Arial"/>
              </w:rPr>
            </w:pPr>
            <w:r w:rsidRPr="00DC29E4">
              <w:rPr>
                <w:rFonts w:cs="Arial"/>
              </w:rPr>
              <w:t>Initial assessment</w:t>
            </w:r>
            <w:r w:rsidRPr="009218A7">
              <w:t xml:space="preserve"> </w:t>
            </w:r>
            <w:r w:rsidRPr="00DC29E4">
              <w:rPr>
                <w:rFonts w:cs="Arial"/>
              </w:rPr>
              <w:t>of the reference product</w:t>
            </w:r>
          </w:p>
        </w:tc>
      </w:tr>
      <w:tr w:rsidR="009218A7" w:rsidRPr="009218A7" w14:paraId="6E5FEF63" w14:textId="77777777" w:rsidTr="00DC29E4">
        <w:trPr>
          <w:trHeight w:val="544"/>
        </w:trPr>
        <w:tc>
          <w:tcPr>
            <w:tcW w:w="999" w:type="pct"/>
            <w:shd w:val="clear" w:color="auto" w:fill="D9D9D9" w:themeFill="background1" w:themeFillShade="D9"/>
            <w:vAlign w:val="center"/>
          </w:tcPr>
          <w:p w14:paraId="115CE2DC" w14:textId="77777777" w:rsidR="009218A7" w:rsidRPr="00DC29E4" w:rsidRDefault="009218A7" w:rsidP="005C7089">
            <w:pPr>
              <w:jc w:val="center"/>
              <w:rPr>
                <w:rFonts w:cs="Arial"/>
              </w:rPr>
            </w:pPr>
            <w:r w:rsidRPr="00DC29E4">
              <w:rPr>
                <w:rFonts w:cs="Arial"/>
              </w:rPr>
              <w:lastRenderedPageBreak/>
              <w:t>N.A</w:t>
            </w:r>
          </w:p>
        </w:tc>
        <w:tc>
          <w:tcPr>
            <w:tcW w:w="616" w:type="pct"/>
            <w:shd w:val="clear" w:color="auto" w:fill="D9D9D9" w:themeFill="background1" w:themeFillShade="D9"/>
            <w:vAlign w:val="center"/>
          </w:tcPr>
          <w:p w14:paraId="3377D2E3" w14:textId="77777777" w:rsidR="009218A7" w:rsidRPr="00DC29E4" w:rsidRDefault="009218A7" w:rsidP="005C7089">
            <w:pPr>
              <w:jc w:val="center"/>
              <w:rPr>
                <w:rFonts w:cs="Arial"/>
              </w:rPr>
            </w:pPr>
            <w:r w:rsidRPr="00DC29E4">
              <w:rPr>
                <w:rFonts w:cs="Arial"/>
              </w:rPr>
              <w:t>FR</w:t>
            </w:r>
          </w:p>
        </w:tc>
        <w:tc>
          <w:tcPr>
            <w:tcW w:w="1032" w:type="pct"/>
            <w:shd w:val="clear" w:color="auto" w:fill="D9D9D9" w:themeFill="background1" w:themeFillShade="D9"/>
            <w:vAlign w:val="center"/>
          </w:tcPr>
          <w:p w14:paraId="16E21473" w14:textId="714125DD" w:rsidR="009218A7" w:rsidRPr="00DC29E4" w:rsidRDefault="00220570" w:rsidP="005C7089">
            <w:pPr>
              <w:jc w:val="center"/>
              <w:rPr>
                <w:rFonts w:cs="Arial"/>
              </w:rPr>
            </w:pPr>
            <w:r w:rsidRPr="00DC29E4">
              <w:rPr>
                <w:rFonts w:cs="Arial"/>
              </w:rPr>
              <w:t>BC-FA019472-65</w:t>
            </w:r>
          </w:p>
        </w:tc>
        <w:tc>
          <w:tcPr>
            <w:tcW w:w="786" w:type="pct"/>
            <w:shd w:val="clear" w:color="auto" w:fill="D9D9D9" w:themeFill="background1" w:themeFillShade="D9"/>
            <w:vAlign w:val="center"/>
          </w:tcPr>
          <w:p w14:paraId="7A374C47" w14:textId="77777777" w:rsidR="009218A7" w:rsidRPr="00DC29E4" w:rsidRDefault="009218A7" w:rsidP="005C7089">
            <w:pPr>
              <w:jc w:val="center"/>
              <w:rPr>
                <w:rFonts w:cs="Arial"/>
              </w:rPr>
            </w:pPr>
          </w:p>
        </w:tc>
        <w:tc>
          <w:tcPr>
            <w:tcW w:w="1567" w:type="pct"/>
            <w:shd w:val="clear" w:color="auto" w:fill="D9D9D9" w:themeFill="background1" w:themeFillShade="D9"/>
            <w:vAlign w:val="center"/>
          </w:tcPr>
          <w:p w14:paraId="36762B17" w14:textId="77777777" w:rsidR="009218A7" w:rsidRPr="00DC29E4" w:rsidRDefault="009218A7" w:rsidP="005C7089">
            <w:pPr>
              <w:jc w:val="center"/>
              <w:rPr>
                <w:rFonts w:cs="Arial"/>
              </w:rPr>
            </w:pPr>
            <w:r w:rsidRPr="00DC29E4">
              <w:rPr>
                <w:rFonts w:cs="Arial"/>
              </w:rPr>
              <w:t>Post authorisation data assessment</w:t>
            </w:r>
          </w:p>
        </w:tc>
      </w:tr>
    </w:tbl>
    <w:p w14:paraId="716FA797" w14:textId="77777777" w:rsidR="009D0C0B" w:rsidRDefault="00FA480B">
      <w:pPr>
        <w:pStyle w:val="Titre1"/>
        <w:pageBreakBefore/>
        <w:rPr>
          <w:rFonts w:eastAsia="Calibri"/>
          <w:i/>
          <w:lang w:eastAsia="en-US"/>
        </w:rPr>
      </w:pPr>
      <w:r>
        <w:rPr>
          <w:rFonts w:eastAsia="Calibri"/>
        </w:rPr>
        <w:lastRenderedPageBreak/>
        <w:t>CONCLUSION</w:t>
      </w:r>
      <w:bookmarkEnd w:id="1"/>
    </w:p>
    <w:p w14:paraId="637D4B28" w14:textId="77777777" w:rsidR="00660FFE" w:rsidRDefault="00660FFE" w:rsidP="00660FFE">
      <w:pPr>
        <w:ind w:right="284"/>
        <w:jc w:val="both"/>
        <w:rPr>
          <w:rFonts w:ascii="Arial" w:hAnsi="Arial" w:cs="Arial"/>
          <w:lang w:eastAsia="fr-FR"/>
        </w:rPr>
      </w:pPr>
    </w:p>
    <w:p w14:paraId="58B92EBF" w14:textId="77777777" w:rsidR="007F6E46" w:rsidRDefault="007F6E46" w:rsidP="007F6E46">
      <w:pPr>
        <w:spacing w:after="60" w:line="260" w:lineRule="atLeast"/>
        <w:rPr>
          <w:rFonts w:eastAsia="Calibri"/>
          <w:b/>
          <w:lang w:eastAsia="en-US"/>
        </w:rPr>
      </w:pPr>
      <w:r w:rsidRPr="007C5826">
        <w:rPr>
          <w:rFonts w:eastAsia="Calibri"/>
          <w:b/>
          <w:lang w:eastAsia="en-US"/>
        </w:rPr>
        <w:t>Conclusion on physico-chemical properties</w:t>
      </w:r>
    </w:p>
    <w:p w14:paraId="534340D5" w14:textId="77777777" w:rsidR="00174AD5" w:rsidRPr="00174AD5" w:rsidRDefault="00174AD5" w:rsidP="00F96DFE">
      <w:pPr>
        <w:jc w:val="both"/>
        <w:rPr>
          <w:rFonts w:cs="Arial"/>
        </w:rPr>
      </w:pPr>
      <w:r w:rsidRPr="00174AD5">
        <w:rPr>
          <w:rFonts w:cs="Arial"/>
        </w:rPr>
        <w:t xml:space="preserve">The formulation IODIGUARD is an Another Liquid (AL) formulation, ready-to-use preparation. All studies have been performed in accordance with the current requirements and the results are deemed to be acceptable. The appearance of the product is that of brown liquid. It is not explosive and has no oxidizing properties. The product is not considered as flammable. </w:t>
      </w:r>
    </w:p>
    <w:p w14:paraId="561B1759" w14:textId="77777777" w:rsidR="00174AD5" w:rsidRPr="00174AD5" w:rsidRDefault="00174AD5" w:rsidP="00F96DFE">
      <w:pPr>
        <w:jc w:val="both"/>
        <w:rPr>
          <w:rFonts w:cs="Arial"/>
        </w:rPr>
      </w:pPr>
    </w:p>
    <w:p w14:paraId="685BA7B7" w14:textId="77777777" w:rsidR="00174AD5" w:rsidRPr="00174AD5" w:rsidRDefault="00174AD5" w:rsidP="00F96DFE">
      <w:pPr>
        <w:jc w:val="both"/>
        <w:rPr>
          <w:rFonts w:cs="Arial"/>
        </w:rPr>
      </w:pPr>
      <w:r w:rsidRPr="00174AD5">
        <w:rPr>
          <w:rFonts w:cs="Arial"/>
        </w:rPr>
        <w:t>The stability of I</w:t>
      </w:r>
      <w:r w:rsidR="00675836" w:rsidRPr="00174AD5">
        <w:rPr>
          <w:rFonts w:cs="Arial"/>
        </w:rPr>
        <w:t>ODIGUARD</w:t>
      </w:r>
      <w:r w:rsidRPr="00174AD5">
        <w:rPr>
          <w:rFonts w:cs="Arial"/>
        </w:rPr>
        <w:t xml:space="preserve"> was not demonstrated after 8 weeks at 40°C. However, a mitigation measure is proposed by applicant: do not store above 25°C.</w:t>
      </w:r>
    </w:p>
    <w:p w14:paraId="1F3E1763" w14:textId="77777777" w:rsidR="00174AD5" w:rsidRPr="00174AD5" w:rsidRDefault="00174AD5" w:rsidP="00F96DFE">
      <w:pPr>
        <w:jc w:val="both"/>
        <w:rPr>
          <w:rFonts w:cs="Arial"/>
        </w:rPr>
      </w:pPr>
    </w:p>
    <w:p w14:paraId="2C13E6C4" w14:textId="77777777" w:rsidR="00174AD5" w:rsidRPr="00174AD5" w:rsidRDefault="00174AD5" w:rsidP="00F96DFE">
      <w:pPr>
        <w:jc w:val="both"/>
        <w:rPr>
          <w:rFonts w:cs="Arial"/>
        </w:rPr>
      </w:pPr>
      <w:r w:rsidRPr="00174AD5">
        <w:rPr>
          <w:rFonts w:cs="Arial"/>
        </w:rPr>
        <w:t xml:space="preserve">A shelf life study of 1 year is proposed by the applicant. However, </w:t>
      </w:r>
      <w:r w:rsidR="000E7568">
        <w:rPr>
          <w:rFonts w:cs="Arial"/>
        </w:rPr>
        <w:t>t</w:t>
      </w:r>
      <w:r w:rsidRPr="00174AD5">
        <w:rPr>
          <w:rFonts w:cs="Arial"/>
        </w:rPr>
        <w:t>he total iodine content decreased strongly after 1 year (-34%). Therefore, to set a shelf life, data on efficacy and degradation substance must be available.</w:t>
      </w:r>
    </w:p>
    <w:p w14:paraId="1288B0B7" w14:textId="77777777" w:rsidR="00174AD5" w:rsidRPr="00174AD5" w:rsidRDefault="00174AD5" w:rsidP="00F96DFE">
      <w:pPr>
        <w:jc w:val="both"/>
        <w:rPr>
          <w:rFonts w:cs="Arial"/>
        </w:rPr>
      </w:pPr>
      <w:r w:rsidRPr="00174AD5">
        <w:rPr>
          <w:rFonts w:cs="Arial"/>
        </w:rPr>
        <w:t>Efficacy is demonstrated at 0.075% (equivalent to a degradation of 50% of AS), however explanations on the fate of iodine over time in the biocidal product are not available.</w:t>
      </w:r>
    </w:p>
    <w:p w14:paraId="20F02936" w14:textId="77777777" w:rsidR="00174AD5" w:rsidRPr="00174AD5" w:rsidRDefault="00174AD5" w:rsidP="00F96DFE">
      <w:pPr>
        <w:jc w:val="both"/>
        <w:rPr>
          <w:rFonts w:cs="Arial"/>
        </w:rPr>
      </w:pPr>
      <w:r w:rsidRPr="00174AD5">
        <w:rPr>
          <w:rFonts w:cs="Arial"/>
        </w:rPr>
        <w:t xml:space="preserve"> </w:t>
      </w:r>
    </w:p>
    <w:p w14:paraId="49955A64" w14:textId="3A6C9CFA" w:rsidR="00174AD5" w:rsidRPr="00174AD5" w:rsidRDefault="00174AD5" w:rsidP="00F96DFE">
      <w:pPr>
        <w:jc w:val="both"/>
        <w:rPr>
          <w:rFonts w:cs="Arial"/>
        </w:rPr>
      </w:pPr>
    </w:p>
    <w:p w14:paraId="01B987B9" w14:textId="77777777" w:rsidR="002E1313" w:rsidRPr="00F96DFE" w:rsidRDefault="00174AD5" w:rsidP="00F96DFE">
      <w:pPr>
        <w:jc w:val="both"/>
        <w:rPr>
          <w:rFonts w:cs="Arial"/>
        </w:rPr>
      </w:pPr>
      <w:r w:rsidRPr="00174AD5">
        <w:rPr>
          <w:rFonts w:cs="Arial"/>
        </w:rPr>
        <w:t>Its technical characteristics are acceptable for an AL formulation.</w:t>
      </w:r>
    </w:p>
    <w:p w14:paraId="45986C12" w14:textId="77777777" w:rsidR="0085055F" w:rsidRDefault="0085055F" w:rsidP="00F96DFE">
      <w:pPr>
        <w:jc w:val="both"/>
        <w:rPr>
          <w:rFonts w:cs="Arial"/>
        </w:rPr>
      </w:pPr>
      <w:r w:rsidRPr="00F96DFE">
        <w:rPr>
          <w:rFonts w:cs="Arial"/>
        </w:rPr>
        <w:t>Analytical method for the determination of the active substance in the biocidal product was provided and validated.</w:t>
      </w:r>
    </w:p>
    <w:p w14:paraId="0376BA4C" w14:textId="02D865F0" w:rsidR="009218A7" w:rsidRDefault="009218A7" w:rsidP="00F96DFE">
      <w:pPr>
        <w:jc w:val="both"/>
        <w:rPr>
          <w:rFonts w:cs="Arial"/>
        </w:rPr>
      </w:pPr>
    </w:p>
    <w:p w14:paraId="42CB5DE9" w14:textId="77777777" w:rsidR="00DC29E4" w:rsidRDefault="00DC29E4" w:rsidP="00F96DFE">
      <w:pPr>
        <w:jc w:val="both"/>
        <w:rPr>
          <w:rFonts w:cs="Arial"/>
        </w:rPr>
      </w:pPr>
    </w:p>
    <w:p w14:paraId="7CD5B239" w14:textId="4AFC8208" w:rsidR="009218A7" w:rsidRDefault="009218A7" w:rsidP="009218A7">
      <w:pPr>
        <w:shd w:val="clear" w:color="auto" w:fill="D9D9D9" w:themeFill="background1" w:themeFillShade="D9"/>
        <w:jc w:val="both"/>
        <w:rPr>
          <w:rFonts w:cs="Arial"/>
          <w:b/>
          <w:iCs/>
          <w:highlight w:val="lightGray"/>
          <w:lang w:eastAsia="en-US"/>
        </w:rPr>
      </w:pPr>
      <w:r w:rsidRPr="00DC29E4">
        <w:rPr>
          <w:rFonts w:cs="Arial"/>
          <w:b/>
          <w:iCs/>
          <w:highlight w:val="lightGray"/>
          <w:lang w:eastAsia="en-US"/>
        </w:rPr>
        <w:t>Post authorisation request 2020</w:t>
      </w:r>
    </w:p>
    <w:p w14:paraId="54154F49" w14:textId="77777777" w:rsidR="00DC29E4" w:rsidRPr="00DC29E4" w:rsidRDefault="00DC29E4" w:rsidP="000C7814">
      <w:pPr>
        <w:shd w:val="clear" w:color="auto" w:fill="D9D9D9" w:themeFill="background1" w:themeFillShade="D9"/>
        <w:jc w:val="both"/>
        <w:rPr>
          <w:rFonts w:cs="Arial"/>
          <w:b/>
          <w:iCs/>
          <w:highlight w:val="lightGray"/>
          <w:lang w:eastAsia="en-US"/>
        </w:rPr>
      </w:pPr>
    </w:p>
    <w:p w14:paraId="13DF1833" w14:textId="6274D990" w:rsidR="008036C5" w:rsidRPr="000C7814" w:rsidRDefault="008036C5" w:rsidP="000C7814">
      <w:pPr>
        <w:shd w:val="clear" w:color="auto" w:fill="D9D9D9" w:themeFill="background1" w:themeFillShade="D9"/>
        <w:jc w:val="both"/>
        <w:rPr>
          <w:rFonts w:cs="Arial"/>
        </w:rPr>
      </w:pPr>
      <w:r w:rsidRPr="000C7814">
        <w:rPr>
          <w:rFonts w:cs="Arial"/>
        </w:rPr>
        <w:t>Iodide and iodate content after storage were provided. The content of active iodine decrease</w:t>
      </w:r>
      <w:r w:rsidR="00424E1B" w:rsidRPr="000C7814">
        <w:rPr>
          <w:rFonts w:cs="Arial"/>
        </w:rPr>
        <w:t>s</w:t>
      </w:r>
      <w:r w:rsidRPr="000C7814">
        <w:rPr>
          <w:rFonts w:cs="Arial"/>
        </w:rPr>
        <w:t xml:space="preserve"> while content of iodide increase</w:t>
      </w:r>
      <w:r w:rsidR="00424E1B" w:rsidRPr="000C7814">
        <w:rPr>
          <w:rFonts w:cs="Arial"/>
        </w:rPr>
        <w:t>s</w:t>
      </w:r>
      <w:r w:rsidRPr="000C7814">
        <w:rPr>
          <w:rFonts w:cs="Arial"/>
        </w:rPr>
        <w:t>. Nevertheless, as efficacy is demonstrated after storage, no other data is required.</w:t>
      </w:r>
    </w:p>
    <w:p w14:paraId="2D2332E3" w14:textId="0B3F1B26" w:rsidR="009218A7" w:rsidRPr="00F96DFE" w:rsidRDefault="008036C5" w:rsidP="000C7814">
      <w:pPr>
        <w:shd w:val="clear" w:color="auto" w:fill="D9D9D9" w:themeFill="background1" w:themeFillShade="D9"/>
        <w:jc w:val="both"/>
        <w:rPr>
          <w:rFonts w:cs="Arial"/>
        </w:rPr>
      </w:pPr>
      <w:r w:rsidRPr="000C7814">
        <w:rPr>
          <w:rFonts w:cs="Arial"/>
        </w:rPr>
        <w:t>Analytical method</w:t>
      </w:r>
      <w:r w:rsidR="00E60A35" w:rsidRPr="000C7814">
        <w:rPr>
          <w:rFonts w:cs="Arial"/>
        </w:rPr>
        <w:t>s</w:t>
      </w:r>
      <w:r w:rsidRPr="000C7814">
        <w:rPr>
          <w:rFonts w:cs="Arial"/>
        </w:rPr>
        <w:t xml:space="preserve"> for the determination of iodide and iodate forms in the formulation were provided and validated.</w:t>
      </w:r>
    </w:p>
    <w:p w14:paraId="3A6403CF" w14:textId="77777777" w:rsidR="00660FFE" w:rsidRDefault="00660FFE" w:rsidP="00660FFE">
      <w:pPr>
        <w:ind w:right="284"/>
        <w:jc w:val="both"/>
        <w:rPr>
          <w:rFonts w:ascii="Arial" w:hAnsi="Arial" w:cs="Arial"/>
          <w:lang w:eastAsia="fr-FR"/>
        </w:rPr>
      </w:pPr>
    </w:p>
    <w:p w14:paraId="29F2F1C5" w14:textId="77777777" w:rsidR="007F6E46" w:rsidRDefault="007F6E46" w:rsidP="007F6E46">
      <w:pPr>
        <w:spacing w:after="60"/>
        <w:jc w:val="both"/>
        <w:rPr>
          <w:rFonts w:cs="Arial"/>
          <w:lang w:eastAsia="en-US"/>
        </w:rPr>
      </w:pPr>
      <w:r w:rsidRPr="00EA0D90">
        <w:rPr>
          <w:rFonts w:eastAsia="Calibri"/>
          <w:b/>
          <w:lang w:eastAsia="en-US"/>
        </w:rPr>
        <w:t>Conclusion</w:t>
      </w:r>
      <w:r>
        <w:rPr>
          <w:rFonts w:eastAsia="Calibri"/>
          <w:b/>
          <w:lang w:eastAsia="en-US"/>
        </w:rPr>
        <w:t xml:space="preserve"> on efficacy</w:t>
      </w:r>
    </w:p>
    <w:p w14:paraId="6831D6AD" w14:textId="77777777" w:rsidR="00D97212" w:rsidRDefault="00DE0FDF" w:rsidP="00D97212">
      <w:pPr>
        <w:jc w:val="both"/>
        <w:rPr>
          <w:rFonts w:cs="Arial"/>
          <w:iCs/>
          <w:lang w:eastAsia="en-US"/>
        </w:rPr>
      </w:pPr>
      <w:r>
        <w:rPr>
          <w:rFonts w:cs="Arial"/>
          <w:iCs/>
          <w:lang w:eastAsia="en-US"/>
        </w:rPr>
        <w:t>The</w:t>
      </w:r>
      <w:r w:rsidR="00D97212" w:rsidRPr="00826BF7">
        <w:rPr>
          <w:rFonts w:cs="Arial"/>
          <w:iCs/>
          <w:lang w:eastAsia="en-US"/>
        </w:rPr>
        <w:t xml:space="preserve"> product </w:t>
      </w:r>
      <w:r w:rsidR="00D97212">
        <w:rPr>
          <w:rFonts w:cs="Arial"/>
          <w:iCs/>
          <w:lang w:eastAsia="en-US"/>
        </w:rPr>
        <w:t>IODIGUARD, as a ready to use concentrate used after milking, by dipping, with a contact time of 5 minutes,</w:t>
      </w:r>
      <w:r w:rsidR="00D97212" w:rsidRPr="00826BF7">
        <w:rPr>
          <w:rFonts w:cs="Arial"/>
          <w:iCs/>
          <w:lang w:eastAsia="en-US"/>
        </w:rPr>
        <w:t xml:space="preserve"> has shown </w:t>
      </w:r>
      <w:r w:rsidR="00D97212">
        <w:rPr>
          <w:rFonts w:cs="Arial"/>
          <w:iCs/>
          <w:lang w:eastAsia="en-US"/>
        </w:rPr>
        <w:t>a sufficient efficacy in phase 2, step 1 tests against bacteria and yeasts.</w:t>
      </w:r>
    </w:p>
    <w:p w14:paraId="5B0588F5" w14:textId="77777777" w:rsidR="003A24B9" w:rsidRDefault="00D97212" w:rsidP="001B3B87">
      <w:pPr>
        <w:jc w:val="both"/>
      </w:pPr>
      <w:r>
        <w:rPr>
          <w:rFonts w:cs="Arial"/>
          <w:iCs/>
          <w:lang w:eastAsia="en-US"/>
        </w:rPr>
        <w:t xml:space="preserve">Taking into account European discussions at WG III2017, in the frame of </w:t>
      </w:r>
      <w:r>
        <w:t>e</w:t>
      </w:r>
      <w:r w:rsidRPr="00D141C4">
        <w:t xml:space="preserve">arly WG discussion </w:t>
      </w:r>
      <w:r>
        <w:t xml:space="preserve">on </w:t>
      </w:r>
      <w:r w:rsidRPr="00D141C4">
        <w:t xml:space="preserve">Union authorisation applications based </w:t>
      </w:r>
      <w:r>
        <w:t>on</w:t>
      </w:r>
      <w:r w:rsidRPr="00D141C4">
        <w:t xml:space="preserve"> iodine/PVP-iodine</w:t>
      </w:r>
      <w:r>
        <w:t xml:space="preserve">, </w:t>
      </w:r>
      <w:r w:rsidR="003A24B9">
        <w:t xml:space="preserve">field study submitted showed statistically the efficacy of the product IODIGUARD with regards to a formulation without iodine. Moreover according to the literature </w:t>
      </w:r>
      <w:r w:rsidR="00DE0FDF">
        <w:t>review</w:t>
      </w:r>
      <w:r w:rsidR="003A24B9">
        <w:t>, the iodine level of the product IODIGUARD su</w:t>
      </w:r>
      <w:r w:rsidR="00604760">
        <w:t>pports</w:t>
      </w:r>
      <w:r w:rsidR="003A24B9">
        <w:t xml:space="preserve"> </w:t>
      </w:r>
      <w:r w:rsidR="00604760">
        <w:t>a sufficient</w:t>
      </w:r>
      <w:r w:rsidR="003A24B9">
        <w:t xml:space="preserve"> efficacy </w:t>
      </w:r>
      <w:r w:rsidR="006B0ED8">
        <w:t>for teats disinfection.</w:t>
      </w:r>
    </w:p>
    <w:p w14:paraId="7E63FE3C" w14:textId="77777777" w:rsidR="001B3B87" w:rsidRPr="001B3B87" w:rsidRDefault="001B3B87" w:rsidP="001B3B87">
      <w:pPr>
        <w:jc w:val="both"/>
        <w:rPr>
          <w:lang w:eastAsia="en-US"/>
        </w:rPr>
      </w:pPr>
    </w:p>
    <w:p w14:paraId="5D1D3ED4" w14:textId="77777777" w:rsidR="001B3B87" w:rsidRPr="001B3B87" w:rsidRDefault="001B3B87" w:rsidP="001B3B87">
      <w:pPr>
        <w:jc w:val="both"/>
        <w:rPr>
          <w:bCs/>
          <w:iCs/>
          <w:lang w:eastAsia="en-US"/>
        </w:rPr>
      </w:pPr>
      <w:r w:rsidRPr="001B3B87">
        <w:rPr>
          <w:bCs/>
          <w:iCs/>
          <w:lang w:eastAsia="en-US"/>
        </w:rPr>
        <w:lastRenderedPageBreak/>
        <w:t>The authorization holder has to report any observed resistance incidents to the Competent Authorities (CA) or other appointed bodies involved in resistance management.</w:t>
      </w:r>
    </w:p>
    <w:p w14:paraId="46002EBF" w14:textId="77777777" w:rsidR="00660FFE" w:rsidRPr="001B3B87" w:rsidRDefault="00660FFE" w:rsidP="001B3B87">
      <w:pPr>
        <w:ind w:right="284"/>
        <w:jc w:val="both"/>
        <w:rPr>
          <w:rFonts w:cs="Arial"/>
          <w:lang w:eastAsia="fr-FR"/>
        </w:rPr>
      </w:pPr>
    </w:p>
    <w:p w14:paraId="100E262A" w14:textId="77777777" w:rsidR="007F6E46" w:rsidRDefault="007F6E46" w:rsidP="007F6E46">
      <w:pPr>
        <w:spacing w:after="60" w:line="260" w:lineRule="atLeast"/>
        <w:rPr>
          <w:rFonts w:eastAsia="Calibri"/>
          <w:b/>
          <w:lang w:eastAsia="en-US"/>
        </w:rPr>
      </w:pPr>
      <w:r w:rsidRPr="00EA0D90">
        <w:rPr>
          <w:rFonts w:eastAsia="Calibri"/>
          <w:b/>
          <w:lang w:eastAsia="en-US"/>
        </w:rPr>
        <w:t>Conclusion</w:t>
      </w:r>
      <w:r>
        <w:rPr>
          <w:rFonts w:eastAsia="Calibri"/>
          <w:b/>
          <w:lang w:eastAsia="en-US"/>
        </w:rPr>
        <w:t xml:space="preserve"> on human health</w:t>
      </w:r>
    </w:p>
    <w:p w14:paraId="09DAC565" w14:textId="77777777" w:rsidR="00E600AE" w:rsidRPr="00631D8F" w:rsidRDefault="00E600AE" w:rsidP="00631D8F">
      <w:pPr>
        <w:jc w:val="both"/>
        <w:rPr>
          <w:iCs/>
          <w:lang w:eastAsia="en-US"/>
        </w:rPr>
      </w:pPr>
      <w:r w:rsidRPr="009C11F0">
        <w:rPr>
          <w:iCs/>
          <w:lang w:eastAsia="en-US"/>
        </w:rPr>
        <w:t xml:space="preserve">The risk during mixing and cleaning is acceptable with </w:t>
      </w:r>
      <w:r w:rsidR="00B24C45" w:rsidRPr="00631D8F">
        <w:rPr>
          <w:iCs/>
          <w:lang w:eastAsia="en-US"/>
        </w:rPr>
        <w:t xml:space="preserve">gloves during cleaning of teats and equipment </w:t>
      </w:r>
      <w:r w:rsidRPr="00631D8F">
        <w:rPr>
          <w:iCs/>
          <w:lang w:eastAsia="en-US"/>
        </w:rPr>
        <w:t xml:space="preserve">for professionals for primary exposure. Secondary exposure is covered by primary exposure. </w:t>
      </w:r>
    </w:p>
    <w:p w14:paraId="28D366A5" w14:textId="77777777" w:rsidR="007F6E46" w:rsidRPr="00631D8F" w:rsidRDefault="007F6E46" w:rsidP="007F6E46">
      <w:pPr>
        <w:spacing w:after="60" w:line="260" w:lineRule="atLeast"/>
        <w:rPr>
          <w:rFonts w:eastAsia="Calibri"/>
          <w:b/>
          <w:lang w:eastAsia="en-US"/>
        </w:rPr>
      </w:pPr>
    </w:p>
    <w:p w14:paraId="51158F33" w14:textId="77777777" w:rsidR="007F6E46" w:rsidRPr="00631D8F" w:rsidRDefault="007F6E46" w:rsidP="007F6E46">
      <w:pPr>
        <w:spacing w:after="60" w:line="260" w:lineRule="atLeast"/>
        <w:jc w:val="both"/>
        <w:rPr>
          <w:rFonts w:eastAsia="Calibri"/>
          <w:b/>
          <w:lang w:eastAsia="en-US"/>
        </w:rPr>
      </w:pPr>
      <w:r w:rsidRPr="00631D8F">
        <w:rPr>
          <w:rFonts w:eastAsia="Calibri"/>
          <w:b/>
          <w:lang w:eastAsia="en-US"/>
        </w:rPr>
        <w:t>Conclusion on indirect exposure via residues in food</w:t>
      </w:r>
    </w:p>
    <w:p w14:paraId="43236767" w14:textId="77777777" w:rsidR="007F6E46" w:rsidRPr="00631D8F" w:rsidRDefault="006E3789" w:rsidP="006E3789">
      <w:pPr>
        <w:jc w:val="both"/>
        <w:rPr>
          <w:lang w:eastAsia="en-US"/>
        </w:rPr>
      </w:pPr>
      <w:r w:rsidRPr="00631D8F">
        <w:rPr>
          <w:lang w:eastAsia="en-US"/>
        </w:rPr>
        <w:t xml:space="preserve">Considering the intended use of IODIGUARD and based on overall available information, a risk via food cannot be excluded for children. </w:t>
      </w:r>
      <w:r w:rsidR="003D6A06" w:rsidRPr="00631D8F">
        <w:rPr>
          <w:rFonts w:cs="Arial"/>
          <w:lang w:val="en-US"/>
        </w:rPr>
        <w:t xml:space="preserve">The estimation of iodine contamination in milk is performed considering the worst case situation.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 Iodine exposure pathways that are not a consequence of biocidal use are outside the remit of the BPC. Where unacceptable risks are identified as a result of consideration of total dietary intake of iodine in addition to exposure arising from biocidal use, a risk management decision cannot be taken in isolation with respect to the biocides use only. It would be advisable that this issue is addressed at European level in order to ensure that all relevant regulatory bodies can be involved in agreeing a way forward. So for the background levels, all sources of iodine, and not just those arising from teat </w:t>
      </w:r>
      <w:r w:rsidR="00631D8F" w:rsidRPr="00631D8F">
        <w:rPr>
          <w:rFonts w:cs="Arial"/>
          <w:lang w:val="en-US"/>
        </w:rPr>
        <w:t>treatments</w:t>
      </w:r>
      <w:r w:rsidR="003D6A06" w:rsidRPr="00631D8F">
        <w:rPr>
          <w:rFonts w:cs="Arial"/>
          <w:lang w:val="en-US"/>
        </w:rPr>
        <w:t xml:space="preserve"> would need to be taken into consideration. Therefore a wider approach to the consumer risk assessments encompassing different regulatory </w:t>
      </w:r>
      <w:r w:rsidR="005F32D5" w:rsidRPr="00631D8F">
        <w:rPr>
          <w:rFonts w:cs="Arial"/>
          <w:lang w:val="en-US"/>
        </w:rPr>
        <w:t>area</w:t>
      </w:r>
      <w:r w:rsidR="003D6A06" w:rsidRPr="00631D8F">
        <w:rPr>
          <w:rFonts w:cs="Arial"/>
          <w:lang w:val="en-US"/>
        </w:rPr>
        <w:t>s would need to be considered.</w:t>
      </w:r>
    </w:p>
    <w:p w14:paraId="4042A605" w14:textId="77777777" w:rsidR="006E3789" w:rsidRPr="00631D8F" w:rsidRDefault="006E3789" w:rsidP="006E3789">
      <w:pPr>
        <w:jc w:val="both"/>
        <w:rPr>
          <w:rFonts w:eastAsia="Calibri"/>
          <w:b/>
          <w:lang w:eastAsia="en-US"/>
        </w:rPr>
      </w:pPr>
    </w:p>
    <w:p w14:paraId="57E7F238" w14:textId="77777777" w:rsidR="00660FFE" w:rsidRPr="00631D8F" w:rsidRDefault="007F6E46" w:rsidP="00631D8F">
      <w:pPr>
        <w:tabs>
          <w:tab w:val="left" w:pos="7785"/>
        </w:tabs>
        <w:ind w:right="284"/>
        <w:jc w:val="both"/>
        <w:rPr>
          <w:rFonts w:eastAsia="Calibri"/>
          <w:b/>
          <w:lang w:eastAsia="en-US"/>
        </w:rPr>
      </w:pPr>
      <w:r w:rsidRPr="00631D8F">
        <w:rPr>
          <w:rFonts w:eastAsia="Calibri"/>
          <w:b/>
          <w:lang w:eastAsia="en-US"/>
        </w:rPr>
        <w:t>Conclusion on ecotoxicology and environment</w:t>
      </w:r>
      <w:r w:rsidR="003D6A06" w:rsidRPr="00631D8F">
        <w:rPr>
          <w:rFonts w:eastAsia="Calibri"/>
          <w:b/>
          <w:lang w:eastAsia="en-US"/>
        </w:rPr>
        <w:tab/>
      </w:r>
    </w:p>
    <w:p w14:paraId="78443777" w14:textId="77777777" w:rsidR="00660FFE" w:rsidRPr="001B3B87" w:rsidRDefault="00660FFE" w:rsidP="001B3B87">
      <w:pPr>
        <w:ind w:right="-1"/>
        <w:jc w:val="both"/>
        <w:rPr>
          <w:rFonts w:cs="Arial"/>
          <w:lang w:eastAsia="fr-FR"/>
        </w:rPr>
      </w:pPr>
      <w:r w:rsidRPr="00631D8F">
        <w:rPr>
          <w:rFonts w:cs="Arial"/>
          <w:lang w:eastAsia="fr-FR"/>
        </w:rPr>
        <w:t xml:space="preserve">The levels of exposure </w:t>
      </w:r>
      <w:r w:rsidR="00610746" w:rsidRPr="00631D8F">
        <w:rPr>
          <w:rFonts w:cs="Arial"/>
          <w:lang w:eastAsia="fr-FR"/>
        </w:rPr>
        <w:t xml:space="preserve">to iodine </w:t>
      </w:r>
      <w:r w:rsidRPr="00631D8F">
        <w:rPr>
          <w:rFonts w:cs="Arial"/>
          <w:lang w:eastAsia="fr-FR"/>
        </w:rPr>
        <w:t>for the non-target organisms of the aquatic (STP and surface water) and terrestrial compartments following the use of the product IODIGUARD</w:t>
      </w:r>
      <w:r w:rsidRPr="001B3B87">
        <w:rPr>
          <w:rFonts w:cs="Arial"/>
          <w:caps/>
          <w:lang w:eastAsia="fr-FR"/>
        </w:rPr>
        <w:t xml:space="preserve"> </w:t>
      </w:r>
      <w:r w:rsidRPr="001B3B87">
        <w:rPr>
          <w:rFonts w:cs="Arial"/>
          <w:lang w:eastAsia="fr-FR"/>
        </w:rPr>
        <w:t>on teats are lower than the threshold values or still in the range of the background level for each compartment under the use conditions provided in the SPC.</w:t>
      </w:r>
    </w:p>
    <w:p w14:paraId="6C10CA5C" w14:textId="77777777" w:rsidR="00660FFE" w:rsidRPr="001B3B87" w:rsidRDefault="00660FFE" w:rsidP="001B3B87">
      <w:pPr>
        <w:ind w:right="284"/>
        <w:jc w:val="both"/>
        <w:rPr>
          <w:rFonts w:cs="Arial"/>
          <w:lang w:eastAsia="fr-FR"/>
        </w:rPr>
      </w:pPr>
    </w:p>
    <w:p w14:paraId="5B302E9F" w14:textId="77777777" w:rsidR="00660FFE" w:rsidRPr="001B3B87" w:rsidRDefault="00610746" w:rsidP="001B3B87">
      <w:pPr>
        <w:jc w:val="both"/>
        <w:rPr>
          <w:i/>
          <w:lang w:eastAsia="en-US"/>
        </w:rPr>
      </w:pPr>
      <w:r>
        <w:rPr>
          <w:rFonts w:cs="Arial"/>
          <w:lang w:eastAsia="fr-FR"/>
        </w:rPr>
        <w:t>T</w:t>
      </w:r>
      <w:r w:rsidR="00660FFE" w:rsidRPr="001B3B87">
        <w:rPr>
          <w:rFonts w:cs="Arial"/>
          <w:lang w:eastAsia="fr-FR"/>
        </w:rPr>
        <w:t>he predicted concentrations</w:t>
      </w:r>
      <w:r>
        <w:rPr>
          <w:rFonts w:cs="Arial"/>
          <w:lang w:eastAsia="fr-FR"/>
        </w:rPr>
        <w:t xml:space="preserve"> of iodine</w:t>
      </w:r>
      <w:r w:rsidR="00660FFE" w:rsidRPr="001B3B87">
        <w:rPr>
          <w:rFonts w:cs="Arial"/>
          <w:lang w:eastAsia="fr-FR"/>
        </w:rPr>
        <w:t xml:space="preserve"> in groundwater are higher than the threshold values of 0.1 µg/L provided in the Drinking Water Directive 98/83/EC, but still in the range of the background level </w:t>
      </w:r>
      <w:r>
        <w:rPr>
          <w:rFonts w:cs="Arial"/>
          <w:lang w:eastAsia="fr-FR"/>
        </w:rPr>
        <w:t xml:space="preserve">of iodine </w:t>
      </w:r>
      <w:r w:rsidR="00660FFE" w:rsidRPr="001B3B87">
        <w:rPr>
          <w:rFonts w:cs="Arial"/>
          <w:lang w:eastAsia="fr-FR"/>
        </w:rPr>
        <w:t>considered acceptable under the use conditions provided in the SPC.</w:t>
      </w:r>
    </w:p>
    <w:p w14:paraId="627965B2" w14:textId="77777777" w:rsidR="00660FFE" w:rsidRDefault="00660FFE" w:rsidP="00660FFE">
      <w:pPr>
        <w:ind w:right="284"/>
        <w:jc w:val="both"/>
        <w:rPr>
          <w:rFonts w:ascii="Arial" w:hAnsi="Arial" w:cs="Arial"/>
          <w:lang w:eastAsia="fr-FR"/>
        </w:rPr>
      </w:pPr>
    </w:p>
    <w:p w14:paraId="663F58FE" w14:textId="77777777" w:rsidR="00675836" w:rsidRDefault="00675836" w:rsidP="00660FFE">
      <w:pPr>
        <w:ind w:right="284"/>
        <w:jc w:val="both"/>
        <w:rPr>
          <w:rFonts w:ascii="Arial" w:hAnsi="Arial" w:cs="Arial"/>
          <w:lang w:eastAsia="fr-FR"/>
        </w:rPr>
      </w:pPr>
    </w:p>
    <w:p w14:paraId="274607BA" w14:textId="77777777" w:rsidR="009D0C0B" w:rsidRPr="002929F9" w:rsidRDefault="00675836">
      <w:pPr>
        <w:spacing w:line="260" w:lineRule="atLeast"/>
        <w:rPr>
          <w:rFonts w:eastAsia="Calibri"/>
          <w:b/>
          <w:u w:val="single"/>
          <w:lang w:eastAsia="en-US"/>
        </w:rPr>
      </w:pPr>
      <w:r w:rsidRPr="002929F9">
        <w:rPr>
          <w:rFonts w:eastAsia="Calibri"/>
          <w:b/>
          <w:u w:val="single"/>
          <w:lang w:eastAsia="en-US"/>
        </w:rPr>
        <w:t>General conclusion</w:t>
      </w:r>
    </w:p>
    <w:p w14:paraId="44A34349" w14:textId="77777777" w:rsidR="00675836" w:rsidRDefault="00675836" w:rsidP="00675836">
      <w:pPr>
        <w:jc w:val="both"/>
        <w:rPr>
          <w:rFonts w:cs="Arial"/>
          <w:bCs/>
        </w:rPr>
      </w:pPr>
      <w:r w:rsidRPr="00675836">
        <w:rPr>
          <w:rFonts w:cs="Arial"/>
          <w:szCs w:val="22"/>
          <w:lang w:eastAsia="en-US"/>
        </w:rPr>
        <w:t>FR CA considers that the product shall be authorised</w:t>
      </w:r>
      <w:r>
        <w:rPr>
          <w:rFonts w:cs="Arial"/>
          <w:szCs w:val="22"/>
          <w:lang w:eastAsia="en-US"/>
        </w:rPr>
        <w:t xml:space="preserve"> against bacteria and yeasts, by professional users by m</w:t>
      </w:r>
      <w:r w:rsidRPr="00EA38CA">
        <w:rPr>
          <w:rFonts w:cs="Arial"/>
        </w:rPr>
        <w:t xml:space="preserve">anual non-medical teat disinfection for cows, </w:t>
      </w:r>
      <w:r>
        <w:rPr>
          <w:rFonts w:cs="Arial"/>
        </w:rPr>
        <w:t>ewe</w:t>
      </w:r>
      <w:r w:rsidR="00D230B0">
        <w:rPr>
          <w:rFonts w:cs="Arial"/>
        </w:rPr>
        <w:t>s</w:t>
      </w:r>
      <w:r w:rsidRPr="00EA38CA">
        <w:rPr>
          <w:rFonts w:cs="Arial"/>
        </w:rPr>
        <w:t xml:space="preserve"> and goats</w:t>
      </w:r>
      <w:r>
        <w:rPr>
          <w:rFonts w:cs="Arial"/>
        </w:rPr>
        <w:t xml:space="preserve"> in post-milking</w:t>
      </w:r>
      <w:r w:rsidRPr="00EA38CA">
        <w:rPr>
          <w:rFonts w:cs="Arial"/>
        </w:rPr>
        <w:t>.</w:t>
      </w:r>
    </w:p>
    <w:p w14:paraId="465923C2" w14:textId="77777777" w:rsidR="00675836" w:rsidRPr="00675836" w:rsidRDefault="00675836">
      <w:pPr>
        <w:spacing w:line="260" w:lineRule="atLeast"/>
        <w:rPr>
          <w:rFonts w:eastAsia="Calibri"/>
          <w:lang w:eastAsia="en-US"/>
        </w:rPr>
      </w:pPr>
    </w:p>
    <w:p w14:paraId="64BD93F4" w14:textId="77777777" w:rsidR="009D0C0B" w:rsidRDefault="00FA480B">
      <w:pPr>
        <w:pStyle w:val="Titre1"/>
        <w:pageBreakBefore/>
      </w:pPr>
      <w:bookmarkStart w:id="2" w:name="_Toc516669736"/>
      <w:r>
        <w:rPr>
          <w:rFonts w:eastAsia="Calibri"/>
        </w:rPr>
        <w:lastRenderedPageBreak/>
        <w:t>ASSESSMENT REPORT</w:t>
      </w:r>
      <w:bookmarkEnd w:id="2"/>
    </w:p>
    <w:p w14:paraId="57E1E69C" w14:textId="77777777" w:rsidR="009D0C0B" w:rsidRDefault="00FA480B">
      <w:pPr>
        <w:pStyle w:val="Titre2"/>
      </w:pPr>
      <w:bookmarkStart w:id="3" w:name="_Toc516669737"/>
      <w:bookmarkStart w:id="4" w:name="d0e6"/>
      <w:bookmarkStart w:id="5" w:name="d0e7"/>
      <w:r>
        <w:t>Summary of the product assessment</w:t>
      </w:r>
      <w:bookmarkEnd w:id="3"/>
      <w:r>
        <w:t xml:space="preserve"> </w:t>
      </w:r>
    </w:p>
    <w:p w14:paraId="1058C8E4" w14:textId="77777777" w:rsidR="009D0C0B" w:rsidRDefault="00FA480B">
      <w:pPr>
        <w:pStyle w:val="Titre3"/>
      </w:pPr>
      <w:bookmarkStart w:id="6" w:name="_Toc516669738"/>
      <w:r>
        <w:t>Administrative information</w:t>
      </w:r>
      <w:bookmarkEnd w:id="6"/>
    </w:p>
    <w:p w14:paraId="391F7A9E" w14:textId="77777777" w:rsidR="009D0C0B" w:rsidRDefault="00FA480B">
      <w:pPr>
        <w:pStyle w:val="Titre4"/>
        <w:rPr>
          <w:b/>
          <w:bCs/>
          <w:lang w:eastAsia="en-GB"/>
        </w:rPr>
      </w:pPr>
      <w:bookmarkStart w:id="7" w:name="_Toc516669739"/>
      <w:bookmarkStart w:id="8" w:name="d0e10"/>
      <w:bookmarkEnd w:id="4"/>
      <w:bookmarkEnd w:id="5"/>
      <w:r>
        <w:t>Identifier of the product</w:t>
      </w:r>
      <w:bookmarkEnd w:id="7"/>
      <w:r>
        <w:t xml:space="preserve"> </w:t>
      </w:r>
      <w:bookmarkEnd w:id="8"/>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6C80EB7D" w14:textId="77777777">
        <w:trPr>
          <w:tblHeader/>
        </w:trPr>
        <w:tc>
          <w:tcPr>
            <w:tcW w:w="3397" w:type="dxa"/>
            <w:tcBorders>
              <w:top w:val="single" w:sz="4" w:space="0" w:color="000000"/>
              <w:left w:val="single" w:sz="4" w:space="0" w:color="000000"/>
              <w:bottom w:val="single" w:sz="4" w:space="0" w:color="000000"/>
            </w:tcBorders>
            <w:shd w:val="clear" w:color="auto" w:fill="auto"/>
          </w:tcPr>
          <w:p w14:paraId="07AFC430" w14:textId="77777777" w:rsidR="009D0C0B" w:rsidRDefault="00FA480B">
            <w:pPr>
              <w:rPr>
                <w:b/>
                <w:bCs/>
                <w:szCs w:val="24"/>
                <w:lang w:eastAsia="en-GB"/>
              </w:rPr>
            </w:pPr>
            <w:r>
              <w:rPr>
                <w:b/>
                <w:bCs/>
                <w:szCs w:val="24"/>
                <w:lang w:eastAsia="en-GB"/>
              </w:rPr>
              <w:t>Identifier</w:t>
            </w:r>
            <w:r>
              <w:rPr>
                <w:rStyle w:val="Caractresdenotedebasdepage"/>
                <w:b/>
                <w:bCs/>
                <w:szCs w:val="24"/>
                <w:lang w:eastAsia="en-GB"/>
              </w:rPr>
              <w:footnoteReference w:id="1"/>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7D060F2B" w14:textId="77777777" w:rsidR="009D0C0B" w:rsidRDefault="00FA480B">
            <w:r>
              <w:rPr>
                <w:b/>
                <w:bCs/>
                <w:szCs w:val="24"/>
                <w:lang w:eastAsia="en-GB"/>
              </w:rPr>
              <w:t>Country (if relevant)</w:t>
            </w:r>
          </w:p>
        </w:tc>
      </w:tr>
      <w:tr w:rsidR="009D0C0B" w14:paraId="4AEA4DA3" w14:textId="77777777">
        <w:tc>
          <w:tcPr>
            <w:tcW w:w="3397" w:type="dxa"/>
            <w:tcBorders>
              <w:left w:val="single" w:sz="4" w:space="0" w:color="000000"/>
              <w:bottom w:val="single" w:sz="4" w:space="0" w:color="000000"/>
            </w:tcBorders>
            <w:shd w:val="clear" w:color="auto" w:fill="auto"/>
          </w:tcPr>
          <w:p w14:paraId="28D718D1" w14:textId="77777777" w:rsidR="009D0C0B" w:rsidRDefault="00BD437B">
            <w:pPr>
              <w:snapToGrid w:val="0"/>
            </w:pPr>
            <w:r>
              <w:t>IODIGUARD</w:t>
            </w:r>
          </w:p>
        </w:tc>
        <w:tc>
          <w:tcPr>
            <w:tcW w:w="5680" w:type="dxa"/>
            <w:tcBorders>
              <w:left w:val="single" w:sz="4" w:space="0" w:color="000000"/>
              <w:bottom w:val="single" w:sz="4" w:space="0" w:color="000000"/>
              <w:right w:val="single" w:sz="4" w:space="0" w:color="000000"/>
            </w:tcBorders>
            <w:shd w:val="clear" w:color="auto" w:fill="auto"/>
          </w:tcPr>
          <w:p w14:paraId="5EDFCDE2" w14:textId="77777777" w:rsidR="009D0C0B" w:rsidRDefault="009D0C0B">
            <w:pPr>
              <w:snapToGrid w:val="0"/>
            </w:pPr>
          </w:p>
        </w:tc>
      </w:tr>
    </w:tbl>
    <w:p w14:paraId="19B14DB2" w14:textId="77777777" w:rsidR="009D0C0B" w:rsidRDefault="00FA480B">
      <w:pPr>
        <w:pStyle w:val="Titre4"/>
        <w:rPr>
          <w:b/>
          <w:bCs/>
          <w:color w:val="000000"/>
          <w:lang w:eastAsia="en-GB"/>
        </w:rPr>
      </w:pPr>
      <w:bookmarkStart w:id="9" w:name="_Toc516669740"/>
      <w:bookmarkStart w:id="10" w:name="d0e350"/>
      <w:r>
        <w:t>Authorisation holder</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BD437B" w14:paraId="79E85948"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41FE5338" w14:textId="77777777" w:rsidR="00BD437B" w:rsidRDefault="00BD437B">
            <w:pPr>
              <w:rPr>
                <w:b/>
              </w:rPr>
            </w:pPr>
            <w:bookmarkStart w:id="11" w:name="d0e66"/>
            <w:bookmarkEnd w:id="11"/>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54CB75F7" w14:textId="77777777" w:rsidR="00BD437B" w:rsidRDefault="00BD437B">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1C7970C8" w14:textId="77777777" w:rsidR="00BD437B" w:rsidRPr="00815586" w:rsidRDefault="00BD437B" w:rsidP="00631D8F">
            <w:pPr>
              <w:ind w:left="24"/>
            </w:pPr>
            <w:r w:rsidRPr="00815586">
              <w:t>Centre Technique d’hygiène</w:t>
            </w:r>
          </w:p>
        </w:tc>
      </w:tr>
      <w:tr w:rsidR="00BD437B" w14:paraId="0EF521B3"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61B61AF0" w14:textId="77777777" w:rsidR="00BD437B" w:rsidRDefault="00BD437B"/>
        </w:tc>
        <w:tc>
          <w:tcPr>
            <w:tcW w:w="1115" w:type="dxa"/>
            <w:tcBorders>
              <w:left w:val="single" w:sz="4" w:space="0" w:color="auto"/>
              <w:bottom w:val="single" w:sz="4" w:space="0" w:color="000000"/>
            </w:tcBorders>
            <w:shd w:val="clear" w:color="auto" w:fill="auto"/>
          </w:tcPr>
          <w:p w14:paraId="223445BA" w14:textId="77777777" w:rsidR="00BD437B" w:rsidRDefault="00BD437B">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4A63B08F" w14:textId="77777777" w:rsidR="00BD437B" w:rsidRPr="000E3E32" w:rsidRDefault="00BD437B" w:rsidP="00631D8F">
            <w:pPr>
              <w:ind w:left="24"/>
              <w:rPr>
                <w:lang w:val="fr-FR"/>
              </w:rPr>
            </w:pPr>
            <w:r w:rsidRPr="000E3E32">
              <w:rPr>
                <w:lang w:val="fr-FR"/>
              </w:rPr>
              <w:t xml:space="preserve">128 avenue chateau fleury </w:t>
            </w:r>
          </w:p>
          <w:p w14:paraId="6D793C6E" w14:textId="77777777" w:rsidR="00BD437B" w:rsidRPr="000E3E32" w:rsidRDefault="00BD437B" w:rsidP="00631D8F">
            <w:pPr>
              <w:ind w:left="24"/>
              <w:rPr>
                <w:lang w:val="fr-FR"/>
              </w:rPr>
            </w:pPr>
            <w:r w:rsidRPr="000E3E32">
              <w:rPr>
                <w:lang w:val="fr-FR"/>
              </w:rPr>
              <w:t xml:space="preserve">26104 Romans sur Isère </w:t>
            </w:r>
          </w:p>
          <w:p w14:paraId="5F104A09" w14:textId="77777777" w:rsidR="00BD437B" w:rsidRPr="00815586" w:rsidRDefault="00BD437B" w:rsidP="00631D8F">
            <w:pPr>
              <w:ind w:left="24"/>
            </w:pPr>
            <w:r w:rsidRPr="00815586">
              <w:t>F</w:t>
            </w:r>
            <w:r w:rsidR="00170391">
              <w:t>rance</w:t>
            </w:r>
          </w:p>
        </w:tc>
      </w:tr>
      <w:tr w:rsidR="00BD437B" w14:paraId="799D2749"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6D1A8F1D" w14:textId="77777777" w:rsidR="00BD437B" w:rsidRDefault="00BD437B">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2EF1497E" w14:textId="77777777" w:rsidR="00BD437B" w:rsidRDefault="002C4DD4">
            <w:pPr>
              <w:snapToGrid w:val="0"/>
              <w:rPr>
                <w:b/>
              </w:rPr>
            </w:pPr>
            <w:r>
              <w:rPr>
                <w:b/>
              </w:rPr>
              <w:t>FR-2018-0056</w:t>
            </w:r>
          </w:p>
        </w:tc>
      </w:tr>
      <w:tr w:rsidR="00BD437B" w14:paraId="535F4221" w14:textId="77777777" w:rsidTr="00F33B28">
        <w:tc>
          <w:tcPr>
            <w:tcW w:w="3397" w:type="dxa"/>
            <w:tcBorders>
              <w:top w:val="single" w:sz="4" w:space="0" w:color="auto"/>
              <w:left w:val="single" w:sz="4" w:space="0" w:color="000000"/>
              <w:bottom w:val="single" w:sz="4" w:space="0" w:color="000000"/>
            </w:tcBorders>
            <w:shd w:val="clear" w:color="auto" w:fill="auto"/>
          </w:tcPr>
          <w:p w14:paraId="1CF9046C" w14:textId="77777777" w:rsidR="00BD437B" w:rsidRDefault="00BD437B">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182B621A" w14:textId="77777777" w:rsidR="00BD437B" w:rsidRDefault="002C4DD4">
            <w:pPr>
              <w:snapToGrid w:val="0"/>
              <w:rPr>
                <w:b/>
              </w:rPr>
            </w:pPr>
            <w:r>
              <w:rPr>
                <w:b/>
              </w:rPr>
              <w:t>20/08/2018</w:t>
            </w:r>
          </w:p>
        </w:tc>
      </w:tr>
      <w:tr w:rsidR="00BD437B" w14:paraId="7CD9335E" w14:textId="77777777">
        <w:tc>
          <w:tcPr>
            <w:tcW w:w="3397" w:type="dxa"/>
            <w:tcBorders>
              <w:left w:val="single" w:sz="4" w:space="0" w:color="000000"/>
              <w:bottom w:val="single" w:sz="4" w:space="0" w:color="000000"/>
            </w:tcBorders>
            <w:shd w:val="clear" w:color="auto" w:fill="auto"/>
          </w:tcPr>
          <w:p w14:paraId="0878DF28" w14:textId="77777777" w:rsidR="00BD437B" w:rsidRDefault="00BD437B">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2015BBFA" w14:textId="77777777" w:rsidR="00BD437B" w:rsidRDefault="002C4DD4">
            <w:pPr>
              <w:snapToGrid w:val="0"/>
              <w:rPr>
                <w:b/>
              </w:rPr>
            </w:pPr>
            <w:r>
              <w:rPr>
                <w:b/>
              </w:rPr>
              <w:t>19/08/2028</w:t>
            </w:r>
          </w:p>
        </w:tc>
      </w:tr>
    </w:tbl>
    <w:p w14:paraId="33949D47" w14:textId="77777777" w:rsidR="009D0C0B" w:rsidRDefault="00FA480B">
      <w:pPr>
        <w:pStyle w:val="Titre4"/>
        <w:rPr>
          <w:b/>
          <w:bCs/>
          <w:color w:val="000000"/>
          <w:lang w:eastAsia="en-GB"/>
        </w:rPr>
      </w:pPr>
      <w:bookmarkStart w:id="12" w:name="_Toc516669741"/>
      <w:bookmarkStart w:id="13" w:name="d0e146"/>
      <w:r>
        <w:t>Manufacturer of the product</w:t>
      </w:r>
      <w:bookmarkEnd w:id="12"/>
      <w:r>
        <w:t xml:space="preserve"> </w:t>
      </w:r>
      <w:bookmarkEnd w:id="13"/>
    </w:p>
    <w:tbl>
      <w:tblPr>
        <w:tblW w:w="9035" w:type="dxa"/>
        <w:tblInd w:w="5" w:type="dxa"/>
        <w:tblLayout w:type="fixed"/>
        <w:tblCellMar>
          <w:left w:w="0" w:type="dxa"/>
          <w:right w:w="0" w:type="dxa"/>
        </w:tblCellMar>
        <w:tblLook w:val="0000" w:firstRow="0" w:lastRow="0" w:firstColumn="0" w:lastColumn="0" w:noHBand="0" w:noVBand="0"/>
      </w:tblPr>
      <w:tblGrid>
        <w:gridCol w:w="3397"/>
        <w:gridCol w:w="5638"/>
      </w:tblGrid>
      <w:tr w:rsidR="00BD437B" w14:paraId="357121F0" w14:textId="77777777" w:rsidTr="00BD437B">
        <w:tc>
          <w:tcPr>
            <w:tcW w:w="3397" w:type="dxa"/>
            <w:tcBorders>
              <w:top w:val="single" w:sz="4" w:space="0" w:color="000000"/>
              <w:left w:val="single" w:sz="4" w:space="0" w:color="000000"/>
              <w:bottom w:val="single" w:sz="4" w:space="0" w:color="000000"/>
            </w:tcBorders>
            <w:shd w:val="clear" w:color="auto" w:fill="auto"/>
          </w:tcPr>
          <w:p w14:paraId="676277A5" w14:textId="77777777" w:rsidR="00BD437B" w:rsidRDefault="00BD437B">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auto"/>
            </w:tcBorders>
          </w:tcPr>
          <w:p w14:paraId="4794E063" w14:textId="77777777" w:rsidR="00BD437B" w:rsidRPr="005B05E4" w:rsidRDefault="00BD437B" w:rsidP="00631D8F">
            <w:pPr>
              <w:rPr>
                <w:lang w:val="fr-FR"/>
              </w:rPr>
            </w:pPr>
            <w:r>
              <w:rPr>
                <w:lang w:val="fr-FR"/>
              </w:rPr>
              <w:t>C</w:t>
            </w:r>
            <w:r w:rsidRPr="004703CE">
              <w:rPr>
                <w:lang w:val="fr-FR"/>
              </w:rPr>
              <w:t>entre technique d'hygiène</w:t>
            </w:r>
          </w:p>
        </w:tc>
      </w:tr>
      <w:tr w:rsidR="00BD437B" w14:paraId="5B521E13" w14:textId="77777777" w:rsidTr="00BD437B">
        <w:tc>
          <w:tcPr>
            <w:tcW w:w="3397" w:type="dxa"/>
            <w:tcBorders>
              <w:left w:val="single" w:sz="4" w:space="0" w:color="000000"/>
              <w:bottom w:val="single" w:sz="4" w:space="0" w:color="000000"/>
            </w:tcBorders>
            <w:shd w:val="clear" w:color="auto" w:fill="auto"/>
          </w:tcPr>
          <w:p w14:paraId="502FC436" w14:textId="77777777" w:rsidR="00BD437B" w:rsidRDefault="00BD437B">
            <w:pPr>
              <w:rPr>
                <w:b/>
              </w:rPr>
            </w:pPr>
            <w:r>
              <w:rPr>
                <w:b/>
                <w:bCs/>
                <w:color w:val="000000"/>
                <w:szCs w:val="24"/>
                <w:lang w:eastAsia="en-GB"/>
              </w:rPr>
              <w:t>Address of manufacturer</w:t>
            </w:r>
          </w:p>
        </w:tc>
        <w:tc>
          <w:tcPr>
            <w:tcW w:w="5638" w:type="dxa"/>
            <w:tcBorders>
              <w:top w:val="single" w:sz="4" w:space="0" w:color="000000"/>
              <w:left w:val="single" w:sz="4" w:space="0" w:color="000000"/>
              <w:bottom w:val="single" w:sz="4" w:space="0" w:color="000000"/>
              <w:right w:val="single" w:sz="4" w:space="0" w:color="auto"/>
            </w:tcBorders>
          </w:tcPr>
          <w:p w14:paraId="53872528" w14:textId="77777777" w:rsidR="00BD437B" w:rsidRPr="004703CE" w:rsidRDefault="00BD437B" w:rsidP="00631D8F">
            <w:pPr>
              <w:rPr>
                <w:lang w:val="fr-FR"/>
              </w:rPr>
            </w:pPr>
            <w:r w:rsidRPr="004703CE">
              <w:rPr>
                <w:lang w:val="fr-FR"/>
              </w:rPr>
              <w:t>128 avenue chateau fleury</w:t>
            </w:r>
          </w:p>
          <w:p w14:paraId="02A94BB2" w14:textId="77777777" w:rsidR="00BD437B" w:rsidRPr="004703CE" w:rsidRDefault="00BD437B" w:rsidP="00631D8F">
            <w:pPr>
              <w:rPr>
                <w:lang w:val="fr-FR"/>
              </w:rPr>
            </w:pPr>
            <w:r>
              <w:rPr>
                <w:lang w:val="fr-FR"/>
              </w:rPr>
              <w:t>26100</w:t>
            </w:r>
            <w:r w:rsidRPr="004703CE">
              <w:rPr>
                <w:lang w:val="fr-FR"/>
              </w:rPr>
              <w:t xml:space="preserve"> Romans sur Isère </w:t>
            </w:r>
          </w:p>
          <w:p w14:paraId="33C9AF2D" w14:textId="77777777" w:rsidR="00BD437B" w:rsidRPr="005B05E4" w:rsidRDefault="00170391" w:rsidP="00631D8F">
            <w:pPr>
              <w:rPr>
                <w:lang w:val="fr-FR"/>
              </w:rPr>
            </w:pPr>
            <w:r w:rsidRPr="00815586">
              <w:t>F</w:t>
            </w:r>
            <w:r>
              <w:t>rance</w:t>
            </w:r>
          </w:p>
        </w:tc>
      </w:tr>
      <w:tr w:rsidR="00BD437B" w14:paraId="2E0903DC" w14:textId="77777777" w:rsidTr="00BD437B">
        <w:tc>
          <w:tcPr>
            <w:tcW w:w="3397" w:type="dxa"/>
            <w:tcBorders>
              <w:left w:val="single" w:sz="4" w:space="0" w:color="000000"/>
              <w:bottom w:val="single" w:sz="4" w:space="0" w:color="000000"/>
            </w:tcBorders>
            <w:shd w:val="clear" w:color="auto" w:fill="auto"/>
          </w:tcPr>
          <w:p w14:paraId="7858AFBE" w14:textId="77777777" w:rsidR="00BD437B" w:rsidRDefault="00BD437B">
            <w:pPr>
              <w:rPr>
                <w:b/>
              </w:rPr>
            </w:pPr>
            <w:r>
              <w:rPr>
                <w:b/>
                <w:bCs/>
                <w:color w:val="000000"/>
                <w:szCs w:val="24"/>
                <w:lang w:eastAsia="en-GB"/>
              </w:rPr>
              <w:t>Location of manufacturing sites</w:t>
            </w:r>
          </w:p>
        </w:tc>
        <w:tc>
          <w:tcPr>
            <w:tcW w:w="5638" w:type="dxa"/>
            <w:tcBorders>
              <w:top w:val="single" w:sz="4" w:space="0" w:color="000000"/>
              <w:left w:val="single" w:sz="4" w:space="0" w:color="000000"/>
              <w:bottom w:val="single" w:sz="4" w:space="0" w:color="000000"/>
              <w:right w:val="single" w:sz="4" w:space="0" w:color="auto"/>
            </w:tcBorders>
          </w:tcPr>
          <w:p w14:paraId="7D5AFAFD" w14:textId="77777777" w:rsidR="00BD437B" w:rsidRDefault="00BD437B" w:rsidP="00631D8F">
            <w:pPr>
              <w:rPr>
                <w:lang w:val="fr-FR"/>
              </w:rPr>
            </w:pPr>
            <w:r w:rsidRPr="004703CE">
              <w:rPr>
                <w:lang w:val="fr-FR"/>
              </w:rPr>
              <w:t xml:space="preserve">Zone des chasses </w:t>
            </w:r>
          </w:p>
          <w:p w14:paraId="265BBC90" w14:textId="77777777" w:rsidR="00BD437B" w:rsidRPr="004703CE" w:rsidRDefault="00BD437B" w:rsidP="00631D8F">
            <w:pPr>
              <w:rPr>
                <w:lang w:val="fr-FR"/>
              </w:rPr>
            </w:pPr>
            <w:r>
              <w:rPr>
                <w:lang w:val="fr-FR"/>
              </w:rPr>
              <w:t>26100</w:t>
            </w:r>
            <w:r w:rsidRPr="004703CE">
              <w:rPr>
                <w:lang w:val="fr-FR"/>
              </w:rPr>
              <w:t xml:space="preserve"> Romans sur Isère </w:t>
            </w:r>
          </w:p>
          <w:p w14:paraId="285DB582" w14:textId="77777777" w:rsidR="00BD437B" w:rsidRPr="004703CE" w:rsidRDefault="00170391" w:rsidP="00631D8F">
            <w:pPr>
              <w:rPr>
                <w:lang w:val="fr-FR"/>
              </w:rPr>
            </w:pPr>
            <w:r w:rsidRPr="00815586">
              <w:t>F</w:t>
            </w:r>
            <w:r>
              <w:t>rance</w:t>
            </w:r>
          </w:p>
        </w:tc>
      </w:tr>
    </w:tbl>
    <w:p w14:paraId="2AE5DB47" w14:textId="77777777" w:rsidR="009D0C0B" w:rsidRDefault="00FA480B">
      <w:pPr>
        <w:pStyle w:val="Titre4"/>
        <w:rPr>
          <w:b/>
          <w:bCs/>
          <w:color w:val="000000"/>
          <w:lang w:eastAsia="en-GB"/>
        </w:rPr>
      </w:pPr>
      <w:bookmarkStart w:id="14" w:name="_Toc516669742"/>
      <w:r>
        <w:t>Manufacturer</w:t>
      </w:r>
      <w:r w:rsidR="00170391">
        <w:t>s</w:t>
      </w:r>
      <w:r>
        <w:t xml:space="preserve"> of the active substance</w:t>
      </w:r>
      <w:bookmarkEnd w:id="14"/>
    </w:p>
    <w:p w14:paraId="4F19E9CA" w14:textId="77777777" w:rsidR="007B3916" w:rsidRDefault="007B3916">
      <w:bookmarkStart w:id="15" w:name="d0e246"/>
      <w:bookmarkEnd w:id="15"/>
    </w:p>
    <w:tbl>
      <w:tblPr>
        <w:tblW w:w="9035" w:type="dxa"/>
        <w:tblInd w:w="5" w:type="dxa"/>
        <w:tblLayout w:type="fixed"/>
        <w:tblCellMar>
          <w:left w:w="0" w:type="dxa"/>
          <w:right w:w="0" w:type="dxa"/>
        </w:tblCellMar>
        <w:tblLook w:val="0000" w:firstRow="0" w:lastRow="0" w:firstColumn="0" w:lastColumn="0" w:noHBand="0" w:noVBand="0"/>
      </w:tblPr>
      <w:tblGrid>
        <w:gridCol w:w="3397"/>
        <w:gridCol w:w="5638"/>
      </w:tblGrid>
      <w:tr w:rsidR="007B3916" w14:paraId="3F765C7A" w14:textId="77777777" w:rsidTr="00D76654">
        <w:tc>
          <w:tcPr>
            <w:tcW w:w="3397" w:type="dxa"/>
            <w:tcBorders>
              <w:top w:val="single" w:sz="4" w:space="0" w:color="000000"/>
              <w:left w:val="single" w:sz="4" w:space="0" w:color="000000"/>
              <w:bottom w:val="single" w:sz="4" w:space="0" w:color="000000"/>
            </w:tcBorders>
            <w:shd w:val="clear" w:color="auto" w:fill="auto"/>
          </w:tcPr>
          <w:p w14:paraId="302AD0A9" w14:textId="77777777" w:rsidR="007B3916" w:rsidRDefault="007B3916" w:rsidP="00D76654">
            <w:pPr>
              <w:rPr>
                <w:b/>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auto"/>
            </w:tcBorders>
          </w:tcPr>
          <w:p w14:paraId="7593BAE8" w14:textId="77777777" w:rsidR="007B3916" w:rsidRPr="00815586" w:rsidRDefault="007B3916" w:rsidP="00D76654">
            <w:r w:rsidRPr="00815586">
              <w:t>PVPI solution 10%</w:t>
            </w:r>
          </w:p>
        </w:tc>
      </w:tr>
    </w:tbl>
    <w:p w14:paraId="3AC69A73" w14:textId="77777777" w:rsidR="007B3916" w:rsidRDefault="007B3916" w:rsidP="007B3916">
      <w:bookmarkStart w:id="16" w:name="d0e269"/>
      <w:bookmarkEnd w:id="16"/>
    </w:p>
    <w:tbl>
      <w:tblPr>
        <w:tblStyle w:val="Grilledutableau"/>
        <w:tblW w:w="0" w:type="auto"/>
        <w:tblInd w:w="108" w:type="dxa"/>
        <w:tblLayout w:type="fixed"/>
        <w:tblLook w:val="04A0" w:firstRow="1" w:lastRow="0" w:firstColumn="1" w:lastColumn="0" w:noHBand="0" w:noVBand="1"/>
      </w:tblPr>
      <w:tblGrid>
        <w:gridCol w:w="3402"/>
        <w:gridCol w:w="5630"/>
      </w:tblGrid>
      <w:tr w:rsidR="007B3916" w14:paraId="4FCC6BBB" w14:textId="77777777" w:rsidTr="00631D8F">
        <w:trPr>
          <w:trHeight w:val="141"/>
        </w:trPr>
        <w:tc>
          <w:tcPr>
            <w:tcW w:w="3402" w:type="dxa"/>
          </w:tcPr>
          <w:p w14:paraId="701FF75B" w14:textId="77777777" w:rsidR="007B3916" w:rsidRPr="00631D8F" w:rsidRDefault="007B3916" w:rsidP="00631D8F">
            <w:pPr>
              <w:ind w:left="-108"/>
              <w:rPr>
                <w:b/>
                <w:sz w:val="20"/>
                <w:szCs w:val="16"/>
                <w:lang w:eastAsia="en-GB"/>
              </w:rPr>
            </w:pPr>
            <w:r w:rsidRPr="00631D8F">
              <w:rPr>
                <w:rFonts w:cs="Arial"/>
                <w:b/>
                <w:sz w:val="20"/>
                <w:szCs w:val="16"/>
              </w:rPr>
              <w:t>Name of the manufacturer 1</w:t>
            </w:r>
          </w:p>
        </w:tc>
        <w:tc>
          <w:tcPr>
            <w:tcW w:w="5630" w:type="dxa"/>
          </w:tcPr>
          <w:p w14:paraId="15614623" w14:textId="77777777" w:rsidR="007B3916" w:rsidRPr="00631D8F" w:rsidRDefault="007B3916" w:rsidP="00631D8F">
            <w:pPr>
              <w:ind w:left="-108"/>
              <w:rPr>
                <w:rFonts w:cs="Arial"/>
                <w:sz w:val="20"/>
                <w:szCs w:val="16"/>
                <w:lang w:eastAsia="es-ES"/>
              </w:rPr>
            </w:pPr>
            <w:r w:rsidRPr="00631D8F">
              <w:rPr>
                <w:rFonts w:cs="Arial"/>
                <w:bCs/>
                <w:sz w:val="20"/>
                <w:szCs w:val="16"/>
                <w:lang w:eastAsia="de-DE"/>
              </w:rPr>
              <w:t xml:space="preserve">Ashland Services BV </w:t>
            </w:r>
            <w:r w:rsidRPr="00631D8F">
              <w:rPr>
                <w:rFonts w:cs="Arial"/>
                <w:sz w:val="20"/>
                <w:szCs w:val="16"/>
                <w:lang w:eastAsia="es-ES"/>
              </w:rPr>
              <w:t xml:space="preserve"> </w:t>
            </w:r>
          </w:p>
        </w:tc>
      </w:tr>
      <w:tr w:rsidR="007B3916" w:rsidRPr="007F3451" w14:paraId="3446FC79" w14:textId="77777777" w:rsidTr="00631D8F">
        <w:trPr>
          <w:trHeight w:val="586"/>
        </w:trPr>
        <w:tc>
          <w:tcPr>
            <w:tcW w:w="3402" w:type="dxa"/>
          </w:tcPr>
          <w:p w14:paraId="704DB58E" w14:textId="77777777" w:rsidR="007B3916" w:rsidRPr="00631D8F" w:rsidRDefault="007B3916" w:rsidP="00631D8F">
            <w:pPr>
              <w:ind w:left="-108"/>
              <w:rPr>
                <w:b/>
                <w:sz w:val="20"/>
                <w:szCs w:val="16"/>
                <w:lang w:eastAsia="en-GB"/>
              </w:rPr>
            </w:pPr>
            <w:r w:rsidRPr="00631D8F">
              <w:rPr>
                <w:rFonts w:cs="Arial"/>
                <w:b/>
                <w:sz w:val="20"/>
                <w:szCs w:val="16"/>
              </w:rPr>
              <w:t>Address of the manufacturer</w:t>
            </w:r>
          </w:p>
        </w:tc>
        <w:tc>
          <w:tcPr>
            <w:tcW w:w="5630" w:type="dxa"/>
          </w:tcPr>
          <w:p w14:paraId="703AF382" w14:textId="77777777" w:rsidR="007B3916" w:rsidRPr="00631D8F" w:rsidRDefault="007B3916" w:rsidP="00631D8F">
            <w:pPr>
              <w:ind w:left="-108"/>
              <w:rPr>
                <w:rFonts w:cs="Arial"/>
                <w:sz w:val="20"/>
                <w:szCs w:val="16"/>
                <w:u w:val="single"/>
                <w:lang w:val="es-ES"/>
              </w:rPr>
            </w:pPr>
            <w:r w:rsidRPr="00631D8F">
              <w:rPr>
                <w:rFonts w:cs="Arial"/>
                <w:sz w:val="20"/>
                <w:szCs w:val="16"/>
                <w:u w:val="single"/>
                <w:lang w:val="es-ES"/>
              </w:rPr>
              <w:t xml:space="preserve">Algorta Norte, </w:t>
            </w:r>
          </w:p>
          <w:p w14:paraId="209CA3DC" w14:textId="77777777" w:rsidR="007B3916" w:rsidRPr="00631D8F" w:rsidRDefault="007B3916" w:rsidP="00631D8F">
            <w:pPr>
              <w:ind w:left="-108"/>
              <w:rPr>
                <w:rFonts w:cs="Arial"/>
                <w:sz w:val="20"/>
                <w:szCs w:val="16"/>
                <w:lang w:val="es-ES"/>
              </w:rPr>
            </w:pPr>
            <w:r w:rsidRPr="00631D8F">
              <w:rPr>
                <w:rFonts w:cs="Arial"/>
                <w:sz w:val="20"/>
                <w:szCs w:val="16"/>
                <w:lang w:val="es-ES"/>
              </w:rPr>
              <w:t>Av. El Golf 99 Of 703, Santiago, Las Condes, Chile (Algorta Mine, Chile)</w:t>
            </w:r>
          </w:p>
        </w:tc>
      </w:tr>
      <w:tr w:rsidR="007B3916" w:rsidRPr="005264D5" w14:paraId="65AEF261" w14:textId="77777777" w:rsidTr="00631D8F">
        <w:trPr>
          <w:trHeight w:val="326"/>
        </w:trPr>
        <w:tc>
          <w:tcPr>
            <w:tcW w:w="3402" w:type="dxa"/>
          </w:tcPr>
          <w:p w14:paraId="225087B9"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w:t>
            </w:r>
          </w:p>
        </w:tc>
        <w:tc>
          <w:tcPr>
            <w:tcW w:w="5630" w:type="dxa"/>
          </w:tcPr>
          <w:p w14:paraId="06738EEA" w14:textId="77777777" w:rsidR="007B3916" w:rsidRPr="00631D8F" w:rsidRDefault="007B3916" w:rsidP="00631D8F">
            <w:pPr>
              <w:spacing w:line="276" w:lineRule="auto"/>
              <w:ind w:left="-108"/>
              <w:rPr>
                <w:sz w:val="20"/>
                <w:szCs w:val="16"/>
                <w:lang w:val="es-ES"/>
              </w:rPr>
            </w:pPr>
            <w:r w:rsidRPr="00631D8F">
              <w:rPr>
                <w:sz w:val="20"/>
                <w:szCs w:val="16"/>
                <w:lang w:val="es-ES"/>
              </w:rPr>
              <w:t>Algorta Norte, Av El Golf 99 Of</w:t>
            </w:r>
          </w:p>
          <w:p w14:paraId="1A3E5E28" w14:textId="77777777" w:rsidR="007B3916" w:rsidRPr="00631D8F" w:rsidRDefault="007B3916" w:rsidP="00631D8F">
            <w:pPr>
              <w:ind w:left="-108"/>
              <w:rPr>
                <w:sz w:val="20"/>
                <w:szCs w:val="16"/>
                <w:lang w:val="es-ES" w:eastAsia="en-GB"/>
              </w:rPr>
            </w:pPr>
            <w:r w:rsidRPr="00631D8F">
              <w:rPr>
                <w:sz w:val="20"/>
                <w:szCs w:val="16"/>
                <w:lang w:val="es-ES"/>
              </w:rPr>
              <w:t>703 Las Condes, Santiago, Chile</w:t>
            </w:r>
          </w:p>
        </w:tc>
      </w:tr>
    </w:tbl>
    <w:p w14:paraId="039568E1" w14:textId="77777777" w:rsidR="007B3916" w:rsidRPr="000F5C4B" w:rsidRDefault="007B3916" w:rsidP="007B3916">
      <w:pPr>
        <w:rPr>
          <w:sz w:val="18"/>
          <w:szCs w:val="18"/>
          <w:lang w:eastAsia="en-GB"/>
        </w:rPr>
      </w:pPr>
      <w:r w:rsidRPr="000F5C4B">
        <w:rPr>
          <w:sz w:val="18"/>
          <w:szCs w:val="18"/>
          <w:lang w:eastAsia="en-GB"/>
        </w:rPr>
        <w:lastRenderedPageBreak/>
        <w:t xml:space="preserve">Algorta </w:t>
      </w:r>
      <w:proofErr w:type="gramStart"/>
      <w:r w:rsidRPr="000F5C4B">
        <w:rPr>
          <w:sz w:val="18"/>
          <w:szCs w:val="18"/>
          <w:lang w:eastAsia="en-GB"/>
        </w:rPr>
        <w:t>Norte  is</w:t>
      </w:r>
      <w:proofErr w:type="gramEnd"/>
      <w:r w:rsidRPr="000F5C4B">
        <w:rPr>
          <w:sz w:val="18"/>
          <w:szCs w:val="18"/>
          <w:lang w:eastAsia="en-GB"/>
        </w:rPr>
        <w:t xml:space="preserve"> a manufacturer of owner data Ashland Services BV in Technical Equivalence (T.E. asset num. EU-0012442-0000) and Ashland Services BV is in Article 95 List.</w:t>
      </w:r>
    </w:p>
    <w:p w14:paraId="15E539F6" w14:textId="77777777" w:rsidR="007B3916" w:rsidRPr="000F5C4B" w:rsidRDefault="007B3916" w:rsidP="007B3916">
      <w:pPr>
        <w:rPr>
          <w:sz w:val="18"/>
          <w:szCs w:val="18"/>
          <w:lang w:val="en-US" w:eastAsia="en-GB"/>
        </w:rPr>
      </w:pPr>
    </w:p>
    <w:tbl>
      <w:tblPr>
        <w:tblStyle w:val="Grilledutableau"/>
        <w:tblW w:w="0" w:type="auto"/>
        <w:tblInd w:w="108" w:type="dxa"/>
        <w:tblLayout w:type="fixed"/>
        <w:tblLook w:val="04A0" w:firstRow="1" w:lastRow="0" w:firstColumn="1" w:lastColumn="0" w:noHBand="0" w:noVBand="1"/>
      </w:tblPr>
      <w:tblGrid>
        <w:gridCol w:w="3402"/>
        <w:gridCol w:w="5670"/>
      </w:tblGrid>
      <w:tr w:rsidR="007B3916" w14:paraId="46D365EC" w14:textId="77777777" w:rsidTr="00631D8F">
        <w:trPr>
          <w:trHeight w:val="193"/>
        </w:trPr>
        <w:tc>
          <w:tcPr>
            <w:tcW w:w="3402" w:type="dxa"/>
          </w:tcPr>
          <w:p w14:paraId="15ED4B04" w14:textId="77777777" w:rsidR="007B3916" w:rsidRPr="00631D8F" w:rsidRDefault="007B3916" w:rsidP="00631D8F">
            <w:pPr>
              <w:ind w:left="-108"/>
              <w:rPr>
                <w:b/>
                <w:sz w:val="20"/>
                <w:szCs w:val="16"/>
                <w:lang w:eastAsia="en-GB"/>
              </w:rPr>
            </w:pPr>
            <w:r w:rsidRPr="00631D8F">
              <w:rPr>
                <w:rFonts w:cs="Arial"/>
                <w:b/>
                <w:sz w:val="20"/>
                <w:szCs w:val="16"/>
              </w:rPr>
              <w:t>Name of the manufacturer 2</w:t>
            </w:r>
          </w:p>
        </w:tc>
        <w:tc>
          <w:tcPr>
            <w:tcW w:w="5670" w:type="dxa"/>
          </w:tcPr>
          <w:p w14:paraId="4B639837" w14:textId="77777777" w:rsidR="007B3916" w:rsidRPr="00631D8F" w:rsidRDefault="007B3916" w:rsidP="00631D8F">
            <w:pPr>
              <w:ind w:left="-108"/>
              <w:rPr>
                <w:rFonts w:cs="Arial"/>
                <w:sz w:val="20"/>
                <w:szCs w:val="16"/>
                <w:lang w:eastAsia="es-ES"/>
              </w:rPr>
            </w:pPr>
            <w:r w:rsidRPr="00631D8F">
              <w:rPr>
                <w:rFonts w:cs="Arial"/>
                <w:bCs/>
                <w:sz w:val="20"/>
                <w:szCs w:val="16"/>
                <w:lang w:eastAsia="de-DE"/>
              </w:rPr>
              <w:t>SQM Europe N.V.  Belgium</w:t>
            </w:r>
          </w:p>
        </w:tc>
      </w:tr>
      <w:tr w:rsidR="007B3916" w:rsidRPr="005264D5" w14:paraId="0557F5EF" w14:textId="77777777" w:rsidTr="00631D8F">
        <w:trPr>
          <w:trHeight w:val="1106"/>
        </w:trPr>
        <w:tc>
          <w:tcPr>
            <w:tcW w:w="3402" w:type="dxa"/>
          </w:tcPr>
          <w:p w14:paraId="36F9F6D0" w14:textId="77777777" w:rsidR="007B3916" w:rsidRPr="00631D8F" w:rsidRDefault="007B3916" w:rsidP="00631D8F">
            <w:pPr>
              <w:ind w:left="-108"/>
              <w:rPr>
                <w:b/>
                <w:sz w:val="20"/>
                <w:szCs w:val="16"/>
                <w:lang w:eastAsia="en-GB"/>
              </w:rPr>
            </w:pPr>
            <w:r w:rsidRPr="00631D8F">
              <w:rPr>
                <w:rFonts w:cs="Arial"/>
                <w:b/>
                <w:sz w:val="20"/>
                <w:szCs w:val="16"/>
              </w:rPr>
              <w:t>Address of the manufacturer</w:t>
            </w:r>
          </w:p>
        </w:tc>
        <w:tc>
          <w:tcPr>
            <w:tcW w:w="5670" w:type="dxa"/>
          </w:tcPr>
          <w:p w14:paraId="2E7E4881" w14:textId="77777777" w:rsidR="007B3916" w:rsidRPr="00631D8F" w:rsidRDefault="007B3916" w:rsidP="00631D8F">
            <w:pPr>
              <w:ind w:left="-108"/>
              <w:rPr>
                <w:rFonts w:cs="Arial"/>
                <w:sz w:val="20"/>
                <w:szCs w:val="16"/>
                <w:u w:val="single"/>
                <w:lang w:val="en-US"/>
              </w:rPr>
            </w:pPr>
            <w:r w:rsidRPr="00631D8F">
              <w:rPr>
                <w:rFonts w:cs="Arial"/>
                <w:sz w:val="20"/>
                <w:szCs w:val="16"/>
                <w:u w:val="single"/>
                <w:lang w:val="en-US"/>
              </w:rPr>
              <w:t xml:space="preserve">Bladgen Speciality Chemicals Ltd </w:t>
            </w:r>
          </w:p>
          <w:p w14:paraId="3DB04685"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Osprey House </w:t>
            </w:r>
          </w:p>
          <w:p w14:paraId="2E8E2500"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Black Eagle Square </w:t>
            </w:r>
          </w:p>
          <w:p w14:paraId="1E2E2BD2"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Westerham </w:t>
            </w:r>
          </w:p>
          <w:p w14:paraId="6C53E151"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TN16 1 PA Kent </w:t>
            </w:r>
          </w:p>
          <w:p w14:paraId="68F7CBF2" w14:textId="77777777" w:rsidR="007B3916" w:rsidRPr="00631D8F" w:rsidRDefault="007B3916" w:rsidP="00631D8F">
            <w:pPr>
              <w:ind w:left="-108"/>
              <w:rPr>
                <w:rFonts w:cs="Arial"/>
                <w:sz w:val="20"/>
                <w:szCs w:val="16"/>
                <w:lang w:val="es-ES"/>
              </w:rPr>
            </w:pPr>
            <w:r w:rsidRPr="00631D8F">
              <w:rPr>
                <w:rFonts w:cs="Arial"/>
                <w:sz w:val="20"/>
                <w:szCs w:val="16"/>
                <w:lang w:val="es-ES"/>
              </w:rPr>
              <w:t>United-Kingdom</w:t>
            </w:r>
          </w:p>
        </w:tc>
      </w:tr>
      <w:tr w:rsidR="007B3916" w14:paraId="6836E03E" w14:textId="77777777" w:rsidTr="00631D8F">
        <w:trPr>
          <w:trHeight w:val="622"/>
        </w:trPr>
        <w:tc>
          <w:tcPr>
            <w:tcW w:w="3402" w:type="dxa"/>
          </w:tcPr>
          <w:p w14:paraId="1A827E56"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w:t>
            </w:r>
          </w:p>
        </w:tc>
        <w:tc>
          <w:tcPr>
            <w:tcW w:w="5670" w:type="dxa"/>
          </w:tcPr>
          <w:p w14:paraId="1B3558AD" w14:textId="77777777" w:rsidR="007B3916" w:rsidRPr="00631D8F" w:rsidRDefault="007B3916" w:rsidP="00631D8F">
            <w:pPr>
              <w:ind w:left="-108"/>
              <w:rPr>
                <w:sz w:val="20"/>
                <w:szCs w:val="16"/>
                <w:lang w:val="es-ES"/>
              </w:rPr>
            </w:pPr>
            <w:r w:rsidRPr="00631D8F">
              <w:rPr>
                <w:sz w:val="20"/>
                <w:szCs w:val="16"/>
                <w:lang w:val="es-ES"/>
              </w:rPr>
              <w:t xml:space="preserve">Los militares 4290, </w:t>
            </w:r>
          </w:p>
          <w:p w14:paraId="6897977F" w14:textId="77777777" w:rsidR="007B3916" w:rsidRPr="00631D8F" w:rsidRDefault="007B3916" w:rsidP="00631D8F">
            <w:pPr>
              <w:ind w:left="-108"/>
              <w:rPr>
                <w:sz w:val="20"/>
                <w:szCs w:val="16"/>
                <w:lang w:val="es-ES"/>
              </w:rPr>
            </w:pPr>
            <w:r w:rsidRPr="00631D8F">
              <w:rPr>
                <w:sz w:val="20"/>
                <w:szCs w:val="16"/>
                <w:lang w:val="es-ES"/>
              </w:rPr>
              <w:t>Las Condes Santiago,</w:t>
            </w:r>
          </w:p>
          <w:p w14:paraId="1A9BDB40" w14:textId="77777777" w:rsidR="007B3916" w:rsidRPr="00631D8F" w:rsidRDefault="007B3916" w:rsidP="00631D8F">
            <w:pPr>
              <w:ind w:left="-108"/>
              <w:rPr>
                <w:sz w:val="20"/>
                <w:szCs w:val="16"/>
                <w:lang w:eastAsia="en-GB"/>
              </w:rPr>
            </w:pPr>
            <w:r w:rsidRPr="00631D8F">
              <w:rPr>
                <w:sz w:val="20"/>
                <w:szCs w:val="16"/>
                <w:lang w:val="en-US"/>
              </w:rPr>
              <w:t>Chile</w:t>
            </w:r>
          </w:p>
        </w:tc>
      </w:tr>
    </w:tbl>
    <w:p w14:paraId="1C459AFE" w14:textId="77777777" w:rsidR="007B3916" w:rsidRPr="007F3451" w:rsidRDefault="007B3916" w:rsidP="007B3916">
      <w:pPr>
        <w:rPr>
          <w:sz w:val="18"/>
          <w:szCs w:val="18"/>
          <w:lang w:eastAsia="en-GB"/>
        </w:rPr>
      </w:pPr>
      <w:r w:rsidRPr="007F3451">
        <w:rPr>
          <w:sz w:val="18"/>
          <w:szCs w:val="18"/>
          <w:lang w:eastAsia="en-GB"/>
        </w:rPr>
        <w:t>SQM Europe N.V. Belgium is in Article 95 List.</w:t>
      </w:r>
    </w:p>
    <w:p w14:paraId="3557CE67" w14:textId="77777777" w:rsidR="007B3916" w:rsidRDefault="007B3916" w:rsidP="007B3916">
      <w:pPr>
        <w:rPr>
          <w:sz w:val="18"/>
          <w:szCs w:val="18"/>
          <w:lang w:eastAsia="en-GB"/>
        </w:rPr>
      </w:pPr>
    </w:p>
    <w:tbl>
      <w:tblPr>
        <w:tblStyle w:val="Grilledutableau"/>
        <w:tblW w:w="0" w:type="auto"/>
        <w:tblInd w:w="108" w:type="dxa"/>
        <w:tblLayout w:type="fixed"/>
        <w:tblLook w:val="04A0" w:firstRow="1" w:lastRow="0" w:firstColumn="1" w:lastColumn="0" w:noHBand="0" w:noVBand="1"/>
      </w:tblPr>
      <w:tblGrid>
        <w:gridCol w:w="3402"/>
        <w:gridCol w:w="5670"/>
      </w:tblGrid>
      <w:tr w:rsidR="007B3916" w:rsidRPr="000F5C4B" w14:paraId="7134DB0F" w14:textId="77777777" w:rsidTr="00631D8F">
        <w:trPr>
          <w:trHeight w:val="162"/>
        </w:trPr>
        <w:tc>
          <w:tcPr>
            <w:tcW w:w="3402" w:type="dxa"/>
          </w:tcPr>
          <w:p w14:paraId="04960DE1" w14:textId="77777777" w:rsidR="007B3916" w:rsidRPr="00631D8F" w:rsidRDefault="007B3916" w:rsidP="00631D8F">
            <w:pPr>
              <w:ind w:left="-108"/>
              <w:rPr>
                <w:b/>
                <w:sz w:val="20"/>
                <w:szCs w:val="16"/>
                <w:lang w:eastAsia="en-GB"/>
              </w:rPr>
            </w:pPr>
            <w:r w:rsidRPr="00631D8F">
              <w:rPr>
                <w:rFonts w:cs="Arial"/>
                <w:b/>
                <w:sz w:val="20"/>
                <w:szCs w:val="16"/>
              </w:rPr>
              <w:t>Name of the manufacturer 3</w:t>
            </w:r>
          </w:p>
        </w:tc>
        <w:tc>
          <w:tcPr>
            <w:tcW w:w="5670" w:type="dxa"/>
          </w:tcPr>
          <w:p w14:paraId="0B9F16A8" w14:textId="77777777" w:rsidR="007B3916" w:rsidRPr="00631D8F" w:rsidRDefault="007B3916" w:rsidP="00631D8F">
            <w:pPr>
              <w:ind w:left="-108"/>
              <w:rPr>
                <w:rFonts w:cs="Arial"/>
                <w:sz w:val="20"/>
                <w:szCs w:val="16"/>
                <w:lang w:eastAsia="es-ES"/>
              </w:rPr>
            </w:pPr>
            <w:r w:rsidRPr="00631D8F">
              <w:rPr>
                <w:rFonts w:cs="Arial"/>
                <w:bCs/>
                <w:sz w:val="20"/>
                <w:szCs w:val="16"/>
                <w:lang w:eastAsia="de-DE"/>
              </w:rPr>
              <w:t>Alcoholes Montplet, S.A</w:t>
            </w:r>
          </w:p>
        </w:tc>
      </w:tr>
      <w:tr w:rsidR="007B3916" w:rsidRPr="000F5C4B" w14:paraId="1F22AF9F" w14:textId="77777777" w:rsidTr="00631D8F">
        <w:trPr>
          <w:trHeight w:val="674"/>
        </w:trPr>
        <w:tc>
          <w:tcPr>
            <w:tcW w:w="3402" w:type="dxa"/>
          </w:tcPr>
          <w:p w14:paraId="13C4B8DA" w14:textId="77777777" w:rsidR="007B3916" w:rsidRPr="00631D8F" w:rsidRDefault="007B3916" w:rsidP="00631D8F">
            <w:pPr>
              <w:ind w:left="-108"/>
              <w:rPr>
                <w:b/>
                <w:sz w:val="20"/>
                <w:szCs w:val="16"/>
                <w:lang w:eastAsia="en-GB"/>
              </w:rPr>
            </w:pPr>
            <w:r w:rsidRPr="00631D8F">
              <w:rPr>
                <w:rFonts w:cs="Arial"/>
                <w:b/>
                <w:sz w:val="20"/>
                <w:szCs w:val="16"/>
              </w:rPr>
              <w:t>Address of the manufacturer</w:t>
            </w:r>
          </w:p>
        </w:tc>
        <w:tc>
          <w:tcPr>
            <w:tcW w:w="5670" w:type="dxa"/>
          </w:tcPr>
          <w:p w14:paraId="7CF433F8" w14:textId="77777777" w:rsidR="007B3916" w:rsidRPr="00631D8F" w:rsidRDefault="007B3916" w:rsidP="00631D8F">
            <w:pPr>
              <w:ind w:left="-108"/>
              <w:rPr>
                <w:rFonts w:cs="Arial"/>
                <w:sz w:val="20"/>
                <w:szCs w:val="16"/>
                <w:u w:val="single"/>
                <w:lang w:val="en-US"/>
              </w:rPr>
            </w:pPr>
            <w:r w:rsidRPr="00631D8F">
              <w:rPr>
                <w:rFonts w:cs="Arial"/>
                <w:sz w:val="20"/>
                <w:szCs w:val="16"/>
                <w:u w:val="single"/>
                <w:lang w:val="en-US"/>
              </w:rPr>
              <w:t xml:space="preserve">American Iodine Company Inc. </w:t>
            </w:r>
          </w:p>
          <w:p w14:paraId="3F7ABAD0"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3120 Golden Springs Drive </w:t>
            </w:r>
          </w:p>
          <w:p w14:paraId="625D9201" w14:textId="77777777" w:rsidR="007B3916" w:rsidRPr="00631D8F" w:rsidRDefault="007B3916" w:rsidP="00631D8F">
            <w:pPr>
              <w:ind w:left="-108"/>
              <w:rPr>
                <w:rFonts w:cs="Arial"/>
                <w:sz w:val="20"/>
                <w:szCs w:val="16"/>
                <w:lang w:val="es-ES"/>
              </w:rPr>
            </w:pPr>
            <w:r w:rsidRPr="00631D8F">
              <w:rPr>
                <w:rFonts w:cs="Arial"/>
                <w:sz w:val="20"/>
                <w:szCs w:val="16"/>
                <w:lang w:val="es-ES"/>
              </w:rPr>
              <w:t xml:space="preserve">Plano TX 75025 </w:t>
            </w:r>
          </w:p>
          <w:p w14:paraId="3AB72567" w14:textId="77777777" w:rsidR="007B3916" w:rsidRPr="00631D8F" w:rsidRDefault="007B3916" w:rsidP="00631D8F">
            <w:pPr>
              <w:ind w:left="-108"/>
              <w:rPr>
                <w:rFonts w:cs="Arial"/>
                <w:sz w:val="20"/>
                <w:szCs w:val="16"/>
                <w:lang w:val="es-ES"/>
              </w:rPr>
            </w:pPr>
            <w:r w:rsidRPr="00631D8F">
              <w:rPr>
                <w:rFonts w:cs="Arial"/>
                <w:sz w:val="20"/>
                <w:szCs w:val="16"/>
                <w:lang w:val="es-ES"/>
              </w:rPr>
              <w:t>USA</w:t>
            </w:r>
          </w:p>
        </w:tc>
      </w:tr>
      <w:tr w:rsidR="007B3916" w:rsidRPr="000F5C4B" w14:paraId="07C6BB22" w14:textId="77777777" w:rsidTr="00631D8F">
        <w:trPr>
          <w:trHeight w:val="835"/>
        </w:trPr>
        <w:tc>
          <w:tcPr>
            <w:tcW w:w="3402" w:type="dxa"/>
          </w:tcPr>
          <w:p w14:paraId="10B81A04"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 1:</w:t>
            </w:r>
          </w:p>
        </w:tc>
        <w:tc>
          <w:tcPr>
            <w:tcW w:w="5670" w:type="dxa"/>
          </w:tcPr>
          <w:p w14:paraId="01CAC839" w14:textId="77777777" w:rsidR="007B3916" w:rsidRPr="00631D8F" w:rsidRDefault="007B3916" w:rsidP="00631D8F">
            <w:pPr>
              <w:ind w:left="-108"/>
              <w:rPr>
                <w:sz w:val="20"/>
                <w:szCs w:val="16"/>
                <w:lang w:val="es-ES"/>
              </w:rPr>
            </w:pPr>
            <w:r w:rsidRPr="00631D8F">
              <w:rPr>
                <w:sz w:val="20"/>
                <w:szCs w:val="16"/>
                <w:lang w:val="es-ES"/>
              </w:rPr>
              <w:t>Cosayach S.A. Compania de Salitre y Yodo –</w:t>
            </w:r>
          </w:p>
          <w:p w14:paraId="5B6FF218" w14:textId="77777777" w:rsidR="007B3916" w:rsidRPr="00631D8F" w:rsidRDefault="007B3916" w:rsidP="00631D8F">
            <w:pPr>
              <w:ind w:left="-108"/>
              <w:rPr>
                <w:sz w:val="20"/>
                <w:szCs w:val="16"/>
                <w:lang w:val="es-ES"/>
              </w:rPr>
            </w:pPr>
            <w:r w:rsidRPr="00631D8F">
              <w:rPr>
                <w:sz w:val="20"/>
                <w:szCs w:val="16"/>
                <w:lang w:val="es-ES"/>
              </w:rPr>
              <w:t xml:space="preserve">Amunategui 178, </w:t>
            </w:r>
          </w:p>
          <w:p w14:paraId="70A7762F" w14:textId="77777777" w:rsidR="007B3916" w:rsidRPr="00631D8F" w:rsidRDefault="007B3916" w:rsidP="00631D8F">
            <w:pPr>
              <w:ind w:left="-108"/>
              <w:rPr>
                <w:sz w:val="20"/>
                <w:szCs w:val="16"/>
                <w:lang w:val="es-ES"/>
              </w:rPr>
            </w:pPr>
            <w:r w:rsidRPr="00631D8F">
              <w:rPr>
                <w:sz w:val="20"/>
                <w:szCs w:val="16"/>
                <w:lang w:val="es-ES"/>
              </w:rPr>
              <w:t xml:space="preserve">Santiago, </w:t>
            </w:r>
          </w:p>
          <w:p w14:paraId="636DD665" w14:textId="77777777" w:rsidR="007B3916" w:rsidRPr="00631D8F" w:rsidRDefault="007B3916" w:rsidP="00631D8F">
            <w:pPr>
              <w:ind w:left="-108"/>
              <w:rPr>
                <w:sz w:val="20"/>
                <w:szCs w:val="16"/>
                <w:lang w:val="es-ES" w:eastAsia="en-GB"/>
              </w:rPr>
            </w:pPr>
            <w:r w:rsidRPr="00631D8F">
              <w:rPr>
                <w:sz w:val="20"/>
                <w:szCs w:val="16"/>
                <w:lang w:val="es-ES"/>
              </w:rPr>
              <w:t>Chile</w:t>
            </w:r>
          </w:p>
        </w:tc>
      </w:tr>
      <w:tr w:rsidR="007B3916" w:rsidRPr="000F5C4B" w14:paraId="78AD5ACC" w14:textId="77777777" w:rsidTr="00631D8F">
        <w:trPr>
          <w:trHeight w:val="710"/>
        </w:trPr>
        <w:tc>
          <w:tcPr>
            <w:tcW w:w="3402" w:type="dxa"/>
          </w:tcPr>
          <w:p w14:paraId="6E05C40A"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 2:</w:t>
            </w:r>
          </w:p>
        </w:tc>
        <w:tc>
          <w:tcPr>
            <w:tcW w:w="5670" w:type="dxa"/>
          </w:tcPr>
          <w:p w14:paraId="6E3EB8C7" w14:textId="77777777" w:rsidR="007B3916" w:rsidRPr="00631D8F" w:rsidRDefault="007B3916" w:rsidP="00631D8F">
            <w:pPr>
              <w:ind w:left="-108"/>
              <w:rPr>
                <w:sz w:val="20"/>
                <w:szCs w:val="16"/>
                <w:lang w:val="es-ES"/>
              </w:rPr>
            </w:pPr>
            <w:r w:rsidRPr="00631D8F">
              <w:rPr>
                <w:sz w:val="20"/>
                <w:szCs w:val="16"/>
                <w:lang w:val="es-ES"/>
              </w:rPr>
              <w:t>ACF Minera SA,</w:t>
            </w:r>
          </w:p>
          <w:p w14:paraId="7743A1F3" w14:textId="77777777" w:rsidR="007B3916" w:rsidRPr="00631D8F" w:rsidRDefault="007B3916" w:rsidP="00631D8F">
            <w:pPr>
              <w:ind w:left="-108"/>
              <w:rPr>
                <w:sz w:val="20"/>
                <w:szCs w:val="16"/>
                <w:lang w:val="es-ES"/>
              </w:rPr>
            </w:pPr>
            <w:r w:rsidRPr="00631D8F">
              <w:rPr>
                <w:sz w:val="20"/>
                <w:szCs w:val="16"/>
                <w:lang w:val="es-ES"/>
              </w:rPr>
              <w:t>Serrano 498,</w:t>
            </w:r>
          </w:p>
          <w:p w14:paraId="78A8EAA0" w14:textId="77777777" w:rsidR="007B3916" w:rsidRPr="00631D8F" w:rsidRDefault="007B3916" w:rsidP="00631D8F">
            <w:pPr>
              <w:ind w:left="-108"/>
              <w:rPr>
                <w:sz w:val="20"/>
                <w:szCs w:val="16"/>
                <w:lang w:val="es-ES"/>
              </w:rPr>
            </w:pPr>
            <w:r w:rsidRPr="00631D8F">
              <w:rPr>
                <w:sz w:val="20"/>
                <w:szCs w:val="16"/>
                <w:lang w:val="es-ES"/>
              </w:rPr>
              <w:t xml:space="preserve">Iquique, </w:t>
            </w:r>
          </w:p>
          <w:p w14:paraId="033DE601" w14:textId="77777777" w:rsidR="007B3916" w:rsidRPr="00631D8F" w:rsidRDefault="007B3916" w:rsidP="00631D8F">
            <w:pPr>
              <w:ind w:left="-108"/>
              <w:rPr>
                <w:sz w:val="20"/>
                <w:szCs w:val="16"/>
                <w:lang w:eastAsia="en-GB"/>
              </w:rPr>
            </w:pPr>
            <w:r w:rsidRPr="00631D8F">
              <w:rPr>
                <w:sz w:val="20"/>
                <w:szCs w:val="16"/>
                <w:lang w:val="es-ES"/>
              </w:rPr>
              <w:t>Chile</w:t>
            </w:r>
          </w:p>
        </w:tc>
      </w:tr>
    </w:tbl>
    <w:p w14:paraId="2D814B49" w14:textId="77777777" w:rsidR="007B3916" w:rsidRDefault="007B3916" w:rsidP="007B3916">
      <w:pPr>
        <w:rPr>
          <w:sz w:val="18"/>
          <w:szCs w:val="18"/>
          <w:lang w:eastAsia="en-GB"/>
        </w:rPr>
      </w:pPr>
    </w:p>
    <w:tbl>
      <w:tblPr>
        <w:tblStyle w:val="Grilledutableau"/>
        <w:tblW w:w="0" w:type="auto"/>
        <w:tblInd w:w="108" w:type="dxa"/>
        <w:tblLayout w:type="fixed"/>
        <w:tblLook w:val="04A0" w:firstRow="1" w:lastRow="0" w:firstColumn="1" w:lastColumn="0" w:noHBand="0" w:noVBand="1"/>
      </w:tblPr>
      <w:tblGrid>
        <w:gridCol w:w="3402"/>
        <w:gridCol w:w="5670"/>
      </w:tblGrid>
      <w:tr w:rsidR="007B3916" w:rsidRPr="000F5C4B" w14:paraId="24729A59" w14:textId="77777777" w:rsidTr="00631D8F">
        <w:trPr>
          <w:trHeight w:val="152"/>
        </w:trPr>
        <w:tc>
          <w:tcPr>
            <w:tcW w:w="3402" w:type="dxa"/>
          </w:tcPr>
          <w:p w14:paraId="5431EDC9" w14:textId="77777777" w:rsidR="007B3916" w:rsidRPr="00631D8F" w:rsidRDefault="007B3916" w:rsidP="00631D8F">
            <w:pPr>
              <w:ind w:left="-108"/>
              <w:rPr>
                <w:b/>
                <w:sz w:val="20"/>
                <w:szCs w:val="16"/>
                <w:lang w:eastAsia="en-GB"/>
              </w:rPr>
            </w:pPr>
            <w:r w:rsidRPr="00631D8F">
              <w:rPr>
                <w:rFonts w:cs="Arial"/>
                <w:b/>
                <w:sz w:val="20"/>
                <w:szCs w:val="16"/>
              </w:rPr>
              <w:t>Name of the manufacturer 4</w:t>
            </w:r>
          </w:p>
        </w:tc>
        <w:tc>
          <w:tcPr>
            <w:tcW w:w="5670" w:type="dxa"/>
          </w:tcPr>
          <w:p w14:paraId="1A7C0FB0" w14:textId="77777777" w:rsidR="007B3916" w:rsidRPr="00631D8F" w:rsidRDefault="007B3916" w:rsidP="00631D8F">
            <w:pPr>
              <w:ind w:left="-108"/>
              <w:rPr>
                <w:rFonts w:cs="Arial"/>
                <w:sz w:val="20"/>
                <w:szCs w:val="16"/>
                <w:lang w:eastAsia="es-ES"/>
              </w:rPr>
            </w:pPr>
            <w:r w:rsidRPr="00631D8F">
              <w:rPr>
                <w:rFonts w:cs="Arial"/>
                <w:bCs/>
                <w:sz w:val="20"/>
                <w:szCs w:val="16"/>
                <w:lang w:eastAsia="de-DE"/>
              </w:rPr>
              <w:t>Alcoholes Montplet, S.A</w:t>
            </w:r>
          </w:p>
        </w:tc>
      </w:tr>
      <w:tr w:rsidR="007B3916" w:rsidRPr="000F5C4B" w14:paraId="5566C577" w14:textId="77777777" w:rsidTr="00631D8F">
        <w:trPr>
          <w:trHeight w:val="632"/>
        </w:trPr>
        <w:tc>
          <w:tcPr>
            <w:tcW w:w="3402" w:type="dxa"/>
          </w:tcPr>
          <w:p w14:paraId="5B97FFC7" w14:textId="77777777" w:rsidR="007B3916" w:rsidRPr="00631D8F" w:rsidRDefault="007B3916" w:rsidP="00631D8F">
            <w:pPr>
              <w:ind w:left="-108"/>
              <w:rPr>
                <w:b/>
                <w:sz w:val="20"/>
                <w:szCs w:val="16"/>
                <w:lang w:eastAsia="en-GB"/>
              </w:rPr>
            </w:pPr>
            <w:r w:rsidRPr="00631D8F">
              <w:rPr>
                <w:rFonts w:cs="Arial"/>
                <w:b/>
                <w:sz w:val="20"/>
                <w:szCs w:val="16"/>
              </w:rPr>
              <w:t>Address of the manufacturer</w:t>
            </w:r>
          </w:p>
        </w:tc>
        <w:tc>
          <w:tcPr>
            <w:tcW w:w="5670" w:type="dxa"/>
          </w:tcPr>
          <w:p w14:paraId="713C5F04" w14:textId="77777777" w:rsidR="007B3916" w:rsidRPr="00631D8F" w:rsidRDefault="007B3916" w:rsidP="00631D8F">
            <w:pPr>
              <w:ind w:left="-108"/>
              <w:rPr>
                <w:rFonts w:cs="Arial"/>
                <w:sz w:val="20"/>
                <w:szCs w:val="16"/>
                <w:u w:val="single"/>
                <w:lang w:val="en-US"/>
              </w:rPr>
            </w:pPr>
            <w:r w:rsidRPr="00631D8F">
              <w:rPr>
                <w:rFonts w:cs="Arial"/>
                <w:sz w:val="20"/>
                <w:szCs w:val="16"/>
                <w:u w:val="single"/>
                <w:lang w:val="en-US"/>
              </w:rPr>
              <w:t xml:space="preserve">Norkem Limited </w:t>
            </w:r>
          </w:p>
          <w:p w14:paraId="3416019B"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Bexton Lane, Knutsford </w:t>
            </w:r>
          </w:p>
          <w:p w14:paraId="4B48798A"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Cheshire, WA 16 9FB </w:t>
            </w:r>
          </w:p>
          <w:p w14:paraId="366B81FE" w14:textId="77777777" w:rsidR="007B3916" w:rsidRPr="00631D8F" w:rsidRDefault="007B3916" w:rsidP="00631D8F">
            <w:pPr>
              <w:ind w:left="-108"/>
              <w:rPr>
                <w:rFonts w:cs="Arial"/>
                <w:sz w:val="20"/>
                <w:szCs w:val="16"/>
                <w:lang w:val="es-ES"/>
              </w:rPr>
            </w:pPr>
            <w:r w:rsidRPr="00631D8F">
              <w:rPr>
                <w:rFonts w:cs="Arial"/>
                <w:sz w:val="20"/>
                <w:szCs w:val="16"/>
                <w:lang w:val="en-US"/>
              </w:rPr>
              <w:t>United-Kingdom</w:t>
            </w:r>
          </w:p>
        </w:tc>
      </w:tr>
      <w:tr w:rsidR="007B3916" w:rsidRPr="000F5C4B" w14:paraId="7EEF668C" w14:textId="77777777" w:rsidTr="00631D8F">
        <w:trPr>
          <w:trHeight w:val="783"/>
        </w:trPr>
        <w:tc>
          <w:tcPr>
            <w:tcW w:w="3402" w:type="dxa"/>
          </w:tcPr>
          <w:p w14:paraId="62B2380D"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 1:</w:t>
            </w:r>
          </w:p>
        </w:tc>
        <w:tc>
          <w:tcPr>
            <w:tcW w:w="5670" w:type="dxa"/>
          </w:tcPr>
          <w:p w14:paraId="6A1D320C" w14:textId="77777777" w:rsidR="007B3916" w:rsidRPr="00631D8F" w:rsidRDefault="007B3916" w:rsidP="00631D8F">
            <w:pPr>
              <w:ind w:left="-108"/>
              <w:rPr>
                <w:sz w:val="20"/>
                <w:szCs w:val="16"/>
                <w:lang w:val="es-ES"/>
              </w:rPr>
            </w:pPr>
            <w:r w:rsidRPr="00631D8F">
              <w:rPr>
                <w:sz w:val="20"/>
                <w:szCs w:val="16"/>
                <w:lang w:val="es-ES"/>
              </w:rPr>
              <w:t>Cosayach S.A. Compania de Salitre y Yodo –</w:t>
            </w:r>
          </w:p>
          <w:p w14:paraId="7D15E2B4" w14:textId="77777777" w:rsidR="007B3916" w:rsidRPr="00631D8F" w:rsidRDefault="007B3916" w:rsidP="00631D8F">
            <w:pPr>
              <w:ind w:left="-108"/>
              <w:rPr>
                <w:sz w:val="20"/>
                <w:szCs w:val="16"/>
                <w:lang w:val="es-ES"/>
              </w:rPr>
            </w:pPr>
            <w:r w:rsidRPr="00631D8F">
              <w:rPr>
                <w:sz w:val="20"/>
                <w:szCs w:val="16"/>
                <w:lang w:val="es-ES"/>
              </w:rPr>
              <w:t xml:space="preserve">Amunategui 178, </w:t>
            </w:r>
          </w:p>
          <w:p w14:paraId="4BA70641" w14:textId="77777777" w:rsidR="007B3916" w:rsidRPr="00631D8F" w:rsidRDefault="007B3916" w:rsidP="00631D8F">
            <w:pPr>
              <w:ind w:left="-108"/>
              <w:rPr>
                <w:sz w:val="20"/>
                <w:szCs w:val="16"/>
                <w:lang w:val="es-ES"/>
              </w:rPr>
            </w:pPr>
            <w:r w:rsidRPr="00631D8F">
              <w:rPr>
                <w:sz w:val="20"/>
                <w:szCs w:val="16"/>
                <w:lang w:val="es-ES"/>
              </w:rPr>
              <w:t xml:space="preserve">Santiago, </w:t>
            </w:r>
          </w:p>
          <w:p w14:paraId="61A7D6FC" w14:textId="77777777" w:rsidR="007B3916" w:rsidRPr="00631D8F" w:rsidRDefault="007B3916" w:rsidP="00631D8F">
            <w:pPr>
              <w:ind w:left="-108"/>
              <w:rPr>
                <w:sz w:val="20"/>
                <w:szCs w:val="16"/>
                <w:lang w:val="es-ES" w:eastAsia="en-GB"/>
              </w:rPr>
            </w:pPr>
            <w:r w:rsidRPr="00631D8F">
              <w:rPr>
                <w:sz w:val="20"/>
                <w:szCs w:val="16"/>
                <w:lang w:val="es-ES"/>
              </w:rPr>
              <w:t>Chile</w:t>
            </w:r>
          </w:p>
        </w:tc>
      </w:tr>
      <w:tr w:rsidR="007B3916" w:rsidRPr="000F5C4B" w14:paraId="17098B99" w14:textId="77777777" w:rsidTr="00631D8F">
        <w:trPr>
          <w:trHeight w:val="666"/>
        </w:trPr>
        <w:tc>
          <w:tcPr>
            <w:tcW w:w="3402" w:type="dxa"/>
          </w:tcPr>
          <w:p w14:paraId="413E035E"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 2:</w:t>
            </w:r>
          </w:p>
        </w:tc>
        <w:tc>
          <w:tcPr>
            <w:tcW w:w="5670" w:type="dxa"/>
          </w:tcPr>
          <w:p w14:paraId="03140664" w14:textId="77777777" w:rsidR="007B3916" w:rsidRPr="00631D8F" w:rsidRDefault="007B3916" w:rsidP="00631D8F">
            <w:pPr>
              <w:ind w:left="-108"/>
              <w:rPr>
                <w:sz w:val="20"/>
                <w:szCs w:val="16"/>
                <w:lang w:val="es-ES"/>
              </w:rPr>
            </w:pPr>
            <w:r w:rsidRPr="00631D8F">
              <w:rPr>
                <w:sz w:val="20"/>
                <w:szCs w:val="16"/>
                <w:lang w:val="es-ES"/>
              </w:rPr>
              <w:t>ACF Minera SA,</w:t>
            </w:r>
          </w:p>
          <w:p w14:paraId="3245EA9E" w14:textId="77777777" w:rsidR="007B3916" w:rsidRPr="00631D8F" w:rsidRDefault="007B3916" w:rsidP="00631D8F">
            <w:pPr>
              <w:ind w:left="-108"/>
              <w:rPr>
                <w:sz w:val="20"/>
                <w:szCs w:val="16"/>
                <w:lang w:val="es-ES"/>
              </w:rPr>
            </w:pPr>
            <w:r w:rsidRPr="00631D8F">
              <w:rPr>
                <w:sz w:val="20"/>
                <w:szCs w:val="16"/>
                <w:lang w:val="es-ES"/>
              </w:rPr>
              <w:t>Serrano 498,</w:t>
            </w:r>
          </w:p>
          <w:p w14:paraId="3F468365" w14:textId="77777777" w:rsidR="007B3916" w:rsidRPr="00631D8F" w:rsidRDefault="007B3916" w:rsidP="00631D8F">
            <w:pPr>
              <w:ind w:left="-108"/>
              <w:rPr>
                <w:sz w:val="20"/>
                <w:szCs w:val="16"/>
                <w:lang w:val="es-ES"/>
              </w:rPr>
            </w:pPr>
            <w:r w:rsidRPr="00631D8F">
              <w:rPr>
                <w:sz w:val="20"/>
                <w:szCs w:val="16"/>
                <w:lang w:val="es-ES"/>
              </w:rPr>
              <w:t xml:space="preserve">Iquique, </w:t>
            </w:r>
          </w:p>
          <w:p w14:paraId="0F2B9BED" w14:textId="77777777" w:rsidR="007B3916" w:rsidRPr="00631D8F" w:rsidRDefault="007B3916" w:rsidP="00631D8F">
            <w:pPr>
              <w:ind w:left="-108"/>
              <w:rPr>
                <w:sz w:val="20"/>
                <w:szCs w:val="16"/>
                <w:lang w:eastAsia="en-GB"/>
              </w:rPr>
            </w:pPr>
            <w:r w:rsidRPr="00631D8F">
              <w:rPr>
                <w:sz w:val="20"/>
                <w:szCs w:val="16"/>
                <w:lang w:val="es-ES"/>
              </w:rPr>
              <w:t>Chile</w:t>
            </w:r>
          </w:p>
        </w:tc>
      </w:tr>
    </w:tbl>
    <w:p w14:paraId="643D1E68" w14:textId="77777777" w:rsidR="007B3916" w:rsidRDefault="007B3916" w:rsidP="007B3916">
      <w:pPr>
        <w:rPr>
          <w:sz w:val="18"/>
          <w:szCs w:val="18"/>
          <w:lang w:eastAsia="en-GB"/>
        </w:rPr>
      </w:pPr>
    </w:p>
    <w:tbl>
      <w:tblPr>
        <w:tblStyle w:val="Grilledutableau"/>
        <w:tblW w:w="0" w:type="auto"/>
        <w:tblInd w:w="108" w:type="dxa"/>
        <w:tblLayout w:type="fixed"/>
        <w:tblLook w:val="04A0" w:firstRow="1" w:lastRow="0" w:firstColumn="1" w:lastColumn="0" w:noHBand="0" w:noVBand="1"/>
      </w:tblPr>
      <w:tblGrid>
        <w:gridCol w:w="3402"/>
        <w:gridCol w:w="5670"/>
      </w:tblGrid>
      <w:tr w:rsidR="007B3916" w14:paraId="6438AF6E" w14:textId="77777777" w:rsidTr="00631D8F">
        <w:trPr>
          <w:trHeight w:val="147"/>
        </w:trPr>
        <w:tc>
          <w:tcPr>
            <w:tcW w:w="3402" w:type="dxa"/>
          </w:tcPr>
          <w:p w14:paraId="17C473F8" w14:textId="77777777" w:rsidR="007B3916" w:rsidRPr="00631D8F" w:rsidRDefault="007B3916" w:rsidP="00631D8F">
            <w:pPr>
              <w:ind w:left="-108"/>
              <w:rPr>
                <w:b/>
                <w:sz w:val="20"/>
                <w:szCs w:val="16"/>
                <w:lang w:eastAsia="en-GB"/>
              </w:rPr>
            </w:pPr>
            <w:r w:rsidRPr="00631D8F">
              <w:rPr>
                <w:rFonts w:cs="Arial"/>
                <w:b/>
                <w:sz w:val="20"/>
                <w:szCs w:val="16"/>
              </w:rPr>
              <w:t>Name of the manufacturer 5</w:t>
            </w:r>
          </w:p>
        </w:tc>
        <w:tc>
          <w:tcPr>
            <w:tcW w:w="5670" w:type="dxa"/>
          </w:tcPr>
          <w:p w14:paraId="66A1B20E" w14:textId="77777777" w:rsidR="007B3916" w:rsidRPr="00631D8F" w:rsidRDefault="007B3916" w:rsidP="00631D8F">
            <w:pPr>
              <w:ind w:left="-108"/>
              <w:rPr>
                <w:rFonts w:cs="Arial"/>
                <w:sz w:val="20"/>
                <w:szCs w:val="16"/>
                <w:lang w:eastAsia="es-ES"/>
              </w:rPr>
            </w:pPr>
            <w:r w:rsidRPr="00631D8F">
              <w:rPr>
                <w:rFonts w:cs="Arial"/>
                <w:bCs/>
                <w:sz w:val="20"/>
                <w:szCs w:val="16"/>
                <w:lang w:eastAsia="de-DE"/>
              </w:rPr>
              <w:t>Alcoholes Montplet, S.A</w:t>
            </w:r>
          </w:p>
        </w:tc>
      </w:tr>
      <w:tr w:rsidR="007B3916" w:rsidRPr="00F2670B" w14:paraId="65F417CC" w14:textId="77777777" w:rsidTr="00631D8F">
        <w:trPr>
          <w:trHeight w:val="756"/>
        </w:trPr>
        <w:tc>
          <w:tcPr>
            <w:tcW w:w="3402" w:type="dxa"/>
          </w:tcPr>
          <w:p w14:paraId="6DAF01D3" w14:textId="77777777" w:rsidR="007B3916" w:rsidRPr="00631D8F" w:rsidRDefault="007B3916" w:rsidP="00631D8F">
            <w:pPr>
              <w:ind w:left="-108"/>
              <w:rPr>
                <w:b/>
                <w:sz w:val="20"/>
                <w:szCs w:val="16"/>
                <w:lang w:eastAsia="en-GB"/>
              </w:rPr>
            </w:pPr>
            <w:r w:rsidRPr="00631D8F">
              <w:rPr>
                <w:rFonts w:cs="Arial"/>
                <w:b/>
                <w:sz w:val="20"/>
                <w:szCs w:val="16"/>
              </w:rPr>
              <w:t>Address of the manufacturer</w:t>
            </w:r>
          </w:p>
        </w:tc>
        <w:tc>
          <w:tcPr>
            <w:tcW w:w="5670" w:type="dxa"/>
          </w:tcPr>
          <w:p w14:paraId="6DE5E6F2" w14:textId="77777777" w:rsidR="007B3916" w:rsidRPr="00631D8F" w:rsidRDefault="007B3916" w:rsidP="00631D8F">
            <w:pPr>
              <w:ind w:left="-108"/>
              <w:rPr>
                <w:rFonts w:cs="Arial"/>
                <w:sz w:val="20"/>
                <w:szCs w:val="16"/>
                <w:u w:val="single"/>
                <w:lang w:val="en-US"/>
              </w:rPr>
            </w:pPr>
            <w:r w:rsidRPr="00631D8F">
              <w:rPr>
                <w:rFonts w:cs="Arial"/>
                <w:sz w:val="20"/>
                <w:szCs w:val="16"/>
                <w:u w:val="single"/>
                <w:lang w:val="en-US"/>
              </w:rPr>
              <w:t>Pantheon European Office</w:t>
            </w:r>
          </w:p>
          <w:p w14:paraId="27D9D650"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Norkem Limited </w:t>
            </w:r>
          </w:p>
          <w:p w14:paraId="6AFF9367"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Julianalaan 11 </w:t>
            </w:r>
          </w:p>
          <w:p w14:paraId="69C6B62D"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3708 BA Zeist </w:t>
            </w:r>
          </w:p>
          <w:p w14:paraId="0747BB96" w14:textId="77777777" w:rsidR="007B3916" w:rsidRPr="00631D8F" w:rsidRDefault="007B3916" w:rsidP="00631D8F">
            <w:pPr>
              <w:ind w:left="-108"/>
              <w:rPr>
                <w:rFonts w:cs="Arial"/>
                <w:sz w:val="20"/>
                <w:szCs w:val="16"/>
                <w:lang w:val="en-US"/>
              </w:rPr>
            </w:pPr>
            <w:r w:rsidRPr="00631D8F">
              <w:rPr>
                <w:rFonts w:cs="Arial"/>
                <w:sz w:val="20"/>
                <w:szCs w:val="16"/>
                <w:lang w:val="en-US"/>
              </w:rPr>
              <w:lastRenderedPageBreak/>
              <w:t>The Netherlands</w:t>
            </w:r>
          </w:p>
        </w:tc>
      </w:tr>
      <w:tr w:rsidR="007B3916" w:rsidRPr="00FF4D3E" w14:paraId="787391CE" w14:textId="77777777" w:rsidTr="00631D8F">
        <w:trPr>
          <w:trHeight w:val="768"/>
        </w:trPr>
        <w:tc>
          <w:tcPr>
            <w:tcW w:w="3402" w:type="dxa"/>
          </w:tcPr>
          <w:p w14:paraId="6041D0B0" w14:textId="77777777" w:rsidR="007B3916" w:rsidRPr="00631D8F" w:rsidRDefault="007B3916" w:rsidP="00631D8F">
            <w:pPr>
              <w:ind w:left="-108"/>
              <w:rPr>
                <w:b/>
                <w:sz w:val="20"/>
                <w:szCs w:val="16"/>
                <w:lang w:eastAsia="en-GB"/>
              </w:rPr>
            </w:pPr>
            <w:r w:rsidRPr="00631D8F">
              <w:rPr>
                <w:b/>
                <w:bCs/>
                <w:color w:val="000000"/>
                <w:sz w:val="20"/>
                <w:szCs w:val="16"/>
                <w:lang w:eastAsia="en-GB"/>
              </w:rPr>
              <w:lastRenderedPageBreak/>
              <w:t>Location of manufacturing sites 1:</w:t>
            </w:r>
          </w:p>
        </w:tc>
        <w:tc>
          <w:tcPr>
            <w:tcW w:w="5670" w:type="dxa"/>
          </w:tcPr>
          <w:p w14:paraId="57EFD923" w14:textId="77777777" w:rsidR="007B3916" w:rsidRPr="00631D8F" w:rsidRDefault="007B3916" w:rsidP="00631D8F">
            <w:pPr>
              <w:ind w:left="-108"/>
              <w:rPr>
                <w:sz w:val="20"/>
                <w:szCs w:val="16"/>
                <w:lang w:val="es-ES"/>
              </w:rPr>
            </w:pPr>
            <w:r w:rsidRPr="00631D8F">
              <w:rPr>
                <w:sz w:val="20"/>
                <w:szCs w:val="16"/>
                <w:lang w:val="es-ES"/>
              </w:rPr>
              <w:t>Cosayach S.A. Compania de Salitre y Yodo –</w:t>
            </w:r>
          </w:p>
          <w:p w14:paraId="2769EE74" w14:textId="77777777" w:rsidR="007B3916" w:rsidRPr="00631D8F" w:rsidRDefault="007B3916" w:rsidP="00631D8F">
            <w:pPr>
              <w:ind w:left="-108"/>
              <w:rPr>
                <w:sz w:val="20"/>
                <w:szCs w:val="16"/>
                <w:lang w:val="es-ES"/>
              </w:rPr>
            </w:pPr>
            <w:r w:rsidRPr="00631D8F">
              <w:rPr>
                <w:sz w:val="20"/>
                <w:szCs w:val="16"/>
                <w:lang w:val="es-ES"/>
              </w:rPr>
              <w:t xml:space="preserve">Amunategui 178, </w:t>
            </w:r>
          </w:p>
          <w:p w14:paraId="25EDB0B5" w14:textId="77777777" w:rsidR="007B3916" w:rsidRPr="00631D8F" w:rsidRDefault="007B3916" w:rsidP="00631D8F">
            <w:pPr>
              <w:ind w:left="-108"/>
              <w:rPr>
                <w:sz w:val="20"/>
                <w:szCs w:val="16"/>
                <w:lang w:val="es-ES"/>
              </w:rPr>
            </w:pPr>
            <w:r w:rsidRPr="00631D8F">
              <w:rPr>
                <w:sz w:val="20"/>
                <w:szCs w:val="16"/>
                <w:lang w:val="es-ES"/>
              </w:rPr>
              <w:t xml:space="preserve">Santiago, </w:t>
            </w:r>
          </w:p>
          <w:p w14:paraId="2AA0DE0E" w14:textId="77777777" w:rsidR="007B3916" w:rsidRPr="00631D8F" w:rsidRDefault="007B3916" w:rsidP="00631D8F">
            <w:pPr>
              <w:ind w:left="-108"/>
              <w:rPr>
                <w:sz w:val="20"/>
                <w:szCs w:val="16"/>
                <w:lang w:val="es-ES" w:eastAsia="en-GB"/>
              </w:rPr>
            </w:pPr>
            <w:r w:rsidRPr="00631D8F">
              <w:rPr>
                <w:sz w:val="20"/>
                <w:szCs w:val="16"/>
                <w:lang w:val="es-ES"/>
              </w:rPr>
              <w:t>Chile</w:t>
            </w:r>
          </w:p>
        </w:tc>
      </w:tr>
      <w:tr w:rsidR="007B3916" w14:paraId="046EEFF6" w14:textId="77777777" w:rsidTr="00631D8F">
        <w:trPr>
          <w:trHeight w:val="632"/>
        </w:trPr>
        <w:tc>
          <w:tcPr>
            <w:tcW w:w="3402" w:type="dxa"/>
          </w:tcPr>
          <w:p w14:paraId="04AD7A0F"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 2:</w:t>
            </w:r>
          </w:p>
        </w:tc>
        <w:tc>
          <w:tcPr>
            <w:tcW w:w="5670" w:type="dxa"/>
          </w:tcPr>
          <w:p w14:paraId="0E304C6C" w14:textId="77777777" w:rsidR="007B3916" w:rsidRPr="00631D8F" w:rsidRDefault="007B3916" w:rsidP="00631D8F">
            <w:pPr>
              <w:spacing w:line="276" w:lineRule="auto"/>
              <w:ind w:left="-108"/>
              <w:rPr>
                <w:sz w:val="20"/>
                <w:szCs w:val="16"/>
                <w:lang w:val="es-ES"/>
              </w:rPr>
            </w:pPr>
            <w:r w:rsidRPr="00631D8F">
              <w:rPr>
                <w:sz w:val="20"/>
                <w:szCs w:val="16"/>
                <w:lang w:val="es-ES"/>
              </w:rPr>
              <w:t>ACF Minera SA,</w:t>
            </w:r>
          </w:p>
          <w:p w14:paraId="6DF07CD6" w14:textId="77777777" w:rsidR="007B3916" w:rsidRPr="00631D8F" w:rsidRDefault="007B3916" w:rsidP="00631D8F">
            <w:pPr>
              <w:ind w:left="-108"/>
              <w:rPr>
                <w:sz w:val="20"/>
                <w:szCs w:val="16"/>
                <w:lang w:val="es-ES"/>
              </w:rPr>
            </w:pPr>
            <w:r w:rsidRPr="00631D8F">
              <w:rPr>
                <w:sz w:val="20"/>
                <w:szCs w:val="16"/>
                <w:lang w:val="es-ES"/>
              </w:rPr>
              <w:t>Serrano 498,</w:t>
            </w:r>
          </w:p>
          <w:p w14:paraId="3DF20106" w14:textId="77777777" w:rsidR="007B3916" w:rsidRPr="00631D8F" w:rsidRDefault="007B3916" w:rsidP="00631D8F">
            <w:pPr>
              <w:ind w:left="-108"/>
              <w:rPr>
                <w:sz w:val="20"/>
                <w:szCs w:val="16"/>
                <w:lang w:val="es-ES"/>
              </w:rPr>
            </w:pPr>
            <w:r w:rsidRPr="00631D8F">
              <w:rPr>
                <w:sz w:val="20"/>
                <w:szCs w:val="16"/>
                <w:lang w:val="es-ES"/>
              </w:rPr>
              <w:t xml:space="preserve">Iquique, </w:t>
            </w:r>
          </w:p>
          <w:p w14:paraId="081E1096" w14:textId="77777777" w:rsidR="007B3916" w:rsidRPr="00631D8F" w:rsidRDefault="007B3916" w:rsidP="00631D8F">
            <w:pPr>
              <w:ind w:left="-108"/>
              <w:rPr>
                <w:sz w:val="20"/>
                <w:szCs w:val="16"/>
                <w:lang w:eastAsia="en-GB"/>
              </w:rPr>
            </w:pPr>
            <w:r w:rsidRPr="00631D8F">
              <w:rPr>
                <w:sz w:val="20"/>
                <w:szCs w:val="16"/>
                <w:lang w:val="es-ES"/>
              </w:rPr>
              <w:t>Chile</w:t>
            </w:r>
          </w:p>
        </w:tc>
      </w:tr>
    </w:tbl>
    <w:p w14:paraId="2EF85CF3" w14:textId="77777777" w:rsidR="007B3916" w:rsidRDefault="007B3916" w:rsidP="007B3916">
      <w:pPr>
        <w:rPr>
          <w:sz w:val="18"/>
          <w:szCs w:val="18"/>
          <w:lang w:eastAsia="en-GB"/>
        </w:rPr>
      </w:pPr>
    </w:p>
    <w:tbl>
      <w:tblPr>
        <w:tblStyle w:val="Grilledutableau"/>
        <w:tblW w:w="0" w:type="auto"/>
        <w:tblInd w:w="108" w:type="dxa"/>
        <w:tblLayout w:type="fixed"/>
        <w:tblLook w:val="04A0" w:firstRow="1" w:lastRow="0" w:firstColumn="1" w:lastColumn="0" w:noHBand="0" w:noVBand="1"/>
      </w:tblPr>
      <w:tblGrid>
        <w:gridCol w:w="3402"/>
        <w:gridCol w:w="5670"/>
      </w:tblGrid>
      <w:tr w:rsidR="007B3916" w14:paraId="0AA31C2B" w14:textId="77777777" w:rsidTr="00631D8F">
        <w:tc>
          <w:tcPr>
            <w:tcW w:w="3402" w:type="dxa"/>
          </w:tcPr>
          <w:p w14:paraId="0912B30B" w14:textId="77777777" w:rsidR="007B3916" w:rsidRPr="00631D8F" w:rsidRDefault="007B3916" w:rsidP="00631D8F">
            <w:pPr>
              <w:ind w:left="-108"/>
              <w:rPr>
                <w:b/>
                <w:sz w:val="20"/>
                <w:szCs w:val="16"/>
                <w:lang w:eastAsia="en-GB"/>
              </w:rPr>
            </w:pPr>
            <w:r w:rsidRPr="00631D8F">
              <w:rPr>
                <w:rFonts w:cs="Arial"/>
                <w:b/>
                <w:sz w:val="20"/>
                <w:szCs w:val="16"/>
              </w:rPr>
              <w:t>Name of the manufacturer 6</w:t>
            </w:r>
          </w:p>
        </w:tc>
        <w:tc>
          <w:tcPr>
            <w:tcW w:w="5670" w:type="dxa"/>
          </w:tcPr>
          <w:p w14:paraId="2D6B5B87" w14:textId="77777777" w:rsidR="007B3916" w:rsidRPr="00631D8F" w:rsidRDefault="007B3916" w:rsidP="00631D8F">
            <w:pPr>
              <w:ind w:left="-108"/>
              <w:rPr>
                <w:rFonts w:cs="Arial"/>
                <w:sz w:val="20"/>
                <w:szCs w:val="16"/>
                <w:lang w:eastAsia="es-ES"/>
              </w:rPr>
            </w:pPr>
            <w:r w:rsidRPr="00631D8F">
              <w:rPr>
                <w:rFonts w:cs="Arial"/>
                <w:bCs/>
                <w:sz w:val="20"/>
                <w:szCs w:val="16"/>
                <w:lang w:eastAsia="de-DE"/>
              </w:rPr>
              <w:t>Alcoholes Montplet, S.A</w:t>
            </w:r>
          </w:p>
        </w:tc>
      </w:tr>
      <w:tr w:rsidR="007B3916" w:rsidRPr="00F2670B" w14:paraId="6840434C" w14:textId="77777777" w:rsidTr="00631D8F">
        <w:tc>
          <w:tcPr>
            <w:tcW w:w="3402" w:type="dxa"/>
          </w:tcPr>
          <w:p w14:paraId="2E7C5418" w14:textId="77777777" w:rsidR="007B3916" w:rsidRPr="00631D8F" w:rsidRDefault="007B3916" w:rsidP="00631D8F">
            <w:pPr>
              <w:ind w:left="-108"/>
              <w:rPr>
                <w:b/>
                <w:sz w:val="20"/>
                <w:szCs w:val="16"/>
                <w:lang w:eastAsia="en-GB"/>
              </w:rPr>
            </w:pPr>
            <w:r w:rsidRPr="00631D8F">
              <w:rPr>
                <w:rFonts w:cs="Arial"/>
                <w:b/>
                <w:sz w:val="20"/>
                <w:szCs w:val="16"/>
              </w:rPr>
              <w:t>Address of the manufacturer</w:t>
            </w:r>
          </w:p>
        </w:tc>
        <w:tc>
          <w:tcPr>
            <w:tcW w:w="5670" w:type="dxa"/>
          </w:tcPr>
          <w:p w14:paraId="72B2F894" w14:textId="77777777" w:rsidR="007B3916" w:rsidRPr="00631D8F" w:rsidRDefault="007B3916" w:rsidP="00631D8F">
            <w:pPr>
              <w:ind w:left="-108"/>
              <w:rPr>
                <w:rFonts w:cs="Arial"/>
                <w:sz w:val="20"/>
                <w:szCs w:val="16"/>
                <w:u w:val="single"/>
                <w:lang w:val="en-US"/>
              </w:rPr>
            </w:pPr>
            <w:r w:rsidRPr="00631D8F">
              <w:rPr>
                <w:rFonts w:cs="Arial"/>
                <w:sz w:val="20"/>
                <w:szCs w:val="16"/>
                <w:u w:val="single"/>
                <w:lang w:val="en-US"/>
              </w:rPr>
              <w:t>Independent Iodine Company NV</w:t>
            </w:r>
          </w:p>
          <w:p w14:paraId="56F73A21"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Hortensiadreef 40 </w:t>
            </w:r>
          </w:p>
          <w:p w14:paraId="657DE146" w14:textId="77777777" w:rsidR="007B3916" w:rsidRPr="00631D8F" w:rsidRDefault="007B3916" w:rsidP="00631D8F">
            <w:pPr>
              <w:ind w:left="-108"/>
              <w:rPr>
                <w:rFonts w:cs="Arial"/>
                <w:sz w:val="20"/>
                <w:szCs w:val="16"/>
                <w:lang w:val="en-US"/>
              </w:rPr>
            </w:pPr>
            <w:r w:rsidRPr="00631D8F">
              <w:rPr>
                <w:rFonts w:cs="Arial"/>
                <w:sz w:val="20"/>
                <w:szCs w:val="16"/>
                <w:lang w:val="en-US"/>
              </w:rPr>
              <w:t xml:space="preserve">2920 Kalmthout </w:t>
            </w:r>
          </w:p>
          <w:p w14:paraId="293819BD" w14:textId="77777777" w:rsidR="007B3916" w:rsidRPr="00631D8F" w:rsidRDefault="007B3916" w:rsidP="00631D8F">
            <w:pPr>
              <w:ind w:left="-108"/>
              <w:rPr>
                <w:rFonts w:cs="Arial"/>
                <w:sz w:val="20"/>
                <w:szCs w:val="16"/>
                <w:lang w:val="en-US"/>
              </w:rPr>
            </w:pPr>
            <w:r w:rsidRPr="00631D8F">
              <w:rPr>
                <w:rFonts w:cs="Arial"/>
                <w:sz w:val="20"/>
                <w:szCs w:val="16"/>
                <w:lang w:val="en-US"/>
              </w:rPr>
              <w:t>Belgium</w:t>
            </w:r>
          </w:p>
        </w:tc>
      </w:tr>
      <w:tr w:rsidR="007B3916" w:rsidRPr="00266214" w14:paraId="20C37174" w14:textId="77777777" w:rsidTr="00631D8F">
        <w:tc>
          <w:tcPr>
            <w:tcW w:w="3402" w:type="dxa"/>
          </w:tcPr>
          <w:p w14:paraId="04629A12"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 1:</w:t>
            </w:r>
          </w:p>
        </w:tc>
        <w:tc>
          <w:tcPr>
            <w:tcW w:w="5670" w:type="dxa"/>
          </w:tcPr>
          <w:p w14:paraId="55BD67C0" w14:textId="77777777" w:rsidR="007B3916" w:rsidRPr="00631D8F" w:rsidRDefault="007B3916" w:rsidP="00631D8F">
            <w:pPr>
              <w:ind w:left="-108"/>
              <w:rPr>
                <w:sz w:val="20"/>
                <w:szCs w:val="16"/>
                <w:lang w:val="es-ES"/>
              </w:rPr>
            </w:pPr>
            <w:r w:rsidRPr="00631D8F">
              <w:rPr>
                <w:sz w:val="20"/>
                <w:szCs w:val="16"/>
                <w:lang w:val="es-ES"/>
              </w:rPr>
              <w:t>Cosayach S.A. Compania de Salitre y Yodo –</w:t>
            </w:r>
          </w:p>
          <w:p w14:paraId="5E4207F7" w14:textId="77777777" w:rsidR="007B3916" w:rsidRPr="00631D8F" w:rsidRDefault="007B3916" w:rsidP="00631D8F">
            <w:pPr>
              <w:ind w:left="-108"/>
              <w:rPr>
                <w:sz w:val="20"/>
                <w:szCs w:val="16"/>
                <w:lang w:val="en-US"/>
              </w:rPr>
            </w:pPr>
            <w:r w:rsidRPr="00631D8F">
              <w:rPr>
                <w:sz w:val="20"/>
                <w:szCs w:val="16"/>
                <w:lang w:val="en-US"/>
              </w:rPr>
              <w:t xml:space="preserve">Amunategui 178, </w:t>
            </w:r>
          </w:p>
          <w:p w14:paraId="2638790E" w14:textId="77777777" w:rsidR="007B3916" w:rsidRPr="00631D8F" w:rsidRDefault="007B3916" w:rsidP="00631D8F">
            <w:pPr>
              <w:ind w:left="-108"/>
              <w:rPr>
                <w:sz w:val="20"/>
                <w:szCs w:val="16"/>
                <w:lang w:val="en-US"/>
              </w:rPr>
            </w:pPr>
            <w:r w:rsidRPr="00631D8F">
              <w:rPr>
                <w:sz w:val="20"/>
                <w:szCs w:val="16"/>
                <w:lang w:val="en-US"/>
              </w:rPr>
              <w:t xml:space="preserve">Santiago, </w:t>
            </w:r>
          </w:p>
          <w:p w14:paraId="5F88DE42" w14:textId="77777777" w:rsidR="007B3916" w:rsidRPr="00631D8F" w:rsidRDefault="007B3916" w:rsidP="00631D8F">
            <w:pPr>
              <w:ind w:left="-108"/>
              <w:rPr>
                <w:sz w:val="20"/>
                <w:szCs w:val="16"/>
                <w:lang w:val="en-US" w:eastAsia="en-GB"/>
              </w:rPr>
            </w:pPr>
            <w:r w:rsidRPr="00631D8F">
              <w:rPr>
                <w:sz w:val="20"/>
                <w:szCs w:val="16"/>
                <w:lang w:val="en-US"/>
              </w:rPr>
              <w:t>Chile</w:t>
            </w:r>
          </w:p>
        </w:tc>
      </w:tr>
      <w:tr w:rsidR="007B3916" w14:paraId="085733C5" w14:textId="77777777" w:rsidTr="00631D8F">
        <w:tc>
          <w:tcPr>
            <w:tcW w:w="3402" w:type="dxa"/>
          </w:tcPr>
          <w:p w14:paraId="04E44310" w14:textId="77777777" w:rsidR="007B3916" w:rsidRPr="00631D8F" w:rsidRDefault="007B3916" w:rsidP="00631D8F">
            <w:pPr>
              <w:ind w:left="-108"/>
              <w:rPr>
                <w:b/>
                <w:sz w:val="20"/>
                <w:szCs w:val="16"/>
                <w:lang w:eastAsia="en-GB"/>
              </w:rPr>
            </w:pPr>
            <w:r w:rsidRPr="00631D8F">
              <w:rPr>
                <w:b/>
                <w:bCs/>
                <w:color w:val="000000"/>
                <w:sz w:val="20"/>
                <w:szCs w:val="16"/>
                <w:lang w:eastAsia="en-GB"/>
              </w:rPr>
              <w:t>Location of manufacturing sites 2:</w:t>
            </w:r>
          </w:p>
        </w:tc>
        <w:tc>
          <w:tcPr>
            <w:tcW w:w="5670" w:type="dxa"/>
          </w:tcPr>
          <w:p w14:paraId="43ED8112" w14:textId="77777777" w:rsidR="007B3916" w:rsidRPr="00631D8F" w:rsidRDefault="007B3916" w:rsidP="00631D8F">
            <w:pPr>
              <w:spacing w:line="276" w:lineRule="auto"/>
              <w:ind w:left="-108"/>
              <w:rPr>
                <w:sz w:val="20"/>
                <w:szCs w:val="16"/>
                <w:lang w:val="es-ES"/>
              </w:rPr>
            </w:pPr>
            <w:r w:rsidRPr="00631D8F">
              <w:rPr>
                <w:sz w:val="20"/>
                <w:szCs w:val="16"/>
                <w:lang w:val="es-ES"/>
              </w:rPr>
              <w:t>ACF Minera SA,</w:t>
            </w:r>
          </w:p>
          <w:p w14:paraId="097D7B97" w14:textId="77777777" w:rsidR="007B3916" w:rsidRPr="00631D8F" w:rsidRDefault="007B3916" w:rsidP="00631D8F">
            <w:pPr>
              <w:ind w:left="-108"/>
              <w:rPr>
                <w:sz w:val="20"/>
                <w:szCs w:val="16"/>
                <w:lang w:val="es-ES"/>
              </w:rPr>
            </w:pPr>
            <w:r w:rsidRPr="00631D8F">
              <w:rPr>
                <w:sz w:val="20"/>
                <w:szCs w:val="16"/>
                <w:lang w:val="es-ES"/>
              </w:rPr>
              <w:t>Serrano 498,</w:t>
            </w:r>
          </w:p>
          <w:p w14:paraId="2DFB007C" w14:textId="77777777" w:rsidR="007B3916" w:rsidRPr="00631D8F" w:rsidRDefault="007B3916" w:rsidP="00631D8F">
            <w:pPr>
              <w:ind w:left="-108"/>
              <w:rPr>
                <w:sz w:val="20"/>
                <w:szCs w:val="16"/>
                <w:lang w:val="es-ES"/>
              </w:rPr>
            </w:pPr>
            <w:r w:rsidRPr="00631D8F">
              <w:rPr>
                <w:sz w:val="20"/>
                <w:szCs w:val="16"/>
                <w:lang w:val="es-ES"/>
              </w:rPr>
              <w:t xml:space="preserve">Iquique, </w:t>
            </w:r>
          </w:p>
          <w:p w14:paraId="114E6A78" w14:textId="77777777" w:rsidR="007B3916" w:rsidRPr="00631D8F" w:rsidRDefault="007B3916" w:rsidP="00631D8F">
            <w:pPr>
              <w:ind w:left="-108"/>
              <w:rPr>
                <w:sz w:val="20"/>
                <w:szCs w:val="16"/>
                <w:lang w:eastAsia="en-GB"/>
              </w:rPr>
            </w:pPr>
            <w:r w:rsidRPr="00631D8F">
              <w:rPr>
                <w:sz w:val="20"/>
                <w:szCs w:val="16"/>
                <w:lang w:val="en-US"/>
              </w:rPr>
              <w:t>Chile</w:t>
            </w:r>
          </w:p>
        </w:tc>
      </w:tr>
    </w:tbl>
    <w:p w14:paraId="1469CC8F" w14:textId="77777777" w:rsidR="007B3916" w:rsidRPr="007F3451" w:rsidRDefault="007B3916" w:rsidP="00631D8F">
      <w:pPr>
        <w:ind w:right="141"/>
        <w:jc w:val="both"/>
        <w:rPr>
          <w:sz w:val="18"/>
          <w:szCs w:val="18"/>
          <w:lang w:eastAsia="en-GB"/>
        </w:rPr>
      </w:pPr>
      <w:r w:rsidRPr="007F3451">
        <w:rPr>
          <w:sz w:val="18"/>
          <w:szCs w:val="18"/>
          <w:lang w:eastAsia="en-GB"/>
        </w:rPr>
        <w:t>Manufacturers from 3 to 6, is not clear for each one the location of manufacturing site, but the owner data is Alcoholes Montplet, SA who is included in Article 95 List.</w:t>
      </w:r>
    </w:p>
    <w:p w14:paraId="39D94212" w14:textId="77777777" w:rsidR="007B3916" w:rsidRDefault="007B3916">
      <w:pPr>
        <w:sectPr w:rsidR="007B3916" w:rsidSect="00170391">
          <w:headerReference w:type="default" r:id="rId9"/>
          <w:footerReference w:type="default" r:id="rId10"/>
          <w:pgSz w:w="11906" w:h="16838"/>
          <w:pgMar w:top="1474" w:right="1247" w:bottom="2013" w:left="1446" w:header="850" w:footer="850" w:gutter="0"/>
          <w:cols w:space="720"/>
          <w:titlePg/>
          <w:docGrid w:linePitch="272"/>
        </w:sectPr>
      </w:pPr>
    </w:p>
    <w:p w14:paraId="5EC88840" w14:textId="77777777" w:rsidR="009D0C0B" w:rsidRDefault="00FA480B">
      <w:pPr>
        <w:pStyle w:val="Titre3"/>
        <w:rPr>
          <w:rFonts w:eastAsia="Calibri"/>
          <w:lang w:eastAsia="en-US"/>
        </w:rPr>
      </w:pPr>
      <w:bookmarkStart w:id="17" w:name="_Toc516669743"/>
      <w:r>
        <w:lastRenderedPageBreak/>
        <w:t>Product composition and formulation</w:t>
      </w:r>
      <w:bookmarkEnd w:id="17"/>
    </w:p>
    <w:bookmarkEnd w:id="10"/>
    <w:p w14:paraId="4E1FE5AD"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38BB034D" w14:textId="77777777" w:rsidR="009D0C0B" w:rsidRDefault="009D0C0B">
      <w:pPr>
        <w:spacing w:line="260" w:lineRule="atLeast"/>
        <w:rPr>
          <w:rFonts w:eastAsia="Calibri"/>
          <w:lang w:eastAsia="en-US"/>
        </w:rPr>
      </w:pPr>
    </w:p>
    <w:p w14:paraId="797A7890"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6A70131D"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8" w:name="__Fieldmark__1124_528645922"/>
      <w:r>
        <w:fldChar w:fldCharType="begin">
          <w:ffData>
            <w:name w:val=""/>
            <w:enabled/>
            <w:calcOnExit w:val="0"/>
            <w:checkBox>
              <w:sizeAuto/>
              <w:default w:val="0"/>
              <w:checked w:val="0"/>
            </w:checkBox>
          </w:ffData>
        </w:fldChar>
      </w:r>
      <w:r>
        <w:instrText xml:space="preserve"> FORMCHECKBOX </w:instrText>
      </w:r>
      <w:r w:rsidR="005E1E28">
        <w:fldChar w:fldCharType="separate"/>
      </w:r>
      <w:r>
        <w:fldChar w:fldCharType="end"/>
      </w:r>
      <w:bookmarkEnd w:id="18"/>
    </w:p>
    <w:p w14:paraId="689A2177"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BD437B">
        <w:fldChar w:fldCharType="begin">
          <w:ffData>
            <w:name w:val=""/>
            <w:enabled/>
            <w:calcOnExit w:val="0"/>
            <w:checkBox>
              <w:sizeAuto/>
              <w:default w:val="1"/>
            </w:checkBox>
          </w:ffData>
        </w:fldChar>
      </w:r>
      <w:r w:rsidR="00BD437B">
        <w:instrText xml:space="preserve"> FORMCHECKBOX </w:instrText>
      </w:r>
      <w:r w:rsidR="005E1E28">
        <w:fldChar w:fldCharType="separate"/>
      </w:r>
      <w:r w:rsidR="00BD437B">
        <w:fldChar w:fldCharType="end"/>
      </w:r>
    </w:p>
    <w:p w14:paraId="7C02BB94" w14:textId="77777777" w:rsidR="009D0C0B" w:rsidRDefault="00FA480B">
      <w:pPr>
        <w:pStyle w:val="Titre4"/>
        <w:rPr>
          <w:b/>
          <w:lang w:eastAsia="en-US"/>
        </w:rPr>
      </w:pPr>
      <w:bookmarkStart w:id="19" w:name="_Toc516669744"/>
      <w:r>
        <w:t>Identity of the active substance</w:t>
      </w:r>
      <w:bookmarkEnd w:id="19"/>
    </w:p>
    <w:tbl>
      <w:tblPr>
        <w:tblW w:w="9440" w:type="dxa"/>
        <w:tblInd w:w="-5" w:type="dxa"/>
        <w:tblLayout w:type="fixed"/>
        <w:tblLook w:val="0000" w:firstRow="0" w:lastRow="0" w:firstColumn="0" w:lastColumn="0" w:noHBand="0" w:noVBand="0"/>
      </w:tblPr>
      <w:tblGrid>
        <w:gridCol w:w="4077"/>
        <w:gridCol w:w="5363"/>
      </w:tblGrid>
      <w:tr w:rsidR="009D0C0B" w14:paraId="13549074" w14:textId="77777777" w:rsidTr="00BD437B">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FE30572" w14:textId="77777777" w:rsidR="009D0C0B" w:rsidRDefault="00FA480B">
            <w:pPr>
              <w:spacing w:line="260" w:lineRule="atLeast"/>
              <w:jc w:val="center"/>
            </w:pPr>
            <w:r>
              <w:rPr>
                <w:rFonts w:eastAsia="Calibri"/>
                <w:b/>
                <w:lang w:eastAsia="en-US"/>
              </w:rPr>
              <w:t>Main constituent(s)</w:t>
            </w:r>
          </w:p>
        </w:tc>
      </w:tr>
      <w:tr w:rsidR="00BD437B" w14:paraId="366AE381" w14:textId="77777777" w:rsidTr="00BD437B">
        <w:tc>
          <w:tcPr>
            <w:tcW w:w="4077" w:type="dxa"/>
            <w:tcBorders>
              <w:top w:val="single" w:sz="4" w:space="0" w:color="000000"/>
              <w:left w:val="single" w:sz="4" w:space="0" w:color="000000"/>
              <w:bottom w:val="single" w:sz="4" w:space="0" w:color="000000"/>
            </w:tcBorders>
            <w:shd w:val="clear" w:color="auto" w:fill="auto"/>
          </w:tcPr>
          <w:p w14:paraId="2E3661CC" w14:textId="77777777" w:rsidR="00BD437B" w:rsidRDefault="00BD437B">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775296AA" w14:textId="77777777" w:rsidR="00BD437B" w:rsidRPr="00815586" w:rsidRDefault="00BD437B" w:rsidP="00BD437B">
            <w:pPr>
              <w:spacing w:line="260" w:lineRule="atLeast"/>
              <w:rPr>
                <w:lang w:eastAsia="en-US"/>
              </w:rPr>
            </w:pPr>
            <w:r w:rsidRPr="00815586">
              <w:rPr>
                <w:lang w:eastAsia="en-US"/>
              </w:rPr>
              <w:t>PVP</w:t>
            </w:r>
            <w:r>
              <w:rPr>
                <w:lang w:eastAsia="en-US"/>
              </w:rPr>
              <w:t>-</w:t>
            </w:r>
            <w:r w:rsidRPr="00815586">
              <w:rPr>
                <w:lang w:eastAsia="en-US"/>
              </w:rPr>
              <w:t>I</w:t>
            </w:r>
            <w:r>
              <w:rPr>
                <w:lang w:eastAsia="en-US"/>
              </w:rPr>
              <w:t>odine</w:t>
            </w:r>
          </w:p>
        </w:tc>
      </w:tr>
      <w:tr w:rsidR="00BD437B" w14:paraId="37E98FD5" w14:textId="77777777" w:rsidTr="00BD437B">
        <w:tc>
          <w:tcPr>
            <w:tcW w:w="4077" w:type="dxa"/>
            <w:tcBorders>
              <w:top w:val="single" w:sz="4" w:space="0" w:color="000000"/>
              <w:left w:val="single" w:sz="4" w:space="0" w:color="000000"/>
              <w:bottom w:val="single" w:sz="4" w:space="0" w:color="000000"/>
            </w:tcBorders>
            <w:shd w:val="clear" w:color="auto" w:fill="auto"/>
          </w:tcPr>
          <w:p w14:paraId="3DA6AD7F" w14:textId="77777777" w:rsidR="00BD437B" w:rsidRDefault="00BD437B">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E5AAE9D" w14:textId="77777777" w:rsidR="00BD437B" w:rsidRPr="00EA38CA" w:rsidRDefault="00BD437B" w:rsidP="00BD437B">
            <w:pPr>
              <w:pStyle w:val="Default"/>
              <w:rPr>
                <w:rFonts w:ascii="Verdana" w:hAnsi="Verdana"/>
                <w:sz w:val="20"/>
                <w:lang w:eastAsia="en-US"/>
              </w:rPr>
            </w:pPr>
            <w:r w:rsidRPr="00EA38CA">
              <w:rPr>
                <w:rFonts w:ascii="Verdana" w:hAnsi="Verdana"/>
                <w:sz w:val="20"/>
                <w:szCs w:val="20"/>
              </w:rPr>
              <w:t xml:space="preserve">2-Pyrrolidinone, 1-ethenyl-, homopolymer, compd. with iodine </w:t>
            </w:r>
          </w:p>
        </w:tc>
      </w:tr>
      <w:tr w:rsidR="00BD437B" w14:paraId="1036BAEB" w14:textId="77777777" w:rsidTr="00BD437B">
        <w:tc>
          <w:tcPr>
            <w:tcW w:w="4077" w:type="dxa"/>
            <w:tcBorders>
              <w:top w:val="single" w:sz="4" w:space="0" w:color="000000"/>
              <w:left w:val="single" w:sz="4" w:space="0" w:color="000000"/>
              <w:bottom w:val="single" w:sz="4" w:space="0" w:color="000000"/>
            </w:tcBorders>
            <w:shd w:val="clear" w:color="auto" w:fill="auto"/>
          </w:tcPr>
          <w:p w14:paraId="163FAD35" w14:textId="77777777" w:rsidR="00BD437B" w:rsidRDefault="00BD437B">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3E48107" w14:textId="77777777" w:rsidR="00BD437B" w:rsidRPr="00815586" w:rsidRDefault="00BD437B" w:rsidP="00BD437B">
            <w:pPr>
              <w:rPr>
                <w:lang w:eastAsia="en-US"/>
              </w:rPr>
            </w:pPr>
          </w:p>
        </w:tc>
      </w:tr>
      <w:tr w:rsidR="00BD437B" w14:paraId="1CFA359B" w14:textId="77777777" w:rsidTr="00BD437B">
        <w:tc>
          <w:tcPr>
            <w:tcW w:w="4077" w:type="dxa"/>
            <w:tcBorders>
              <w:top w:val="single" w:sz="4" w:space="0" w:color="000000"/>
              <w:left w:val="single" w:sz="4" w:space="0" w:color="000000"/>
              <w:bottom w:val="single" w:sz="4" w:space="0" w:color="000000"/>
            </w:tcBorders>
            <w:shd w:val="clear" w:color="auto" w:fill="auto"/>
          </w:tcPr>
          <w:p w14:paraId="1EAD86E4" w14:textId="77777777" w:rsidR="00BD437B" w:rsidRDefault="00BD437B">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21C912E" w14:textId="77777777" w:rsidR="00BD437B" w:rsidRPr="00815586" w:rsidRDefault="00BD437B" w:rsidP="00BD437B">
            <w:pPr>
              <w:pStyle w:val="Default"/>
              <w:rPr>
                <w:rFonts w:ascii="Verdana" w:hAnsi="Verdana"/>
                <w:sz w:val="20"/>
                <w:lang w:eastAsia="en-US"/>
              </w:rPr>
            </w:pPr>
            <w:r w:rsidRPr="00EA38CA">
              <w:rPr>
                <w:rFonts w:ascii="Verdana" w:hAnsi="Verdana"/>
                <w:sz w:val="20"/>
                <w:szCs w:val="20"/>
              </w:rPr>
              <w:t>PVP-iodine used as carrier for iodine in bi</w:t>
            </w:r>
            <w:r>
              <w:rPr>
                <w:rFonts w:ascii="Verdana" w:hAnsi="Verdana"/>
                <w:sz w:val="20"/>
                <w:szCs w:val="20"/>
              </w:rPr>
              <w:t>ocidal formulations: 25655-41-8</w:t>
            </w:r>
          </w:p>
        </w:tc>
      </w:tr>
      <w:tr w:rsidR="00BD437B" w14:paraId="091F63AA" w14:textId="77777777" w:rsidTr="00BD437B">
        <w:tc>
          <w:tcPr>
            <w:tcW w:w="4077" w:type="dxa"/>
            <w:tcBorders>
              <w:top w:val="single" w:sz="4" w:space="0" w:color="000000"/>
              <w:left w:val="single" w:sz="4" w:space="0" w:color="000000"/>
              <w:bottom w:val="single" w:sz="4" w:space="0" w:color="000000"/>
            </w:tcBorders>
            <w:shd w:val="clear" w:color="auto" w:fill="auto"/>
          </w:tcPr>
          <w:p w14:paraId="45E72F03" w14:textId="77777777" w:rsidR="00BD437B" w:rsidRDefault="00BD437B">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1035D4E" w14:textId="77777777" w:rsidR="00BD437B" w:rsidRDefault="00BD437B">
            <w:pPr>
              <w:snapToGrid w:val="0"/>
              <w:spacing w:line="260" w:lineRule="atLeast"/>
              <w:rPr>
                <w:rFonts w:eastAsia="Calibri"/>
                <w:b/>
                <w:lang w:eastAsia="en-US"/>
              </w:rPr>
            </w:pPr>
          </w:p>
        </w:tc>
      </w:tr>
      <w:tr w:rsidR="00BD437B" w14:paraId="13B7669E" w14:textId="77777777" w:rsidTr="00BD437B">
        <w:tc>
          <w:tcPr>
            <w:tcW w:w="4077" w:type="dxa"/>
            <w:tcBorders>
              <w:top w:val="single" w:sz="4" w:space="0" w:color="000000"/>
              <w:left w:val="single" w:sz="4" w:space="0" w:color="000000"/>
              <w:bottom w:val="single" w:sz="4" w:space="0" w:color="000000"/>
            </w:tcBorders>
            <w:shd w:val="clear" w:color="auto" w:fill="auto"/>
          </w:tcPr>
          <w:p w14:paraId="143F1A92" w14:textId="77777777" w:rsidR="00BD437B" w:rsidRDefault="00BD437B">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3EB1427" w14:textId="77777777" w:rsidR="002E1313" w:rsidRDefault="00BD437B">
            <w:pPr>
              <w:snapToGrid w:val="0"/>
              <w:spacing w:line="260" w:lineRule="atLeast"/>
              <w:rPr>
                <w:lang w:eastAsia="en-US"/>
              </w:rPr>
            </w:pPr>
            <w:r w:rsidRPr="00815586">
              <w:rPr>
                <w:lang w:eastAsia="en-US"/>
              </w:rPr>
              <w:t>10% v/v</w:t>
            </w:r>
            <w:r w:rsidR="002E1313">
              <w:rPr>
                <w:lang w:eastAsia="en-US"/>
              </w:rPr>
              <w:t xml:space="preserve"> </w:t>
            </w:r>
          </w:p>
          <w:p w14:paraId="7C70F016" w14:textId="77777777" w:rsidR="00BD437B" w:rsidRDefault="002E1313">
            <w:pPr>
              <w:snapToGrid w:val="0"/>
              <w:spacing w:line="260" w:lineRule="atLeast"/>
              <w:rPr>
                <w:rFonts w:eastAsia="Calibri"/>
                <w:b/>
                <w:lang w:eastAsia="en-US"/>
              </w:rPr>
            </w:pPr>
            <w:r>
              <w:rPr>
                <w:lang w:eastAsia="en-US"/>
              </w:rPr>
              <w:t>(995g/kg for iodine)</w:t>
            </w:r>
          </w:p>
        </w:tc>
      </w:tr>
      <w:tr w:rsidR="00BD437B" w14:paraId="7F6BE838" w14:textId="77777777" w:rsidTr="00BD437B">
        <w:trPr>
          <w:trHeight w:val="1359"/>
        </w:trPr>
        <w:tc>
          <w:tcPr>
            <w:tcW w:w="4077" w:type="dxa"/>
            <w:tcBorders>
              <w:top w:val="single" w:sz="4" w:space="0" w:color="000000"/>
              <w:left w:val="single" w:sz="4" w:space="0" w:color="000000"/>
              <w:bottom w:val="single" w:sz="4" w:space="0" w:color="000000"/>
            </w:tcBorders>
            <w:shd w:val="clear" w:color="auto" w:fill="auto"/>
          </w:tcPr>
          <w:p w14:paraId="7DE88127" w14:textId="77777777" w:rsidR="00BD437B" w:rsidRDefault="00BD437B">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BAFB97D" w14:textId="77777777" w:rsidR="00BD437B" w:rsidRDefault="00BD437B">
            <w:pPr>
              <w:snapToGrid w:val="0"/>
              <w:spacing w:line="260" w:lineRule="atLeast"/>
              <w:rPr>
                <w:rFonts w:eastAsia="Calibri"/>
                <w:b/>
                <w:lang w:eastAsia="en-US"/>
              </w:rPr>
            </w:pPr>
            <w:r>
              <w:rPr>
                <w:noProof/>
                <w:lang w:val="fr-FR" w:eastAsia="fr-FR"/>
              </w:rPr>
              <w:drawing>
                <wp:inline distT="0" distB="0" distL="0" distR="0" wp14:anchorId="52A725AC" wp14:editId="715D12F8">
                  <wp:extent cx="3299792" cy="116381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3363" cy="1165075"/>
                          </a:xfrm>
                          <a:prstGeom prst="rect">
                            <a:avLst/>
                          </a:prstGeom>
                          <a:noFill/>
                          <a:ln>
                            <a:noFill/>
                          </a:ln>
                        </pic:spPr>
                      </pic:pic>
                    </a:graphicData>
                  </a:graphic>
                </wp:inline>
              </w:drawing>
            </w:r>
          </w:p>
        </w:tc>
      </w:tr>
    </w:tbl>
    <w:p w14:paraId="69B89730" w14:textId="77777777" w:rsidR="009D0C0B" w:rsidRDefault="009D0C0B">
      <w:pPr>
        <w:spacing w:line="260" w:lineRule="atLeast"/>
        <w:jc w:val="both"/>
        <w:rPr>
          <w:rFonts w:eastAsia="Calibri"/>
          <w:lang w:eastAsia="fr-FR"/>
        </w:rPr>
      </w:pPr>
    </w:p>
    <w:p w14:paraId="698D0D89" w14:textId="77777777" w:rsidR="009D0C0B" w:rsidRDefault="00FA480B">
      <w:pPr>
        <w:pStyle w:val="Titre4"/>
        <w:rPr>
          <w:rFonts w:ascii="Times New Roman" w:hAnsi="Times New Roman" w:cs="Times New Roman"/>
          <w:i/>
          <w:lang w:eastAsia="fr-FR"/>
        </w:rPr>
      </w:pPr>
      <w:bookmarkStart w:id="20" w:name="_Toc516669745"/>
      <w:r>
        <w:t>Candidate(s) for substitution</w:t>
      </w:r>
      <w:bookmarkEnd w:id="20"/>
    </w:p>
    <w:p w14:paraId="634D3FB2" w14:textId="77777777" w:rsidR="00BD437B" w:rsidRDefault="00BD437B" w:rsidP="00BD437B">
      <w:pPr>
        <w:jc w:val="both"/>
        <w:rPr>
          <w:lang w:eastAsia="fr-FR"/>
        </w:rPr>
      </w:pPr>
      <w:r w:rsidRPr="00EA0D90">
        <w:rPr>
          <w:lang w:eastAsia="fr-FR"/>
        </w:rPr>
        <w:t>The active substance contained in the biocidal product is not candidate for substitution in accordance with Article 10 of BPR.</w:t>
      </w:r>
    </w:p>
    <w:p w14:paraId="25918454" w14:textId="77777777" w:rsidR="009D0C0B" w:rsidRDefault="009D0C0B">
      <w:pPr>
        <w:spacing w:line="260" w:lineRule="atLeast"/>
        <w:jc w:val="both"/>
        <w:rPr>
          <w:rFonts w:ascii="Times New Roman" w:eastAsia="Calibri" w:hAnsi="Times New Roman" w:cs="Times New Roman"/>
          <w:i/>
          <w:lang w:eastAsia="fr-FR"/>
        </w:rPr>
      </w:pPr>
    </w:p>
    <w:p w14:paraId="5A8E5D3C" w14:textId="77777777" w:rsidR="009D0C0B" w:rsidRDefault="00FA480B">
      <w:pPr>
        <w:pStyle w:val="Titre4"/>
        <w:pageBreakBefore/>
        <w:rPr>
          <w:b/>
          <w:bCs/>
          <w:color w:val="000000"/>
          <w:lang w:eastAsia="en-GB"/>
        </w:rPr>
      </w:pPr>
      <w:bookmarkStart w:id="21" w:name="_Toc516669746"/>
      <w:r>
        <w:lastRenderedPageBreak/>
        <w:t>Qualitative and quantitative information on the composition of the biocidal product</w:t>
      </w:r>
      <w:bookmarkEnd w:id="21"/>
      <w:r>
        <w:rPr>
          <w:vertAlign w:val="superscript"/>
        </w:rPr>
        <w:t xml:space="preserve"> </w:t>
      </w:r>
    </w:p>
    <w:p w14:paraId="229BB505" w14:textId="77777777" w:rsidR="009D0C0B" w:rsidRDefault="009D0C0B">
      <w:pPr>
        <w:pStyle w:val="Absatz"/>
        <w:rPr>
          <w:lang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1980"/>
        <w:gridCol w:w="1629"/>
        <w:gridCol w:w="1353"/>
        <w:gridCol w:w="1353"/>
        <w:gridCol w:w="1353"/>
        <w:gridCol w:w="1353"/>
      </w:tblGrid>
      <w:tr w:rsidR="00BD437B" w:rsidRPr="00A26ED0" w14:paraId="646E62DC" w14:textId="77777777" w:rsidTr="0099781E">
        <w:trPr>
          <w:tblHeader/>
        </w:trPr>
        <w:tc>
          <w:tcPr>
            <w:tcW w:w="19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7C3BB6" w14:textId="77777777" w:rsidR="00BD437B" w:rsidRPr="00A26ED0" w:rsidRDefault="00BD437B" w:rsidP="00BD437B">
            <w:bookmarkStart w:id="22" w:name="d0e356"/>
            <w:r w:rsidRPr="00A26ED0">
              <w:rPr>
                <w:b/>
                <w:color w:val="000000"/>
                <w:szCs w:val="24"/>
                <w:lang w:eastAsia="en-GB"/>
              </w:rPr>
              <w:t>Common name</w:t>
            </w:r>
          </w:p>
        </w:tc>
        <w:tc>
          <w:tcPr>
            <w:tcW w:w="1629"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B0B861E" w14:textId="77777777" w:rsidR="00BD437B" w:rsidRPr="00A26ED0" w:rsidRDefault="00BD437B" w:rsidP="00BD437B">
            <w:r w:rsidRPr="00A26ED0">
              <w:rPr>
                <w:b/>
                <w:color w:val="000000"/>
                <w:szCs w:val="24"/>
                <w:lang w:eastAsia="en-GB"/>
              </w:rPr>
              <w:t>IUPAC name</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424EDF0" w14:textId="77777777" w:rsidR="00BD437B" w:rsidRPr="00A26ED0" w:rsidRDefault="00BD437B" w:rsidP="00BD437B">
            <w:r w:rsidRPr="00A26ED0">
              <w:rPr>
                <w:b/>
                <w:color w:val="000000"/>
                <w:szCs w:val="24"/>
                <w:lang w:eastAsia="en-GB"/>
              </w:rPr>
              <w:t>Function</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7C8DD24" w14:textId="77777777" w:rsidR="00BD437B" w:rsidRPr="00A26ED0" w:rsidRDefault="00BD437B" w:rsidP="00BD437B">
            <w:r w:rsidRPr="00A26ED0">
              <w:rPr>
                <w:b/>
                <w:color w:val="000000"/>
                <w:szCs w:val="24"/>
                <w:lang w:eastAsia="en-GB"/>
              </w:rPr>
              <w:t>CAS number</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FD87676" w14:textId="77777777" w:rsidR="00BD437B" w:rsidRPr="00A26ED0" w:rsidRDefault="00BD437B" w:rsidP="00BD437B">
            <w:r w:rsidRPr="00A26ED0">
              <w:rPr>
                <w:b/>
                <w:color w:val="000000"/>
                <w:szCs w:val="24"/>
                <w:lang w:eastAsia="en-GB"/>
              </w:rPr>
              <w:t>EC number</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E45522E" w14:textId="77777777" w:rsidR="00BD437B" w:rsidRPr="00A26ED0" w:rsidRDefault="00BD437B" w:rsidP="00BD437B">
            <w:r w:rsidRPr="00A26ED0">
              <w:rPr>
                <w:b/>
                <w:color w:val="000000"/>
                <w:szCs w:val="24"/>
                <w:lang w:eastAsia="en-GB"/>
              </w:rPr>
              <w:t>Content (%)</w:t>
            </w:r>
          </w:p>
        </w:tc>
      </w:tr>
      <w:bookmarkEnd w:id="22"/>
      <w:tr w:rsidR="00BD437B" w:rsidRPr="00A26ED0" w14:paraId="2019CE64" w14:textId="77777777" w:rsidTr="0099781E">
        <w:tc>
          <w:tcPr>
            <w:tcW w:w="1980" w:type="dxa"/>
            <w:tcBorders>
              <w:top w:val="single" w:sz="4" w:space="0" w:color="000000"/>
              <w:left w:val="single" w:sz="4" w:space="0" w:color="000000"/>
              <w:bottom w:val="dashSmallGap" w:sz="4" w:space="0" w:color="auto"/>
              <w:right w:val="single" w:sz="4" w:space="0" w:color="000000"/>
            </w:tcBorders>
            <w:tcMar>
              <w:top w:w="40" w:type="dxa"/>
              <w:left w:w="40" w:type="dxa"/>
              <w:bottom w:w="40" w:type="dxa"/>
              <w:right w:w="40" w:type="dxa"/>
            </w:tcMar>
            <w:vAlign w:val="center"/>
          </w:tcPr>
          <w:p w14:paraId="79D37BF1" w14:textId="77777777" w:rsidR="00BD437B" w:rsidRPr="00BD437B" w:rsidRDefault="00BD437B" w:rsidP="00BD437B">
            <w:pPr>
              <w:rPr>
                <w:lang w:val="pl-PL"/>
              </w:rPr>
            </w:pPr>
            <w:r w:rsidRPr="00BD437B">
              <w:rPr>
                <w:rFonts w:cs="Arial"/>
                <w:color w:val="000000"/>
                <w:lang w:eastAsia="fr-FR"/>
              </w:rPr>
              <w:t>PVP iodine</w:t>
            </w:r>
            <w:r w:rsidR="0098643E">
              <w:rPr>
                <w:rFonts w:cs="Arial"/>
                <w:color w:val="000000"/>
                <w:lang w:eastAsia="fr-FR"/>
              </w:rPr>
              <w:t>*</w:t>
            </w:r>
          </w:p>
        </w:tc>
        <w:tc>
          <w:tcPr>
            <w:tcW w:w="1629" w:type="dxa"/>
            <w:tcBorders>
              <w:top w:val="single" w:sz="4" w:space="0" w:color="000000"/>
              <w:left w:val="nil"/>
              <w:bottom w:val="dashSmallGap" w:sz="4" w:space="0" w:color="auto"/>
              <w:right w:val="single" w:sz="4" w:space="0" w:color="000000"/>
            </w:tcBorders>
            <w:tcMar>
              <w:top w:w="40" w:type="dxa"/>
              <w:left w:w="40" w:type="dxa"/>
              <w:bottom w:w="40" w:type="dxa"/>
              <w:right w:w="40" w:type="dxa"/>
            </w:tcMar>
            <w:vAlign w:val="center"/>
          </w:tcPr>
          <w:p w14:paraId="4146CD94" w14:textId="77777777" w:rsidR="00BD437B" w:rsidRPr="00BD437B" w:rsidRDefault="00BD437B" w:rsidP="00BD437B">
            <w:r w:rsidRPr="00BD437B">
              <w:rPr>
                <w:rFonts w:cs="Arial"/>
                <w:color w:val="000000"/>
                <w:lang w:eastAsia="fr-FR"/>
              </w:rPr>
              <w:t>PVP iodine</w:t>
            </w:r>
          </w:p>
        </w:tc>
        <w:tc>
          <w:tcPr>
            <w:tcW w:w="1353" w:type="dxa"/>
            <w:tcBorders>
              <w:top w:val="single" w:sz="4" w:space="0" w:color="000000"/>
              <w:left w:val="nil"/>
              <w:bottom w:val="dashSmallGap" w:sz="4" w:space="0" w:color="auto"/>
              <w:right w:val="single" w:sz="4" w:space="0" w:color="000000"/>
            </w:tcBorders>
            <w:tcMar>
              <w:top w:w="40" w:type="dxa"/>
              <w:left w:w="40" w:type="dxa"/>
              <w:bottom w:w="40" w:type="dxa"/>
              <w:right w:w="40" w:type="dxa"/>
            </w:tcMar>
            <w:vAlign w:val="center"/>
          </w:tcPr>
          <w:p w14:paraId="54497883" w14:textId="77777777" w:rsidR="00BD437B" w:rsidRPr="00BD437B" w:rsidRDefault="00BD437B" w:rsidP="00BD437B">
            <w:r w:rsidRPr="00BD437B">
              <w:rPr>
                <w:rFonts w:cs="Arial"/>
                <w:i/>
                <w:color w:val="000000"/>
                <w:lang w:eastAsia="fr-FR"/>
              </w:rPr>
              <w:t>Active substance</w:t>
            </w:r>
          </w:p>
        </w:tc>
        <w:tc>
          <w:tcPr>
            <w:tcW w:w="1353" w:type="dxa"/>
            <w:tcBorders>
              <w:top w:val="single" w:sz="4" w:space="0" w:color="000000"/>
              <w:left w:val="nil"/>
              <w:bottom w:val="dashSmallGap" w:sz="4" w:space="0" w:color="auto"/>
              <w:right w:val="single" w:sz="4" w:space="0" w:color="000000"/>
            </w:tcBorders>
            <w:tcMar>
              <w:top w:w="40" w:type="dxa"/>
              <w:left w:w="40" w:type="dxa"/>
              <w:bottom w:w="40" w:type="dxa"/>
              <w:right w:w="40" w:type="dxa"/>
            </w:tcMar>
            <w:vAlign w:val="center"/>
          </w:tcPr>
          <w:p w14:paraId="21A119F3" w14:textId="77777777" w:rsidR="00BD437B" w:rsidRPr="00BD437B" w:rsidRDefault="00BD437B" w:rsidP="00BD437B">
            <w:r w:rsidRPr="00BD437B">
              <w:rPr>
                <w:rFonts w:cs="Arial"/>
                <w:color w:val="000000"/>
                <w:lang w:eastAsia="fr-FR"/>
              </w:rPr>
              <w:t>25655-41-8</w:t>
            </w:r>
          </w:p>
        </w:tc>
        <w:tc>
          <w:tcPr>
            <w:tcW w:w="1353" w:type="dxa"/>
            <w:tcBorders>
              <w:top w:val="single" w:sz="4" w:space="0" w:color="000000"/>
              <w:left w:val="nil"/>
              <w:bottom w:val="dashSmallGap" w:sz="4" w:space="0" w:color="auto"/>
              <w:right w:val="single" w:sz="4" w:space="0" w:color="000000"/>
            </w:tcBorders>
            <w:tcMar>
              <w:top w:w="40" w:type="dxa"/>
              <w:left w:w="40" w:type="dxa"/>
              <w:bottom w:w="40" w:type="dxa"/>
              <w:right w:w="40" w:type="dxa"/>
            </w:tcMar>
            <w:vAlign w:val="center"/>
          </w:tcPr>
          <w:p w14:paraId="3C6D4962" w14:textId="77777777" w:rsidR="00BD437B" w:rsidRPr="00BD437B" w:rsidRDefault="00BD437B" w:rsidP="00BD437B">
            <w:r w:rsidRPr="00BD437B">
              <w:rPr>
                <w:rFonts w:cs="Arial"/>
              </w:rPr>
              <w:t>Not assigned</w:t>
            </w:r>
          </w:p>
        </w:tc>
        <w:tc>
          <w:tcPr>
            <w:tcW w:w="1353" w:type="dxa"/>
            <w:tcBorders>
              <w:top w:val="single" w:sz="4" w:space="0" w:color="000000"/>
              <w:left w:val="nil"/>
              <w:bottom w:val="dashSmallGap" w:sz="4" w:space="0" w:color="auto"/>
              <w:right w:val="single" w:sz="4" w:space="0" w:color="000000"/>
            </w:tcBorders>
            <w:tcMar>
              <w:top w:w="40" w:type="dxa"/>
              <w:left w:w="40" w:type="dxa"/>
              <w:bottom w:w="40" w:type="dxa"/>
              <w:right w:w="40" w:type="dxa"/>
            </w:tcMar>
            <w:vAlign w:val="center"/>
          </w:tcPr>
          <w:p w14:paraId="47A500BB" w14:textId="77777777" w:rsidR="00BD437B" w:rsidRPr="00BD437B" w:rsidRDefault="00BD437B" w:rsidP="00165402">
            <w:pPr>
              <w:jc w:val="center"/>
            </w:pPr>
            <w:r w:rsidRPr="00BD437B">
              <w:rPr>
                <w:rFonts w:cs="Arial"/>
                <w:color w:val="000000"/>
                <w:lang w:eastAsia="fr-FR"/>
              </w:rPr>
              <w:t>1</w:t>
            </w:r>
            <w:r w:rsidR="002929F9">
              <w:rPr>
                <w:rFonts w:cs="Arial"/>
                <w:color w:val="000000"/>
                <w:lang w:eastAsia="fr-FR"/>
              </w:rPr>
              <w:t>.</w:t>
            </w:r>
            <w:r w:rsidRPr="00BD437B">
              <w:rPr>
                <w:rFonts w:cs="Arial"/>
                <w:color w:val="000000"/>
                <w:lang w:eastAsia="fr-FR"/>
              </w:rPr>
              <w:t>50</w:t>
            </w:r>
          </w:p>
        </w:tc>
      </w:tr>
      <w:tr w:rsidR="00BD437B" w:rsidRPr="000E7568" w14:paraId="0AE8EC7E" w14:textId="77777777" w:rsidTr="0099781E">
        <w:tc>
          <w:tcPr>
            <w:tcW w:w="1980" w:type="dxa"/>
            <w:tcBorders>
              <w:top w:val="dashSmallGap" w:sz="4" w:space="0" w:color="auto"/>
              <w:left w:val="single" w:sz="4" w:space="0" w:color="000000"/>
              <w:bottom w:val="single" w:sz="4" w:space="0" w:color="auto"/>
              <w:right w:val="single" w:sz="4" w:space="0" w:color="000000"/>
            </w:tcBorders>
            <w:tcMar>
              <w:top w:w="40" w:type="dxa"/>
              <w:left w:w="40" w:type="dxa"/>
              <w:bottom w:w="40" w:type="dxa"/>
              <w:right w:w="40" w:type="dxa"/>
            </w:tcMar>
            <w:vAlign w:val="center"/>
          </w:tcPr>
          <w:p w14:paraId="190F9E9C" w14:textId="77777777" w:rsidR="00BD437B" w:rsidRPr="00BD437B" w:rsidRDefault="000E7568" w:rsidP="00BD437B">
            <w:pPr>
              <w:rPr>
                <w:sz w:val="18"/>
                <w:szCs w:val="18"/>
                <w:lang w:val="pl-PL"/>
              </w:rPr>
            </w:pPr>
            <w:r w:rsidRPr="009109EB">
              <w:rPr>
                <w:rFonts w:cs="Arial"/>
                <w:i/>
                <w:color w:val="000000"/>
                <w:sz w:val="18"/>
                <w:szCs w:val="18"/>
                <w:lang w:val="fr-FR" w:eastAsia="fr-FR"/>
              </w:rPr>
              <w:t xml:space="preserve">Min. </w:t>
            </w:r>
            <w:r w:rsidR="00BD437B" w:rsidRPr="009109EB">
              <w:rPr>
                <w:rFonts w:cs="Arial"/>
                <w:i/>
                <w:color w:val="000000"/>
                <w:sz w:val="18"/>
                <w:szCs w:val="18"/>
                <w:lang w:val="fr-FR" w:eastAsia="fr-FR"/>
              </w:rPr>
              <w:t>Iodine</w:t>
            </w:r>
            <w:r w:rsidR="0098643E">
              <w:rPr>
                <w:rFonts w:cs="Arial"/>
                <w:i/>
                <w:color w:val="000000"/>
                <w:sz w:val="18"/>
                <w:szCs w:val="18"/>
                <w:lang w:val="fr-FR" w:eastAsia="fr-FR"/>
              </w:rPr>
              <w:t xml:space="preserve"> technical</w:t>
            </w:r>
          </w:p>
        </w:tc>
        <w:tc>
          <w:tcPr>
            <w:tcW w:w="1629" w:type="dxa"/>
            <w:tcBorders>
              <w:top w:val="dashSmallGap" w:sz="4" w:space="0" w:color="auto"/>
              <w:left w:val="nil"/>
              <w:bottom w:val="single" w:sz="4" w:space="0" w:color="auto"/>
              <w:right w:val="single" w:sz="4" w:space="0" w:color="000000"/>
            </w:tcBorders>
            <w:tcMar>
              <w:top w:w="40" w:type="dxa"/>
              <w:left w:w="40" w:type="dxa"/>
              <w:bottom w:w="40" w:type="dxa"/>
              <w:right w:w="40" w:type="dxa"/>
            </w:tcMar>
            <w:vAlign w:val="center"/>
          </w:tcPr>
          <w:p w14:paraId="074476B4" w14:textId="77777777" w:rsidR="00BD437B" w:rsidRPr="009109EB" w:rsidRDefault="00BD437B" w:rsidP="00BD437B">
            <w:pPr>
              <w:rPr>
                <w:sz w:val="18"/>
                <w:szCs w:val="18"/>
                <w:lang w:val="fr-FR"/>
              </w:rPr>
            </w:pPr>
            <w:r w:rsidRPr="009109EB">
              <w:rPr>
                <w:sz w:val="18"/>
                <w:szCs w:val="18"/>
                <w:lang w:val="fr-FR"/>
              </w:rPr>
              <w:t>Iodine</w:t>
            </w:r>
          </w:p>
        </w:tc>
        <w:tc>
          <w:tcPr>
            <w:tcW w:w="1353" w:type="dxa"/>
            <w:tcBorders>
              <w:top w:val="dashSmallGap" w:sz="4" w:space="0" w:color="auto"/>
              <w:left w:val="nil"/>
              <w:bottom w:val="single" w:sz="4" w:space="0" w:color="auto"/>
              <w:right w:val="single" w:sz="4" w:space="0" w:color="000000"/>
            </w:tcBorders>
            <w:tcMar>
              <w:top w:w="40" w:type="dxa"/>
              <w:left w:w="40" w:type="dxa"/>
              <w:bottom w:w="40" w:type="dxa"/>
              <w:right w:w="40" w:type="dxa"/>
            </w:tcMar>
            <w:vAlign w:val="center"/>
          </w:tcPr>
          <w:p w14:paraId="688A9B6C" w14:textId="77777777" w:rsidR="00BD437B" w:rsidRPr="009109EB" w:rsidRDefault="00BD437B" w:rsidP="00BD437B">
            <w:pPr>
              <w:rPr>
                <w:sz w:val="18"/>
                <w:szCs w:val="18"/>
                <w:lang w:val="fr-FR"/>
              </w:rPr>
            </w:pPr>
          </w:p>
        </w:tc>
        <w:tc>
          <w:tcPr>
            <w:tcW w:w="1353" w:type="dxa"/>
            <w:tcBorders>
              <w:top w:val="dashSmallGap" w:sz="4" w:space="0" w:color="auto"/>
              <w:left w:val="nil"/>
              <w:bottom w:val="single" w:sz="4" w:space="0" w:color="auto"/>
              <w:right w:val="single" w:sz="4" w:space="0" w:color="000000"/>
            </w:tcBorders>
            <w:tcMar>
              <w:top w:w="40" w:type="dxa"/>
              <w:left w:w="40" w:type="dxa"/>
              <w:bottom w:w="40" w:type="dxa"/>
              <w:right w:w="40" w:type="dxa"/>
            </w:tcMar>
            <w:vAlign w:val="center"/>
          </w:tcPr>
          <w:p w14:paraId="28797BBE" w14:textId="77777777" w:rsidR="00BD437B" w:rsidRPr="009109EB" w:rsidRDefault="00BD437B" w:rsidP="00BD437B">
            <w:pPr>
              <w:rPr>
                <w:sz w:val="18"/>
                <w:szCs w:val="18"/>
                <w:lang w:val="fr-FR"/>
              </w:rPr>
            </w:pPr>
            <w:r w:rsidRPr="009109EB">
              <w:rPr>
                <w:rFonts w:cs="Arial"/>
                <w:i/>
                <w:sz w:val="18"/>
                <w:szCs w:val="18"/>
                <w:lang w:val="fr-FR"/>
              </w:rPr>
              <w:t>7553-56-2</w:t>
            </w:r>
          </w:p>
        </w:tc>
        <w:tc>
          <w:tcPr>
            <w:tcW w:w="1353" w:type="dxa"/>
            <w:tcBorders>
              <w:top w:val="dashSmallGap" w:sz="4" w:space="0" w:color="auto"/>
              <w:left w:val="nil"/>
              <w:bottom w:val="single" w:sz="4" w:space="0" w:color="auto"/>
              <w:right w:val="single" w:sz="4" w:space="0" w:color="000000"/>
            </w:tcBorders>
            <w:tcMar>
              <w:top w:w="40" w:type="dxa"/>
              <w:left w:w="40" w:type="dxa"/>
              <w:bottom w:w="40" w:type="dxa"/>
              <w:right w:w="40" w:type="dxa"/>
            </w:tcMar>
            <w:vAlign w:val="center"/>
          </w:tcPr>
          <w:p w14:paraId="578CE504" w14:textId="77777777" w:rsidR="00BD437B" w:rsidRPr="009109EB" w:rsidRDefault="00BD437B" w:rsidP="00BD437B">
            <w:pPr>
              <w:rPr>
                <w:sz w:val="18"/>
                <w:szCs w:val="18"/>
                <w:lang w:val="fr-FR"/>
              </w:rPr>
            </w:pPr>
            <w:r w:rsidRPr="009109EB">
              <w:rPr>
                <w:rFonts w:cs="Arial"/>
                <w:i/>
                <w:sz w:val="18"/>
                <w:szCs w:val="18"/>
                <w:lang w:val="fr-FR"/>
              </w:rPr>
              <w:t>231-442-4</w:t>
            </w:r>
          </w:p>
        </w:tc>
        <w:tc>
          <w:tcPr>
            <w:tcW w:w="1353" w:type="dxa"/>
            <w:tcBorders>
              <w:top w:val="dashSmallGap" w:sz="4" w:space="0" w:color="auto"/>
              <w:left w:val="nil"/>
              <w:bottom w:val="single" w:sz="4" w:space="0" w:color="auto"/>
              <w:right w:val="single" w:sz="4" w:space="0" w:color="000000"/>
            </w:tcBorders>
            <w:tcMar>
              <w:top w:w="40" w:type="dxa"/>
              <w:left w:w="40" w:type="dxa"/>
              <w:bottom w:w="40" w:type="dxa"/>
              <w:right w:w="40" w:type="dxa"/>
            </w:tcMar>
            <w:vAlign w:val="center"/>
          </w:tcPr>
          <w:p w14:paraId="533A9EBF" w14:textId="77777777" w:rsidR="00BD437B" w:rsidRPr="009109EB" w:rsidRDefault="00BD437B" w:rsidP="00165402">
            <w:pPr>
              <w:jc w:val="center"/>
              <w:rPr>
                <w:sz w:val="18"/>
                <w:szCs w:val="18"/>
                <w:lang w:val="fr-FR"/>
              </w:rPr>
            </w:pPr>
            <w:r w:rsidRPr="009109EB">
              <w:rPr>
                <w:rFonts w:cs="Arial"/>
                <w:i/>
                <w:color w:val="000000"/>
                <w:sz w:val="18"/>
                <w:szCs w:val="18"/>
                <w:lang w:val="fr-FR" w:eastAsia="fr-FR"/>
              </w:rPr>
              <w:t>0.13</w:t>
            </w:r>
            <w:r w:rsidR="0098643E">
              <w:rPr>
                <w:rFonts w:cs="Arial"/>
                <w:i/>
                <w:color w:val="000000"/>
                <w:sz w:val="18"/>
                <w:szCs w:val="18"/>
                <w:lang w:val="fr-FR" w:eastAsia="fr-FR"/>
              </w:rPr>
              <w:t>7</w:t>
            </w:r>
          </w:p>
        </w:tc>
      </w:tr>
    </w:tbl>
    <w:p w14:paraId="24C54EDA" w14:textId="77777777" w:rsidR="0098643E" w:rsidRDefault="0098643E" w:rsidP="0098643E">
      <w:pPr>
        <w:rPr>
          <w:lang w:val="en-US"/>
        </w:rPr>
      </w:pPr>
      <w:r>
        <w:rPr>
          <w:i/>
          <w:iCs/>
          <w:lang w:val="en-US"/>
        </w:rPr>
        <w:t>* Concept of pure /technical is not applicable to PVP iodine as it is a mixture.</w:t>
      </w:r>
    </w:p>
    <w:p w14:paraId="406EDA10" w14:textId="77777777" w:rsidR="00BD437B" w:rsidRPr="0098643E" w:rsidRDefault="00BD437B">
      <w:pPr>
        <w:pStyle w:val="Absatz"/>
        <w:rPr>
          <w:lang w:val="en-US" w:eastAsia="en-US"/>
        </w:rPr>
      </w:pPr>
    </w:p>
    <w:p w14:paraId="77B05B9F" w14:textId="77777777" w:rsidR="009D0C0B" w:rsidRDefault="00FA480B">
      <w:pPr>
        <w:pStyle w:val="Titre4"/>
        <w:rPr>
          <w:rFonts w:ascii="Times New Roman" w:hAnsi="Times New Roman" w:cs="Times New Roman"/>
          <w:i/>
          <w:lang w:eastAsia="fr-FR"/>
        </w:rPr>
      </w:pPr>
      <w:bookmarkStart w:id="23" w:name="d0e437"/>
      <w:bookmarkStart w:id="24" w:name="_Toc516669747"/>
      <w:bookmarkEnd w:id="23"/>
      <w:r>
        <w:t>Information on technical equivalence</w:t>
      </w:r>
      <w:bookmarkEnd w:id="24"/>
    </w:p>
    <w:p w14:paraId="43B7CB5D" w14:textId="77777777" w:rsidR="009D0C0B" w:rsidRPr="00A41B49" w:rsidRDefault="00A41B49">
      <w:pPr>
        <w:spacing w:line="260" w:lineRule="atLeast"/>
        <w:jc w:val="both"/>
        <w:rPr>
          <w:rFonts w:eastAsia="Calibri" w:cs="Times New Roman"/>
          <w:i/>
          <w:szCs w:val="24"/>
          <w:lang w:eastAsia="en-US"/>
        </w:rPr>
      </w:pPr>
      <w:r w:rsidRPr="00A41B49">
        <w:rPr>
          <w:rFonts w:eastAsia="Calibri" w:cs="Times New Roman"/>
          <w:i/>
          <w:szCs w:val="24"/>
          <w:lang w:eastAsia="fr-FR"/>
        </w:rPr>
        <w:t>Not relevant.</w:t>
      </w:r>
    </w:p>
    <w:p w14:paraId="7D017823" w14:textId="77777777" w:rsidR="009D0C0B" w:rsidRDefault="009D0C0B">
      <w:pPr>
        <w:spacing w:line="260" w:lineRule="atLeast"/>
        <w:rPr>
          <w:rFonts w:ascii="Times New Roman" w:eastAsia="Calibri" w:hAnsi="Times New Roman" w:cs="Times New Roman"/>
          <w:i/>
          <w:szCs w:val="24"/>
          <w:lang w:eastAsia="en-US"/>
        </w:rPr>
      </w:pPr>
    </w:p>
    <w:p w14:paraId="3C6AD040" w14:textId="77777777" w:rsidR="009D0C0B" w:rsidRDefault="00FA480B">
      <w:pPr>
        <w:pStyle w:val="Titre4"/>
        <w:rPr>
          <w:rFonts w:cs="Times"/>
          <w:bCs/>
          <w:szCs w:val="29"/>
        </w:rPr>
      </w:pPr>
      <w:bookmarkStart w:id="25" w:name="_Toc516669748"/>
      <w:r>
        <w:t>Information on the substance(s) of concern</w:t>
      </w:r>
      <w:bookmarkEnd w:id="25"/>
    </w:p>
    <w:p w14:paraId="68C3F2B3" w14:textId="77777777" w:rsidR="00F96DFE" w:rsidRDefault="00610746" w:rsidP="00E224C1">
      <w:pPr>
        <w:jc w:val="both"/>
        <w:rPr>
          <w:rFonts w:cs="Arial"/>
        </w:rPr>
      </w:pPr>
      <w:r>
        <w:rPr>
          <w:rFonts w:cs="Arial"/>
        </w:rPr>
        <w:t xml:space="preserve">One co-formulant, </w:t>
      </w:r>
      <w:r w:rsidR="00E224C1" w:rsidRPr="00E224C1">
        <w:rPr>
          <w:rFonts w:cs="Arial"/>
        </w:rPr>
        <w:t>benzene sulfonic acid</w:t>
      </w:r>
      <w:r>
        <w:rPr>
          <w:rFonts w:cs="Arial"/>
        </w:rPr>
        <w:t>,</w:t>
      </w:r>
      <w:r w:rsidR="00E224C1" w:rsidRPr="00E224C1">
        <w:rPr>
          <w:rFonts w:cs="Arial"/>
        </w:rPr>
        <w:t xml:space="preserve"> is classified H412</w:t>
      </w:r>
      <w:r w:rsidR="00367D48">
        <w:rPr>
          <w:rFonts w:cs="Arial"/>
        </w:rPr>
        <w:t>. Hence, it shall be considered whether it is a substance of concern in the formulation</w:t>
      </w:r>
      <w:r w:rsidR="00F96DFE">
        <w:rPr>
          <w:rFonts w:cs="Arial"/>
        </w:rPr>
        <w:t>.</w:t>
      </w:r>
    </w:p>
    <w:p w14:paraId="4042B9DC" w14:textId="77777777" w:rsidR="00E224C1" w:rsidRDefault="00E224C1" w:rsidP="00E224C1">
      <w:pPr>
        <w:jc w:val="both"/>
        <w:rPr>
          <w:rFonts w:cs="Arial"/>
        </w:rPr>
      </w:pPr>
      <w:r w:rsidRPr="00E224C1">
        <w:rPr>
          <w:rFonts w:cs="Arial"/>
        </w:rPr>
        <w:t>According to the appendix 1 of the Transitional Guidance on mixture toxicity assessment for biocidal products for the environment, the calculation of the relative toxic units of compounds shows that the toxicity of product is principally linked (more than 95%) to the toxicity of iodine compounds. So, the benzene sulfonic acid is not considered as substance of concern in this formulation.</w:t>
      </w:r>
    </w:p>
    <w:p w14:paraId="5AE0F7EC" w14:textId="77777777" w:rsidR="0084752A" w:rsidRPr="00E224C1" w:rsidRDefault="0084752A" w:rsidP="00E67B36">
      <w:pPr>
        <w:jc w:val="both"/>
        <w:rPr>
          <w:rFonts w:cs="Arial"/>
        </w:rPr>
      </w:pPr>
    </w:p>
    <w:p w14:paraId="0394121F" w14:textId="77777777" w:rsidR="009D0C0B" w:rsidRDefault="00FA480B">
      <w:pPr>
        <w:pStyle w:val="Titre4"/>
      </w:pPr>
      <w:bookmarkStart w:id="26" w:name="_Toc516669749"/>
      <w:r>
        <w:t>Type of formulation</w:t>
      </w:r>
      <w:bookmarkEnd w:id="2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38DAD44"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287ECA0" w14:textId="77777777" w:rsidR="009D0C0B" w:rsidRDefault="00A41B49">
            <w:pPr>
              <w:snapToGrid w:val="0"/>
            </w:pPr>
            <w:r>
              <w:rPr>
                <w:rFonts w:cs="Arial"/>
                <w:lang w:eastAsia="en-US"/>
              </w:rPr>
              <w:t>A</w:t>
            </w:r>
            <w:r w:rsidRPr="00D749ED">
              <w:rPr>
                <w:rFonts w:cs="Arial"/>
                <w:lang w:eastAsia="en-US"/>
              </w:rPr>
              <w:t>nother Liquid (AL) formulation, ready-to-use preparation</w:t>
            </w:r>
          </w:p>
        </w:tc>
      </w:tr>
    </w:tbl>
    <w:p w14:paraId="3D3CB5D6" w14:textId="77777777" w:rsidR="009D0C0B" w:rsidRDefault="009D0C0B">
      <w:bookmarkStart w:id="27" w:name="d0e452"/>
    </w:p>
    <w:p w14:paraId="5D18AC0E" w14:textId="77777777" w:rsidR="009D0C0B" w:rsidRDefault="009D0C0B"/>
    <w:p w14:paraId="168D82B5" w14:textId="77777777" w:rsidR="009D0C0B" w:rsidRDefault="00FA480B">
      <w:pPr>
        <w:pStyle w:val="Titre3"/>
      </w:pPr>
      <w:bookmarkStart w:id="28" w:name="_Toc516669750"/>
      <w:r>
        <w:t>Hazard and precautionary statements</w:t>
      </w:r>
      <w:bookmarkEnd w:id="28"/>
    </w:p>
    <w:p w14:paraId="4DDC29A0" w14:textId="77777777" w:rsidR="009D0C0B" w:rsidRDefault="00FA480B">
      <w:pPr>
        <w:rPr>
          <w:rFonts w:ascii="Times New Roman" w:hAnsi="Times New Roman" w:cs="Times New Roman"/>
          <w:i/>
          <w:szCs w:val="24"/>
          <w:lang w:eastAsia="en-GB"/>
        </w:rPr>
      </w:pPr>
      <w:r>
        <w:rPr>
          <w:b/>
        </w:rPr>
        <w:t>Classification and labelling of the product according to the Regulation (EC) 1272/2008</w:t>
      </w:r>
    </w:p>
    <w:p w14:paraId="1235D118" w14:textId="77777777" w:rsidR="009D0C0B"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14:paraId="536B529A" w14:textId="77777777" w:rsidTr="002A043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35A343C3" w14:textId="77777777" w:rsidR="009D0C0B" w:rsidRDefault="00FA480B">
            <w:r>
              <w:rPr>
                <w:b/>
                <w:lang w:eastAsia="en-US"/>
              </w:rPr>
              <w:t>Classification</w:t>
            </w:r>
          </w:p>
        </w:tc>
      </w:tr>
      <w:tr w:rsidR="002A0438" w14:paraId="2C6FBD8C" w14:textId="77777777" w:rsidTr="002A0438">
        <w:trPr>
          <w:cantSplit/>
        </w:trPr>
        <w:tc>
          <w:tcPr>
            <w:tcW w:w="2606" w:type="dxa"/>
            <w:tcBorders>
              <w:top w:val="single" w:sz="2" w:space="0" w:color="000000"/>
              <w:left w:val="single" w:sz="2" w:space="0" w:color="000000"/>
              <w:bottom w:val="single" w:sz="2" w:space="0" w:color="000000"/>
            </w:tcBorders>
            <w:shd w:val="clear" w:color="auto" w:fill="auto"/>
          </w:tcPr>
          <w:p w14:paraId="574CB1B7" w14:textId="77777777" w:rsidR="002A0438" w:rsidRDefault="002A0438">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44A962B" w14:textId="77777777" w:rsidR="002A0438" w:rsidRPr="00631D8F" w:rsidRDefault="001E7DCC" w:rsidP="00D641F2">
            <w:pPr>
              <w:rPr>
                <w:lang w:eastAsia="fi-FI"/>
              </w:rPr>
            </w:pPr>
            <w:r w:rsidRPr="00631D8F">
              <w:rPr>
                <w:lang w:eastAsia="fi-FI"/>
              </w:rPr>
              <w:t>Aquatic chronic cat 3</w:t>
            </w:r>
          </w:p>
        </w:tc>
      </w:tr>
      <w:tr w:rsidR="002A0438" w14:paraId="119C8AAB" w14:textId="77777777" w:rsidTr="002A0438">
        <w:trPr>
          <w:cantSplit/>
        </w:trPr>
        <w:tc>
          <w:tcPr>
            <w:tcW w:w="2606" w:type="dxa"/>
            <w:tcBorders>
              <w:top w:val="single" w:sz="2" w:space="0" w:color="000000"/>
              <w:left w:val="single" w:sz="2" w:space="0" w:color="000000"/>
              <w:bottom w:val="single" w:sz="2" w:space="0" w:color="000000"/>
            </w:tcBorders>
            <w:shd w:val="clear" w:color="auto" w:fill="auto"/>
          </w:tcPr>
          <w:p w14:paraId="55C77A1A" w14:textId="77777777" w:rsidR="002A0438" w:rsidRDefault="002A0438">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60A413E8" w14:textId="77777777" w:rsidR="002A0438" w:rsidRPr="00631D8F" w:rsidRDefault="001E7DCC" w:rsidP="00D641F2">
            <w:pPr>
              <w:rPr>
                <w:lang w:eastAsia="fi-FI"/>
              </w:rPr>
            </w:pPr>
            <w:r w:rsidRPr="00631D8F">
              <w:rPr>
                <w:lang w:eastAsia="fi-FI"/>
              </w:rPr>
              <w:t>H412: Harmful to aquatic life with long-lasting effects</w:t>
            </w:r>
          </w:p>
        </w:tc>
      </w:tr>
      <w:tr w:rsidR="00BD437B" w14:paraId="057C9120" w14:textId="77777777" w:rsidTr="002A043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3D807E5D" w14:textId="77777777" w:rsidR="00BD437B" w:rsidRPr="00631D8F" w:rsidRDefault="00BD437B">
            <w:pPr>
              <w:snapToGrid w:val="0"/>
              <w:rPr>
                <w:lang w:eastAsia="fi-FI"/>
              </w:rPr>
            </w:pPr>
          </w:p>
        </w:tc>
      </w:tr>
      <w:tr w:rsidR="00BD437B" w14:paraId="008AB751" w14:textId="77777777" w:rsidTr="002A043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16D83C37" w14:textId="77777777" w:rsidR="00BD437B" w:rsidRPr="00631D8F" w:rsidRDefault="00BD437B">
            <w:r w:rsidRPr="00631D8F">
              <w:rPr>
                <w:b/>
                <w:lang w:eastAsia="en-US"/>
              </w:rPr>
              <w:t>Labelling</w:t>
            </w:r>
          </w:p>
        </w:tc>
      </w:tr>
      <w:tr w:rsidR="002A0438" w14:paraId="51E3B1B9" w14:textId="77777777" w:rsidTr="002A0438">
        <w:trPr>
          <w:cantSplit/>
        </w:trPr>
        <w:tc>
          <w:tcPr>
            <w:tcW w:w="2606" w:type="dxa"/>
            <w:tcBorders>
              <w:top w:val="single" w:sz="2" w:space="0" w:color="000000"/>
              <w:left w:val="single" w:sz="2" w:space="0" w:color="000000"/>
              <w:bottom w:val="single" w:sz="2" w:space="0" w:color="000000"/>
            </w:tcBorders>
            <w:shd w:val="clear" w:color="auto" w:fill="auto"/>
          </w:tcPr>
          <w:p w14:paraId="64A74DC7" w14:textId="77777777" w:rsidR="002A0438" w:rsidRDefault="002A0438">
            <w:pPr>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015FC3B5" w14:textId="77777777" w:rsidR="002A0438" w:rsidRPr="00631D8F" w:rsidRDefault="00E75423" w:rsidP="00D641F2">
            <w:pPr>
              <w:rPr>
                <w:lang w:eastAsia="fi-FI"/>
              </w:rPr>
            </w:pPr>
            <w:r w:rsidRPr="00631D8F">
              <w:rPr>
                <w:lang w:eastAsia="fi-FI"/>
              </w:rPr>
              <w:t>-</w:t>
            </w:r>
          </w:p>
        </w:tc>
      </w:tr>
      <w:tr w:rsidR="002A0438" w14:paraId="2AC5C73E" w14:textId="77777777" w:rsidTr="002A0438">
        <w:trPr>
          <w:cantSplit/>
        </w:trPr>
        <w:tc>
          <w:tcPr>
            <w:tcW w:w="2606" w:type="dxa"/>
            <w:tcBorders>
              <w:top w:val="single" w:sz="2" w:space="0" w:color="000000"/>
              <w:left w:val="single" w:sz="2" w:space="0" w:color="000000"/>
              <w:bottom w:val="single" w:sz="2" w:space="0" w:color="000000"/>
            </w:tcBorders>
            <w:shd w:val="clear" w:color="auto" w:fill="auto"/>
          </w:tcPr>
          <w:p w14:paraId="2725DE2D" w14:textId="77777777" w:rsidR="002A0438" w:rsidRDefault="002A0438">
            <w:pPr>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2C92CBA" w14:textId="77777777" w:rsidR="002A0438" w:rsidRPr="00631D8F" w:rsidRDefault="007A0215" w:rsidP="00D641F2">
            <w:pPr>
              <w:rPr>
                <w:lang w:eastAsia="fi-FI"/>
              </w:rPr>
            </w:pPr>
            <w:r w:rsidRPr="00631D8F">
              <w:rPr>
                <w:lang w:eastAsia="fi-FI"/>
              </w:rPr>
              <w:t>H412: Harmful to aquatic life with long-lasting effects</w:t>
            </w:r>
          </w:p>
        </w:tc>
      </w:tr>
      <w:tr w:rsidR="002A0438" w14:paraId="7E2F3DE8" w14:textId="77777777" w:rsidTr="002A0438">
        <w:trPr>
          <w:cantSplit/>
        </w:trPr>
        <w:tc>
          <w:tcPr>
            <w:tcW w:w="2606" w:type="dxa"/>
            <w:tcBorders>
              <w:top w:val="single" w:sz="2" w:space="0" w:color="000000"/>
              <w:left w:val="single" w:sz="2" w:space="0" w:color="000000"/>
              <w:bottom w:val="single" w:sz="2" w:space="0" w:color="000000"/>
            </w:tcBorders>
            <w:shd w:val="clear" w:color="auto" w:fill="auto"/>
          </w:tcPr>
          <w:p w14:paraId="0079701E" w14:textId="77777777" w:rsidR="002A0438" w:rsidRDefault="002A0438">
            <w:pPr>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4DCED32A" w14:textId="77777777" w:rsidR="00E554D4" w:rsidRPr="00631D8F" w:rsidRDefault="00631D8F" w:rsidP="00E554D4">
            <w:pPr>
              <w:rPr>
                <w:lang w:eastAsia="fi-FI"/>
              </w:rPr>
            </w:pPr>
            <w:r>
              <w:rPr>
                <w:lang w:eastAsia="fi-FI"/>
              </w:rPr>
              <w:t>P273:</w:t>
            </w:r>
            <w:r w:rsidR="00E554D4" w:rsidRPr="00631D8F">
              <w:rPr>
                <w:lang w:eastAsia="fi-FI"/>
              </w:rPr>
              <w:t xml:space="preserve"> Avoid release to the environment</w:t>
            </w:r>
          </w:p>
          <w:p w14:paraId="1287C8CE" w14:textId="77777777" w:rsidR="002A0438" w:rsidRPr="00631D8F" w:rsidRDefault="00631D8F" w:rsidP="00631D8F">
            <w:pPr>
              <w:rPr>
                <w:lang w:eastAsia="fi-FI"/>
              </w:rPr>
            </w:pPr>
            <w:r>
              <w:rPr>
                <w:lang w:eastAsia="fi-FI"/>
              </w:rPr>
              <w:lastRenderedPageBreak/>
              <w:t>P50</w:t>
            </w:r>
            <w:r w:rsidR="00AD2B0B">
              <w:rPr>
                <w:lang w:eastAsia="fi-FI"/>
              </w:rPr>
              <w:t>1</w:t>
            </w:r>
            <w:r>
              <w:rPr>
                <w:lang w:eastAsia="fi-FI"/>
              </w:rPr>
              <w:t>:</w:t>
            </w:r>
            <w:r w:rsidR="00E554D4" w:rsidRPr="00631D8F">
              <w:rPr>
                <w:lang w:eastAsia="fi-FI"/>
              </w:rPr>
              <w:t xml:space="preserve"> Dispose of contents/container in accordance with local/ regional/national/international regulation (to be specified).</w:t>
            </w:r>
          </w:p>
        </w:tc>
      </w:tr>
      <w:tr w:rsidR="002A0438" w14:paraId="05DA4098" w14:textId="77777777" w:rsidTr="002A043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7566DA86" w14:textId="77777777" w:rsidR="002A0438" w:rsidRDefault="002A0438">
            <w:pPr>
              <w:snapToGrid w:val="0"/>
              <w:rPr>
                <w:lang w:eastAsia="fi-FI"/>
              </w:rPr>
            </w:pPr>
          </w:p>
        </w:tc>
      </w:tr>
      <w:tr w:rsidR="002A0438" w14:paraId="585346DF" w14:textId="77777777" w:rsidTr="002A0438">
        <w:trPr>
          <w:cantSplit/>
        </w:trPr>
        <w:tc>
          <w:tcPr>
            <w:tcW w:w="2606" w:type="dxa"/>
            <w:tcBorders>
              <w:top w:val="single" w:sz="2" w:space="0" w:color="000000"/>
              <w:left w:val="single" w:sz="2" w:space="0" w:color="000000"/>
              <w:bottom w:val="single" w:sz="2" w:space="0" w:color="000000"/>
            </w:tcBorders>
            <w:shd w:val="clear" w:color="auto" w:fill="auto"/>
          </w:tcPr>
          <w:p w14:paraId="20ECA8B7" w14:textId="77777777" w:rsidR="002A0438" w:rsidRDefault="002A0438">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32112F60" w14:textId="77777777" w:rsidR="002A0438" w:rsidRDefault="009109EB">
            <w:pPr>
              <w:snapToGrid w:val="0"/>
              <w:rPr>
                <w:b/>
                <w:lang w:eastAsia="fi-FI"/>
              </w:rPr>
            </w:pPr>
            <w:r>
              <w:rPr>
                <w:b/>
                <w:lang w:eastAsia="fi-FI"/>
              </w:rPr>
              <w:t>-</w:t>
            </w:r>
          </w:p>
        </w:tc>
      </w:tr>
    </w:tbl>
    <w:p w14:paraId="0DD2C06B" w14:textId="77777777" w:rsidR="009D0C0B" w:rsidRDefault="009D0C0B">
      <w:pPr>
        <w:tabs>
          <w:tab w:val="left" w:pos="500"/>
        </w:tabs>
        <w:ind w:left="500" w:hanging="500"/>
      </w:pPr>
    </w:p>
    <w:p w14:paraId="692C6F75" w14:textId="77777777" w:rsidR="009D0C0B" w:rsidRDefault="009D0C0B"/>
    <w:p w14:paraId="68BCCA3F" w14:textId="77777777" w:rsidR="009D0C0B" w:rsidRDefault="00FA480B">
      <w:pPr>
        <w:pStyle w:val="Titre3"/>
      </w:pPr>
      <w:bookmarkStart w:id="29" w:name="_Toc516669751"/>
      <w:r>
        <w:t>Authorised use(s)</w:t>
      </w:r>
      <w:bookmarkEnd w:id="29"/>
    </w:p>
    <w:p w14:paraId="2DA7BE8F" w14:textId="77777777" w:rsidR="009D0C0B" w:rsidRDefault="00FA480B">
      <w:pPr>
        <w:pStyle w:val="Titre4"/>
      </w:pPr>
      <w:bookmarkStart w:id="30" w:name="_Toc516669752"/>
      <w:r>
        <w:t>Use description</w:t>
      </w:r>
      <w:bookmarkEnd w:id="30"/>
    </w:p>
    <w:bookmarkEnd w:id="27"/>
    <w:p w14:paraId="17464E77" w14:textId="77777777" w:rsidR="009D0C0B" w:rsidRPr="00397C2A" w:rsidRDefault="00FA480B">
      <w:pPr>
        <w:pStyle w:val="Lgende"/>
        <w:spacing w:after="120"/>
        <w:rPr>
          <w:rFonts w:ascii="Verdana" w:hAnsi="Verdana"/>
          <w:b/>
          <w:bCs/>
          <w:szCs w:val="24"/>
          <w:lang w:eastAsia="en-GB"/>
        </w:rPr>
      </w:pPr>
      <w:r w:rsidRPr="00397C2A">
        <w:rPr>
          <w:rFonts w:ascii="Verdana" w:hAnsi="Verdana" w:cs="Verdana"/>
        </w:rPr>
        <w:t xml:space="preserve">Table </w:t>
      </w:r>
      <w:r w:rsidRPr="00397C2A">
        <w:rPr>
          <w:rFonts w:ascii="Verdana" w:hAnsi="Verdana" w:cs="Verdana"/>
        </w:rPr>
        <w:fldChar w:fldCharType="begin"/>
      </w:r>
      <w:r w:rsidRPr="00397C2A">
        <w:rPr>
          <w:rFonts w:ascii="Verdana" w:hAnsi="Verdana" w:cs="Verdana"/>
        </w:rPr>
        <w:instrText xml:space="preserve"> SEQ "Tableau" \* ARABIC </w:instrText>
      </w:r>
      <w:r w:rsidRPr="00397C2A">
        <w:rPr>
          <w:rFonts w:ascii="Verdana" w:hAnsi="Verdana" w:cs="Verdana"/>
        </w:rPr>
        <w:fldChar w:fldCharType="separate"/>
      </w:r>
      <w:r w:rsidR="00D3764E">
        <w:rPr>
          <w:rFonts w:ascii="Verdana" w:hAnsi="Verdana" w:cs="Verdana"/>
          <w:noProof/>
        </w:rPr>
        <w:t>1</w:t>
      </w:r>
      <w:r w:rsidRPr="00397C2A">
        <w:rPr>
          <w:rFonts w:ascii="Verdana" w:hAnsi="Verdana" w:cs="Verdana"/>
        </w:rPr>
        <w:fldChar w:fldCharType="end"/>
      </w:r>
      <w:r w:rsidRPr="00397C2A">
        <w:rPr>
          <w:rFonts w:ascii="Verdana" w:hAnsi="Verdana"/>
        </w:rPr>
        <w:t xml:space="preserve">. Use # 1 – </w:t>
      </w:r>
      <w:r w:rsidR="008F2C95">
        <w:rPr>
          <w:rFonts w:ascii="Verdana" w:hAnsi="Verdana"/>
        </w:rPr>
        <w:t>Teat disinfection</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14:paraId="6A7F6285" w14:textId="77777777">
        <w:tc>
          <w:tcPr>
            <w:tcW w:w="2707" w:type="dxa"/>
            <w:tcBorders>
              <w:top w:val="single" w:sz="4" w:space="0" w:color="000000"/>
              <w:left w:val="single" w:sz="4" w:space="0" w:color="000000"/>
              <w:bottom w:val="single" w:sz="4" w:space="0" w:color="000000"/>
            </w:tcBorders>
            <w:shd w:val="clear" w:color="auto" w:fill="auto"/>
          </w:tcPr>
          <w:p w14:paraId="7F3CEEE3" w14:textId="77777777" w:rsidR="009D0C0B" w:rsidRDefault="00FA480B">
            <w:pPr>
              <w:rPr>
                <w:b/>
              </w:rPr>
            </w:pPr>
            <w:r>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5FA57B7D" w14:textId="77777777" w:rsidR="009D0C0B" w:rsidRPr="008F2C95" w:rsidRDefault="008F2C95">
            <w:pPr>
              <w:snapToGrid w:val="0"/>
            </w:pPr>
            <w:r w:rsidRPr="008F2C95">
              <w:t>3</w:t>
            </w:r>
          </w:p>
        </w:tc>
      </w:tr>
      <w:tr w:rsidR="009D0C0B" w14:paraId="4D2A22C4" w14:textId="77777777">
        <w:tc>
          <w:tcPr>
            <w:tcW w:w="2707" w:type="dxa"/>
            <w:tcBorders>
              <w:left w:val="single" w:sz="4" w:space="0" w:color="000000"/>
              <w:bottom w:val="single" w:sz="4" w:space="0" w:color="000000"/>
            </w:tcBorders>
            <w:shd w:val="clear" w:color="auto" w:fill="auto"/>
          </w:tcPr>
          <w:p w14:paraId="33F368AD" w14:textId="77777777" w:rsidR="009D0C0B" w:rsidRDefault="00FA480B">
            <w:pPr>
              <w:rPr>
                <w:b/>
              </w:rPr>
            </w:pPr>
            <w:r>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1C037EF4" w14:textId="77777777" w:rsidR="009D0C0B" w:rsidRDefault="002A0438" w:rsidP="002A0438">
            <w:pPr>
              <w:snapToGrid w:val="0"/>
              <w:rPr>
                <w:b/>
              </w:rPr>
            </w:pPr>
            <w:r>
              <w:rPr>
                <w:rFonts w:cs="Arial"/>
                <w:bCs/>
                <w:lang w:eastAsia="de-DE"/>
              </w:rPr>
              <w:t>Teat disinfection in post milking</w:t>
            </w:r>
          </w:p>
        </w:tc>
      </w:tr>
      <w:tr w:rsidR="008F2C95" w14:paraId="2BB3F0E6" w14:textId="77777777">
        <w:tc>
          <w:tcPr>
            <w:tcW w:w="2707" w:type="dxa"/>
            <w:tcBorders>
              <w:left w:val="single" w:sz="4" w:space="0" w:color="000000"/>
              <w:bottom w:val="single" w:sz="4" w:space="0" w:color="000000"/>
            </w:tcBorders>
            <w:shd w:val="clear" w:color="auto" w:fill="auto"/>
          </w:tcPr>
          <w:p w14:paraId="6484A805" w14:textId="77777777" w:rsidR="008F2C95" w:rsidRDefault="008F2C95">
            <w:pPr>
              <w:rPr>
                <w:b/>
              </w:rPr>
            </w:pPr>
            <w:r>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502EBA75" w14:textId="77777777" w:rsidR="008F2C95" w:rsidRPr="00EA38CA" w:rsidRDefault="008F2C95" w:rsidP="002A0438">
            <w:pPr>
              <w:rPr>
                <w:rFonts w:cs="Arial"/>
                <w:bCs/>
              </w:rPr>
            </w:pPr>
            <w:r>
              <w:rPr>
                <w:rFonts w:cs="Arial"/>
              </w:rPr>
              <w:t>B</w:t>
            </w:r>
            <w:r w:rsidRPr="00EA38CA">
              <w:rPr>
                <w:rFonts w:cs="Arial"/>
              </w:rPr>
              <w:t>acteria</w:t>
            </w:r>
            <w:r w:rsidR="002A0438">
              <w:rPr>
                <w:rFonts w:cs="Arial"/>
              </w:rPr>
              <w:t xml:space="preserve"> and Yeasts</w:t>
            </w:r>
          </w:p>
        </w:tc>
      </w:tr>
      <w:tr w:rsidR="008F2C95" w14:paraId="346757FE" w14:textId="77777777">
        <w:tc>
          <w:tcPr>
            <w:tcW w:w="2707" w:type="dxa"/>
            <w:tcBorders>
              <w:left w:val="single" w:sz="4" w:space="0" w:color="000000"/>
              <w:bottom w:val="single" w:sz="4" w:space="0" w:color="000000"/>
            </w:tcBorders>
            <w:shd w:val="clear" w:color="auto" w:fill="auto"/>
          </w:tcPr>
          <w:p w14:paraId="312D6B97" w14:textId="77777777" w:rsidR="008F2C95" w:rsidRDefault="008F2C95">
            <w:pPr>
              <w:rPr>
                <w:b/>
              </w:rPr>
            </w:pPr>
            <w:r>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368556FF" w14:textId="77777777" w:rsidR="008F2C95" w:rsidRPr="00EA38CA" w:rsidRDefault="008F2C95" w:rsidP="00D749ED">
            <w:pPr>
              <w:tabs>
                <w:tab w:val="left" w:pos="1465"/>
              </w:tabs>
              <w:rPr>
                <w:rFonts w:cs="Arial"/>
                <w:bCs/>
              </w:rPr>
            </w:pPr>
            <w:r>
              <w:rPr>
                <w:rFonts w:cs="Arial"/>
              </w:rPr>
              <w:t>Indoor</w:t>
            </w:r>
          </w:p>
        </w:tc>
      </w:tr>
      <w:tr w:rsidR="008F2C95" w14:paraId="3F494E2A" w14:textId="77777777">
        <w:tc>
          <w:tcPr>
            <w:tcW w:w="2707" w:type="dxa"/>
            <w:tcBorders>
              <w:left w:val="single" w:sz="4" w:space="0" w:color="000000"/>
              <w:bottom w:val="single" w:sz="4" w:space="0" w:color="000000"/>
            </w:tcBorders>
            <w:shd w:val="clear" w:color="auto" w:fill="auto"/>
          </w:tcPr>
          <w:p w14:paraId="7BA77F90" w14:textId="77777777" w:rsidR="008F2C95" w:rsidRDefault="008F2C95">
            <w:pPr>
              <w:rPr>
                <w:b/>
              </w:rPr>
            </w:pPr>
            <w:r>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63D5C4C6" w14:textId="77777777" w:rsidR="008F2C95" w:rsidRDefault="008F2C95" w:rsidP="00D749ED">
            <w:pPr>
              <w:rPr>
                <w:rFonts w:cs="Arial"/>
                <w:bCs/>
              </w:rPr>
            </w:pPr>
            <w:r>
              <w:rPr>
                <w:rFonts w:cs="Arial"/>
              </w:rPr>
              <w:t>M</w:t>
            </w:r>
            <w:r w:rsidRPr="00EA38CA">
              <w:rPr>
                <w:rFonts w:cs="Arial"/>
              </w:rPr>
              <w:t xml:space="preserve">anual non-medical teat disinfection for cows, </w:t>
            </w:r>
            <w:r w:rsidR="002A0438">
              <w:rPr>
                <w:rFonts w:cs="Arial"/>
              </w:rPr>
              <w:t>ewe</w:t>
            </w:r>
            <w:r w:rsidR="002929F9">
              <w:rPr>
                <w:rFonts w:cs="Arial"/>
              </w:rPr>
              <w:t>s</w:t>
            </w:r>
            <w:r w:rsidRPr="00EA38CA">
              <w:rPr>
                <w:rFonts w:cs="Arial"/>
              </w:rPr>
              <w:t xml:space="preserve"> and goats</w:t>
            </w:r>
            <w:r w:rsidR="002A0438">
              <w:rPr>
                <w:rFonts w:cs="Arial"/>
              </w:rPr>
              <w:t xml:space="preserve"> in</w:t>
            </w:r>
            <w:r w:rsidR="00367D48">
              <w:rPr>
                <w:rFonts w:cs="Arial"/>
              </w:rPr>
              <w:t xml:space="preserve"> </w:t>
            </w:r>
            <w:r w:rsidR="002A0438">
              <w:rPr>
                <w:rFonts w:cs="Arial"/>
              </w:rPr>
              <w:t>post-milking</w:t>
            </w:r>
            <w:r w:rsidRPr="00EA38CA">
              <w:rPr>
                <w:rFonts w:cs="Arial"/>
              </w:rPr>
              <w:t>.</w:t>
            </w:r>
          </w:p>
          <w:p w14:paraId="1AEADDBD" w14:textId="77777777" w:rsidR="008F2C95" w:rsidRPr="00EA38CA" w:rsidRDefault="008F2C95" w:rsidP="00D749ED">
            <w:pPr>
              <w:rPr>
                <w:rFonts w:cs="Arial"/>
                <w:bCs/>
              </w:rPr>
            </w:pPr>
            <w:r w:rsidRPr="00EA38CA">
              <w:rPr>
                <w:rFonts w:cs="Arial"/>
              </w:rPr>
              <w:t>Dip treatment</w:t>
            </w:r>
          </w:p>
        </w:tc>
      </w:tr>
      <w:tr w:rsidR="008F2C95" w14:paraId="0713B048" w14:textId="77777777">
        <w:tc>
          <w:tcPr>
            <w:tcW w:w="2707" w:type="dxa"/>
            <w:tcBorders>
              <w:left w:val="single" w:sz="4" w:space="0" w:color="000000"/>
              <w:bottom w:val="single" w:sz="4" w:space="0" w:color="000000"/>
            </w:tcBorders>
            <w:shd w:val="clear" w:color="auto" w:fill="auto"/>
          </w:tcPr>
          <w:p w14:paraId="7A486511" w14:textId="77777777" w:rsidR="008F2C95" w:rsidRDefault="008F2C95">
            <w:pPr>
              <w:rPr>
                <w:b/>
              </w:rPr>
            </w:pPr>
            <w:r>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465A25C7" w14:textId="77777777" w:rsidR="002A0438" w:rsidRDefault="002A0438" w:rsidP="00D749ED">
            <w:pPr>
              <w:rPr>
                <w:rFonts w:cs="Arial"/>
              </w:rPr>
            </w:pPr>
            <w:r>
              <w:rPr>
                <w:rFonts w:cs="Arial"/>
              </w:rPr>
              <w:t>Ready to use</w:t>
            </w:r>
          </w:p>
          <w:p w14:paraId="0B680CA7" w14:textId="77777777" w:rsidR="008F2C95" w:rsidRDefault="00623C0C" w:rsidP="00D749ED">
            <w:pPr>
              <w:rPr>
                <w:rFonts w:cs="Arial"/>
                <w:bCs/>
              </w:rPr>
            </w:pPr>
            <w:r>
              <w:rPr>
                <w:rFonts w:cs="Arial"/>
              </w:rPr>
              <w:t>2 mL</w:t>
            </w:r>
            <w:r w:rsidR="008F2C95">
              <w:rPr>
                <w:rFonts w:cs="Arial"/>
              </w:rPr>
              <w:t xml:space="preserve"> per teat</w:t>
            </w:r>
          </w:p>
          <w:p w14:paraId="31BA0F7A" w14:textId="77777777" w:rsidR="008F2C95" w:rsidRDefault="008F2C95" w:rsidP="00D749ED">
            <w:pPr>
              <w:rPr>
                <w:rFonts w:cs="Arial"/>
              </w:rPr>
            </w:pPr>
            <w:r w:rsidRPr="00EA38CA">
              <w:rPr>
                <w:rFonts w:cs="Arial"/>
              </w:rPr>
              <w:t>2</w:t>
            </w:r>
            <w:r>
              <w:rPr>
                <w:rFonts w:cs="Arial"/>
              </w:rPr>
              <w:t xml:space="preserve"> </w:t>
            </w:r>
            <w:r w:rsidRPr="00EA38CA">
              <w:rPr>
                <w:rFonts w:cs="Arial"/>
              </w:rPr>
              <w:t>x/day, each day</w:t>
            </w:r>
          </w:p>
          <w:p w14:paraId="49F0869F" w14:textId="77777777" w:rsidR="002A0438" w:rsidRDefault="002A0438" w:rsidP="00D749ED">
            <w:pPr>
              <w:rPr>
                <w:rFonts w:cs="Arial"/>
                <w:bCs/>
              </w:rPr>
            </w:pPr>
          </w:p>
          <w:p w14:paraId="2B6970A8" w14:textId="77777777" w:rsidR="002A0438" w:rsidRPr="00EA38CA" w:rsidRDefault="002A0438" w:rsidP="00D749ED">
            <w:pPr>
              <w:rPr>
                <w:rFonts w:cs="Arial"/>
                <w:bCs/>
              </w:rPr>
            </w:pPr>
            <w:r>
              <w:rPr>
                <w:rFonts w:cs="Arial"/>
              </w:rPr>
              <w:t>Contact time : 5 minutes</w:t>
            </w:r>
          </w:p>
        </w:tc>
      </w:tr>
      <w:tr w:rsidR="008F2C95" w14:paraId="6BFF741C" w14:textId="77777777">
        <w:tc>
          <w:tcPr>
            <w:tcW w:w="2707" w:type="dxa"/>
            <w:tcBorders>
              <w:left w:val="single" w:sz="4" w:space="0" w:color="000000"/>
              <w:bottom w:val="single" w:sz="4" w:space="0" w:color="000000"/>
            </w:tcBorders>
            <w:shd w:val="clear" w:color="auto" w:fill="auto"/>
          </w:tcPr>
          <w:p w14:paraId="195E6611" w14:textId="77777777" w:rsidR="008F2C95" w:rsidRDefault="008F2C95">
            <w:pPr>
              <w:rPr>
                <w:b/>
              </w:rPr>
            </w:pPr>
            <w:r>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557E5E96" w14:textId="77777777" w:rsidR="008F2C95" w:rsidRDefault="008F2C95" w:rsidP="00D749ED">
            <w:pPr>
              <w:rPr>
                <w:rFonts w:cs="Arial"/>
                <w:bCs/>
              </w:rPr>
            </w:pPr>
            <w:r>
              <w:rPr>
                <w:rFonts w:cs="Arial"/>
              </w:rPr>
              <w:t>Professional users</w:t>
            </w:r>
          </w:p>
        </w:tc>
      </w:tr>
      <w:tr w:rsidR="008F2C95" w14:paraId="4810E64D" w14:textId="77777777">
        <w:tc>
          <w:tcPr>
            <w:tcW w:w="2707" w:type="dxa"/>
            <w:tcBorders>
              <w:left w:val="single" w:sz="4" w:space="0" w:color="000000"/>
              <w:bottom w:val="single" w:sz="4" w:space="0" w:color="000000"/>
            </w:tcBorders>
            <w:shd w:val="clear" w:color="auto" w:fill="auto"/>
          </w:tcPr>
          <w:p w14:paraId="42164B49" w14:textId="77777777" w:rsidR="008F2C95" w:rsidRDefault="008F2C95">
            <w:r>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6C5305C2" w14:textId="77777777" w:rsidR="008F2C95" w:rsidRDefault="008F2C95" w:rsidP="00D749ED">
            <w:pPr>
              <w:rPr>
                <w:rFonts w:cs="Arial"/>
                <w:bCs/>
              </w:rPr>
            </w:pPr>
            <w:r w:rsidRPr="002E499F">
              <w:rPr>
                <w:rFonts w:cs="Arial"/>
              </w:rPr>
              <w:t xml:space="preserve">The product </w:t>
            </w:r>
            <w:r>
              <w:rPr>
                <w:rFonts w:cs="Arial"/>
              </w:rPr>
              <w:t>IODIGUARD</w:t>
            </w:r>
            <w:r w:rsidRPr="002E499F">
              <w:rPr>
                <w:rFonts w:cs="Arial"/>
              </w:rPr>
              <w:t xml:space="preserve"> is packaged in </w:t>
            </w:r>
            <w:r>
              <w:rPr>
                <w:rFonts w:cs="Arial"/>
              </w:rPr>
              <w:t>jerry cans</w:t>
            </w:r>
            <w:r w:rsidRPr="002E499F">
              <w:rPr>
                <w:rFonts w:cs="Arial"/>
              </w:rPr>
              <w:t xml:space="preserve"> HDPE containers of </w:t>
            </w:r>
            <w:r w:rsidRPr="006B0AA8">
              <w:rPr>
                <w:rFonts w:cs="Arial"/>
              </w:rPr>
              <w:t>20 L</w:t>
            </w:r>
            <w:r>
              <w:rPr>
                <w:rFonts w:cs="Arial"/>
              </w:rPr>
              <w:t xml:space="preserve"> and HDPE barrels of 60</w:t>
            </w:r>
            <w:r w:rsidR="008A11C2">
              <w:rPr>
                <w:rFonts w:cs="Arial"/>
              </w:rPr>
              <w:t xml:space="preserve"> </w:t>
            </w:r>
            <w:r>
              <w:rPr>
                <w:rFonts w:cs="Arial"/>
              </w:rPr>
              <w:t>L and 220</w:t>
            </w:r>
            <w:r w:rsidR="008A11C2">
              <w:rPr>
                <w:rFonts w:cs="Arial"/>
              </w:rPr>
              <w:t xml:space="preserve"> </w:t>
            </w:r>
            <w:r>
              <w:rPr>
                <w:rFonts w:cs="Arial"/>
              </w:rPr>
              <w:t>L.</w:t>
            </w:r>
          </w:p>
        </w:tc>
      </w:tr>
    </w:tbl>
    <w:p w14:paraId="4B5FF782" w14:textId="77777777" w:rsidR="009D0C0B" w:rsidRDefault="00FA480B">
      <w:pPr>
        <w:pStyle w:val="Titre4"/>
        <w:rPr>
          <w:rFonts w:cs="Times"/>
          <w:bCs/>
          <w:szCs w:val="29"/>
        </w:rPr>
      </w:pPr>
      <w:bookmarkStart w:id="31" w:name="_Toc516669753"/>
      <w:bookmarkStart w:id="32" w:name="d0e1044"/>
      <w:r>
        <w:t>Use-specific instructions for use</w:t>
      </w:r>
      <w:bookmarkEnd w:id="3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0C768E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BA70068" w14:textId="77777777" w:rsidR="009D0C0B" w:rsidRDefault="00C61F6A" w:rsidP="00631D8F">
            <w:pPr>
              <w:pStyle w:val="Paragraphedeliste"/>
              <w:numPr>
                <w:ilvl w:val="0"/>
                <w:numId w:val="6"/>
              </w:numPr>
              <w:ind w:left="386"/>
              <w:jc w:val="both"/>
              <w:rPr>
                <w:rFonts w:cs="Times"/>
                <w:bCs/>
                <w:szCs w:val="29"/>
              </w:rPr>
            </w:pPr>
            <w:r w:rsidRPr="00631D8F">
              <w:t>Wear gloves during the cleaning of the teats and equipment.</w:t>
            </w:r>
          </w:p>
        </w:tc>
      </w:tr>
    </w:tbl>
    <w:p w14:paraId="4D0F4413" w14:textId="77777777" w:rsidR="009D0C0B" w:rsidRDefault="00FA480B">
      <w:pPr>
        <w:pStyle w:val="Titre4"/>
        <w:rPr>
          <w:rFonts w:cs="Times"/>
          <w:bCs/>
          <w:szCs w:val="29"/>
        </w:rPr>
      </w:pPr>
      <w:bookmarkStart w:id="33" w:name="_Toc516669754"/>
      <w:r>
        <w:t>Use-specific risk mitigation measures</w:t>
      </w:r>
      <w:bookmarkEnd w:id="33"/>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47F6F75"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DB3598D" w14:textId="77777777" w:rsidR="009D0C0B" w:rsidRDefault="008A2ABE">
            <w:pPr>
              <w:widowControl w:val="0"/>
              <w:autoSpaceDE w:val="0"/>
              <w:snapToGrid w:val="0"/>
              <w:spacing w:before="80"/>
              <w:rPr>
                <w:rFonts w:cs="Times"/>
                <w:bCs/>
                <w:szCs w:val="29"/>
              </w:rPr>
            </w:pPr>
            <w:r>
              <w:rPr>
                <w:rFonts w:cs="Times"/>
                <w:bCs/>
                <w:szCs w:val="29"/>
              </w:rPr>
              <w:t>-</w:t>
            </w:r>
          </w:p>
        </w:tc>
      </w:tr>
    </w:tbl>
    <w:p w14:paraId="67E3B14B" w14:textId="77777777" w:rsidR="009D0C0B" w:rsidRDefault="00FA480B">
      <w:pPr>
        <w:pStyle w:val="Titre4"/>
        <w:rPr>
          <w:rFonts w:cs="Times"/>
          <w:bCs/>
          <w:szCs w:val="29"/>
        </w:rPr>
      </w:pPr>
      <w:bookmarkStart w:id="34" w:name="_Toc516669755"/>
      <w:r>
        <w:t>Where specific to the use, the particulars of likely direct or indirect effects, first aid instructions and emergency measures to protect the environment</w:t>
      </w:r>
      <w:bookmarkEnd w:id="3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64D90DF"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51589A0" w14:textId="77777777" w:rsidR="009D0C0B" w:rsidRDefault="008A2ABE">
            <w:pPr>
              <w:widowControl w:val="0"/>
              <w:autoSpaceDE w:val="0"/>
              <w:snapToGrid w:val="0"/>
              <w:spacing w:before="80"/>
              <w:rPr>
                <w:rFonts w:cs="Times"/>
                <w:bCs/>
                <w:szCs w:val="29"/>
              </w:rPr>
            </w:pPr>
            <w:r>
              <w:rPr>
                <w:rFonts w:cs="Times"/>
                <w:bCs/>
                <w:szCs w:val="29"/>
              </w:rPr>
              <w:t>-</w:t>
            </w:r>
          </w:p>
        </w:tc>
      </w:tr>
    </w:tbl>
    <w:p w14:paraId="28BB9B5F" w14:textId="77777777" w:rsidR="009D0C0B" w:rsidRDefault="00FA480B">
      <w:pPr>
        <w:pStyle w:val="Titre4"/>
        <w:rPr>
          <w:rFonts w:cs="Times"/>
          <w:bCs/>
          <w:szCs w:val="29"/>
        </w:rPr>
      </w:pPr>
      <w:bookmarkStart w:id="35" w:name="_Toc516669756"/>
      <w:r>
        <w:lastRenderedPageBreak/>
        <w:t>Where specific to the use, the instructions for safe disposal of the product and its packaging</w:t>
      </w:r>
      <w:bookmarkEnd w:id="35"/>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8955A8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044559E" w14:textId="77777777" w:rsidR="009D0C0B" w:rsidRDefault="008A2ABE">
            <w:pPr>
              <w:widowControl w:val="0"/>
              <w:autoSpaceDE w:val="0"/>
              <w:snapToGrid w:val="0"/>
              <w:spacing w:before="80"/>
              <w:rPr>
                <w:rFonts w:cs="Times"/>
                <w:bCs/>
                <w:szCs w:val="29"/>
              </w:rPr>
            </w:pPr>
            <w:r>
              <w:rPr>
                <w:rFonts w:cs="Times"/>
                <w:bCs/>
                <w:szCs w:val="29"/>
              </w:rPr>
              <w:t>-</w:t>
            </w:r>
          </w:p>
        </w:tc>
      </w:tr>
    </w:tbl>
    <w:p w14:paraId="34BEB580" w14:textId="77777777" w:rsidR="009D0C0B" w:rsidRDefault="00FA480B">
      <w:pPr>
        <w:pStyle w:val="Titre4"/>
        <w:rPr>
          <w:rFonts w:cs="Times"/>
          <w:bCs/>
          <w:szCs w:val="29"/>
        </w:rPr>
      </w:pPr>
      <w:bookmarkStart w:id="36" w:name="_Toc516669757"/>
      <w:r>
        <w:t>Where specific to the use, the conditions of storage and shelf-life of the product under normal conditions of storage</w:t>
      </w:r>
      <w:bookmarkEnd w:id="3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54197AF"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345BBC8" w14:textId="77777777" w:rsidR="009D0C0B" w:rsidRDefault="008A2ABE">
            <w:pPr>
              <w:widowControl w:val="0"/>
              <w:autoSpaceDE w:val="0"/>
              <w:snapToGrid w:val="0"/>
              <w:spacing w:before="80"/>
              <w:rPr>
                <w:rFonts w:cs="Times"/>
                <w:bCs/>
                <w:szCs w:val="29"/>
              </w:rPr>
            </w:pPr>
            <w:r>
              <w:rPr>
                <w:rFonts w:cs="Times"/>
                <w:bCs/>
                <w:szCs w:val="29"/>
              </w:rPr>
              <w:t>-</w:t>
            </w:r>
          </w:p>
        </w:tc>
      </w:tr>
    </w:tbl>
    <w:p w14:paraId="7064FEF8" w14:textId="77777777" w:rsidR="00A41B49" w:rsidRDefault="00A41B49" w:rsidP="00BF577B"/>
    <w:p w14:paraId="6D966D99" w14:textId="77777777" w:rsidR="009D0C0B" w:rsidRDefault="00FA480B" w:rsidP="00A41B49">
      <w:pPr>
        <w:pStyle w:val="Titre3"/>
        <w:keepNext w:val="0"/>
      </w:pPr>
      <w:bookmarkStart w:id="37" w:name="_Toc516669758"/>
      <w:r>
        <w:t>General directions for use</w:t>
      </w:r>
      <w:bookmarkEnd w:id="37"/>
    </w:p>
    <w:p w14:paraId="3EF76A03" w14:textId="77777777" w:rsidR="009D0C0B" w:rsidRDefault="00FA480B" w:rsidP="00A41B49">
      <w:pPr>
        <w:pStyle w:val="Titre4"/>
        <w:keepNext w:val="0"/>
      </w:pPr>
      <w:bookmarkStart w:id="38" w:name="_Toc516669759"/>
      <w:r>
        <w:t>Instructions for use</w:t>
      </w:r>
      <w:bookmarkEnd w:id="3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B35897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4AAD06E" w14:textId="77777777" w:rsidR="002A0438" w:rsidRDefault="002A0438" w:rsidP="00631D8F">
            <w:pPr>
              <w:pStyle w:val="Paragraphedeliste"/>
              <w:numPr>
                <w:ilvl w:val="0"/>
                <w:numId w:val="6"/>
              </w:numPr>
              <w:ind w:left="386"/>
              <w:jc w:val="both"/>
            </w:pPr>
            <w:r w:rsidRPr="002A0438">
              <w:t>Always read the label or leaflet before use and follow all the instructions provided.</w:t>
            </w:r>
          </w:p>
          <w:p w14:paraId="180ACF8D" w14:textId="77777777" w:rsidR="007B36CA" w:rsidRDefault="007B36CA" w:rsidP="00631D8F">
            <w:pPr>
              <w:pStyle w:val="Paragraphedeliste"/>
              <w:numPr>
                <w:ilvl w:val="0"/>
                <w:numId w:val="6"/>
              </w:numPr>
              <w:ind w:left="386"/>
              <w:jc w:val="both"/>
            </w:pPr>
            <w:r w:rsidRPr="007B36CA">
              <w:t>Respect the conditions of use of the product (concentration, contact time, temperature, pH, etc.)</w:t>
            </w:r>
          </w:p>
          <w:p w14:paraId="71C9018D" w14:textId="77777777" w:rsidR="00A600D6" w:rsidRPr="00103CCC" w:rsidRDefault="00A600D6" w:rsidP="00631D8F">
            <w:pPr>
              <w:pStyle w:val="Paragraphedeliste"/>
              <w:numPr>
                <w:ilvl w:val="0"/>
                <w:numId w:val="6"/>
              </w:numPr>
              <w:ind w:left="386"/>
            </w:pPr>
            <w:r w:rsidRPr="00103CCC">
              <w:t>The product must be brought to a temperature above 20°C before use.</w:t>
            </w:r>
          </w:p>
          <w:p w14:paraId="474D7A4E" w14:textId="77777777" w:rsidR="00A600D6" w:rsidRPr="003E0388" w:rsidRDefault="00A600D6" w:rsidP="00631D8F">
            <w:pPr>
              <w:pStyle w:val="Paragraphedeliste"/>
              <w:numPr>
                <w:ilvl w:val="0"/>
                <w:numId w:val="6"/>
              </w:numPr>
              <w:ind w:left="386"/>
            </w:pPr>
            <w:r w:rsidRPr="003E0388">
              <w:t>Leave the product until next milking. Keep the cows standing until the product has dried</w:t>
            </w:r>
            <w:r>
              <w:t xml:space="preserve"> (at least 5 minutes)</w:t>
            </w:r>
            <w:proofErr w:type="gramStart"/>
            <w:r w:rsidRPr="003E0388">
              <w:t>.</w:t>
            </w:r>
            <w:proofErr w:type="gramEnd"/>
          </w:p>
          <w:p w14:paraId="0259D463" w14:textId="77777777" w:rsidR="009D0C0B" w:rsidRDefault="00A600D6" w:rsidP="00631D8F">
            <w:pPr>
              <w:pStyle w:val="titre40"/>
              <w:keepNext w:val="0"/>
              <w:widowControl w:val="0"/>
              <w:numPr>
                <w:ilvl w:val="0"/>
                <w:numId w:val="6"/>
              </w:numPr>
              <w:tabs>
                <w:tab w:val="clear" w:pos="993"/>
              </w:tabs>
              <w:spacing w:before="0" w:after="0"/>
              <w:ind w:left="386"/>
            </w:pPr>
            <w:bookmarkStart w:id="39" w:name="_Toc516669760"/>
            <w:r w:rsidRPr="00A600D6">
              <w:rPr>
                <w:rFonts w:cs="Arial"/>
                <w:bCs/>
                <w:i w:val="0"/>
                <w:iCs/>
                <w:sz w:val="20"/>
                <w:szCs w:val="20"/>
                <w:lang w:val="sv-SE"/>
              </w:rPr>
              <w:t>Inform the registration holder if the treatment is ineffective</w:t>
            </w:r>
            <w:r w:rsidR="00285821">
              <w:rPr>
                <w:rFonts w:cs="Arial"/>
                <w:bCs/>
                <w:i w:val="0"/>
                <w:iCs/>
                <w:sz w:val="20"/>
                <w:szCs w:val="20"/>
                <w:lang w:val="sv-SE"/>
              </w:rPr>
              <w:t>.</w:t>
            </w:r>
            <w:bookmarkEnd w:id="39"/>
          </w:p>
        </w:tc>
      </w:tr>
    </w:tbl>
    <w:p w14:paraId="5FE7A094" w14:textId="77777777" w:rsidR="009D0C0B" w:rsidRDefault="00FA480B" w:rsidP="00A41B49">
      <w:pPr>
        <w:pStyle w:val="Titre4"/>
        <w:keepNext w:val="0"/>
      </w:pPr>
      <w:bookmarkStart w:id="40" w:name="_Toc516669761"/>
      <w:r>
        <w:t>Risk mitigation measures</w:t>
      </w:r>
      <w:bookmarkEnd w:id="4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5982245B"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4083265" w14:textId="77777777" w:rsidR="009D0C0B" w:rsidRDefault="002929F9" w:rsidP="00A41B49">
            <w:pPr>
              <w:snapToGrid w:val="0"/>
            </w:pPr>
            <w:r>
              <w:t>-</w:t>
            </w:r>
          </w:p>
        </w:tc>
      </w:tr>
    </w:tbl>
    <w:p w14:paraId="70B9A4D3" w14:textId="77777777" w:rsidR="009D0C0B" w:rsidRDefault="00FA480B" w:rsidP="00A41B49">
      <w:pPr>
        <w:pStyle w:val="Titre4"/>
        <w:keepNext w:val="0"/>
      </w:pPr>
      <w:bookmarkStart w:id="41" w:name="_Toc516669762"/>
      <w:r>
        <w:t>Particulars of likely direct or indirect effects, first aid instructions and emergency measures to protect the environment</w:t>
      </w:r>
      <w:bookmarkEnd w:id="4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429B7D2"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CF536D4" w14:textId="77777777" w:rsidR="002A0438" w:rsidRPr="00076A95" w:rsidRDefault="002A0438" w:rsidP="00A41B49">
            <w:pPr>
              <w:pStyle w:val="Paragraphedeliste"/>
              <w:numPr>
                <w:ilvl w:val="0"/>
                <w:numId w:val="6"/>
              </w:numPr>
              <w:spacing w:before="80"/>
              <w:ind w:left="386"/>
              <w:jc w:val="both"/>
            </w:pPr>
            <w:r w:rsidRPr="00076A95">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06452661" w14:textId="77777777" w:rsidR="008F2C95" w:rsidRPr="00076A95" w:rsidRDefault="008F2C95" w:rsidP="00A41B49">
            <w:pPr>
              <w:pStyle w:val="Paragraphedeliste"/>
              <w:numPr>
                <w:ilvl w:val="0"/>
                <w:numId w:val="6"/>
              </w:numPr>
              <w:spacing w:before="80"/>
              <w:ind w:left="386"/>
              <w:jc w:val="both"/>
            </w:pPr>
            <w:r w:rsidRPr="00076A95">
              <w:t>Skin contact: Remove contaminated clothing and shoes. Wash contaminated skin with soap and water. Contact poison treatment specialist if symptoms occur.</w:t>
            </w:r>
          </w:p>
          <w:p w14:paraId="25DE1608" w14:textId="77777777" w:rsidR="008F2C95" w:rsidRDefault="008F2C95" w:rsidP="002929F9">
            <w:pPr>
              <w:pStyle w:val="Paragraphedeliste"/>
              <w:numPr>
                <w:ilvl w:val="0"/>
                <w:numId w:val="6"/>
              </w:numPr>
              <w:spacing w:before="80"/>
              <w:ind w:left="385" w:hanging="357"/>
              <w:jc w:val="both"/>
            </w:pPr>
            <w:r w:rsidRPr="00076A95">
              <w:t xml:space="preserve">Ingestion: Wash out mouth with water. Contact poison treatment specialist. Seek medical advice immediately if symptoms occur and/or large quantities have been ingested. </w:t>
            </w:r>
          </w:p>
          <w:p w14:paraId="53FFECA0" w14:textId="77777777" w:rsidR="008F2C95" w:rsidRPr="00076A95" w:rsidRDefault="008F2C95" w:rsidP="00A41B49">
            <w:pPr>
              <w:pStyle w:val="Paragraphedeliste"/>
              <w:numPr>
                <w:ilvl w:val="0"/>
                <w:numId w:val="6"/>
              </w:numPr>
              <w:spacing w:before="80"/>
              <w:ind w:left="386"/>
              <w:jc w:val="both"/>
            </w:pPr>
            <w:r w:rsidRPr="00FF73F7">
              <w:t>Inhalation</w:t>
            </w:r>
            <w:r w:rsidR="002A0438">
              <w:t>:</w:t>
            </w:r>
            <w:r w:rsidRPr="00FF73F7">
              <w:t xml:space="preserve"> Remove victim to fresh air and keep at rest in a position comfortable for breathing. Seek medical advice immediately if symptoms occur and/or large quantities have been inhaled.</w:t>
            </w:r>
          </w:p>
          <w:p w14:paraId="1C25870D" w14:textId="77777777" w:rsidR="008F2C95" w:rsidRPr="00076A95" w:rsidRDefault="008F2C95" w:rsidP="00A41B49">
            <w:pPr>
              <w:pStyle w:val="Paragraphedeliste"/>
              <w:numPr>
                <w:ilvl w:val="0"/>
                <w:numId w:val="6"/>
              </w:numPr>
              <w:spacing w:before="80"/>
              <w:ind w:left="386"/>
              <w:jc w:val="both"/>
            </w:pPr>
            <w:r w:rsidRPr="00076A95">
              <w:t>In case of impaired consciousness place in recovery position and seek medical advice immediately. Do not give fluids or induce vomiting.</w:t>
            </w:r>
          </w:p>
          <w:p w14:paraId="66BAB7CA" w14:textId="77777777" w:rsidR="009D0C0B" w:rsidRDefault="008F2C95" w:rsidP="00A41B49">
            <w:pPr>
              <w:pStyle w:val="Paragraphedeliste"/>
              <w:numPr>
                <w:ilvl w:val="0"/>
                <w:numId w:val="6"/>
              </w:numPr>
              <w:spacing w:before="80"/>
              <w:ind w:left="386"/>
              <w:jc w:val="both"/>
            </w:pPr>
            <w:r w:rsidRPr="00076A95">
              <w:t>Keep the container or label available.</w:t>
            </w:r>
          </w:p>
        </w:tc>
      </w:tr>
    </w:tbl>
    <w:p w14:paraId="6F7DBB4B" w14:textId="77777777" w:rsidR="009D0C0B" w:rsidRDefault="00FA480B" w:rsidP="00A41B49">
      <w:pPr>
        <w:pStyle w:val="Titre4"/>
        <w:keepNext w:val="0"/>
      </w:pPr>
      <w:bookmarkStart w:id="42" w:name="_Toc516669763"/>
      <w:r>
        <w:lastRenderedPageBreak/>
        <w:t>Instructions for safe disposal of the product and its packaging</w:t>
      </w:r>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B32BD8" w14:paraId="592474F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5871B71" w14:textId="77777777" w:rsidR="009E3878" w:rsidRPr="00F96DFE" w:rsidRDefault="00B32BD8" w:rsidP="00262A65">
            <w:pPr>
              <w:pStyle w:val="Paragraphedeliste"/>
              <w:numPr>
                <w:ilvl w:val="0"/>
                <w:numId w:val="6"/>
              </w:numPr>
              <w:spacing w:before="80"/>
              <w:ind w:left="385" w:hanging="357"/>
              <w:jc w:val="both"/>
              <w:rPr>
                <w:lang w:val="en-US"/>
              </w:rPr>
            </w:pPr>
            <w:r>
              <w:rPr>
                <w:lang w:val="en-US"/>
              </w:rPr>
              <w:t xml:space="preserve">Do not discharge </w:t>
            </w:r>
            <w:r w:rsidRPr="00745423">
              <w:rPr>
                <w:lang w:val="en-US"/>
              </w:rPr>
              <w:t>u</w:t>
            </w:r>
            <w:r>
              <w:rPr>
                <w:lang w:val="en-US"/>
              </w:rPr>
              <w:t>nused product</w:t>
            </w:r>
            <w:r w:rsidRPr="00745423">
              <w:rPr>
                <w:lang w:val="en-US"/>
              </w:rPr>
              <w:t xml:space="preserve"> on the ground, into water courses, into pipes (sink, toilets…) nor down the drains.</w:t>
            </w:r>
            <w:r>
              <w:rPr>
                <w:lang w:val="en-US"/>
              </w:rPr>
              <w:t xml:space="preserve"> Do not discharge </w:t>
            </w:r>
            <w:r w:rsidRPr="00745423">
              <w:rPr>
                <w:lang w:val="en-US"/>
              </w:rPr>
              <w:t>u</w:t>
            </w:r>
            <w:r>
              <w:rPr>
                <w:lang w:val="en-US"/>
              </w:rPr>
              <w:t>nused product</w:t>
            </w:r>
            <w:r w:rsidRPr="00745423">
              <w:rPr>
                <w:lang w:val="en-US"/>
              </w:rPr>
              <w:t xml:space="preserve"> </w:t>
            </w:r>
            <w:r>
              <w:rPr>
                <w:lang w:val="en-US"/>
              </w:rPr>
              <w:t>in fields, nor outdoor environment</w:t>
            </w:r>
            <w:r w:rsidR="008A11C2">
              <w:rPr>
                <w:lang w:val="en-US"/>
              </w:rPr>
              <w:t>.</w:t>
            </w:r>
          </w:p>
          <w:p w14:paraId="6B3486CE" w14:textId="77777777" w:rsidR="00B32BD8" w:rsidRPr="00F96DFE" w:rsidRDefault="00B32BD8" w:rsidP="00B32BD8">
            <w:pPr>
              <w:pStyle w:val="Paragraphedeliste"/>
              <w:numPr>
                <w:ilvl w:val="0"/>
                <w:numId w:val="6"/>
              </w:numPr>
              <w:spacing w:before="80"/>
              <w:ind w:left="386"/>
              <w:jc w:val="both"/>
              <w:rPr>
                <w:lang w:val="en-US"/>
              </w:rPr>
            </w:pPr>
            <w:r w:rsidRPr="00001753">
              <w:rPr>
                <w:lang w:val="en-US"/>
              </w:rPr>
              <w:t>Dispose of unused product, its packaging and all other waste in accordance with local regulations.</w:t>
            </w:r>
          </w:p>
        </w:tc>
      </w:tr>
    </w:tbl>
    <w:p w14:paraId="66A8D3F7" w14:textId="77777777" w:rsidR="009D0C0B" w:rsidRDefault="00FA480B" w:rsidP="00A41B49">
      <w:pPr>
        <w:pStyle w:val="Titre4"/>
        <w:keepNext w:val="0"/>
      </w:pPr>
      <w:bookmarkStart w:id="43" w:name="_Toc516669764"/>
      <w:r>
        <w:t>Conditions of storage and shelf-life of the product under normal conditions of storage</w:t>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B43D16B"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5D8A490" w14:textId="77777777" w:rsidR="008F2C95" w:rsidRPr="00623C0C" w:rsidRDefault="008F2C95" w:rsidP="00262A65">
            <w:pPr>
              <w:pStyle w:val="Paragraphedeliste"/>
              <w:numPr>
                <w:ilvl w:val="0"/>
                <w:numId w:val="6"/>
              </w:numPr>
              <w:spacing w:before="80"/>
              <w:ind w:left="385" w:hanging="357"/>
              <w:jc w:val="both"/>
              <w:rPr>
                <w:lang w:val="en-US"/>
              </w:rPr>
            </w:pPr>
            <w:r w:rsidRPr="00623C0C">
              <w:rPr>
                <w:lang w:val="en-US"/>
              </w:rPr>
              <w:t>Protect from frost.</w:t>
            </w:r>
          </w:p>
          <w:p w14:paraId="132E0F7E" w14:textId="77777777" w:rsidR="008F2C95" w:rsidRPr="00623C0C" w:rsidRDefault="00A441FF" w:rsidP="00262A65">
            <w:pPr>
              <w:pStyle w:val="Paragraphedeliste"/>
              <w:numPr>
                <w:ilvl w:val="0"/>
                <w:numId w:val="6"/>
              </w:numPr>
              <w:spacing w:before="80"/>
              <w:ind w:left="385" w:hanging="357"/>
              <w:jc w:val="both"/>
              <w:rPr>
                <w:lang w:val="en-US"/>
              </w:rPr>
            </w:pPr>
            <w:r w:rsidRPr="00623C0C">
              <w:rPr>
                <w:lang w:val="en-US"/>
              </w:rPr>
              <w:t>S</w:t>
            </w:r>
            <w:r w:rsidR="008F2C95" w:rsidRPr="00623C0C">
              <w:rPr>
                <w:lang w:val="en-US"/>
              </w:rPr>
              <w:t>tore in a dry, cool and ventilated place.</w:t>
            </w:r>
          </w:p>
          <w:p w14:paraId="69150CE4" w14:textId="77777777" w:rsidR="009D0C0B" w:rsidRPr="00623C0C" w:rsidRDefault="008F2C95" w:rsidP="00262A65">
            <w:pPr>
              <w:pStyle w:val="Paragraphedeliste"/>
              <w:numPr>
                <w:ilvl w:val="0"/>
                <w:numId w:val="6"/>
              </w:numPr>
              <w:spacing w:before="80"/>
              <w:ind w:left="385" w:hanging="357"/>
              <w:jc w:val="both"/>
              <w:rPr>
                <w:lang w:val="en-US"/>
              </w:rPr>
            </w:pPr>
            <w:r w:rsidRPr="00623C0C">
              <w:rPr>
                <w:lang w:val="en-US"/>
              </w:rPr>
              <w:t xml:space="preserve">Do not store at a temperature above </w:t>
            </w:r>
            <w:r w:rsidR="00601C90" w:rsidRPr="00623C0C">
              <w:rPr>
                <w:lang w:val="en-US"/>
              </w:rPr>
              <w:t>2</w:t>
            </w:r>
            <w:r w:rsidR="00996485" w:rsidRPr="00623C0C">
              <w:rPr>
                <w:lang w:val="en-US"/>
              </w:rPr>
              <w:t>5</w:t>
            </w:r>
            <w:r w:rsidRPr="00623C0C">
              <w:rPr>
                <w:lang w:val="en-US"/>
              </w:rPr>
              <w:t>°C.</w:t>
            </w:r>
          </w:p>
          <w:p w14:paraId="679C88E7" w14:textId="77777777" w:rsidR="00A441FF" w:rsidRPr="00802685" w:rsidRDefault="002929F9" w:rsidP="00262A65">
            <w:pPr>
              <w:pStyle w:val="Paragraphedeliste"/>
              <w:numPr>
                <w:ilvl w:val="0"/>
                <w:numId w:val="6"/>
              </w:numPr>
              <w:spacing w:before="80"/>
              <w:ind w:left="385" w:hanging="357"/>
              <w:jc w:val="both"/>
            </w:pPr>
            <w:r w:rsidRPr="00623C0C">
              <w:rPr>
                <w:lang w:val="en-US"/>
              </w:rPr>
              <w:t>Do not store more than</w:t>
            </w:r>
            <w:r w:rsidR="009A1572" w:rsidRPr="00623C0C">
              <w:rPr>
                <w:lang w:val="en-US"/>
              </w:rPr>
              <w:t xml:space="preserve"> </w:t>
            </w:r>
            <w:r w:rsidRPr="00623C0C">
              <w:rPr>
                <w:lang w:val="en-US"/>
              </w:rPr>
              <w:t>12 months.</w:t>
            </w:r>
          </w:p>
          <w:p w14:paraId="7B3CEC57" w14:textId="77777777" w:rsidR="00802685" w:rsidRPr="00802685" w:rsidRDefault="00802685" w:rsidP="00262A65">
            <w:pPr>
              <w:pStyle w:val="Paragraphedeliste"/>
              <w:numPr>
                <w:ilvl w:val="0"/>
                <w:numId w:val="6"/>
              </w:numPr>
              <w:spacing w:before="80"/>
              <w:ind w:left="385" w:hanging="357"/>
              <w:jc w:val="both"/>
            </w:pPr>
            <w:r w:rsidRPr="00802685">
              <w:rPr>
                <w:szCs w:val="18"/>
              </w:rPr>
              <w:t>Protect the product form direct sunlight</w:t>
            </w:r>
            <w:r>
              <w:rPr>
                <w:szCs w:val="18"/>
              </w:rPr>
              <w:t>.</w:t>
            </w:r>
          </w:p>
        </w:tc>
      </w:tr>
    </w:tbl>
    <w:p w14:paraId="23C5F3FA" w14:textId="77777777" w:rsidR="009D0C0B" w:rsidRDefault="009D0C0B" w:rsidP="00A41B49">
      <w:pPr>
        <w:pStyle w:val="Absatz"/>
        <w:rPr>
          <w:lang w:eastAsia="en-US"/>
        </w:rPr>
      </w:pPr>
    </w:p>
    <w:p w14:paraId="7C2D8C44" w14:textId="77777777" w:rsidR="009D0C0B" w:rsidRDefault="009D0C0B" w:rsidP="00A41B49">
      <w:pPr>
        <w:pStyle w:val="Absatz"/>
        <w:rPr>
          <w:lang w:eastAsia="en-US"/>
        </w:rPr>
      </w:pPr>
    </w:p>
    <w:p w14:paraId="7A6B13B8" w14:textId="77777777" w:rsidR="009D0C0B" w:rsidRDefault="00FA480B" w:rsidP="00A41B49">
      <w:pPr>
        <w:pStyle w:val="Titre3"/>
        <w:keepNext w:val="0"/>
      </w:pPr>
      <w:bookmarkStart w:id="44" w:name="_Toc516669765"/>
      <w:r>
        <w:t>Other information</w:t>
      </w:r>
      <w:bookmarkEnd w:id="4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841F24F"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88E5AE5" w14:textId="17B4A4CE" w:rsidR="00D71C9F" w:rsidRDefault="003A55D5" w:rsidP="00DC29E4">
            <w:pPr>
              <w:pStyle w:val="Paragraphedeliste"/>
              <w:numPr>
                <w:ilvl w:val="0"/>
                <w:numId w:val="6"/>
              </w:numPr>
              <w:spacing w:before="80"/>
              <w:ind w:left="386"/>
              <w:jc w:val="both"/>
            </w:pPr>
            <w:r w:rsidRPr="00E75423">
              <w:rPr>
                <w:lang w:val="en-US"/>
              </w:rPr>
              <w:t>The product contains pyrrolidones derivatives. Do not use in case of known hypersensitivity.</w:t>
            </w:r>
          </w:p>
        </w:tc>
      </w:tr>
    </w:tbl>
    <w:p w14:paraId="44F9A8D9" w14:textId="77777777" w:rsidR="009D0C0B" w:rsidRDefault="009D0C0B" w:rsidP="00A41B49">
      <w:pPr>
        <w:pStyle w:val="Absatz"/>
        <w:rPr>
          <w:lang w:eastAsia="en-US"/>
        </w:rPr>
      </w:pPr>
    </w:p>
    <w:bookmarkEnd w:id="32"/>
    <w:p w14:paraId="38CF791B" w14:textId="77777777" w:rsidR="009D0C0B" w:rsidRDefault="009D0C0B" w:rsidP="00A41B49">
      <w:pPr>
        <w:tabs>
          <w:tab w:val="left" w:pos="500"/>
        </w:tabs>
        <w:ind w:left="500" w:hanging="500"/>
        <w:rPr>
          <w:lang w:eastAsia="en-US"/>
        </w:rPr>
      </w:pPr>
    </w:p>
    <w:p w14:paraId="0A65C658" w14:textId="77777777" w:rsidR="009D0C0B" w:rsidRDefault="00FA480B">
      <w:pPr>
        <w:pStyle w:val="Titre3"/>
        <w:rPr>
          <w:rFonts w:eastAsia="Calibri"/>
          <w:sz w:val="18"/>
          <w:lang w:eastAsia="en-US"/>
        </w:rPr>
      </w:pPr>
      <w:bookmarkStart w:id="45" w:name="_Toc516669766"/>
      <w:r>
        <w:t>Packaging of the biocidal product</w:t>
      </w:r>
      <w:bookmarkEnd w:id="45"/>
    </w:p>
    <w:tbl>
      <w:tblPr>
        <w:tblW w:w="0" w:type="auto"/>
        <w:tblInd w:w="-5" w:type="dxa"/>
        <w:tblLayout w:type="fixed"/>
        <w:tblLook w:val="0000" w:firstRow="0" w:lastRow="0" w:firstColumn="0" w:lastColumn="0" w:noHBand="0" w:noVBand="0"/>
      </w:tblPr>
      <w:tblGrid>
        <w:gridCol w:w="1403"/>
        <w:gridCol w:w="1545"/>
        <w:gridCol w:w="1276"/>
        <w:gridCol w:w="1603"/>
        <w:gridCol w:w="1706"/>
        <w:gridCol w:w="1719"/>
      </w:tblGrid>
      <w:tr w:rsidR="009D0C0B" w14:paraId="236DF79A" w14:textId="77777777" w:rsidTr="00D749ED">
        <w:tc>
          <w:tcPr>
            <w:tcW w:w="1403" w:type="dxa"/>
            <w:tcBorders>
              <w:top w:val="single" w:sz="4" w:space="0" w:color="000000"/>
              <w:left w:val="single" w:sz="4" w:space="0" w:color="000000"/>
              <w:bottom w:val="single" w:sz="4" w:space="0" w:color="000000"/>
            </w:tcBorders>
            <w:shd w:val="clear" w:color="auto" w:fill="FFFFCC"/>
          </w:tcPr>
          <w:p w14:paraId="7D76E705"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545" w:type="dxa"/>
            <w:tcBorders>
              <w:top w:val="single" w:sz="4" w:space="0" w:color="000000"/>
              <w:left w:val="single" w:sz="4" w:space="0" w:color="000000"/>
              <w:bottom w:val="single" w:sz="4" w:space="0" w:color="000000"/>
            </w:tcBorders>
            <w:shd w:val="clear" w:color="auto" w:fill="FFFFCC"/>
          </w:tcPr>
          <w:p w14:paraId="5589AED7"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276" w:type="dxa"/>
            <w:tcBorders>
              <w:top w:val="single" w:sz="4" w:space="0" w:color="000000"/>
              <w:left w:val="single" w:sz="4" w:space="0" w:color="000000"/>
              <w:bottom w:val="single" w:sz="4" w:space="0" w:color="000000"/>
            </w:tcBorders>
            <w:shd w:val="clear" w:color="auto" w:fill="FFFFCC"/>
          </w:tcPr>
          <w:p w14:paraId="1E054A0B"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603" w:type="dxa"/>
            <w:tcBorders>
              <w:top w:val="single" w:sz="4" w:space="0" w:color="000000"/>
              <w:left w:val="single" w:sz="4" w:space="0" w:color="000000"/>
              <w:bottom w:val="single" w:sz="4" w:space="0" w:color="000000"/>
            </w:tcBorders>
            <w:shd w:val="clear" w:color="auto" w:fill="FFFFCC"/>
          </w:tcPr>
          <w:p w14:paraId="4BF65CF7"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455948D2" w14:textId="77777777" w:rsidR="009D0C0B" w:rsidRDefault="00FA480B">
            <w:pPr>
              <w:spacing w:line="260" w:lineRule="atLeast"/>
              <w:rPr>
                <w:rFonts w:eastAsia="Calibri"/>
                <w:b/>
                <w:sz w:val="18"/>
                <w:lang w:eastAsia="en-US"/>
              </w:rPr>
            </w:pPr>
            <w:r>
              <w:rPr>
                <w:rFonts w:eastAsia="Calibri"/>
                <w:b/>
                <w:sz w:val="18"/>
                <w:lang w:val="fr-BE" w:eastAsia="en-US"/>
              </w:rPr>
              <w:t>Intended user (e.g. 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0D4B7902" w14:textId="77777777" w:rsidR="009D0C0B" w:rsidRDefault="00FA480B">
            <w:pPr>
              <w:spacing w:line="260" w:lineRule="atLeast"/>
            </w:pPr>
            <w:r>
              <w:rPr>
                <w:rFonts w:eastAsia="Calibri"/>
                <w:b/>
                <w:sz w:val="18"/>
                <w:lang w:eastAsia="en-US"/>
              </w:rPr>
              <w:t>Compatibility of the product with the proposed packaging materials (Yes/No)</w:t>
            </w:r>
          </w:p>
        </w:tc>
      </w:tr>
      <w:tr w:rsidR="00D749ED" w14:paraId="0095F437" w14:textId="77777777" w:rsidTr="00D749ED">
        <w:tc>
          <w:tcPr>
            <w:tcW w:w="1403" w:type="dxa"/>
            <w:tcBorders>
              <w:top w:val="single" w:sz="4" w:space="0" w:color="000000"/>
              <w:left w:val="single" w:sz="4" w:space="0" w:color="000000"/>
              <w:bottom w:val="single" w:sz="4" w:space="0" w:color="000000"/>
            </w:tcBorders>
            <w:shd w:val="clear" w:color="auto" w:fill="auto"/>
          </w:tcPr>
          <w:p w14:paraId="4CC0996C" w14:textId="43591DC3" w:rsidR="00D749ED" w:rsidRPr="003533E8" w:rsidRDefault="00BD63DB" w:rsidP="00D749ED">
            <w:pPr>
              <w:rPr>
                <w:lang w:eastAsia="en-US"/>
              </w:rPr>
            </w:pPr>
            <w:r>
              <w:rPr>
                <w:lang w:eastAsia="en-US"/>
              </w:rPr>
              <w:t xml:space="preserve">Jerry </w:t>
            </w:r>
            <w:r w:rsidR="00D749ED">
              <w:rPr>
                <w:lang w:eastAsia="en-US"/>
              </w:rPr>
              <w:t>Cans</w:t>
            </w:r>
          </w:p>
        </w:tc>
        <w:tc>
          <w:tcPr>
            <w:tcW w:w="1545" w:type="dxa"/>
            <w:tcBorders>
              <w:top w:val="single" w:sz="4" w:space="0" w:color="000000"/>
              <w:left w:val="single" w:sz="4" w:space="0" w:color="000000"/>
              <w:bottom w:val="single" w:sz="4" w:space="0" w:color="000000"/>
            </w:tcBorders>
            <w:shd w:val="clear" w:color="auto" w:fill="auto"/>
          </w:tcPr>
          <w:p w14:paraId="13CAB335" w14:textId="77777777" w:rsidR="00D749ED" w:rsidRPr="003533E8" w:rsidRDefault="00D749ED" w:rsidP="00D749ED">
            <w:pPr>
              <w:rPr>
                <w:lang w:eastAsia="en-US"/>
              </w:rPr>
            </w:pPr>
            <w:r>
              <w:rPr>
                <w:lang w:eastAsia="en-US"/>
              </w:rPr>
              <w:t>20</w:t>
            </w:r>
            <w:r w:rsidR="002929F9">
              <w:rPr>
                <w:lang w:eastAsia="en-US"/>
              </w:rPr>
              <w:t xml:space="preserve"> </w:t>
            </w:r>
            <w:r>
              <w:rPr>
                <w:lang w:eastAsia="en-US"/>
              </w:rPr>
              <w:t>L</w:t>
            </w:r>
          </w:p>
        </w:tc>
        <w:tc>
          <w:tcPr>
            <w:tcW w:w="1276" w:type="dxa"/>
            <w:tcBorders>
              <w:top w:val="single" w:sz="4" w:space="0" w:color="000000"/>
              <w:left w:val="single" w:sz="4" w:space="0" w:color="000000"/>
              <w:bottom w:val="single" w:sz="4" w:space="0" w:color="000000"/>
            </w:tcBorders>
            <w:shd w:val="clear" w:color="auto" w:fill="auto"/>
          </w:tcPr>
          <w:p w14:paraId="6249AC1A" w14:textId="77777777" w:rsidR="00D749ED" w:rsidRPr="003533E8" w:rsidRDefault="00D749ED" w:rsidP="00D749ED">
            <w:pPr>
              <w:rPr>
                <w:lang w:eastAsia="en-US"/>
              </w:rPr>
            </w:pPr>
            <w:r>
              <w:rPr>
                <w:lang w:eastAsia="en-US"/>
              </w:rPr>
              <w:t>Opaque HDPE</w:t>
            </w:r>
          </w:p>
        </w:tc>
        <w:tc>
          <w:tcPr>
            <w:tcW w:w="1603" w:type="dxa"/>
            <w:tcBorders>
              <w:top w:val="single" w:sz="4" w:space="0" w:color="000000"/>
              <w:left w:val="single" w:sz="4" w:space="0" w:color="000000"/>
              <w:bottom w:val="single" w:sz="4" w:space="0" w:color="000000"/>
            </w:tcBorders>
            <w:shd w:val="clear" w:color="auto" w:fill="auto"/>
          </w:tcPr>
          <w:p w14:paraId="3F5C55F6" w14:textId="77777777" w:rsidR="00D749ED" w:rsidRPr="003533E8" w:rsidRDefault="00D749ED" w:rsidP="00D749ED">
            <w:pPr>
              <w:rPr>
                <w:lang w:eastAsia="en-US"/>
              </w:rPr>
            </w:pPr>
            <w:r>
              <w:rPr>
                <w:lang w:eastAsia="en-US"/>
              </w:rPr>
              <w:t>Hermetically closed</w:t>
            </w:r>
          </w:p>
        </w:tc>
        <w:tc>
          <w:tcPr>
            <w:tcW w:w="1706" w:type="dxa"/>
            <w:tcBorders>
              <w:top w:val="single" w:sz="4" w:space="0" w:color="000000"/>
              <w:left w:val="single" w:sz="4" w:space="0" w:color="000000"/>
              <w:bottom w:val="single" w:sz="4" w:space="0" w:color="000000"/>
            </w:tcBorders>
            <w:shd w:val="clear" w:color="auto" w:fill="auto"/>
          </w:tcPr>
          <w:p w14:paraId="545A8327" w14:textId="77777777" w:rsidR="00D749ED" w:rsidRPr="003533E8" w:rsidRDefault="00D749ED" w:rsidP="00D749ED">
            <w:pPr>
              <w:rPr>
                <w:lang w:eastAsia="en-US"/>
              </w:rPr>
            </w:pPr>
            <w:r>
              <w:rPr>
                <w:lang w:eastAsia="en-US"/>
              </w:rPr>
              <w:t>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F663F45" w14:textId="77777777" w:rsidR="00D749ED" w:rsidRPr="003533E8" w:rsidRDefault="00D749ED" w:rsidP="00D749ED">
            <w:pPr>
              <w:rPr>
                <w:lang w:eastAsia="en-US"/>
              </w:rPr>
            </w:pPr>
            <w:r>
              <w:rPr>
                <w:lang w:eastAsia="en-US"/>
              </w:rPr>
              <w:t>Yes</w:t>
            </w:r>
          </w:p>
        </w:tc>
      </w:tr>
      <w:tr w:rsidR="00D749ED" w14:paraId="1C02DEC0" w14:textId="77777777" w:rsidTr="00D749ED">
        <w:tc>
          <w:tcPr>
            <w:tcW w:w="1403" w:type="dxa"/>
            <w:tcBorders>
              <w:top w:val="single" w:sz="4" w:space="0" w:color="000000"/>
              <w:left w:val="single" w:sz="4" w:space="0" w:color="000000"/>
              <w:bottom w:val="single" w:sz="4" w:space="0" w:color="000000"/>
            </w:tcBorders>
            <w:shd w:val="clear" w:color="auto" w:fill="auto"/>
          </w:tcPr>
          <w:p w14:paraId="13C693A9" w14:textId="77777777" w:rsidR="00D749ED" w:rsidRPr="003533E8" w:rsidRDefault="00D749ED" w:rsidP="00D749ED">
            <w:pPr>
              <w:rPr>
                <w:lang w:eastAsia="en-US"/>
              </w:rPr>
            </w:pPr>
            <w:r>
              <w:rPr>
                <w:lang w:eastAsia="en-US"/>
              </w:rPr>
              <w:t>Barrels</w:t>
            </w:r>
          </w:p>
        </w:tc>
        <w:tc>
          <w:tcPr>
            <w:tcW w:w="1545" w:type="dxa"/>
            <w:tcBorders>
              <w:top w:val="single" w:sz="4" w:space="0" w:color="000000"/>
              <w:left w:val="single" w:sz="4" w:space="0" w:color="000000"/>
              <w:bottom w:val="single" w:sz="4" w:space="0" w:color="000000"/>
            </w:tcBorders>
            <w:shd w:val="clear" w:color="auto" w:fill="auto"/>
          </w:tcPr>
          <w:p w14:paraId="441B7E48" w14:textId="77777777" w:rsidR="00D749ED" w:rsidRDefault="00D749ED" w:rsidP="00D749ED">
            <w:pPr>
              <w:rPr>
                <w:lang w:eastAsia="en-US"/>
              </w:rPr>
            </w:pPr>
            <w:r>
              <w:rPr>
                <w:lang w:eastAsia="en-US"/>
              </w:rPr>
              <w:t>60</w:t>
            </w:r>
            <w:r w:rsidR="002929F9">
              <w:rPr>
                <w:lang w:eastAsia="en-US"/>
              </w:rPr>
              <w:t xml:space="preserve"> </w:t>
            </w:r>
            <w:r>
              <w:rPr>
                <w:lang w:eastAsia="en-US"/>
              </w:rPr>
              <w:t xml:space="preserve">L </w:t>
            </w:r>
          </w:p>
          <w:p w14:paraId="6DC864DC" w14:textId="77777777" w:rsidR="00D749ED" w:rsidRPr="003533E8" w:rsidRDefault="00D749ED" w:rsidP="00D749ED">
            <w:pPr>
              <w:rPr>
                <w:lang w:eastAsia="en-US"/>
              </w:rPr>
            </w:pPr>
            <w:r>
              <w:rPr>
                <w:lang w:eastAsia="en-US"/>
              </w:rPr>
              <w:t>220</w:t>
            </w:r>
            <w:r w:rsidR="002929F9">
              <w:rPr>
                <w:lang w:eastAsia="en-US"/>
              </w:rPr>
              <w:t xml:space="preserve"> </w:t>
            </w:r>
            <w:r>
              <w:rPr>
                <w:lang w:eastAsia="en-US"/>
              </w:rPr>
              <w:t>L</w:t>
            </w:r>
          </w:p>
        </w:tc>
        <w:tc>
          <w:tcPr>
            <w:tcW w:w="1276" w:type="dxa"/>
            <w:tcBorders>
              <w:top w:val="single" w:sz="4" w:space="0" w:color="000000"/>
              <w:left w:val="single" w:sz="4" w:space="0" w:color="000000"/>
              <w:bottom w:val="single" w:sz="4" w:space="0" w:color="000000"/>
            </w:tcBorders>
            <w:shd w:val="clear" w:color="auto" w:fill="auto"/>
          </w:tcPr>
          <w:p w14:paraId="3BD24635" w14:textId="77777777" w:rsidR="00D749ED" w:rsidRPr="003533E8" w:rsidRDefault="00D749ED" w:rsidP="00D749ED">
            <w:pPr>
              <w:rPr>
                <w:lang w:eastAsia="en-US"/>
              </w:rPr>
            </w:pPr>
            <w:r>
              <w:rPr>
                <w:lang w:eastAsia="en-US"/>
              </w:rPr>
              <w:t>Opaque HDPE</w:t>
            </w:r>
          </w:p>
        </w:tc>
        <w:tc>
          <w:tcPr>
            <w:tcW w:w="1603" w:type="dxa"/>
            <w:tcBorders>
              <w:top w:val="single" w:sz="4" w:space="0" w:color="000000"/>
              <w:left w:val="single" w:sz="4" w:space="0" w:color="000000"/>
              <w:bottom w:val="single" w:sz="4" w:space="0" w:color="000000"/>
            </w:tcBorders>
            <w:shd w:val="clear" w:color="auto" w:fill="auto"/>
          </w:tcPr>
          <w:p w14:paraId="0CDC2384" w14:textId="77777777" w:rsidR="00D749ED" w:rsidRPr="003533E8" w:rsidRDefault="00D749ED" w:rsidP="00D749ED">
            <w:pPr>
              <w:rPr>
                <w:lang w:eastAsia="en-US"/>
              </w:rPr>
            </w:pPr>
            <w:r>
              <w:rPr>
                <w:lang w:eastAsia="en-US"/>
              </w:rPr>
              <w:t>Hermetically closed</w:t>
            </w:r>
          </w:p>
        </w:tc>
        <w:tc>
          <w:tcPr>
            <w:tcW w:w="1706" w:type="dxa"/>
            <w:tcBorders>
              <w:top w:val="single" w:sz="4" w:space="0" w:color="000000"/>
              <w:left w:val="single" w:sz="4" w:space="0" w:color="000000"/>
              <w:bottom w:val="single" w:sz="4" w:space="0" w:color="000000"/>
            </w:tcBorders>
            <w:shd w:val="clear" w:color="auto" w:fill="auto"/>
          </w:tcPr>
          <w:p w14:paraId="744B44A2" w14:textId="77777777" w:rsidR="00D749ED" w:rsidRPr="003533E8" w:rsidRDefault="00D749ED" w:rsidP="00D749ED">
            <w:pPr>
              <w:rPr>
                <w:lang w:eastAsia="en-US"/>
              </w:rPr>
            </w:pPr>
            <w:r>
              <w:rPr>
                <w:lang w:eastAsia="en-US"/>
              </w:rPr>
              <w:t>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694F836" w14:textId="77777777" w:rsidR="00D749ED" w:rsidRPr="003533E8" w:rsidRDefault="00D749ED" w:rsidP="00D749ED">
            <w:pPr>
              <w:rPr>
                <w:lang w:eastAsia="en-US"/>
              </w:rPr>
            </w:pPr>
            <w:r>
              <w:rPr>
                <w:lang w:eastAsia="en-US"/>
              </w:rPr>
              <w:t>Yes</w:t>
            </w:r>
          </w:p>
        </w:tc>
      </w:tr>
    </w:tbl>
    <w:p w14:paraId="352828E4" w14:textId="77777777" w:rsidR="009D0C0B" w:rsidRDefault="009D0C0B">
      <w:pPr>
        <w:spacing w:line="260" w:lineRule="atLeast"/>
        <w:rPr>
          <w:rFonts w:eastAsia="Calibri"/>
          <w:lang w:eastAsia="en-US"/>
        </w:rPr>
      </w:pPr>
    </w:p>
    <w:p w14:paraId="60B5950F" w14:textId="77777777" w:rsidR="009D0C0B" w:rsidRDefault="009D0C0B">
      <w:pPr>
        <w:rPr>
          <w:rFonts w:eastAsia="Calibri"/>
          <w:lang w:eastAsia="en-US"/>
        </w:rPr>
      </w:pPr>
    </w:p>
    <w:p w14:paraId="31243F4F" w14:textId="77777777" w:rsidR="009D0C0B" w:rsidRDefault="00FA480B">
      <w:pPr>
        <w:pStyle w:val="Titre3"/>
      </w:pPr>
      <w:bookmarkStart w:id="46" w:name="_Toc516669767"/>
      <w:bookmarkStart w:id="47" w:name="d0e2119"/>
      <w:r>
        <w:rPr>
          <w:lang w:eastAsia="en-US"/>
        </w:rPr>
        <w:t>Documentation</w:t>
      </w:r>
      <w:bookmarkEnd w:id="46"/>
    </w:p>
    <w:p w14:paraId="569D91E4" w14:textId="77777777" w:rsidR="009D0C0B" w:rsidRDefault="00FA480B">
      <w:pPr>
        <w:pStyle w:val="Titre4"/>
        <w:rPr>
          <w:rFonts w:ascii="Times New Roman" w:hAnsi="Times New Roman" w:cs="Times New Roman"/>
          <w:i/>
          <w:iCs/>
          <w:lang w:eastAsia="en-US"/>
        </w:rPr>
      </w:pPr>
      <w:bookmarkStart w:id="48" w:name="_Toc516669768"/>
      <w:r>
        <w:t>Data submitted in relation to product application</w:t>
      </w:r>
      <w:bookmarkEnd w:id="48"/>
    </w:p>
    <w:p w14:paraId="75F2A9A6" w14:textId="77777777" w:rsidR="002929F9" w:rsidRPr="00594CF5" w:rsidRDefault="002929F9" w:rsidP="002929F9">
      <w:pPr>
        <w:jc w:val="both"/>
        <w:rPr>
          <w:rFonts w:cs="Arial"/>
          <w:b/>
          <w:u w:val="single"/>
          <w:lang w:val="en-US"/>
        </w:rPr>
      </w:pPr>
      <w:r w:rsidRPr="00594CF5">
        <w:rPr>
          <w:rFonts w:cs="Arial"/>
          <w:b/>
          <w:u w:val="single"/>
          <w:lang w:val="en-US"/>
        </w:rPr>
        <w:t>Identity, physicochemical and analytical method data</w:t>
      </w:r>
    </w:p>
    <w:p w14:paraId="79632CA1" w14:textId="77777777" w:rsidR="002929F9" w:rsidRDefault="00D749ED" w:rsidP="002929F9">
      <w:pPr>
        <w:jc w:val="both"/>
        <w:rPr>
          <w:rFonts w:cs="Arial"/>
        </w:rPr>
      </w:pPr>
      <w:r w:rsidRPr="006244A5">
        <w:rPr>
          <w:rFonts w:cs="Arial"/>
        </w:rPr>
        <w:lastRenderedPageBreak/>
        <w:t xml:space="preserve">Physico-chemical properties studies and analytical methods on the biocidal product </w:t>
      </w:r>
      <w:r>
        <w:rPr>
          <w:rFonts w:cs="Arial"/>
        </w:rPr>
        <w:t>IODIGUARD</w:t>
      </w:r>
      <w:r w:rsidRPr="006244A5">
        <w:rPr>
          <w:rFonts w:cs="Arial"/>
        </w:rPr>
        <w:t xml:space="preserve"> were provided by </w:t>
      </w:r>
      <w:r w:rsidRPr="006244A5">
        <w:rPr>
          <w:rFonts w:cs="Arial"/>
          <w:i/>
          <w:iCs/>
          <w:lang w:eastAsia="en-US"/>
        </w:rPr>
        <w:t>Centre Technique d’Hygiène</w:t>
      </w:r>
      <w:r w:rsidRPr="006244A5">
        <w:rPr>
          <w:rFonts w:cs="Arial"/>
        </w:rPr>
        <w:t>.</w:t>
      </w:r>
      <w:r w:rsidR="002929F9" w:rsidRPr="002929F9">
        <w:rPr>
          <w:rFonts w:cs="Arial"/>
        </w:rPr>
        <w:t xml:space="preserve"> </w:t>
      </w:r>
      <w:r w:rsidR="002929F9" w:rsidRPr="00594CF5">
        <w:rPr>
          <w:rFonts w:cs="Arial"/>
        </w:rPr>
        <w:t>See the annex 3.1.</w:t>
      </w:r>
    </w:p>
    <w:p w14:paraId="6CB408E8" w14:textId="2A0437FB" w:rsidR="001B3B87" w:rsidRDefault="001B3B87" w:rsidP="00D749ED">
      <w:pPr>
        <w:spacing w:line="276" w:lineRule="auto"/>
        <w:jc w:val="both"/>
        <w:rPr>
          <w:rFonts w:cs="Arial"/>
        </w:rPr>
      </w:pPr>
    </w:p>
    <w:p w14:paraId="257BAEEC" w14:textId="77777777" w:rsidR="00E60A35" w:rsidRPr="00E60A35" w:rsidRDefault="00E60A35" w:rsidP="00E60A35">
      <w:pPr>
        <w:shd w:val="clear" w:color="auto" w:fill="D9D9D9" w:themeFill="background1" w:themeFillShade="D9"/>
        <w:spacing w:after="240"/>
        <w:jc w:val="both"/>
        <w:rPr>
          <w:rFonts w:cs="Arial"/>
          <w:b/>
          <w:iCs/>
          <w:highlight w:val="lightGray"/>
          <w:lang w:eastAsia="en-US"/>
        </w:rPr>
      </w:pPr>
      <w:r w:rsidRPr="00E60A35">
        <w:rPr>
          <w:rFonts w:cs="Arial"/>
          <w:b/>
          <w:iCs/>
          <w:highlight w:val="lightGray"/>
          <w:lang w:eastAsia="en-US"/>
        </w:rPr>
        <w:t>Post authorisation request 2020:</w:t>
      </w:r>
    </w:p>
    <w:p w14:paraId="7EE459BE" w14:textId="2B81969C" w:rsidR="00B77498" w:rsidRDefault="009A4C47" w:rsidP="00DC29E4">
      <w:pPr>
        <w:shd w:val="clear" w:color="auto" w:fill="D9D9D9" w:themeFill="background1" w:themeFillShade="D9"/>
        <w:spacing w:line="276" w:lineRule="auto"/>
        <w:jc w:val="both"/>
        <w:rPr>
          <w:rFonts w:cs="Arial"/>
        </w:rPr>
      </w:pPr>
      <w:r>
        <w:rPr>
          <w:rFonts w:cs="Arial"/>
        </w:rPr>
        <w:t>Post-authorisation data were</w:t>
      </w:r>
      <w:r w:rsidR="00B77498">
        <w:rPr>
          <w:rFonts w:cs="Arial"/>
        </w:rPr>
        <w:t xml:space="preserve"> submitted.</w:t>
      </w:r>
    </w:p>
    <w:p w14:paraId="1B8B6F91" w14:textId="392B4DA4" w:rsidR="00B77498" w:rsidRDefault="0062271D" w:rsidP="00DC29E4">
      <w:pPr>
        <w:shd w:val="clear" w:color="auto" w:fill="D9D9D9" w:themeFill="background1" w:themeFillShade="D9"/>
        <w:spacing w:line="276" w:lineRule="auto"/>
        <w:jc w:val="both"/>
        <w:rPr>
          <w:rFonts w:cs="Arial"/>
        </w:rPr>
      </w:pPr>
      <w:r>
        <w:rPr>
          <w:rFonts w:cs="Arial"/>
        </w:rPr>
        <w:t>Update of analytical methods and dosage of different forms of active substance</w:t>
      </w:r>
      <w:r w:rsidR="006919AD">
        <w:rPr>
          <w:rFonts w:cs="Arial"/>
        </w:rPr>
        <w:t xml:space="preserve"> after 12 months storage at ambient temperature were</w:t>
      </w:r>
      <w:r>
        <w:rPr>
          <w:rFonts w:cs="Arial"/>
        </w:rPr>
        <w:t xml:space="preserve"> provided by </w:t>
      </w:r>
      <w:r w:rsidRPr="006244A5">
        <w:rPr>
          <w:rFonts w:cs="Arial"/>
          <w:i/>
          <w:iCs/>
          <w:lang w:eastAsia="en-US"/>
        </w:rPr>
        <w:t>Centre Technique d’Hygiène</w:t>
      </w:r>
      <w:r w:rsidRPr="006244A5">
        <w:rPr>
          <w:rFonts w:cs="Arial"/>
        </w:rPr>
        <w:t>.</w:t>
      </w:r>
      <w:r w:rsidRPr="002929F9">
        <w:rPr>
          <w:rFonts w:cs="Arial"/>
        </w:rPr>
        <w:t xml:space="preserve"> </w:t>
      </w:r>
      <w:r w:rsidRPr="00594CF5">
        <w:rPr>
          <w:rFonts w:cs="Arial"/>
        </w:rPr>
        <w:t>See the annex 3.1.</w:t>
      </w:r>
    </w:p>
    <w:p w14:paraId="7F3A5F20" w14:textId="77777777" w:rsidR="0062271D" w:rsidRDefault="0062271D" w:rsidP="00D749ED">
      <w:pPr>
        <w:spacing w:line="276" w:lineRule="auto"/>
        <w:jc w:val="both"/>
        <w:rPr>
          <w:rFonts w:cs="Arial"/>
        </w:rPr>
      </w:pPr>
    </w:p>
    <w:p w14:paraId="51C6A630" w14:textId="77777777" w:rsidR="002929F9" w:rsidRDefault="002929F9" w:rsidP="002929F9">
      <w:pPr>
        <w:spacing w:line="276" w:lineRule="auto"/>
        <w:jc w:val="both"/>
        <w:rPr>
          <w:rFonts w:cs="Arial"/>
          <w:b/>
          <w:szCs w:val="22"/>
          <w:u w:val="single"/>
          <w:lang w:val="en-US"/>
        </w:rPr>
      </w:pPr>
      <w:r>
        <w:rPr>
          <w:rFonts w:cs="Arial"/>
          <w:b/>
          <w:szCs w:val="22"/>
          <w:u w:val="single"/>
          <w:lang w:val="en-US"/>
        </w:rPr>
        <w:t>Efficacy</w:t>
      </w:r>
      <w:r w:rsidRPr="00F004FA">
        <w:rPr>
          <w:rFonts w:cs="Arial"/>
          <w:b/>
          <w:szCs w:val="22"/>
          <w:u w:val="single"/>
          <w:lang w:val="en-US"/>
        </w:rPr>
        <w:t xml:space="preserve"> data</w:t>
      </w:r>
    </w:p>
    <w:p w14:paraId="4CE26DA8" w14:textId="77777777" w:rsidR="001B3B87" w:rsidRDefault="001B3B87" w:rsidP="00D749ED">
      <w:pPr>
        <w:spacing w:line="276" w:lineRule="auto"/>
        <w:jc w:val="both"/>
        <w:rPr>
          <w:rFonts w:cs="Arial"/>
        </w:rPr>
      </w:pPr>
      <w:r>
        <w:rPr>
          <w:rFonts w:cs="Arial"/>
        </w:rPr>
        <w:t>Efficacy studies on the biocidal product were provided:</w:t>
      </w:r>
    </w:p>
    <w:p w14:paraId="2595A74A" w14:textId="77777777" w:rsidR="001B3B87" w:rsidRPr="001B3B87" w:rsidRDefault="001B3B87" w:rsidP="001B3B87">
      <w:pPr>
        <w:pStyle w:val="Paragraphedeliste"/>
        <w:keepNext/>
        <w:keepLines/>
        <w:numPr>
          <w:ilvl w:val="0"/>
          <w:numId w:val="11"/>
        </w:numPr>
        <w:suppressAutoHyphens w:val="0"/>
        <w:ind w:left="426"/>
        <w:contextualSpacing/>
        <w:jc w:val="both"/>
        <w:rPr>
          <w:rFonts w:cs="Arial"/>
          <w:bCs/>
          <w:color w:val="000000"/>
          <w:lang w:eastAsia="de-DE"/>
        </w:rPr>
      </w:pPr>
      <w:r w:rsidRPr="001B3B87">
        <w:rPr>
          <w:rFonts w:cs="Arial"/>
          <w:bCs/>
          <w:color w:val="000000"/>
          <w:lang w:eastAsia="de-DE"/>
        </w:rPr>
        <w:t>For bacteria :</w:t>
      </w:r>
    </w:p>
    <w:p w14:paraId="793F92E1" w14:textId="77777777" w:rsidR="001B3B87" w:rsidRPr="001B3B87" w:rsidRDefault="001B3B87" w:rsidP="001B3B87">
      <w:pPr>
        <w:pStyle w:val="Paragraphedeliste"/>
        <w:numPr>
          <w:ilvl w:val="0"/>
          <w:numId w:val="12"/>
        </w:numPr>
        <w:suppressAutoHyphens w:val="0"/>
        <w:ind w:left="426"/>
        <w:contextualSpacing/>
        <w:jc w:val="both"/>
        <w:rPr>
          <w:rFonts w:cs="Arial"/>
          <w:bCs/>
          <w:iCs/>
        </w:rPr>
      </w:pPr>
      <w:r w:rsidRPr="001B3B87">
        <w:rPr>
          <w:rFonts w:cs="Arial"/>
          <w:bCs/>
          <w:iCs/>
        </w:rPr>
        <w:t>Laboratory studies according to EN 1656 standard (phase 2, step 1)</w:t>
      </w:r>
    </w:p>
    <w:p w14:paraId="16F2A924" w14:textId="77777777" w:rsidR="001B3B87" w:rsidRPr="001B3B87" w:rsidRDefault="001B3B87" w:rsidP="001B3B87">
      <w:pPr>
        <w:pStyle w:val="Paragraphedeliste"/>
        <w:numPr>
          <w:ilvl w:val="0"/>
          <w:numId w:val="12"/>
        </w:numPr>
        <w:suppressAutoHyphens w:val="0"/>
        <w:ind w:left="426"/>
        <w:contextualSpacing/>
        <w:jc w:val="both"/>
        <w:rPr>
          <w:rFonts w:cs="Arial"/>
          <w:bCs/>
          <w:iCs/>
        </w:rPr>
      </w:pPr>
      <w:r w:rsidRPr="001B3B87">
        <w:rPr>
          <w:rFonts w:cs="Arial"/>
          <w:bCs/>
          <w:iCs/>
        </w:rPr>
        <w:t>Field test according to the methodology of EN 1499 standard (phase 2, step 2)</w:t>
      </w:r>
    </w:p>
    <w:p w14:paraId="764F9707" w14:textId="77777777" w:rsidR="001B3B87" w:rsidRPr="001B3B87" w:rsidRDefault="001B3B87" w:rsidP="001B3B87">
      <w:pPr>
        <w:pStyle w:val="Paragraphedeliste"/>
        <w:ind w:left="426"/>
        <w:jc w:val="both"/>
        <w:rPr>
          <w:rFonts w:cs="Arial"/>
          <w:bCs/>
          <w:iCs/>
        </w:rPr>
      </w:pPr>
    </w:p>
    <w:p w14:paraId="6661D649" w14:textId="77777777" w:rsidR="001B3B87" w:rsidRPr="001B3B87" w:rsidRDefault="001B3B87" w:rsidP="001B3B87">
      <w:pPr>
        <w:pStyle w:val="Paragraphedeliste"/>
        <w:keepNext/>
        <w:keepLines/>
        <w:numPr>
          <w:ilvl w:val="0"/>
          <w:numId w:val="11"/>
        </w:numPr>
        <w:suppressAutoHyphens w:val="0"/>
        <w:ind w:left="426"/>
        <w:contextualSpacing/>
        <w:jc w:val="both"/>
        <w:rPr>
          <w:rFonts w:cs="Arial"/>
          <w:bCs/>
          <w:color w:val="000000"/>
          <w:lang w:eastAsia="de-DE"/>
        </w:rPr>
      </w:pPr>
      <w:r w:rsidRPr="001B3B87">
        <w:rPr>
          <w:rFonts w:cs="Arial"/>
          <w:bCs/>
          <w:color w:val="000000"/>
          <w:lang w:eastAsia="de-DE"/>
        </w:rPr>
        <w:t>For yeasts:</w:t>
      </w:r>
    </w:p>
    <w:p w14:paraId="52669A57" w14:textId="77777777" w:rsidR="001B3B87" w:rsidRPr="001B3B87" w:rsidRDefault="001B3B87" w:rsidP="001B3B87">
      <w:pPr>
        <w:numPr>
          <w:ilvl w:val="0"/>
          <w:numId w:val="10"/>
        </w:numPr>
        <w:suppressAutoHyphens w:val="0"/>
        <w:ind w:left="426"/>
        <w:jc w:val="both"/>
        <w:rPr>
          <w:rFonts w:cs="Arial"/>
          <w:bCs/>
          <w:iCs/>
        </w:rPr>
      </w:pPr>
      <w:r w:rsidRPr="001B3B87">
        <w:rPr>
          <w:rFonts w:cs="Arial"/>
          <w:bCs/>
          <w:iCs/>
        </w:rPr>
        <w:t>Laboratory study according to EN 1657 standard (phase 2, step 1).</w:t>
      </w:r>
    </w:p>
    <w:p w14:paraId="453BE40E" w14:textId="77777777" w:rsidR="001B3B87" w:rsidRDefault="0042555D" w:rsidP="00D749ED">
      <w:pPr>
        <w:spacing w:line="276" w:lineRule="auto"/>
        <w:jc w:val="both"/>
        <w:rPr>
          <w:rFonts w:cs="Arial"/>
        </w:rPr>
      </w:pPr>
      <w:r w:rsidRPr="00594CF5">
        <w:rPr>
          <w:rFonts w:cs="Arial"/>
        </w:rPr>
        <w:t>See the annex 3.1</w:t>
      </w:r>
    </w:p>
    <w:p w14:paraId="25A8CEDF" w14:textId="77777777" w:rsidR="0042555D" w:rsidRDefault="0042555D" w:rsidP="00D749ED">
      <w:pPr>
        <w:spacing w:line="276" w:lineRule="auto"/>
        <w:jc w:val="both"/>
        <w:rPr>
          <w:rFonts w:cs="Arial"/>
        </w:rPr>
      </w:pPr>
    </w:p>
    <w:p w14:paraId="5814F60F" w14:textId="77777777" w:rsidR="00A441FF" w:rsidRDefault="00A441FF" w:rsidP="00A441FF">
      <w:pPr>
        <w:spacing w:line="276" w:lineRule="auto"/>
        <w:jc w:val="both"/>
        <w:rPr>
          <w:rFonts w:cs="Arial"/>
          <w:b/>
          <w:szCs w:val="22"/>
          <w:u w:val="single"/>
          <w:lang w:val="en-US"/>
        </w:rPr>
      </w:pPr>
      <w:r w:rsidRPr="00F004FA">
        <w:rPr>
          <w:rFonts w:cs="Arial"/>
          <w:b/>
          <w:szCs w:val="22"/>
          <w:u w:val="single"/>
          <w:lang w:val="en-US"/>
        </w:rPr>
        <w:t>Toxicology data</w:t>
      </w:r>
    </w:p>
    <w:p w14:paraId="37308E5E" w14:textId="77777777" w:rsidR="00A441FF" w:rsidRDefault="00540F11" w:rsidP="00A441FF">
      <w:pPr>
        <w:spacing w:line="276" w:lineRule="auto"/>
        <w:jc w:val="both"/>
        <w:rPr>
          <w:rFonts w:cs="Arial"/>
          <w:b/>
          <w:u w:val="single"/>
          <w:lang w:val="en-US"/>
        </w:rPr>
      </w:pPr>
      <w:r w:rsidRPr="00492007">
        <w:rPr>
          <w:iCs/>
          <w:lang w:eastAsia="en-US"/>
        </w:rPr>
        <w:t xml:space="preserve">Bovine Corneal Opacity and Permeability (BCOP) Assay was conducted for the product </w:t>
      </w:r>
      <w:r w:rsidR="0042555D" w:rsidRPr="00492007">
        <w:rPr>
          <w:iCs/>
          <w:lang w:eastAsia="en-US"/>
        </w:rPr>
        <w:t>I</w:t>
      </w:r>
      <w:r w:rsidR="0042555D">
        <w:rPr>
          <w:iCs/>
          <w:lang w:eastAsia="en-US"/>
        </w:rPr>
        <w:t>ODIGUARD</w:t>
      </w:r>
      <w:r>
        <w:rPr>
          <w:iCs/>
          <w:lang w:eastAsia="en-US"/>
        </w:rPr>
        <w:t xml:space="preserve"> for eye irritation properties. </w:t>
      </w:r>
      <w:r w:rsidRPr="00594CF5">
        <w:rPr>
          <w:rFonts w:cs="Arial"/>
        </w:rPr>
        <w:t>See the annex 3.1.</w:t>
      </w:r>
    </w:p>
    <w:p w14:paraId="5CD27BB9" w14:textId="77777777" w:rsidR="00A441FF" w:rsidRPr="00F70153" w:rsidRDefault="00A441FF" w:rsidP="00A441FF">
      <w:pPr>
        <w:spacing w:line="276" w:lineRule="auto"/>
        <w:jc w:val="both"/>
        <w:rPr>
          <w:rFonts w:cs="Arial"/>
          <w:b/>
          <w:bCs/>
          <w:szCs w:val="22"/>
          <w:u w:val="single"/>
        </w:rPr>
      </w:pPr>
      <w:r w:rsidRPr="00F70153">
        <w:rPr>
          <w:rFonts w:cs="Arial"/>
          <w:b/>
          <w:bCs/>
          <w:szCs w:val="22"/>
          <w:u w:val="single"/>
        </w:rPr>
        <w:t>Residues data</w:t>
      </w:r>
    </w:p>
    <w:p w14:paraId="11E13E4E" w14:textId="77777777" w:rsidR="00A441FF" w:rsidRDefault="00A441FF" w:rsidP="00A441FF">
      <w:pPr>
        <w:spacing w:line="276" w:lineRule="auto"/>
        <w:jc w:val="both"/>
      </w:pPr>
      <w:r w:rsidRPr="00EB1631">
        <w:t xml:space="preserve">No specific residue data were submitted in the context of this dossier. </w:t>
      </w:r>
    </w:p>
    <w:p w14:paraId="091FDE80" w14:textId="77777777" w:rsidR="00A441FF" w:rsidRPr="00EB1631" w:rsidRDefault="00A441FF" w:rsidP="00A441FF">
      <w:pPr>
        <w:spacing w:line="276" w:lineRule="auto"/>
        <w:jc w:val="both"/>
      </w:pPr>
    </w:p>
    <w:p w14:paraId="26A795C4" w14:textId="77777777" w:rsidR="00A441FF" w:rsidRPr="00321441" w:rsidRDefault="00A441FF" w:rsidP="00A441FF">
      <w:pPr>
        <w:spacing w:line="276" w:lineRule="auto"/>
        <w:jc w:val="both"/>
        <w:rPr>
          <w:rFonts w:cs="Arial"/>
          <w:b/>
          <w:u w:val="single"/>
          <w:lang w:val="en-US"/>
        </w:rPr>
      </w:pPr>
      <w:r w:rsidRPr="00F004FA">
        <w:rPr>
          <w:rFonts w:cs="Arial"/>
          <w:b/>
          <w:szCs w:val="22"/>
          <w:u w:val="single"/>
          <w:lang w:val="en-US"/>
        </w:rPr>
        <w:t>Ecotoxicology data</w:t>
      </w:r>
    </w:p>
    <w:p w14:paraId="06293BB3" w14:textId="77777777" w:rsidR="00A441FF" w:rsidRDefault="00A441FF" w:rsidP="00A441FF">
      <w:pPr>
        <w:spacing w:line="276" w:lineRule="auto"/>
        <w:jc w:val="both"/>
      </w:pPr>
      <w:r w:rsidRPr="00EB1631">
        <w:t xml:space="preserve">No </w:t>
      </w:r>
      <w:r>
        <w:t>ecotoxicology</w:t>
      </w:r>
      <w:r w:rsidRPr="00EB1631">
        <w:t xml:space="preserve"> </w:t>
      </w:r>
      <w:r>
        <w:t>studies</w:t>
      </w:r>
      <w:r w:rsidRPr="00EB1631">
        <w:t xml:space="preserve"> were submitted in the context of this dossier. </w:t>
      </w:r>
    </w:p>
    <w:p w14:paraId="76E3FE0B" w14:textId="77777777" w:rsidR="009D0C0B" w:rsidRDefault="00FA480B">
      <w:pPr>
        <w:pStyle w:val="Titre4"/>
        <w:rPr>
          <w:rFonts w:ascii="Times New Roman" w:hAnsi="Times New Roman" w:cs="Times New Roman"/>
          <w:i/>
          <w:iCs/>
          <w:lang w:eastAsia="en-US"/>
        </w:rPr>
      </w:pPr>
      <w:bookmarkStart w:id="49" w:name="_Toc516669769"/>
      <w:r>
        <w:t>Access to documentation</w:t>
      </w:r>
      <w:bookmarkEnd w:id="49"/>
    </w:p>
    <w:p w14:paraId="2395D8CB" w14:textId="77777777" w:rsidR="00D749ED" w:rsidRPr="006244A5" w:rsidRDefault="00D749ED" w:rsidP="00D749ED">
      <w:pPr>
        <w:autoSpaceDE w:val="0"/>
        <w:autoSpaceDN w:val="0"/>
        <w:adjustRightInd w:val="0"/>
        <w:jc w:val="both"/>
        <w:rPr>
          <w:rFonts w:cs="Arial"/>
        </w:rPr>
      </w:pPr>
      <w:r>
        <w:rPr>
          <w:rFonts w:cs="Arial"/>
          <w:i/>
          <w:iCs/>
          <w:lang w:eastAsia="en-US"/>
        </w:rPr>
        <w:t>Centre Technique d’Hygiène</w:t>
      </w:r>
      <w:r w:rsidRPr="006244A5">
        <w:rPr>
          <w:rFonts w:cs="Arial"/>
        </w:rPr>
        <w:t xml:space="preserve"> has access to analytical methods on the active substance Iodine with a Letter of Access of </w:t>
      </w:r>
      <w:r>
        <w:rPr>
          <w:rFonts w:cs="Arial"/>
          <w:i/>
          <w:iCs/>
          <w:lang w:eastAsia="en-US"/>
        </w:rPr>
        <w:t>Alcoholes Montplet</w:t>
      </w:r>
      <w:r w:rsidRPr="006244A5">
        <w:rPr>
          <w:rFonts w:cs="Arial"/>
          <w:i/>
          <w:iCs/>
          <w:lang w:eastAsia="en-US"/>
        </w:rPr>
        <w:t>, one of applicants of the active substance iodine</w:t>
      </w:r>
      <w:r w:rsidRPr="006244A5">
        <w:rPr>
          <w:rFonts w:cs="Arial"/>
        </w:rPr>
        <w:t>.</w:t>
      </w:r>
    </w:p>
    <w:p w14:paraId="46AAB3B2" w14:textId="77777777" w:rsidR="009D0C0B" w:rsidRDefault="009D0C0B">
      <w:pPr>
        <w:rPr>
          <w:rFonts w:ascii="Times New Roman" w:eastAsia="Calibri" w:hAnsi="Times New Roman" w:cs="Times New Roman"/>
          <w:i/>
          <w:iCs/>
          <w:lang w:eastAsia="en-US"/>
        </w:rPr>
      </w:pPr>
    </w:p>
    <w:p w14:paraId="1DBC863D" w14:textId="77777777" w:rsidR="009D0C0B" w:rsidRDefault="00FA480B">
      <w:pPr>
        <w:pStyle w:val="Titre2"/>
      </w:pPr>
      <w:bookmarkStart w:id="50" w:name="_Toc516669770"/>
      <w:bookmarkEnd w:id="47"/>
      <w:r>
        <w:t>Assessment of the biocidal product</w:t>
      </w:r>
      <w:bookmarkEnd w:id="50"/>
      <w:r>
        <w:t xml:space="preserve"> </w:t>
      </w:r>
    </w:p>
    <w:p w14:paraId="64768C14" w14:textId="77777777" w:rsidR="009D0C0B" w:rsidRDefault="00FA480B">
      <w:pPr>
        <w:pStyle w:val="Titre3"/>
      </w:pPr>
      <w:bookmarkStart w:id="51" w:name="_Toc516669771"/>
      <w:r>
        <w:t>Intended use(s) as applied for by the applicant</w:t>
      </w:r>
      <w:bookmarkEnd w:id="51"/>
      <w:r>
        <w:t xml:space="preserve"> </w:t>
      </w:r>
    </w:p>
    <w:p w14:paraId="32E8C4C4" w14:textId="77777777" w:rsidR="009D0C0B" w:rsidRDefault="00FA480B">
      <w:pPr>
        <w:pStyle w:val="Lgende"/>
        <w:spacing w:after="120"/>
        <w:ind w:left="0" w:firstLine="0"/>
        <w:rPr>
          <w:rFonts w:cs="Arial"/>
          <w:bCs/>
        </w:rPr>
      </w:pPr>
      <w:r>
        <w:rPr>
          <w:rFonts w:ascii="Verdana" w:hAnsi="Verdana" w:cs="Verdana"/>
        </w:rPr>
        <w:t xml:space="preserve">Table </w:t>
      </w:r>
      <w:r w:rsidR="00BD437B">
        <w:rPr>
          <w:rFonts w:ascii="Verdana" w:hAnsi="Verdana" w:cs="Verdana"/>
        </w:rPr>
        <w:t>1</w:t>
      </w:r>
      <w:r>
        <w:rPr>
          <w:rFonts w:ascii="Verdana" w:hAnsi="Verdana" w:cs="Verdana"/>
        </w:rPr>
        <w:t xml:space="preserve">. Intended use # 1 – </w:t>
      </w:r>
      <w:r w:rsidR="00BD437B">
        <w:rPr>
          <w:rFonts w:ascii="Verdana" w:hAnsi="Verdana"/>
        </w:rPr>
        <w:t>Teat disinfection</w:t>
      </w:r>
    </w:p>
    <w:tbl>
      <w:tblPr>
        <w:tblW w:w="9035" w:type="dxa"/>
        <w:tblInd w:w="5" w:type="dxa"/>
        <w:tblLayout w:type="fixed"/>
        <w:tblCellMar>
          <w:left w:w="0" w:type="dxa"/>
          <w:right w:w="0" w:type="dxa"/>
        </w:tblCellMar>
        <w:tblLook w:val="0000" w:firstRow="0" w:lastRow="0" w:firstColumn="0" w:lastColumn="0" w:noHBand="0" w:noVBand="0"/>
      </w:tblPr>
      <w:tblGrid>
        <w:gridCol w:w="2707"/>
        <w:gridCol w:w="6328"/>
      </w:tblGrid>
      <w:tr w:rsidR="00BD437B" w14:paraId="5CC45781" w14:textId="77777777" w:rsidTr="00BD437B">
        <w:tc>
          <w:tcPr>
            <w:tcW w:w="2707" w:type="dxa"/>
            <w:tcBorders>
              <w:top w:val="single" w:sz="4" w:space="0" w:color="000000"/>
              <w:left w:val="single" w:sz="4" w:space="0" w:color="000000"/>
              <w:bottom w:val="single" w:sz="4" w:space="0" w:color="000000"/>
            </w:tcBorders>
            <w:shd w:val="clear" w:color="auto" w:fill="auto"/>
          </w:tcPr>
          <w:p w14:paraId="26D16374" w14:textId="77777777" w:rsidR="00BD437B" w:rsidRDefault="00BD437B">
            <w:pPr>
              <w:rPr>
                <w:rFonts w:cs="Arial"/>
                <w:bCs/>
                <w:lang w:val="de-DE"/>
              </w:rPr>
            </w:pPr>
            <w:r>
              <w:rPr>
                <w:rFonts w:cs="Arial"/>
                <w:bCs/>
              </w:rPr>
              <w:t>Product Type(s)</w:t>
            </w:r>
          </w:p>
        </w:tc>
        <w:tc>
          <w:tcPr>
            <w:tcW w:w="6328" w:type="dxa"/>
            <w:tcBorders>
              <w:top w:val="single" w:sz="4" w:space="0" w:color="000000"/>
              <w:left w:val="single" w:sz="4" w:space="0" w:color="000000"/>
              <w:bottom w:val="single" w:sz="4" w:space="0" w:color="000000"/>
              <w:right w:val="single" w:sz="4" w:space="0" w:color="auto"/>
            </w:tcBorders>
          </w:tcPr>
          <w:p w14:paraId="49E12139" w14:textId="77777777" w:rsidR="00BD437B" w:rsidRPr="00456AB6" w:rsidRDefault="00BD437B" w:rsidP="00BD437B">
            <w:pPr>
              <w:rPr>
                <w:rFonts w:cs="Arial"/>
                <w:bCs/>
                <w:lang w:val="de-DE" w:eastAsia="de-DE"/>
              </w:rPr>
            </w:pPr>
            <w:r w:rsidRPr="00456AB6">
              <w:t>3</w:t>
            </w:r>
          </w:p>
        </w:tc>
      </w:tr>
      <w:tr w:rsidR="00BD437B" w14:paraId="4EAA883D" w14:textId="77777777" w:rsidTr="00BD437B">
        <w:tc>
          <w:tcPr>
            <w:tcW w:w="2707" w:type="dxa"/>
            <w:tcBorders>
              <w:left w:val="single" w:sz="4" w:space="0" w:color="000000"/>
              <w:bottom w:val="single" w:sz="4" w:space="0" w:color="000000"/>
            </w:tcBorders>
            <w:shd w:val="clear" w:color="auto" w:fill="auto"/>
          </w:tcPr>
          <w:p w14:paraId="735DDADC" w14:textId="77777777" w:rsidR="00BD437B" w:rsidRDefault="00BD437B">
            <w:pPr>
              <w:rPr>
                <w:rFonts w:cs="Arial"/>
                <w:bCs/>
                <w:lang w:val="en-US"/>
              </w:rPr>
            </w:pPr>
            <w:r>
              <w:rPr>
                <w:rFonts w:cs="Arial"/>
                <w:bCs/>
              </w:rPr>
              <w:lastRenderedPageBreak/>
              <w:t>Where relevant, an exact description of the authorised use</w:t>
            </w:r>
          </w:p>
        </w:tc>
        <w:tc>
          <w:tcPr>
            <w:tcW w:w="6328" w:type="dxa"/>
            <w:tcBorders>
              <w:top w:val="single" w:sz="4" w:space="0" w:color="000000"/>
              <w:left w:val="single" w:sz="4" w:space="0" w:color="000000"/>
              <w:bottom w:val="single" w:sz="4" w:space="0" w:color="000000"/>
              <w:right w:val="single" w:sz="4" w:space="0" w:color="auto"/>
            </w:tcBorders>
          </w:tcPr>
          <w:p w14:paraId="72A21272" w14:textId="77777777" w:rsidR="00BD437B" w:rsidRPr="00914D25" w:rsidRDefault="00BD437B" w:rsidP="00BD437B">
            <w:pPr>
              <w:pStyle w:val="Paragraphedeliste"/>
              <w:jc w:val="both"/>
              <w:rPr>
                <w:rFonts w:cs="Arial"/>
                <w:bCs/>
                <w:lang w:eastAsia="de-DE"/>
              </w:rPr>
            </w:pPr>
          </w:p>
        </w:tc>
      </w:tr>
      <w:tr w:rsidR="00BD437B" w14:paraId="01E4C583" w14:textId="77777777" w:rsidTr="00BD437B">
        <w:tc>
          <w:tcPr>
            <w:tcW w:w="2707" w:type="dxa"/>
            <w:tcBorders>
              <w:left w:val="single" w:sz="4" w:space="0" w:color="000000"/>
              <w:bottom w:val="single" w:sz="4" w:space="0" w:color="000000"/>
            </w:tcBorders>
            <w:shd w:val="clear" w:color="auto" w:fill="auto"/>
          </w:tcPr>
          <w:p w14:paraId="7F396A7E" w14:textId="77777777" w:rsidR="00BD437B" w:rsidRDefault="00BD437B">
            <w:pPr>
              <w:rPr>
                <w:rFonts w:cs="Arial"/>
                <w:bCs/>
                <w:lang w:val="en-US"/>
              </w:rPr>
            </w:pPr>
            <w:r>
              <w:rPr>
                <w:rFonts w:cs="Arial"/>
                <w:bCs/>
              </w:rPr>
              <w:t>Target organism (including development stage)</w:t>
            </w:r>
          </w:p>
        </w:tc>
        <w:tc>
          <w:tcPr>
            <w:tcW w:w="6328" w:type="dxa"/>
            <w:tcBorders>
              <w:top w:val="single" w:sz="4" w:space="0" w:color="000000"/>
              <w:left w:val="single" w:sz="4" w:space="0" w:color="000000"/>
              <w:bottom w:val="single" w:sz="4" w:space="0" w:color="000000"/>
              <w:right w:val="single" w:sz="4" w:space="0" w:color="auto"/>
            </w:tcBorders>
          </w:tcPr>
          <w:p w14:paraId="58B757E9" w14:textId="77777777" w:rsidR="00012219" w:rsidRDefault="00A106C1" w:rsidP="00A106C1">
            <w:pPr>
              <w:rPr>
                <w:rFonts w:eastAsia="Calibri"/>
                <w:lang w:val="en-US" w:eastAsia="en-US"/>
              </w:rPr>
            </w:pPr>
            <w:r>
              <w:rPr>
                <w:rFonts w:eastAsia="Calibri"/>
                <w:lang w:val="en-US" w:eastAsia="en-US"/>
              </w:rPr>
              <w:t>B</w:t>
            </w:r>
            <w:r w:rsidR="00012219" w:rsidRPr="00F96DFE">
              <w:rPr>
                <w:rFonts w:eastAsia="Calibri"/>
                <w:lang w:val="en-US" w:eastAsia="en-US"/>
              </w:rPr>
              <w:t>acteria</w:t>
            </w:r>
            <w:r>
              <w:rPr>
                <w:rFonts w:eastAsia="Calibri"/>
                <w:lang w:val="en-US" w:eastAsia="en-US"/>
              </w:rPr>
              <w:t xml:space="preserve"> and </w:t>
            </w:r>
            <w:r w:rsidR="00012219">
              <w:rPr>
                <w:rFonts w:eastAsia="Calibri"/>
                <w:lang w:val="en-US" w:eastAsia="en-US"/>
              </w:rPr>
              <w:t>yeast</w:t>
            </w:r>
            <w:r>
              <w:rPr>
                <w:rFonts w:eastAsia="Calibri"/>
                <w:lang w:val="en-US" w:eastAsia="en-US"/>
              </w:rPr>
              <w:t>s</w:t>
            </w:r>
            <w:r w:rsidR="00F96DFE">
              <w:rPr>
                <w:rFonts w:eastAsia="Calibri"/>
                <w:lang w:val="en-US" w:eastAsia="en-US"/>
              </w:rPr>
              <w:t>.</w:t>
            </w:r>
          </w:p>
          <w:p w14:paraId="0CB47478" w14:textId="77777777" w:rsidR="00BD437B" w:rsidRPr="00012219" w:rsidRDefault="00BD437B" w:rsidP="00BD437B">
            <w:pPr>
              <w:rPr>
                <w:rFonts w:cs="Arial"/>
                <w:bCs/>
                <w:lang w:eastAsia="de-DE"/>
              </w:rPr>
            </w:pPr>
          </w:p>
        </w:tc>
      </w:tr>
      <w:tr w:rsidR="00BD437B" w14:paraId="1F6CCD42" w14:textId="77777777" w:rsidTr="00BD437B">
        <w:tc>
          <w:tcPr>
            <w:tcW w:w="2707" w:type="dxa"/>
            <w:tcBorders>
              <w:left w:val="single" w:sz="4" w:space="0" w:color="000000"/>
              <w:bottom w:val="single" w:sz="4" w:space="0" w:color="000000"/>
            </w:tcBorders>
            <w:shd w:val="clear" w:color="auto" w:fill="auto"/>
          </w:tcPr>
          <w:p w14:paraId="4079E29F" w14:textId="77777777" w:rsidR="00BD437B" w:rsidRDefault="00BD437B">
            <w:pPr>
              <w:rPr>
                <w:rFonts w:cs="Arial"/>
                <w:bCs/>
                <w:lang w:val="de-DE"/>
              </w:rPr>
            </w:pPr>
            <w:r>
              <w:rPr>
                <w:rFonts w:cs="Arial"/>
                <w:bCs/>
              </w:rPr>
              <w:t>Field of use</w:t>
            </w:r>
          </w:p>
        </w:tc>
        <w:tc>
          <w:tcPr>
            <w:tcW w:w="6328" w:type="dxa"/>
            <w:tcBorders>
              <w:top w:val="single" w:sz="4" w:space="0" w:color="000000"/>
              <w:left w:val="single" w:sz="4" w:space="0" w:color="000000"/>
              <w:bottom w:val="single" w:sz="4" w:space="0" w:color="000000"/>
              <w:right w:val="single" w:sz="4" w:space="0" w:color="auto"/>
            </w:tcBorders>
          </w:tcPr>
          <w:p w14:paraId="1EF7B1CD" w14:textId="77777777" w:rsidR="00BD437B" w:rsidRPr="00EA38CA" w:rsidRDefault="00BD437B" w:rsidP="00BD437B">
            <w:pPr>
              <w:tabs>
                <w:tab w:val="left" w:pos="1465"/>
              </w:tabs>
              <w:rPr>
                <w:rFonts w:cs="Arial"/>
                <w:bCs/>
                <w:lang w:eastAsia="de-DE"/>
              </w:rPr>
            </w:pPr>
            <w:r>
              <w:rPr>
                <w:rFonts w:cs="Arial"/>
                <w:bCs/>
                <w:lang w:eastAsia="de-DE"/>
              </w:rPr>
              <w:t>Indoor</w:t>
            </w:r>
          </w:p>
        </w:tc>
      </w:tr>
      <w:tr w:rsidR="00BD437B" w14:paraId="6AA50F15" w14:textId="77777777" w:rsidTr="00BD437B">
        <w:tc>
          <w:tcPr>
            <w:tcW w:w="2707" w:type="dxa"/>
            <w:tcBorders>
              <w:left w:val="single" w:sz="4" w:space="0" w:color="000000"/>
              <w:bottom w:val="single" w:sz="4" w:space="0" w:color="000000"/>
            </w:tcBorders>
            <w:shd w:val="clear" w:color="auto" w:fill="auto"/>
          </w:tcPr>
          <w:p w14:paraId="2C0B10E7" w14:textId="77777777" w:rsidR="00BD437B" w:rsidRDefault="00BD437B">
            <w:pPr>
              <w:rPr>
                <w:rFonts w:cs="Arial"/>
                <w:bCs/>
                <w:lang w:val="de-DE"/>
              </w:rPr>
            </w:pPr>
            <w:r>
              <w:rPr>
                <w:rFonts w:cs="Arial"/>
                <w:bCs/>
              </w:rPr>
              <w:t>Application method(s)</w:t>
            </w:r>
          </w:p>
        </w:tc>
        <w:tc>
          <w:tcPr>
            <w:tcW w:w="6328" w:type="dxa"/>
            <w:tcBorders>
              <w:top w:val="single" w:sz="4" w:space="0" w:color="000000"/>
              <w:left w:val="single" w:sz="4" w:space="0" w:color="000000"/>
              <w:bottom w:val="single" w:sz="4" w:space="0" w:color="000000"/>
              <w:right w:val="single" w:sz="4" w:space="0" w:color="auto"/>
            </w:tcBorders>
          </w:tcPr>
          <w:p w14:paraId="3F944309" w14:textId="77777777" w:rsidR="00BD437B" w:rsidRDefault="00BD437B" w:rsidP="00BD437B">
            <w:pPr>
              <w:rPr>
                <w:rFonts w:cs="Arial"/>
                <w:bCs/>
                <w:lang w:val="de-DE"/>
              </w:rPr>
            </w:pPr>
            <w:r>
              <w:rPr>
                <w:rFonts w:cs="Arial"/>
                <w:bCs/>
                <w:lang w:val="de-DE"/>
              </w:rPr>
              <w:t>M</w:t>
            </w:r>
            <w:r w:rsidRPr="00EA38CA">
              <w:rPr>
                <w:rFonts w:cs="Arial"/>
                <w:bCs/>
                <w:lang w:val="de-DE"/>
              </w:rPr>
              <w:t xml:space="preserve">anual non-medical teat disinfection for cows, </w:t>
            </w:r>
            <w:r w:rsidR="00A441FF">
              <w:rPr>
                <w:rFonts w:cs="Arial"/>
                <w:bCs/>
                <w:lang w:val="de-DE"/>
              </w:rPr>
              <w:t>ewe</w:t>
            </w:r>
            <w:r w:rsidR="00A441FF" w:rsidRPr="00EA38CA">
              <w:rPr>
                <w:rFonts w:cs="Arial"/>
                <w:bCs/>
                <w:lang w:val="de-DE"/>
              </w:rPr>
              <w:t xml:space="preserve"> </w:t>
            </w:r>
            <w:r w:rsidRPr="00EA38CA">
              <w:rPr>
                <w:rFonts w:cs="Arial"/>
                <w:bCs/>
                <w:lang w:val="de-DE"/>
              </w:rPr>
              <w:t>and goats.</w:t>
            </w:r>
          </w:p>
          <w:p w14:paraId="35DC974C" w14:textId="77777777" w:rsidR="00BD437B" w:rsidRPr="00EA38CA" w:rsidRDefault="00BD437B" w:rsidP="00BD437B">
            <w:pPr>
              <w:rPr>
                <w:rFonts w:cs="Arial"/>
                <w:bCs/>
                <w:lang w:val="de-DE"/>
              </w:rPr>
            </w:pPr>
            <w:r w:rsidRPr="00EA38CA">
              <w:rPr>
                <w:rFonts w:cs="Arial"/>
                <w:bCs/>
                <w:lang w:val="de-DE"/>
              </w:rPr>
              <w:t>Dip treatment</w:t>
            </w:r>
          </w:p>
        </w:tc>
      </w:tr>
      <w:tr w:rsidR="00BD437B" w14:paraId="714A6075" w14:textId="77777777" w:rsidTr="00BD437B">
        <w:tc>
          <w:tcPr>
            <w:tcW w:w="2707" w:type="dxa"/>
            <w:tcBorders>
              <w:left w:val="single" w:sz="4" w:space="0" w:color="000000"/>
              <w:bottom w:val="single" w:sz="4" w:space="0" w:color="000000"/>
            </w:tcBorders>
            <w:shd w:val="clear" w:color="auto" w:fill="auto"/>
          </w:tcPr>
          <w:p w14:paraId="5940759D" w14:textId="77777777" w:rsidR="00BD437B" w:rsidRDefault="00BD437B">
            <w:pPr>
              <w:rPr>
                <w:rFonts w:cs="Arial"/>
                <w:bCs/>
                <w:lang w:val="en-US"/>
              </w:rPr>
            </w:pPr>
            <w:r>
              <w:rPr>
                <w:rFonts w:cs="Arial"/>
                <w:bCs/>
              </w:rPr>
              <w:t>Application rate(s) and frequency</w:t>
            </w:r>
          </w:p>
        </w:tc>
        <w:tc>
          <w:tcPr>
            <w:tcW w:w="6328" w:type="dxa"/>
            <w:tcBorders>
              <w:top w:val="single" w:sz="4" w:space="0" w:color="000000"/>
              <w:left w:val="single" w:sz="4" w:space="0" w:color="000000"/>
              <w:bottom w:val="single" w:sz="4" w:space="0" w:color="000000"/>
              <w:right w:val="single" w:sz="4" w:space="0" w:color="auto"/>
            </w:tcBorders>
          </w:tcPr>
          <w:p w14:paraId="18ECF1D6" w14:textId="77777777" w:rsidR="00BD437B" w:rsidRDefault="00BD437B" w:rsidP="00BD437B">
            <w:pPr>
              <w:rPr>
                <w:rFonts w:cs="Arial"/>
                <w:bCs/>
                <w:lang w:val="de-DE"/>
              </w:rPr>
            </w:pPr>
            <w:r>
              <w:rPr>
                <w:rFonts w:cs="Arial"/>
                <w:bCs/>
                <w:lang w:val="de-DE"/>
              </w:rPr>
              <w:t>2 ml per teat</w:t>
            </w:r>
          </w:p>
          <w:p w14:paraId="55066480" w14:textId="77777777" w:rsidR="00BD437B" w:rsidRPr="00EA38CA" w:rsidRDefault="00BD437B" w:rsidP="00BD437B">
            <w:pPr>
              <w:rPr>
                <w:rFonts w:cs="Arial"/>
                <w:bCs/>
                <w:lang w:val="de-DE"/>
              </w:rPr>
            </w:pPr>
            <w:r w:rsidRPr="00EA38CA">
              <w:rPr>
                <w:rFonts w:cs="Arial"/>
                <w:bCs/>
                <w:lang w:val="de-DE"/>
              </w:rPr>
              <w:t>2</w:t>
            </w:r>
            <w:r>
              <w:rPr>
                <w:rFonts w:cs="Arial"/>
                <w:bCs/>
                <w:lang w:val="de-DE"/>
              </w:rPr>
              <w:t xml:space="preserve"> </w:t>
            </w:r>
            <w:r w:rsidRPr="00EA38CA">
              <w:rPr>
                <w:rFonts w:cs="Arial"/>
                <w:bCs/>
                <w:lang w:val="de-DE"/>
              </w:rPr>
              <w:t>x/day, each day</w:t>
            </w:r>
          </w:p>
        </w:tc>
      </w:tr>
      <w:tr w:rsidR="00BD437B" w14:paraId="09E21C53" w14:textId="77777777" w:rsidTr="00BD437B">
        <w:tc>
          <w:tcPr>
            <w:tcW w:w="2707" w:type="dxa"/>
            <w:tcBorders>
              <w:left w:val="single" w:sz="4" w:space="0" w:color="000000"/>
              <w:bottom w:val="single" w:sz="4" w:space="0" w:color="000000"/>
            </w:tcBorders>
            <w:shd w:val="clear" w:color="auto" w:fill="auto"/>
          </w:tcPr>
          <w:p w14:paraId="4D63602A" w14:textId="77777777" w:rsidR="00BD437B" w:rsidRDefault="00BD437B">
            <w:pPr>
              <w:rPr>
                <w:rFonts w:cs="Arial"/>
                <w:bCs/>
              </w:rPr>
            </w:pPr>
            <w:r>
              <w:rPr>
                <w:rFonts w:cs="Arial"/>
                <w:bCs/>
              </w:rPr>
              <w:t>Category(ies) of user(s)</w:t>
            </w:r>
          </w:p>
        </w:tc>
        <w:tc>
          <w:tcPr>
            <w:tcW w:w="6328" w:type="dxa"/>
            <w:tcBorders>
              <w:top w:val="single" w:sz="4" w:space="0" w:color="000000"/>
              <w:left w:val="single" w:sz="4" w:space="0" w:color="000000"/>
              <w:bottom w:val="single" w:sz="4" w:space="0" w:color="000000"/>
              <w:right w:val="single" w:sz="4" w:space="0" w:color="auto"/>
            </w:tcBorders>
          </w:tcPr>
          <w:p w14:paraId="786D083E" w14:textId="77777777" w:rsidR="00BD437B" w:rsidRDefault="00BD437B" w:rsidP="00BD437B">
            <w:pPr>
              <w:rPr>
                <w:rFonts w:cs="Arial"/>
                <w:bCs/>
                <w:lang w:eastAsia="de-DE"/>
              </w:rPr>
            </w:pPr>
            <w:r>
              <w:rPr>
                <w:rFonts w:cs="Arial"/>
                <w:bCs/>
                <w:lang w:eastAsia="de-DE"/>
              </w:rPr>
              <w:t>Professional users</w:t>
            </w:r>
          </w:p>
        </w:tc>
      </w:tr>
      <w:tr w:rsidR="00BD437B" w14:paraId="6C65DC9A" w14:textId="77777777" w:rsidTr="00BD437B">
        <w:tc>
          <w:tcPr>
            <w:tcW w:w="2707" w:type="dxa"/>
            <w:tcBorders>
              <w:left w:val="single" w:sz="4" w:space="0" w:color="000000"/>
              <w:bottom w:val="single" w:sz="4" w:space="0" w:color="000000"/>
            </w:tcBorders>
            <w:shd w:val="clear" w:color="auto" w:fill="auto"/>
          </w:tcPr>
          <w:p w14:paraId="426561E9" w14:textId="77777777" w:rsidR="00BD437B" w:rsidRDefault="00BD437B">
            <w:pPr>
              <w:rPr>
                <w:rFonts w:cs="Arial"/>
                <w:bCs/>
                <w:lang w:val="en-US"/>
              </w:rPr>
            </w:pPr>
            <w:r>
              <w:rPr>
                <w:rFonts w:cs="Arial"/>
                <w:bCs/>
              </w:rPr>
              <w:t>Pack sizes and packaging material</w:t>
            </w:r>
          </w:p>
        </w:tc>
        <w:tc>
          <w:tcPr>
            <w:tcW w:w="6328" w:type="dxa"/>
            <w:tcBorders>
              <w:top w:val="single" w:sz="4" w:space="0" w:color="000000"/>
              <w:left w:val="single" w:sz="4" w:space="0" w:color="000000"/>
              <w:bottom w:val="single" w:sz="4" w:space="0" w:color="000000"/>
              <w:right w:val="single" w:sz="4" w:space="0" w:color="auto"/>
            </w:tcBorders>
          </w:tcPr>
          <w:p w14:paraId="466A059B" w14:textId="77777777" w:rsidR="00BD437B" w:rsidRDefault="00BD437B">
            <w:pPr>
              <w:rPr>
                <w:rFonts w:cs="Arial"/>
                <w:bCs/>
                <w:lang w:eastAsia="de-DE"/>
              </w:rPr>
            </w:pPr>
            <w:r w:rsidRPr="002E499F">
              <w:rPr>
                <w:rFonts w:cs="Arial"/>
                <w:bCs/>
                <w:lang w:eastAsia="de-DE"/>
              </w:rPr>
              <w:t xml:space="preserve">The product </w:t>
            </w:r>
            <w:r>
              <w:rPr>
                <w:rFonts w:cs="Arial"/>
                <w:bCs/>
                <w:lang w:eastAsia="de-DE"/>
              </w:rPr>
              <w:t>IODIGUARD</w:t>
            </w:r>
            <w:r w:rsidRPr="002E499F">
              <w:rPr>
                <w:rFonts w:cs="Arial"/>
                <w:bCs/>
                <w:lang w:eastAsia="de-DE"/>
              </w:rPr>
              <w:t xml:space="preserve"> is packaged in </w:t>
            </w:r>
            <w:r>
              <w:rPr>
                <w:rFonts w:cs="Arial"/>
                <w:bCs/>
                <w:lang w:eastAsia="de-DE"/>
              </w:rPr>
              <w:t>jerry cans</w:t>
            </w:r>
            <w:r w:rsidRPr="002E499F">
              <w:rPr>
                <w:rFonts w:cs="Arial"/>
                <w:bCs/>
                <w:lang w:eastAsia="de-DE"/>
              </w:rPr>
              <w:t xml:space="preserve"> HDPE containers of </w:t>
            </w:r>
            <w:r w:rsidRPr="006B0AA8">
              <w:rPr>
                <w:rFonts w:cs="Arial"/>
                <w:bCs/>
                <w:lang w:eastAsia="de-DE"/>
              </w:rPr>
              <w:t>20 L</w:t>
            </w:r>
            <w:r w:rsidR="0001138E">
              <w:rPr>
                <w:rFonts w:cs="Arial"/>
                <w:bCs/>
                <w:lang w:eastAsia="de-DE"/>
              </w:rPr>
              <w:t>, 60 L and 220 L</w:t>
            </w:r>
            <w:r>
              <w:rPr>
                <w:rFonts w:cs="Arial"/>
                <w:bCs/>
                <w:lang w:eastAsia="de-DE"/>
              </w:rPr>
              <w:t>.</w:t>
            </w:r>
          </w:p>
        </w:tc>
      </w:tr>
    </w:tbl>
    <w:p w14:paraId="1ACD0339" w14:textId="77777777" w:rsidR="00D749ED" w:rsidRDefault="00D749ED">
      <w:pPr>
        <w:pStyle w:val="Absatz"/>
        <w:sectPr w:rsidR="00D749ED" w:rsidSect="00170391">
          <w:headerReference w:type="even" r:id="rId12"/>
          <w:headerReference w:type="default" r:id="rId13"/>
          <w:footerReference w:type="even" r:id="rId14"/>
          <w:footerReference w:type="default" r:id="rId15"/>
          <w:headerReference w:type="first" r:id="rId16"/>
          <w:footerReference w:type="first" r:id="rId17"/>
          <w:pgSz w:w="11906" w:h="16838"/>
          <w:pgMar w:top="1474" w:right="1247" w:bottom="2013" w:left="1446" w:header="850" w:footer="850" w:gutter="0"/>
          <w:cols w:space="720"/>
          <w:docGrid w:linePitch="272"/>
        </w:sectPr>
      </w:pPr>
    </w:p>
    <w:p w14:paraId="46015E2D" w14:textId="77777777" w:rsidR="009D0C0B" w:rsidRDefault="00FA480B">
      <w:pPr>
        <w:pStyle w:val="Titre3"/>
      </w:pPr>
      <w:bookmarkStart w:id="52" w:name="_Toc516669772"/>
      <w:r>
        <w:lastRenderedPageBreak/>
        <w:t>Physical, chemical and technical properties</w:t>
      </w:r>
      <w:bookmarkEnd w:id="52"/>
      <w:r>
        <w:t xml:space="preserve"> </w:t>
      </w:r>
    </w:p>
    <w:p w14:paraId="3D86AE3A" w14:textId="77777777" w:rsidR="00A24F4B" w:rsidRPr="00A24F4B" w:rsidRDefault="00A24F4B" w:rsidP="00A24F4B">
      <w:pPr>
        <w:snapToGrid w:val="0"/>
        <w:spacing w:line="260" w:lineRule="atLeast"/>
        <w:rPr>
          <w:rFonts w:eastAsia="Calibri"/>
          <w:bCs/>
          <w:lang w:eastAsia="en-US"/>
        </w:rPr>
      </w:pPr>
      <w:r w:rsidRPr="00A24F4B">
        <w:rPr>
          <w:rFonts w:eastAsia="Calibri"/>
          <w:bCs/>
          <w:lang w:eastAsia="en-US"/>
        </w:rPr>
        <w:t>The biocidal product is a ready-to-use formulation.</w:t>
      </w:r>
    </w:p>
    <w:p w14:paraId="72D6C4A7" w14:textId="77777777" w:rsidR="00A24F4B" w:rsidRPr="000A3D3D" w:rsidRDefault="00A24F4B" w:rsidP="000A3D3D">
      <w:pPr>
        <w:pStyle w:val="Absatz"/>
        <w:ind w:left="0"/>
        <w:rPr>
          <w:rFonts w:eastAsia="Calibri"/>
          <w:b/>
          <w:bCs/>
          <w:lang w:eastAsia="en-US"/>
        </w:rPr>
      </w:pPr>
      <w:r w:rsidRPr="000A3D3D">
        <w:rPr>
          <w:rFonts w:ascii="Verdana" w:eastAsia="Calibri" w:hAnsi="Verdana"/>
          <w:bCs/>
          <w:lang w:eastAsia="en-US"/>
        </w:rPr>
        <w:t xml:space="preserve">The product does not contain hydrocarbons or H304 co-formulant content ≥10%. </w:t>
      </w:r>
      <w:r w:rsidRPr="000A3D3D">
        <w:rPr>
          <w:rFonts w:ascii="Verdana" w:eastAsia="Calibri" w:hAnsi="Verdana"/>
          <w:b/>
          <w:bCs/>
          <w:lang w:eastAsia="en-US"/>
        </w:rPr>
        <w:t xml:space="preserve"> </w:t>
      </w:r>
    </w:p>
    <w:p w14:paraId="344335DA" w14:textId="77777777" w:rsidR="00A24F4B" w:rsidRPr="000A3D3D" w:rsidRDefault="00A24F4B" w:rsidP="000A3D3D">
      <w:pPr>
        <w:pStyle w:val="Absatz"/>
        <w:ind w:left="0"/>
        <w:rPr>
          <w:rFonts w:eastAsia="Calibri"/>
        </w:rPr>
      </w:pPr>
    </w:p>
    <w:tbl>
      <w:tblPr>
        <w:tblW w:w="1445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276"/>
        <w:gridCol w:w="1418"/>
        <w:gridCol w:w="5953"/>
        <w:gridCol w:w="567"/>
        <w:gridCol w:w="1276"/>
        <w:gridCol w:w="2198"/>
      </w:tblGrid>
      <w:tr w:rsidR="00D749ED" w:rsidRPr="00D749ED" w14:paraId="2822F5CA" w14:textId="77777777" w:rsidTr="002929F9">
        <w:trPr>
          <w:trHeight w:val="88"/>
          <w:tblHeader/>
        </w:trPr>
        <w:tc>
          <w:tcPr>
            <w:tcW w:w="1771" w:type="dxa"/>
            <w:shd w:val="clear" w:color="auto" w:fill="E0E0E0"/>
            <w:vAlign w:val="center"/>
          </w:tcPr>
          <w:p w14:paraId="1175B75A" w14:textId="77777777" w:rsidR="00D749ED" w:rsidRPr="00D749ED" w:rsidRDefault="00D749ED" w:rsidP="00D749ED">
            <w:pPr>
              <w:jc w:val="center"/>
              <w:rPr>
                <w:rFonts w:cs="Arial"/>
                <w:b/>
                <w:sz w:val="18"/>
                <w:szCs w:val="18"/>
                <w:lang w:eastAsia="en-US"/>
              </w:rPr>
            </w:pPr>
            <w:r w:rsidRPr="00D749ED">
              <w:rPr>
                <w:rFonts w:cs="Arial"/>
                <w:b/>
                <w:sz w:val="18"/>
                <w:szCs w:val="18"/>
                <w:lang w:eastAsia="en-US"/>
              </w:rPr>
              <w:t>Property</w:t>
            </w:r>
          </w:p>
        </w:tc>
        <w:tc>
          <w:tcPr>
            <w:tcW w:w="1276" w:type="dxa"/>
            <w:shd w:val="clear" w:color="auto" w:fill="E0E0E0"/>
            <w:vAlign w:val="center"/>
          </w:tcPr>
          <w:p w14:paraId="6C07B249" w14:textId="77777777" w:rsidR="00D749ED" w:rsidRPr="00D749ED" w:rsidRDefault="00D749ED" w:rsidP="00D749ED">
            <w:pPr>
              <w:jc w:val="center"/>
              <w:rPr>
                <w:rFonts w:cs="Arial"/>
                <w:b/>
                <w:sz w:val="18"/>
                <w:szCs w:val="18"/>
                <w:lang w:eastAsia="en-US"/>
              </w:rPr>
            </w:pPr>
            <w:r w:rsidRPr="00D749ED">
              <w:rPr>
                <w:rFonts w:cs="Arial"/>
                <w:b/>
                <w:sz w:val="18"/>
                <w:szCs w:val="18"/>
                <w:lang w:eastAsia="en-US"/>
              </w:rPr>
              <w:t>Guideline  and Method</w:t>
            </w:r>
          </w:p>
        </w:tc>
        <w:tc>
          <w:tcPr>
            <w:tcW w:w="1418" w:type="dxa"/>
            <w:shd w:val="clear" w:color="auto" w:fill="E0E0E0"/>
            <w:vAlign w:val="center"/>
          </w:tcPr>
          <w:p w14:paraId="7E4F9C5E" w14:textId="77777777" w:rsidR="00D749ED" w:rsidRPr="00D749ED" w:rsidRDefault="00D749ED" w:rsidP="00D749ED">
            <w:pPr>
              <w:jc w:val="center"/>
              <w:rPr>
                <w:rFonts w:cs="Arial"/>
                <w:b/>
                <w:sz w:val="18"/>
                <w:szCs w:val="18"/>
                <w:lang w:eastAsia="en-US"/>
              </w:rPr>
            </w:pPr>
            <w:r w:rsidRPr="00D749ED">
              <w:rPr>
                <w:rFonts w:cs="Arial"/>
                <w:b/>
                <w:sz w:val="18"/>
                <w:szCs w:val="18"/>
                <w:lang w:eastAsia="en-US"/>
              </w:rPr>
              <w:t>Purity of the test substance (% (w/w)</w:t>
            </w:r>
          </w:p>
        </w:tc>
        <w:tc>
          <w:tcPr>
            <w:tcW w:w="5953" w:type="dxa"/>
            <w:shd w:val="clear" w:color="auto" w:fill="E0E0E0"/>
            <w:vAlign w:val="center"/>
          </w:tcPr>
          <w:p w14:paraId="4F2EBA1C" w14:textId="77777777" w:rsidR="00D749ED" w:rsidRPr="00D749ED" w:rsidRDefault="00D749ED" w:rsidP="00D749ED">
            <w:pPr>
              <w:jc w:val="center"/>
              <w:rPr>
                <w:rFonts w:cs="Arial"/>
                <w:b/>
                <w:sz w:val="18"/>
                <w:szCs w:val="18"/>
                <w:lang w:eastAsia="en-US"/>
              </w:rPr>
            </w:pPr>
            <w:r w:rsidRPr="00D749ED">
              <w:rPr>
                <w:rFonts w:cs="Arial"/>
                <w:b/>
                <w:sz w:val="18"/>
                <w:szCs w:val="18"/>
                <w:lang w:eastAsia="en-US"/>
              </w:rPr>
              <w:t>Results</w:t>
            </w:r>
          </w:p>
        </w:tc>
        <w:tc>
          <w:tcPr>
            <w:tcW w:w="567" w:type="dxa"/>
            <w:shd w:val="clear" w:color="auto" w:fill="E0E0E0"/>
            <w:vAlign w:val="center"/>
          </w:tcPr>
          <w:p w14:paraId="4EA696AB" w14:textId="77777777" w:rsidR="00D749ED" w:rsidRPr="00D749ED" w:rsidRDefault="00D749ED" w:rsidP="00D749ED">
            <w:pPr>
              <w:jc w:val="center"/>
              <w:rPr>
                <w:rFonts w:cs="Arial"/>
                <w:b/>
                <w:sz w:val="18"/>
                <w:szCs w:val="18"/>
                <w:lang w:eastAsia="en-US"/>
              </w:rPr>
            </w:pPr>
            <w:r w:rsidRPr="00D749ED">
              <w:rPr>
                <w:rFonts w:cs="Arial"/>
                <w:b/>
                <w:sz w:val="18"/>
                <w:szCs w:val="18"/>
                <w:lang w:eastAsia="en-US"/>
              </w:rPr>
              <w:t>GLP</w:t>
            </w:r>
          </w:p>
        </w:tc>
        <w:tc>
          <w:tcPr>
            <w:tcW w:w="1276" w:type="dxa"/>
            <w:shd w:val="clear" w:color="auto" w:fill="E0E0E0"/>
            <w:vAlign w:val="center"/>
          </w:tcPr>
          <w:p w14:paraId="67EEF76F" w14:textId="77777777" w:rsidR="00D749ED" w:rsidRPr="00D749ED" w:rsidRDefault="00D749ED" w:rsidP="00D749ED">
            <w:pPr>
              <w:jc w:val="center"/>
              <w:rPr>
                <w:rFonts w:cs="Arial"/>
                <w:b/>
                <w:sz w:val="18"/>
                <w:szCs w:val="18"/>
                <w:lang w:eastAsia="en-US"/>
              </w:rPr>
            </w:pPr>
            <w:r w:rsidRPr="00D749ED">
              <w:rPr>
                <w:rFonts w:cs="Arial"/>
                <w:b/>
                <w:sz w:val="18"/>
                <w:szCs w:val="18"/>
                <w:lang w:eastAsia="en-US"/>
              </w:rPr>
              <w:t>Reference</w:t>
            </w:r>
          </w:p>
        </w:tc>
        <w:tc>
          <w:tcPr>
            <w:tcW w:w="2198" w:type="dxa"/>
            <w:shd w:val="clear" w:color="auto" w:fill="E0E0E0"/>
            <w:vAlign w:val="center"/>
          </w:tcPr>
          <w:p w14:paraId="55974AF1" w14:textId="77777777" w:rsidR="00D749ED" w:rsidRPr="00D749ED" w:rsidRDefault="00D749ED" w:rsidP="00D749ED">
            <w:pPr>
              <w:jc w:val="center"/>
              <w:rPr>
                <w:rFonts w:cs="Arial"/>
                <w:b/>
                <w:sz w:val="18"/>
                <w:szCs w:val="18"/>
                <w:lang w:eastAsia="en-US"/>
              </w:rPr>
            </w:pPr>
            <w:r w:rsidRPr="00D749ED">
              <w:rPr>
                <w:rFonts w:cs="Arial"/>
                <w:b/>
                <w:sz w:val="18"/>
                <w:szCs w:val="18"/>
                <w:lang w:eastAsia="en-US"/>
              </w:rPr>
              <w:t>Comments</w:t>
            </w:r>
          </w:p>
        </w:tc>
      </w:tr>
      <w:tr w:rsidR="00D749ED" w:rsidRPr="00D749ED" w14:paraId="0B4FE547" w14:textId="77777777" w:rsidTr="002929F9">
        <w:trPr>
          <w:trHeight w:val="88"/>
        </w:trPr>
        <w:tc>
          <w:tcPr>
            <w:tcW w:w="1771" w:type="dxa"/>
            <w:vAlign w:val="center"/>
          </w:tcPr>
          <w:p w14:paraId="603C11FC" w14:textId="77777777" w:rsidR="00D749ED" w:rsidRPr="00D749ED" w:rsidRDefault="00D749ED" w:rsidP="00D749ED">
            <w:pPr>
              <w:jc w:val="center"/>
              <w:rPr>
                <w:rFonts w:cs="Arial"/>
                <w:sz w:val="18"/>
                <w:szCs w:val="18"/>
                <w:lang w:eastAsia="de-DE"/>
              </w:rPr>
            </w:pPr>
            <w:r w:rsidRPr="00D749ED">
              <w:rPr>
                <w:rFonts w:cs="Arial"/>
                <w:sz w:val="18"/>
                <w:szCs w:val="18"/>
                <w:lang w:eastAsia="de-DE"/>
              </w:rPr>
              <w:t>Physical state at 20 °C and 101.3 kPa</w:t>
            </w:r>
          </w:p>
        </w:tc>
        <w:tc>
          <w:tcPr>
            <w:tcW w:w="1276" w:type="dxa"/>
            <w:vMerge w:val="restart"/>
            <w:vAlign w:val="center"/>
          </w:tcPr>
          <w:p w14:paraId="7B8AD4F3" w14:textId="77777777" w:rsidR="00D749ED" w:rsidRPr="00D749ED" w:rsidRDefault="00D749ED" w:rsidP="00D749ED">
            <w:pPr>
              <w:jc w:val="center"/>
              <w:rPr>
                <w:rFonts w:cs="Arial"/>
                <w:sz w:val="18"/>
                <w:szCs w:val="18"/>
                <w:lang w:eastAsia="de-DE"/>
              </w:rPr>
            </w:pPr>
            <w:r w:rsidRPr="00D749ED">
              <w:rPr>
                <w:rFonts w:cs="Arial"/>
                <w:sz w:val="18"/>
                <w:szCs w:val="18"/>
                <w:lang w:eastAsia="de-DE"/>
              </w:rPr>
              <w:t>Visual method</w:t>
            </w:r>
          </w:p>
        </w:tc>
        <w:tc>
          <w:tcPr>
            <w:tcW w:w="1418" w:type="dxa"/>
            <w:vMerge w:val="restart"/>
            <w:vAlign w:val="center"/>
          </w:tcPr>
          <w:p w14:paraId="18185768" w14:textId="77777777" w:rsidR="00D749ED" w:rsidRPr="00D749ED" w:rsidRDefault="00D749ED" w:rsidP="00D749ED">
            <w:pPr>
              <w:jc w:val="center"/>
              <w:rPr>
                <w:rFonts w:cs="Arial"/>
                <w:sz w:val="18"/>
                <w:szCs w:val="18"/>
                <w:lang w:eastAsia="de-DE"/>
              </w:rPr>
            </w:pPr>
            <w:r w:rsidRPr="00D749ED">
              <w:rPr>
                <w:rFonts w:cs="Arial"/>
                <w:sz w:val="18"/>
                <w:szCs w:val="18"/>
                <w:lang w:eastAsia="de-DE"/>
              </w:rPr>
              <w:t>IODIGUARD</w:t>
            </w:r>
          </w:p>
          <w:p w14:paraId="78DDDE42" w14:textId="77777777" w:rsidR="00D749ED" w:rsidRPr="00D749ED" w:rsidRDefault="00D749ED" w:rsidP="00D749ED">
            <w:pPr>
              <w:jc w:val="center"/>
              <w:rPr>
                <w:rFonts w:cs="Arial"/>
                <w:sz w:val="18"/>
                <w:szCs w:val="18"/>
                <w:lang w:eastAsia="de-DE"/>
              </w:rPr>
            </w:pPr>
            <w:r w:rsidRPr="00D749ED">
              <w:rPr>
                <w:rFonts w:cs="Arial"/>
                <w:sz w:val="18"/>
                <w:szCs w:val="18"/>
                <w:lang w:eastAsia="de-DE"/>
              </w:rPr>
              <w:t>Batch 26230415001</w:t>
            </w:r>
          </w:p>
        </w:tc>
        <w:tc>
          <w:tcPr>
            <w:tcW w:w="5953" w:type="dxa"/>
            <w:vMerge w:val="restart"/>
            <w:vAlign w:val="center"/>
          </w:tcPr>
          <w:p w14:paraId="72A493FE" w14:textId="77777777" w:rsidR="00D749ED" w:rsidRPr="00D749ED" w:rsidRDefault="00D749ED" w:rsidP="00D749ED">
            <w:pPr>
              <w:jc w:val="center"/>
              <w:rPr>
                <w:rFonts w:cs="Arial"/>
                <w:sz w:val="18"/>
                <w:szCs w:val="18"/>
                <w:lang w:eastAsia="de-DE"/>
              </w:rPr>
            </w:pPr>
            <w:r w:rsidRPr="00D749ED">
              <w:rPr>
                <w:rFonts w:cs="Arial"/>
                <w:sz w:val="18"/>
                <w:szCs w:val="18"/>
                <w:lang w:eastAsia="de-DE"/>
              </w:rPr>
              <w:t>Viscous brown opaque liquid</w:t>
            </w:r>
          </w:p>
        </w:tc>
        <w:tc>
          <w:tcPr>
            <w:tcW w:w="567" w:type="dxa"/>
            <w:vMerge w:val="restart"/>
            <w:vAlign w:val="center"/>
          </w:tcPr>
          <w:p w14:paraId="2ECE6798" w14:textId="77777777" w:rsidR="00D749ED" w:rsidRPr="00D749ED" w:rsidRDefault="00D749ED" w:rsidP="00D749ED">
            <w:pPr>
              <w:jc w:val="center"/>
              <w:rPr>
                <w:rFonts w:cs="Arial"/>
                <w:sz w:val="18"/>
                <w:szCs w:val="18"/>
                <w:lang w:eastAsia="de-DE"/>
              </w:rPr>
            </w:pPr>
            <w:r w:rsidRPr="00D749ED">
              <w:rPr>
                <w:rFonts w:cs="Arial"/>
                <w:sz w:val="18"/>
                <w:szCs w:val="18"/>
                <w:lang w:eastAsia="de-DE"/>
              </w:rPr>
              <w:t>Y</w:t>
            </w:r>
          </w:p>
        </w:tc>
        <w:tc>
          <w:tcPr>
            <w:tcW w:w="1276" w:type="dxa"/>
            <w:vMerge w:val="restart"/>
            <w:vAlign w:val="center"/>
          </w:tcPr>
          <w:p w14:paraId="3F68F07C" w14:textId="77777777" w:rsidR="00D749ED" w:rsidRPr="00D749ED" w:rsidRDefault="00D749ED" w:rsidP="00D749ED">
            <w:pPr>
              <w:jc w:val="both"/>
              <w:rPr>
                <w:rFonts w:cs="Arial"/>
                <w:sz w:val="18"/>
                <w:szCs w:val="18"/>
                <w:lang w:eastAsia="de-DE"/>
              </w:rPr>
            </w:pPr>
            <w:r w:rsidRPr="0072604A">
              <w:rPr>
                <w:rFonts w:cs="Arial"/>
                <w:sz w:val="18"/>
                <w:szCs w:val="18"/>
                <w:highlight w:val="yellow"/>
                <w:lang w:eastAsia="de-DE"/>
              </w:rPr>
              <w:t>A.J. Wooley</w:t>
            </w:r>
            <w:r w:rsidRPr="00D749ED">
              <w:rPr>
                <w:rFonts w:cs="Arial"/>
                <w:sz w:val="18"/>
                <w:szCs w:val="18"/>
                <w:lang w:eastAsia="de-DE"/>
              </w:rPr>
              <w:t>, 2015</w:t>
            </w:r>
          </w:p>
          <w:p w14:paraId="37DE9CB7" w14:textId="77777777" w:rsidR="00D749ED" w:rsidRPr="00D749ED" w:rsidRDefault="00D749ED" w:rsidP="00D749ED">
            <w:pPr>
              <w:jc w:val="both"/>
              <w:rPr>
                <w:rFonts w:cs="Arial"/>
                <w:sz w:val="18"/>
                <w:szCs w:val="18"/>
                <w:lang w:eastAsia="de-DE"/>
              </w:rPr>
            </w:pPr>
            <w:r w:rsidRPr="00D749ED">
              <w:rPr>
                <w:rFonts w:cs="Arial"/>
                <w:sz w:val="18"/>
                <w:szCs w:val="18"/>
                <w:lang w:eastAsia="de-DE"/>
              </w:rPr>
              <w:t>Report N°41500716</w:t>
            </w:r>
          </w:p>
        </w:tc>
        <w:tc>
          <w:tcPr>
            <w:tcW w:w="2198" w:type="dxa"/>
            <w:vMerge w:val="restart"/>
            <w:vAlign w:val="center"/>
          </w:tcPr>
          <w:p w14:paraId="722EDFE2" w14:textId="77777777" w:rsidR="00D749ED" w:rsidRPr="00D749ED" w:rsidRDefault="00D749ED" w:rsidP="00D749ED">
            <w:pPr>
              <w:jc w:val="both"/>
              <w:rPr>
                <w:rFonts w:cs="Arial"/>
                <w:sz w:val="18"/>
                <w:szCs w:val="18"/>
                <w:lang w:eastAsia="de-DE"/>
              </w:rPr>
            </w:pPr>
            <w:r w:rsidRPr="00D749ED">
              <w:rPr>
                <w:rFonts w:cs="Arial"/>
                <w:sz w:val="18"/>
                <w:szCs w:val="18"/>
                <w:lang w:eastAsia="de-DE"/>
              </w:rPr>
              <w:t>Acceptable</w:t>
            </w:r>
          </w:p>
        </w:tc>
      </w:tr>
      <w:tr w:rsidR="00D749ED" w:rsidRPr="00D749ED" w14:paraId="5EF26A93" w14:textId="77777777" w:rsidTr="002929F9">
        <w:trPr>
          <w:trHeight w:val="434"/>
        </w:trPr>
        <w:tc>
          <w:tcPr>
            <w:tcW w:w="1771" w:type="dxa"/>
            <w:vAlign w:val="center"/>
          </w:tcPr>
          <w:p w14:paraId="131B9828" w14:textId="77777777" w:rsidR="00D749ED" w:rsidRPr="00D749ED" w:rsidRDefault="00D749ED" w:rsidP="00D749ED">
            <w:pPr>
              <w:jc w:val="center"/>
              <w:rPr>
                <w:rFonts w:cs="Arial"/>
                <w:sz w:val="18"/>
                <w:szCs w:val="18"/>
                <w:lang w:eastAsia="de-DE"/>
              </w:rPr>
            </w:pPr>
            <w:r w:rsidRPr="00D749ED">
              <w:rPr>
                <w:rFonts w:cs="Arial"/>
                <w:sz w:val="18"/>
                <w:szCs w:val="18"/>
                <w:lang w:eastAsia="de-DE"/>
              </w:rPr>
              <w:t>Colour at 20 °C and 101.3 kPa</w:t>
            </w:r>
          </w:p>
        </w:tc>
        <w:tc>
          <w:tcPr>
            <w:tcW w:w="1276" w:type="dxa"/>
            <w:vMerge/>
            <w:vAlign w:val="center"/>
          </w:tcPr>
          <w:p w14:paraId="24A8F553" w14:textId="77777777" w:rsidR="00D749ED" w:rsidRPr="00D749ED" w:rsidRDefault="00D749ED" w:rsidP="00D749ED">
            <w:pPr>
              <w:jc w:val="center"/>
              <w:rPr>
                <w:rFonts w:cs="Arial"/>
                <w:sz w:val="18"/>
                <w:szCs w:val="18"/>
                <w:lang w:eastAsia="de-DE"/>
              </w:rPr>
            </w:pPr>
          </w:p>
        </w:tc>
        <w:tc>
          <w:tcPr>
            <w:tcW w:w="1418" w:type="dxa"/>
            <w:vMerge/>
            <w:vAlign w:val="center"/>
          </w:tcPr>
          <w:p w14:paraId="00D82CE0" w14:textId="77777777" w:rsidR="00D749ED" w:rsidRPr="00D749ED" w:rsidRDefault="00D749ED" w:rsidP="00D749ED">
            <w:pPr>
              <w:jc w:val="center"/>
              <w:rPr>
                <w:rFonts w:cs="Arial"/>
                <w:sz w:val="18"/>
                <w:szCs w:val="18"/>
                <w:lang w:eastAsia="de-DE"/>
              </w:rPr>
            </w:pPr>
          </w:p>
        </w:tc>
        <w:tc>
          <w:tcPr>
            <w:tcW w:w="5953" w:type="dxa"/>
            <w:vMerge/>
            <w:vAlign w:val="center"/>
          </w:tcPr>
          <w:p w14:paraId="003E37F0" w14:textId="77777777" w:rsidR="00D749ED" w:rsidRPr="00D749ED" w:rsidRDefault="00D749ED" w:rsidP="00D749ED">
            <w:pPr>
              <w:jc w:val="center"/>
              <w:rPr>
                <w:rFonts w:cs="Arial"/>
                <w:sz w:val="18"/>
                <w:szCs w:val="18"/>
                <w:lang w:eastAsia="de-DE"/>
              </w:rPr>
            </w:pPr>
          </w:p>
        </w:tc>
        <w:tc>
          <w:tcPr>
            <w:tcW w:w="567" w:type="dxa"/>
            <w:vMerge/>
            <w:vAlign w:val="center"/>
          </w:tcPr>
          <w:p w14:paraId="6DF4AC41" w14:textId="77777777" w:rsidR="00D749ED" w:rsidRPr="00D749ED" w:rsidRDefault="00D749ED" w:rsidP="00D749ED">
            <w:pPr>
              <w:jc w:val="center"/>
              <w:rPr>
                <w:rFonts w:cs="Arial"/>
                <w:sz w:val="18"/>
                <w:szCs w:val="18"/>
                <w:lang w:eastAsia="de-DE"/>
              </w:rPr>
            </w:pPr>
          </w:p>
        </w:tc>
        <w:tc>
          <w:tcPr>
            <w:tcW w:w="1276" w:type="dxa"/>
            <w:vMerge/>
            <w:vAlign w:val="center"/>
          </w:tcPr>
          <w:p w14:paraId="5E813C8C" w14:textId="77777777" w:rsidR="00D749ED" w:rsidRPr="00D749ED" w:rsidRDefault="00D749ED" w:rsidP="00D749ED">
            <w:pPr>
              <w:jc w:val="center"/>
              <w:rPr>
                <w:rFonts w:cs="Arial"/>
                <w:sz w:val="18"/>
                <w:szCs w:val="18"/>
                <w:lang w:eastAsia="de-DE"/>
              </w:rPr>
            </w:pPr>
          </w:p>
        </w:tc>
        <w:tc>
          <w:tcPr>
            <w:tcW w:w="2198" w:type="dxa"/>
            <w:vMerge/>
            <w:vAlign w:val="center"/>
          </w:tcPr>
          <w:p w14:paraId="1EFCAFD6" w14:textId="77777777" w:rsidR="00D749ED" w:rsidRPr="00D749ED" w:rsidRDefault="00D749ED" w:rsidP="00D749ED">
            <w:pPr>
              <w:jc w:val="both"/>
              <w:rPr>
                <w:rFonts w:cs="Arial"/>
                <w:sz w:val="18"/>
                <w:szCs w:val="18"/>
                <w:lang w:eastAsia="de-DE"/>
              </w:rPr>
            </w:pPr>
          </w:p>
        </w:tc>
      </w:tr>
      <w:tr w:rsidR="00D749ED" w:rsidRPr="00D749ED" w14:paraId="16864E2E" w14:textId="77777777" w:rsidTr="002929F9">
        <w:trPr>
          <w:trHeight w:val="88"/>
        </w:trPr>
        <w:tc>
          <w:tcPr>
            <w:tcW w:w="1771" w:type="dxa"/>
            <w:vAlign w:val="center"/>
          </w:tcPr>
          <w:p w14:paraId="14EF6E55" w14:textId="77777777" w:rsidR="00D749ED" w:rsidRPr="00D749ED" w:rsidRDefault="00D749ED" w:rsidP="00D749ED">
            <w:pPr>
              <w:jc w:val="center"/>
              <w:rPr>
                <w:rFonts w:cs="Arial"/>
                <w:sz w:val="18"/>
                <w:szCs w:val="18"/>
                <w:lang w:eastAsia="de-DE"/>
              </w:rPr>
            </w:pPr>
            <w:r w:rsidRPr="00D749ED">
              <w:rPr>
                <w:rFonts w:cs="Arial"/>
                <w:sz w:val="18"/>
                <w:szCs w:val="18"/>
                <w:lang w:eastAsia="de-DE"/>
              </w:rPr>
              <w:t>Acidity / alkalinity and pH</w:t>
            </w:r>
          </w:p>
        </w:tc>
        <w:tc>
          <w:tcPr>
            <w:tcW w:w="1276" w:type="dxa"/>
            <w:vAlign w:val="center"/>
          </w:tcPr>
          <w:p w14:paraId="4068800E" w14:textId="77777777" w:rsidR="00D749ED" w:rsidRPr="00D749ED" w:rsidRDefault="00D749ED" w:rsidP="00D749ED">
            <w:pPr>
              <w:jc w:val="center"/>
              <w:rPr>
                <w:rFonts w:cs="Arial"/>
                <w:sz w:val="18"/>
                <w:szCs w:val="18"/>
                <w:lang w:eastAsia="de-DE"/>
              </w:rPr>
            </w:pPr>
            <w:r w:rsidRPr="00D749ED">
              <w:rPr>
                <w:rFonts w:cs="Arial"/>
                <w:sz w:val="18"/>
                <w:szCs w:val="18"/>
                <w:lang w:eastAsia="de-DE"/>
              </w:rPr>
              <w:t>CIPAC MT 75</w:t>
            </w:r>
          </w:p>
        </w:tc>
        <w:tc>
          <w:tcPr>
            <w:tcW w:w="1418" w:type="dxa"/>
            <w:vAlign w:val="center"/>
          </w:tcPr>
          <w:p w14:paraId="04057660" w14:textId="77777777" w:rsidR="00D749ED" w:rsidRPr="00D749ED" w:rsidRDefault="00D749ED" w:rsidP="00D749ED">
            <w:pPr>
              <w:jc w:val="center"/>
              <w:rPr>
                <w:rFonts w:cs="Arial"/>
                <w:sz w:val="18"/>
                <w:szCs w:val="18"/>
                <w:lang w:eastAsia="de-DE"/>
              </w:rPr>
            </w:pPr>
            <w:r w:rsidRPr="00D749ED">
              <w:rPr>
                <w:rFonts w:cs="Arial"/>
                <w:sz w:val="18"/>
                <w:szCs w:val="18"/>
                <w:lang w:eastAsia="de-DE"/>
              </w:rPr>
              <w:t>IODIGUARD</w:t>
            </w:r>
          </w:p>
          <w:p w14:paraId="609AF9D2" w14:textId="77777777" w:rsidR="00D749ED" w:rsidRPr="00D749ED" w:rsidRDefault="00D749ED" w:rsidP="00D749ED">
            <w:pPr>
              <w:jc w:val="center"/>
              <w:rPr>
                <w:rFonts w:cs="Arial"/>
                <w:sz w:val="18"/>
                <w:szCs w:val="18"/>
                <w:lang w:eastAsia="de-DE"/>
              </w:rPr>
            </w:pPr>
            <w:r w:rsidRPr="00D749ED">
              <w:rPr>
                <w:rFonts w:cs="Arial"/>
                <w:sz w:val="18"/>
                <w:szCs w:val="18"/>
                <w:lang w:eastAsia="de-DE"/>
              </w:rPr>
              <w:t>Batch 26230415001</w:t>
            </w:r>
          </w:p>
        </w:tc>
        <w:tc>
          <w:tcPr>
            <w:tcW w:w="5953" w:type="dxa"/>
            <w:vAlign w:val="center"/>
          </w:tcPr>
          <w:p w14:paraId="346EC8ED" w14:textId="77777777" w:rsidR="00D749ED" w:rsidRPr="00D749ED" w:rsidRDefault="00D749ED" w:rsidP="00D749ED">
            <w:pPr>
              <w:jc w:val="both"/>
              <w:rPr>
                <w:rFonts w:cs="Arial"/>
                <w:sz w:val="18"/>
                <w:szCs w:val="18"/>
                <w:lang w:eastAsia="de-DE"/>
              </w:rPr>
            </w:pPr>
            <w:r w:rsidRPr="00D749ED">
              <w:rPr>
                <w:rFonts w:cs="Arial"/>
                <w:sz w:val="18"/>
                <w:szCs w:val="18"/>
                <w:lang w:eastAsia="de-DE"/>
              </w:rPr>
              <w:t>pH at 25°C (1% aqueous dispersion) : 4.32</w:t>
            </w:r>
          </w:p>
          <w:p w14:paraId="191F0B8F" w14:textId="77777777" w:rsidR="00D749ED" w:rsidRPr="00D749ED" w:rsidRDefault="00D749ED" w:rsidP="00D749ED">
            <w:pPr>
              <w:jc w:val="both"/>
              <w:rPr>
                <w:rFonts w:cs="Arial"/>
                <w:sz w:val="18"/>
                <w:szCs w:val="18"/>
                <w:lang w:eastAsia="de-DE"/>
              </w:rPr>
            </w:pPr>
            <w:r w:rsidRPr="00D749ED">
              <w:rPr>
                <w:rFonts w:cs="Arial"/>
                <w:sz w:val="18"/>
                <w:szCs w:val="18"/>
                <w:lang w:eastAsia="de-DE"/>
              </w:rPr>
              <w:t>Neat pH at 25°C : 4.02</w:t>
            </w:r>
          </w:p>
        </w:tc>
        <w:tc>
          <w:tcPr>
            <w:tcW w:w="567" w:type="dxa"/>
            <w:vAlign w:val="center"/>
          </w:tcPr>
          <w:p w14:paraId="570B3029" w14:textId="77777777" w:rsidR="00D749ED" w:rsidRPr="00D749ED" w:rsidRDefault="00D749ED" w:rsidP="00D749ED">
            <w:pPr>
              <w:jc w:val="center"/>
              <w:rPr>
                <w:rFonts w:cs="Arial"/>
                <w:sz w:val="18"/>
                <w:szCs w:val="18"/>
                <w:lang w:eastAsia="de-DE"/>
              </w:rPr>
            </w:pPr>
            <w:r w:rsidRPr="00D749ED">
              <w:rPr>
                <w:rFonts w:cs="Arial"/>
                <w:sz w:val="18"/>
                <w:szCs w:val="18"/>
                <w:lang w:eastAsia="de-DE"/>
              </w:rPr>
              <w:t>Y</w:t>
            </w:r>
          </w:p>
        </w:tc>
        <w:tc>
          <w:tcPr>
            <w:tcW w:w="1276" w:type="dxa"/>
            <w:vAlign w:val="center"/>
          </w:tcPr>
          <w:p w14:paraId="63436C1C" w14:textId="77777777" w:rsidR="00D749ED" w:rsidRPr="00D749ED" w:rsidRDefault="00D749ED" w:rsidP="00D749ED">
            <w:pPr>
              <w:jc w:val="both"/>
              <w:rPr>
                <w:rFonts w:cs="Arial"/>
                <w:sz w:val="18"/>
                <w:szCs w:val="18"/>
                <w:lang w:eastAsia="de-DE"/>
              </w:rPr>
            </w:pPr>
            <w:r w:rsidRPr="0072604A">
              <w:rPr>
                <w:rFonts w:cs="Arial"/>
                <w:sz w:val="18"/>
                <w:szCs w:val="18"/>
                <w:highlight w:val="yellow"/>
                <w:lang w:eastAsia="de-DE"/>
              </w:rPr>
              <w:t>A.J. Wooley</w:t>
            </w:r>
            <w:r w:rsidRPr="00D749ED">
              <w:rPr>
                <w:rFonts w:cs="Arial"/>
                <w:sz w:val="18"/>
                <w:szCs w:val="18"/>
                <w:lang w:eastAsia="de-DE"/>
              </w:rPr>
              <w:t>, 2015</w:t>
            </w:r>
          </w:p>
          <w:p w14:paraId="2C97587F" w14:textId="77777777" w:rsidR="00D749ED" w:rsidRPr="00D749ED" w:rsidRDefault="00D749ED" w:rsidP="00D749ED">
            <w:pPr>
              <w:jc w:val="both"/>
              <w:rPr>
                <w:rFonts w:cs="Arial"/>
                <w:sz w:val="18"/>
                <w:szCs w:val="18"/>
                <w:lang w:eastAsia="de-DE"/>
              </w:rPr>
            </w:pPr>
            <w:r w:rsidRPr="00D749ED">
              <w:rPr>
                <w:rFonts w:cs="Arial"/>
                <w:sz w:val="18"/>
                <w:szCs w:val="18"/>
                <w:lang w:eastAsia="de-DE"/>
              </w:rPr>
              <w:t>Report N°41500716</w:t>
            </w:r>
          </w:p>
        </w:tc>
        <w:tc>
          <w:tcPr>
            <w:tcW w:w="2198" w:type="dxa"/>
            <w:vAlign w:val="center"/>
          </w:tcPr>
          <w:p w14:paraId="452AD04F" w14:textId="77777777" w:rsidR="00D749ED" w:rsidRPr="00D749ED" w:rsidRDefault="00D749ED" w:rsidP="00D749ED">
            <w:pPr>
              <w:jc w:val="both"/>
              <w:rPr>
                <w:rFonts w:cs="Arial"/>
                <w:sz w:val="18"/>
                <w:szCs w:val="18"/>
                <w:lang w:eastAsia="de-DE"/>
              </w:rPr>
            </w:pPr>
            <w:r w:rsidRPr="00D749ED">
              <w:rPr>
                <w:rFonts w:cs="Arial"/>
                <w:sz w:val="18"/>
                <w:szCs w:val="18"/>
                <w:lang w:eastAsia="de-DE"/>
              </w:rPr>
              <w:t>Acceptable</w:t>
            </w:r>
          </w:p>
        </w:tc>
      </w:tr>
      <w:tr w:rsidR="00D749ED" w:rsidRPr="00D749ED" w14:paraId="3BF4DC56" w14:textId="77777777" w:rsidTr="002929F9">
        <w:trPr>
          <w:trHeight w:val="88"/>
        </w:trPr>
        <w:tc>
          <w:tcPr>
            <w:tcW w:w="1771" w:type="dxa"/>
            <w:tcBorders>
              <w:top w:val="single" w:sz="4" w:space="0" w:color="auto"/>
              <w:left w:val="single" w:sz="4" w:space="0" w:color="auto"/>
              <w:bottom w:val="single" w:sz="4" w:space="0" w:color="auto"/>
              <w:right w:val="single" w:sz="4" w:space="0" w:color="auto"/>
            </w:tcBorders>
            <w:vAlign w:val="center"/>
          </w:tcPr>
          <w:p w14:paraId="3971E845" w14:textId="77777777" w:rsidR="00D749ED" w:rsidRPr="00D749ED" w:rsidRDefault="00D749ED" w:rsidP="00D749ED">
            <w:pPr>
              <w:jc w:val="center"/>
              <w:rPr>
                <w:rFonts w:cs="Arial"/>
                <w:sz w:val="18"/>
                <w:szCs w:val="18"/>
                <w:lang w:eastAsia="de-DE"/>
              </w:rPr>
            </w:pPr>
            <w:bookmarkStart w:id="53" w:name="_Toc244336298"/>
            <w:r w:rsidRPr="00D749ED">
              <w:rPr>
                <w:rFonts w:cs="Arial"/>
                <w:sz w:val="18"/>
                <w:szCs w:val="18"/>
                <w:lang w:eastAsia="de-DE"/>
              </w:rPr>
              <w:t>Relative density / bulk density</w:t>
            </w:r>
            <w:bookmarkEnd w:id="53"/>
          </w:p>
        </w:tc>
        <w:tc>
          <w:tcPr>
            <w:tcW w:w="1276" w:type="dxa"/>
            <w:tcBorders>
              <w:top w:val="single" w:sz="4" w:space="0" w:color="auto"/>
              <w:left w:val="single" w:sz="4" w:space="0" w:color="auto"/>
              <w:bottom w:val="single" w:sz="4" w:space="0" w:color="auto"/>
              <w:right w:val="single" w:sz="4" w:space="0" w:color="auto"/>
            </w:tcBorders>
            <w:vAlign w:val="center"/>
          </w:tcPr>
          <w:p w14:paraId="61E86353" w14:textId="77777777" w:rsidR="00D749ED" w:rsidRPr="00D749ED" w:rsidRDefault="00D749ED" w:rsidP="00D749ED">
            <w:pPr>
              <w:jc w:val="center"/>
              <w:rPr>
                <w:rFonts w:cs="Arial"/>
                <w:sz w:val="18"/>
                <w:szCs w:val="18"/>
                <w:lang w:eastAsia="de-DE"/>
              </w:rPr>
            </w:pPr>
            <w:r w:rsidRPr="00D749ED">
              <w:rPr>
                <w:rFonts w:cs="Arial"/>
                <w:sz w:val="18"/>
                <w:szCs w:val="18"/>
                <w:lang w:eastAsia="de-DE"/>
              </w:rPr>
              <w:t>EC A3</w:t>
            </w:r>
          </w:p>
        </w:tc>
        <w:tc>
          <w:tcPr>
            <w:tcW w:w="1418" w:type="dxa"/>
            <w:tcBorders>
              <w:top w:val="single" w:sz="4" w:space="0" w:color="auto"/>
              <w:left w:val="single" w:sz="4" w:space="0" w:color="auto"/>
              <w:bottom w:val="single" w:sz="4" w:space="0" w:color="auto"/>
              <w:right w:val="single" w:sz="4" w:space="0" w:color="auto"/>
            </w:tcBorders>
            <w:vAlign w:val="center"/>
          </w:tcPr>
          <w:p w14:paraId="2B375333" w14:textId="77777777" w:rsidR="00D749ED" w:rsidRPr="00D749ED" w:rsidRDefault="00D749ED" w:rsidP="00D749ED">
            <w:pPr>
              <w:jc w:val="center"/>
              <w:rPr>
                <w:rFonts w:cs="Arial"/>
                <w:sz w:val="18"/>
                <w:szCs w:val="18"/>
                <w:lang w:eastAsia="de-DE"/>
              </w:rPr>
            </w:pPr>
            <w:r w:rsidRPr="00D749ED">
              <w:rPr>
                <w:rFonts w:cs="Arial"/>
                <w:sz w:val="18"/>
                <w:szCs w:val="18"/>
                <w:lang w:eastAsia="de-DE"/>
              </w:rPr>
              <w:t>IODIGUARD</w:t>
            </w:r>
          </w:p>
          <w:p w14:paraId="047FA286" w14:textId="77777777" w:rsidR="00D749ED" w:rsidRPr="00D749ED" w:rsidRDefault="00D749ED" w:rsidP="00D749ED">
            <w:pPr>
              <w:jc w:val="center"/>
              <w:rPr>
                <w:rFonts w:cs="Arial"/>
                <w:sz w:val="18"/>
                <w:szCs w:val="18"/>
                <w:lang w:eastAsia="de-DE"/>
              </w:rPr>
            </w:pPr>
            <w:r w:rsidRPr="00D749ED">
              <w:rPr>
                <w:rFonts w:cs="Arial"/>
                <w:sz w:val="18"/>
                <w:szCs w:val="18"/>
                <w:lang w:eastAsia="de-DE"/>
              </w:rPr>
              <w:t>Batch 26230415001</w:t>
            </w:r>
          </w:p>
        </w:tc>
        <w:tc>
          <w:tcPr>
            <w:tcW w:w="5953" w:type="dxa"/>
            <w:tcBorders>
              <w:top w:val="single" w:sz="4" w:space="0" w:color="auto"/>
              <w:left w:val="single" w:sz="4" w:space="0" w:color="auto"/>
              <w:bottom w:val="single" w:sz="4" w:space="0" w:color="auto"/>
              <w:right w:val="single" w:sz="4" w:space="0" w:color="auto"/>
            </w:tcBorders>
            <w:vAlign w:val="center"/>
          </w:tcPr>
          <w:p w14:paraId="2F8A9DBC" w14:textId="77777777" w:rsidR="00D749ED" w:rsidRPr="00D749ED" w:rsidRDefault="00D749ED" w:rsidP="00D749ED">
            <w:pPr>
              <w:jc w:val="both"/>
              <w:rPr>
                <w:rFonts w:cs="Arial"/>
                <w:sz w:val="18"/>
                <w:szCs w:val="18"/>
                <w:lang w:eastAsia="de-DE"/>
              </w:rPr>
            </w:pPr>
            <w:r w:rsidRPr="00D749ED">
              <w:rPr>
                <w:rFonts w:cs="Arial"/>
                <w:sz w:val="18"/>
                <w:szCs w:val="18"/>
                <w:lang w:eastAsia="de-DE"/>
              </w:rPr>
              <w:t>D</w:t>
            </w:r>
            <w:r w:rsidRPr="00D749ED">
              <w:rPr>
                <w:rFonts w:cs="Arial"/>
                <w:sz w:val="18"/>
                <w:szCs w:val="18"/>
                <w:vertAlign w:val="subscript"/>
                <w:lang w:eastAsia="de-DE"/>
              </w:rPr>
              <w:t>4</w:t>
            </w:r>
            <w:r w:rsidRPr="00D749ED">
              <w:rPr>
                <w:rFonts w:cs="Arial"/>
                <w:sz w:val="18"/>
                <w:szCs w:val="18"/>
                <w:vertAlign w:val="superscript"/>
                <w:lang w:eastAsia="de-DE"/>
              </w:rPr>
              <w:t>20</w:t>
            </w:r>
            <w:r w:rsidRPr="00D749ED">
              <w:rPr>
                <w:rFonts w:cs="Arial"/>
                <w:sz w:val="18"/>
                <w:szCs w:val="18"/>
                <w:lang w:eastAsia="de-DE"/>
              </w:rPr>
              <w:t xml:space="preserve"> = 1.03</w:t>
            </w:r>
          </w:p>
        </w:tc>
        <w:tc>
          <w:tcPr>
            <w:tcW w:w="567" w:type="dxa"/>
            <w:tcBorders>
              <w:top w:val="single" w:sz="4" w:space="0" w:color="auto"/>
              <w:left w:val="single" w:sz="4" w:space="0" w:color="auto"/>
              <w:bottom w:val="single" w:sz="4" w:space="0" w:color="auto"/>
              <w:right w:val="single" w:sz="4" w:space="0" w:color="auto"/>
            </w:tcBorders>
            <w:vAlign w:val="center"/>
          </w:tcPr>
          <w:p w14:paraId="73D211D5" w14:textId="77777777" w:rsidR="00D749ED" w:rsidRPr="00D749ED" w:rsidRDefault="00D749ED" w:rsidP="00D749ED">
            <w:pPr>
              <w:jc w:val="center"/>
              <w:rPr>
                <w:rFonts w:cs="Arial"/>
                <w:sz w:val="18"/>
                <w:szCs w:val="18"/>
                <w:lang w:eastAsia="de-DE"/>
              </w:rPr>
            </w:pPr>
            <w:r w:rsidRPr="00D749ED">
              <w:rPr>
                <w:rFonts w:cs="Arial"/>
                <w:sz w:val="18"/>
                <w:szCs w:val="18"/>
                <w:lang w:eastAsia="de-DE"/>
              </w:rPr>
              <w:t>Y</w:t>
            </w:r>
          </w:p>
        </w:tc>
        <w:tc>
          <w:tcPr>
            <w:tcW w:w="1276" w:type="dxa"/>
            <w:tcBorders>
              <w:top w:val="single" w:sz="4" w:space="0" w:color="auto"/>
              <w:left w:val="single" w:sz="4" w:space="0" w:color="auto"/>
              <w:bottom w:val="single" w:sz="4" w:space="0" w:color="auto"/>
              <w:right w:val="single" w:sz="4" w:space="0" w:color="auto"/>
            </w:tcBorders>
            <w:vAlign w:val="center"/>
          </w:tcPr>
          <w:p w14:paraId="5D02FEBB" w14:textId="77777777" w:rsidR="00D749ED" w:rsidRPr="00D749ED" w:rsidRDefault="00D749ED" w:rsidP="00D749ED">
            <w:pPr>
              <w:jc w:val="both"/>
              <w:rPr>
                <w:rFonts w:cs="Arial"/>
                <w:sz w:val="18"/>
                <w:szCs w:val="18"/>
                <w:lang w:eastAsia="de-DE"/>
              </w:rPr>
            </w:pPr>
            <w:r w:rsidRPr="0072604A">
              <w:rPr>
                <w:rFonts w:cs="Arial"/>
                <w:sz w:val="18"/>
                <w:szCs w:val="18"/>
                <w:highlight w:val="yellow"/>
                <w:lang w:eastAsia="de-DE"/>
              </w:rPr>
              <w:t>A.J. Wooley</w:t>
            </w:r>
            <w:r w:rsidRPr="00D749ED">
              <w:rPr>
                <w:rFonts w:cs="Arial"/>
                <w:sz w:val="18"/>
                <w:szCs w:val="18"/>
                <w:lang w:eastAsia="de-DE"/>
              </w:rPr>
              <w:t>, 2015</w:t>
            </w:r>
          </w:p>
          <w:p w14:paraId="56F32A91" w14:textId="77777777" w:rsidR="00D749ED" w:rsidRPr="00D749ED" w:rsidRDefault="00D749ED" w:rsidP="00D749ED">
            <w:pPr>
              <w:rPr>
                <w:rFonts w:cs="Arial"/>
                <w:sz w:val="18"/>
                <w:szCs w:val="18"/>
                <w:lang w:eastAsia="de-DE"/>
              </w:rPr>
            </w:pPr>
            <w:r w:rsidRPr="00D749ED">
              <w:rPr>
                <w:rFonts w:cs="Arial"/>
                <w:sz w:val="18"/>
                <w:szCs w:val="18"/>
                <w:lang w:eastAsia="de-DE"/>
              </w:rPr>
              <w:t>Report N°41500717</w:t>
            </w:r>
          </w:p>
        </w:tc>
        <w:tc>
          <w:tcPr>
            <w:tcW w:w="2198" w:type="dxa"/>
            <w:tcBorders>
              <w:top w:val="single" w:sz="4" w:space="0" w:color="auto"/>
              <w:left w:val="single" w:sz="4" w:space="0" w:color="auto"/>
              <w:bottom w:val="single" w:sz="4" w:space="0" w:color="auto"/>
              <w:right w:val="single" w:sz="4" w:space="0" w:color="auto"/>
            </w:tcBorders>
            <w:vAlign w:val="center"/>
          </w:tcPr>
          <w:p w14:paraId="49B4E653" w14:textId="77777777" w:rsidR="00D749ED" w:rsidRPr="00D749ED" w:rsidRDefault="00D749ED" w:rsidP="00D749ED">
            <w:pPr>
              <w:jc w:val="both"/>
              <w:rPr>
                <w:rFonts w:cs="Arial"/>
                <w:sz w:val="18"/>
                <w:szCs w:val="18"/>
                <w:lang w:eastAsia="de-DE"/>
              </w:rPr>
            </w:pPr>
            <w:r w:rsidRPr="00D749ED">
              <w:rPr>
                <w:rFonts w:cs="Arial"/>
                <w:sz w:val="18"/>
                <w:szCs w:val="18"/>
                <w:lang w:eastAsia="de-DE"/>
              </w:rPr>
              <w:t>Acceptable</w:t>
            </w:r>
          </w:p>
        </w:tc>
      </w:tr>
      <w:tr w:rsidR="00D749ED" w:rsidRPr="00D749ED" w14:paraId="7D9AFAB6" w14:textId="77777777" w:rsidTr="002929F9">
        <w:trPr>
          <w:trHeight w:val="88"/>
        </w:trPr>
        <w:tc>
          <w:tcPr>
            <w:tcW w:w="1771" w:type="dxa"/>
            <w:vAlign w:val="center"/>
          </w:tcPr>
          <w:p w14:paraId="3BB5B572" w14:textId="77777777" w:rsidR="00D749ED" w:rsidRPr="00D749ED" w:rsidRDefault="00D749ED" w:rsidP="00D749ED">
            <w:pPr>
              <w:jc w:val="center"/>
              <w:rPr>
                <w:rFonts w:cs="Arial"/>
                <w:sz w:val="18"/>
                <w:szCs w:val="18"/>
                <w:lang w:eastAsia="de-DE"/>
              </w:rPr>
            </w:pPr>
            <w:r w:rsidRPr="00D749ED">
              <w:rPr>
                <w:rFonts w:cs="Arial"/>
                <w:sz w:val="18"/>
                <w:szCs w:val="18"/>
                <w:lang w:eastAsia="de-DE"/>
              </w:rPr>
              <w:t xml:space="preserve">Storage stability test – </w:t>
            </w:r>
            <w:r w:rsidRPr="00D749ED">
              <w:rPr>
                <w:rFonts w:cs="Arial"/>
                <w:b/>
                <w:sz w:val="18"/>
                <w:szCs w:val="18"/>
                <w:lang w:eastAsia="de-DE"/>
              </w:rPr>
              <w:t>accelerated storage</w:t>
            </w:r>
          </w:p>
        </w:tc>
        <w:tc>
          <w:tcPr>
            <w:tcW w:w="1276" w:type="dxa"/>
            <w:vAlign w:val="center"/>
          </w:tcPr>
          <w:p w14:paraId="44FEA6F6" w14:textId="77777777" w:rsidR="00D749ED" w:rsidRPr="00D749ED" w:rsidRDefault="00D749ED" w:rsidP="00D749ED">
            <w:pPr>
              <w:jc w:val="center"/>
              <w:rPr>
                <w:rFonts w:cs="Arial"/>
                <w:sz w:val="18"/>
                <w:szCs w:val="18"/>
                <w:lang w:val="fr-FR" w:eastAsia="de-DE"/>
              </w:rPr>
            </w:pPr>
            <w:r w:rsidRPr="00D749ED">
              <w:rPr>
                <w:rFonts w:cs="Arial"/>
                <w:sz w:val="18"/>
                <w:szCs w:val="18"/>
                <w:lang w:val="fr-FR" w:eastAsia="de-DE"/>
              </w:rPr>
              <w:t>CIPAC MT 75</w:t>
            </w:r>
          </w:p>
          <w:p w14:paraId="78580F52" w14:textId="77777777" w:rsidR="00D749ED" w:rsidRPr="00D749ED" w:rsidRDefault="00D749ED" w:rsidP="00D749ED">
            <w:pPr>
              <w:jc w:val="center"/>
              <w:rPr>
                <w:rFonts w:cs="Arial"/>
                <w:sz w:val="18"/>
                <w:szCs w:val="18"/>
                <w:lang w:val="fr-FR" w:eastAsia="de-DE"/>
              </w:rPr>
            </w:pPr>
          </w:p>
          <w:p w14:paraId="6550A277" w14:textId="77777777" w:rsidR="00D749ED" w:rsidRPr="00D749ED" w:rsidRDefault="00D749ED" w:rsidP="00D749ED">
            <w:pPr>
              <w:jc w:val="center"/>
              <w:rPr>
                <w:rFonts w:cs="Arial"/>
                <w:sz w:val="18"/>
                <w:szCs w:val="18"/>
                <w:lang w:val="fr-FR" w:eastAsia="de-DE"/>
              </w:rPr>
            </w:pPr>
            <w:r w:rsidRPr="00D749ED">
              <w:rPr>
                <w:rFonts w:cs="Arial"/>
                <w:sz w:val="18"/>
                <w:szCs w:val="18"/>
                <w:lang w:val="fr-FR" w:eastAsia="de-DE"/>
              </w:rPr>
              <w:t>OECD 114</w:t>
            </w:r>
          </w:p>
          <w:p w14:paraId="61759BCD" w14:textId="77777777" w:rsidR="00D749ED" w:rsidRPr="00D749ED" w:rsidRDefault="00D749ED" w:rsidP="00D749ED">
            <w:pPr>
              <w:jc w:val="center"/>
              <w:rPr>
                <w:rFonts w:cs="Arial"/>
                <w:sz w:val="18"/>
                <w:szCs w:val="18"/>
                <w:lang w:val="fr-FR" w:eastAsia="de-DE"/>
              </w:rPr>
            </w:pPr>
          </w:p>
          <w:p w14:paraId="77E6E8E0" w14:textId="77777777" w:rsidR="00D749ED" w:rsidRPr="00D749ED" w:rsidRDefault="00D749ED" w:rsidP="00D749ED">
            <w:pPr>
              <w:jc w:val="center"/>
              <w:rPr>
                <w:rFonts w:cs="Arial"/>
                <w:sz w:val="18"/>
                <w:szCs w:val="18"/>
                <w:lang w:val="fr-FR" w:eastAsia="de-DE"/>
              </w:rPr>
            </w:pPr>
            <w:r w:rsidRPr="00D749ED">
              <w:rPr>
                <w:rFonts w:cs="Arial"/>
                <w:sz w:val="18"/>
                <w:szCs w:val="18"/>
                <w:lang w:val="fr-FR" w:eastAsia="de-DE"/>
              </w:rPr>
              <w:t>EC A5</w:t>
            </w:r>
          </w:p>
          <w:p w14:paraId="7080DEAB" w14:textId="77777777" w:rsidR="00D749ED" w:rsidRPr="00D749ED" w:rsidRDefault="00D749ED" w:rsidP="00D749ED">
            <w:pPr>
              <w:jc w:val="center"/>
              <w:rPr>
                <w:rFonts w:cs="Arial"/>
                <w:sz w:val="18"/>
                <w:szCs w:val="18"/>
                <w:lang w:val="fr-FR" w:eastAsia="de-DE"/>
              </w:rPr>
            </w:pPr>
          </w:p>
          <w:p w14:paraId="1AEB4BB9" w14:textId="77777777" w:rsidR="00D749ED" w:rsidRPr="00D749ED" w:rsidRDefault="00D749ED" w:rsidP="00D749ED">
            <w:pPr>
              <w:jc w:val="center"/>
              <w:rPr>
                <w:rFonts w:cs="Arial"/>
                <w:sz w:val="18"/>
                <w:szCs w:val="18"/>
                <w:lang w:val="fr-FR" w:eastAsia="de-DE"/>
              </w:rPr>
            </w:pPr>
            <w:r w:rsidRPr="00D749ED">
              <w:rPr>
                <w:rFonts w:cs="Arial"/>
                <w:sz w:val="18"/>
                <w:szCs w:val="18"/>
                <w:lang w:val="fr-FR" w:eastAsia="de-DE"/>
              </w:rPr>
              <w:t>Titrimetric quantification of total iodine: « dosage de l’iode actif”</w:t>
            </w:r>
          </w:p>
        </w:tc>
        <w:tc>
          <w:tcPr>
            <w:tcW w:w="1418" w:type="dxa"/>
            <w:vAlign w:val="center"/>
          </w:tcPr>
          <w:p w14:paraId="4FC4A696" w14:textId="77777777" w:rsidR="00D749ED" w:rsidRPr="00D749ED" w:rsidRDefault="00D749ED" w:rsidP="00D749ED">
            <w:pPr>
              <w:jc w:val="center"/>
              <w:rPr>
                <w:rFonts w:cs="Arial"/>
                <w:sz w:val="18"/>
                <w:szCs w:val="18"/>
                <w:lang w:eastAsia="de-DE"/>
              </w:rPr>
            </w:pPr>
            <w:r w:rsidRPr="00D749ED">
              <w:rPr>
                <w:rFonts w:cs="Arial"/>
                <w:sz w:val="18"/>
                <w:szCs w:val="18"/>
                <w:lang w:eastAsia="de-DE"/>
              </w:rPr>
              <w:t>IODIGUARD</w:t>
            </w:r>
          </w:p>
          <w:p w14:paraId="4637B30A" w14:textId="77777777" w:rsidR="00D749ED" w:rsidRPr="00D749ED" w:rsidRDefault="00D749ED" w:rsidP="00D749ED">
            <w:pPr>
              <w:jc w:val="center"/>
              <w:rPr>
                <w:rFonts w:cs="Arial"/>
                <w:sz w:val="18"/>
                <w:szCs w:val="18"/>
                <w:lang w:eastAsia="de-DE"/>
              </w:rPr>
            </w:pPr>
            <w:r w:rsidRPr="00D749ED">
              <w:rPr>
                <w:rFonts w:cs="Arial"/>
                <w:sz w:val="18"/>
                <w:szCs w:val="18"/>
                <w:lang w:eastAsia="de-DE"/>
              </w:rPr>
              <w:t>Batch 26230415001</w:t>
            </w:r>
          </w:p>
        </w:tc>
        <w:tc>
          <w:tcPr>
            <w:tcW w:w="5953" w:type="dxa"/>
            <w:vAlign w:val="center"/>
          </w:tcPr>
          <w:tbl>
            <w:tblPr>
              <w:tblStyle w:val="Grilledutableau"/>
              <w:tblW w:w="5851" w:type="dxa"/>
              <w:tblLayout w:type="fixed"/>
              <w:tblLook w:val="04A0" w:firstRow="1" w:lastRow="0" w:firstColumn="1" w:lastColumn="0" w:noHBand="0" w:noVBand="1"/>
            </w:tblPr>
            <w:tblGrid>
              <w:gridCol w:w="1950"/>
              <w:gridCol w:w="1950"/>
              <w:gridCol w:w="1951"/>
            </w:tblGrid>
            <w:tr w:rsidR="00D749ED" w:rsidRPr="00D749ED" w14:paraId="094BA462" w14:textId="77777777" w:rsidTr="000A3D3D">
              <w:trPr>
                <w:trHeight w:val="146"/>
              </w:trPr>
              <w:tc>
                <w:tcPr>
                  <w:tcW w:w="1950" w:type="dxa"/>
                </w:tcPr>
                <w:p w14:paraId="61DC6BB6" w14:textId="77777777" w:rsidR="00D749ED" w:rsidRPr="00D749ED" w:rsidRDefault="00D749ED" w:rsidP="00D749ED">
                  <w:pPr>
                    <w:jc w:val="center"/>
                    <w:rPr>
                      <w:rFonts w:cs="Arial"/>
                      <w:sz w:val="16"/>
                      <w:szCs w:val="16"/>
                      <w:lang w:eastAsia="de-DE"/>
                    </w:rPr>
                  </w:pPr>
                </w:p>
              </w:tc>
              <w:tc>
                <w:tcPr>
                  <w:tcW w:w="1950" w:type="dxa"/>
                </w:tcPr>
                <w:p w14:paraId="601D003A" w14:textId="77777777" w:rsidR="00D749ED" w:rsidRPr="00D749ED" w:rsidRDefault="00D749ED" w:rsidP="00D749ED">
                  <w:pPr>
                    <w:jc w:val="center"/>
                    <w:rPr>
                      <w:rFonts w:cs="Arial"/>
                      <w:b/>
                      <w:sz w:val="16"/>
                      <w:szCs w:val="16"/>
                      <w:lang w:eastAsia="de-DE"/>
                    </w:rPr>
                  </w:pPr>
                  <w:r w:rsidRPr="00D749ED">
                    <w:rPr>
                      <w:rFonts w:cs="Arial"/>
                      <w:b/>
                      <w:sz w:val="16"/>
                      <w:szCs w:val="16"/>
                      <w:lang w:eastAsia="de-DE"/>
                    </w:rPr>
                    <w:t>Initial</w:t>
                  </w:r>
                </w:p>
              </w:tc>
              <w:tc>
                <w:tcPr>
                  <w:tcW w:w="1951" w:type="dxa"/>
                </w:tcPr>
                <w:p w14:paraId="539EAC7A" w14:textId="77777777" w:rsidR="00D749ED" w:rsidRPr="00D749ED" w:rsidRDefault="00D749ED" w:rsidP="00D749ED">
                  <w:pPr>
                    <w:jc w:val="center"/>
                    <w:rPr>
                      <w:rFonts w:cs="Arial"/>
                      <w:b/>
                      <w:sz w:val="16"/>
                      <w:szCs w:val="16"/>
                      <w:lang w:eastAsia="de-DE"/>
                    </w:rPr>
                  </w:pPr>
                  <w:r w:rsidRPr="00D749ED">
                    <w:rPr>
                      <w:rFonts w:cs="Arial"/>
                      <w:b/>
                      <w:sz w:val="16"/>
                      <w:szCs w:val="16"/>
                      <w:lang w:eastAsia="de-DE"/>
                    </w:rPr>
                    <w:t>8 weeks at 40°C in glass bottle</w:t>
                  </w:r>
                </w:p>
              </w:tc>
            </w:tr>
            <w:tr w:rsidR="00D749ED" w:rsidRPr="00D749ED" w14:paraId="62892E58" w14:textId="77777777" w:rsidTr="000A3D3D">
              <w:trPr>
                <w:trHeight w:val="146"/>
              </w:trPr>
              <w:tc>
                <w:tcPr>
                  <w:tcW w:w="1950" w:type="dxa"/>
                </w:tcPr>
                <w:p w14:paraId="35EDF1D5" w14:textId="77777777" w:rsidR="00D749ED" w:rsidRPr="00D749ED" w:rsidRDefault="00D749ED" w:rsidP="00D749ED">
                  <w:pPr>
                    <w:jc w:val="center"/>
                    <w:rPr>
                      <w:rFonts w:cs="Arial"/>
                      <w:sz w:val="16"/>
                      <w:szCs w:val="16"/>
                      <w:lang w:eastAsia="de-DE"/>
                    </w:rPr>
                  </w:pPr>
                  <w:r w:rsidRPr="00D749ED">
                    <w:rPr>
                      <w:rFonts w:cs="Arial"/>
                      <w:b/>
                      <w:sz w:val="16"/>
                      <w:szCs w:val="16"/>
                      <w:lang w:eastAsia="de-DE"/>
                    </w:rPr>
                    <w:t>Active ingredient content</w:t>
                  </w:r>
                  <w:r w:rsidRPr="00D749ED">
                    <w:rPr>
                      <w:rFonts w:cs="Arial"/>
                      <w:sz w:val="16"/>
                      <w:szCs w:val="16"/>
                      <w:lang w:eastAsia="de-DE"/>
                    </w:rPr>
                    <w:t xml:space="preserve"> (total active iodine)</w:t>
                  </w:r>
                </w:p>
              </w:tc>
              <w:tc>
                <w:tcPr>
                  <w:tcW w:w="1950" w:type="dxa"/>
                  <w:vAlign w:val="center"/>
                </w:tcPr>
                <w:p w14:paraId="046354FF" w14:textId="77777777" w:rsidR="00D749ED" w:rsidRPr="00D749ED" w:rsidRDefault="00D749ED" w:rsidP="00D749ED">
                  <w:pPr>
                    <w:jc w:val="center"/>
                    <w:rPr>
                      <w:rFonts w:cs="Arial"/>
                      <w:sz w:val="16"/>
                      <w:szCs w:val="16"/>
                      <w:lang w:eastAsia="de-DE"/>
                    </w:rPr>
                  </w:pPr>
                  <w:r w:rsidRPr="00D749ED">
                    <w:rPr>
                      <w:rFonts w:cs="Arial"/>
                      <w:sz w:val="16"/>
                      <w:szCs w:val="16"/>
                      <w:lang w:eastAsia="de-DE"/>
                    </w:rPr>
                    <w:t>0.132% w/w</w:t>
                  </w:r>
                </w:p>
              </w:tc>
              <w:tc>
                <w:tcPr>
                  <w:tcW w:w="1951" w:type="dxa"/>
                  <w:vAlign w:val="center"/>
                </w:tcPr>
                <w:p w14:paraId="71C05B3A" w14:textId="77777777" w:rsidR="00D749ED" w:rsidRPr="00D749ED" w:rsidRDefault="00D749ED" w:rsidP="00D749ED">
                  <w:pPr>
                    <w:jc w:val="center"/>
                    <w:rPr>
                      <w:rFonts w:cs="Arial"/>
                      <w:sz w:val="16"/>
                      <w:szCs w:val="16"/>
                      <w:lang w:eastAsia="de-DE"/>
                    </w:rPr>
                  </w:pPr>
                  <w:r w:rsidRPr="00D749ED">
                    <w:rPr>
                      <w:rFonts w:cs="Arial"/>
                      <w:sz w:val="16"/>
                      <w:szCs w:val="16"/>
                      <w:lang w:eastAsia="de-DE"/>
                    </w:rPr>
                    <w:t>0.071% w/w</w:t>
                  </w:r>
                </w:p>
                <w:p w14:paraId="7B78C0CB" w14:textId="77777777" w:rsidR="00D749ED" w:rsidRPr="00D749ED" w:rsidRDefault="00D749ED" w:rsidP="00D749ED">
                  <w:pPr>
                    <w:jc w:val="center"/>
                    <w:rPr>
                      <w:rFonts w:cs="Arial"/>
                      <w:sz w:val="16"/>
                      <w:szCs w:val="16"/>
                      <w:lang w:eastAsia="de-DE"/>
                    </w:rPr>
                  </w:pPr>
                  <w:r w:rsidRPr="00D749ED">
                    <w:rPr>
                      <w:rFonts w:cs="Arial"/>
                      <w:sz w:val="16"/>
                      <w:szCs w:val="16"/>
                      <w:lang w:eastAsia="de-DE"/>
                    </w:rPr>
                    <w:t>(-46%)</w:t>
                  </w:r>
                </w:p>
              </w:tc>
            </w:tr>
            <w:tr w:rsidR="00D749ED" w:rsidRPr="00D749ED" w14:paraId="78334D57" w14:textId="77777777" w:rsidTr="000A3D3D">
              <w:trPr>
                <w:trHeight w:val="146"/>
              </w:trPr>
              <w:tc>
                <w:tcPr>
                  <w:tcW w:w="1950" w:type="dxa"/>
                </w:tcPr>
                <w:p w14:paraId="43C3D6E3" w14:textId="77777777" w:rsidR="00D749ED" w:rsidRPr="00D749ED" w:rsidRDefault="00D749ED" w:rsidP="00D749ED">
                  <w:pPr>
                    <w:jc w:val="center"/>
                    <w:rPr>
                      <w:rFonts w:cs="Arial"/>
                      <w:b/>
                      <w:sz w:val="16"/>
                      <w:szCs w:val="16"/>
                      <w:lang w:eastAsia="de-DE"/>
                    </w:rPr>
                  </w:pPr>
                  <w:r w:rsidRPr="00D749ED">
                    <w:rPr>
                      <w:rFonts w:cs="Arial"/>
                      <w:b/>
                      <w:sz w:val="16"/>
                      <w:szCs w:val="16"/>
                      <w:lang w:eastAsia="de-DE"/>
                    </w:rPr>
                    <w:t>Appearance</w:t>
                  </w:r>
                </w:p>
              </w:tc>
              <w:tc>
                <w:tcPr>
                  <w:tcW w:w="3901" w:type="dxa"/>
                  <w:gridSpan w:val="2"/>
                </w:tcPr>
                <w:p w14:paraId="4B17920A"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 xml:space="preserve">Brown opaque liquid. </w:t>
                  </w:r>
                </w:p>
                <w:p w14:paraId="624A5FB9" w14:textId="77777777" w:rsidR="00D749ED" w:rsidRPr="00D749ED" w:rsidRDefault="00D749ED" w:rsidP="00D749ED">
                  <w:pPr>
                    <w:jc w:val="center"/>
                    <w:rPr>
                      <w:sz w:val="16"/>
                      <w:szCs w:val="16"/>
                    </w:rPr>
                  </w:pPr>
                  <w:r w:rsidRPr="00D749ED">
                    <w:rPr>
                      <w:sz w:val="16"/>
                      <w:szCs w:val="16"/>
                      <w:lang w:val="en-US"/>
                    </w:rPr>
                    <w:t xml:space="preserve">250 mL amber glass bottle with a white, opaque, plastic screw on lid with an orange plastic tamper proof seal. </w:t>
                  </w:r>
                  <w:r w:rsidRPr="00D749ED">
                    <w:rPr>
                      <w:sz w:val="16"/>
                      <w:szCs w:val="16"/>
                    </w:rPr>
                    <w:t>No signs of corrosion or degradation.</w:t>
                  </w:r>
                </w:p>
                <w:p w14:paraId="5A473118" w14:textId="77777777" w:rsidR="00D749ED" w:rsidRPr="00D749ED" w:rsidRDefault="00D749ED" w:rsidP="00D749ED">
                  <w:pPr>
                    <w:jc w:val="center"/>
                    <w:rPr>
                      <w:rFonts w:cs="Arial"/>
                      <w:sz w:val="16"/>
                      <w:szCs w:val="16"/>
                      <w:lang w:eastAsia="de-DE"/>
                    </w:rPr>
                  </w:pPr>
                  <w:r w:rsidRPr="00D749ED">
                    <w:rPr>
                      <w:sz w:val="16"/>
                      <w:szCs w:val="16"/>
                    </w:rPr>
                    <w:t>0.006% of weight packaging gain</w:t>
                  </w:r>
                </w:p>
              </w:tc>
            </w:tr>
            <w:tr w:rsidR="00D749ED" w:rsidRPr="00D749ED" w14:paraId="268C1078" w14:textId="77777777" w:rsidTr="000A3D3D">
              <w:trPr>
                <w:trHeight w:val="146"/>
              </w:trPr>
              <w:tc>
                <w:tcPr>
                  <w:tcW w:w="1950" w:type="dxa"/>
                </w:tcPr>
                <w:p w14:paraId="632B0AD3" w14:textId="77777777" w:rsidR="00D749ED" w:rsidRPr="00D749ED" w:rsidRDefault="00D749ED" w:rsidP="00D749ED">
                  <w:pPr>
                    <w:jc w:val="center"/>
                    <w:rPr>
                      <w:rFonts w:cs="Arial"/>
                      <w:b/>
                      <w:sz w:val="16"/>
                      <w:szCs w:val="16"/>
                      <w:lang w:eastAsia="de-DE"/>
                    </w:rPr>
                  </w:pPr>
                  <w:r w:rsidRPr="00D749ED">
                    <w:rPr>
                      <w:rFonts w:cs="Arial"/>
                      <w:b/>
                      <w:sz w:val="16"/>
                      <w:szCs w:val="16"/>
                      <w:lang w:eastAsia="de-DE"/>
                    </w:rPr>
                    <w:t>pH at 25°C</w:t>
                  </w:r>
                </w:p>
                <w:p w14:paraId="054B2330" w14:textId="77777777" w:rsidR="00D749ED" w:rsidRPr="00D749ED" w:rsidRDefault="00D749ED" w:rsidP="00D749ED">
                  <w:pPr>
                    <w:jc w:val="center"/>
                    <w:rPr>
                      <w:rFonts w:cs="Arial"/>
                      <w:sz w:val="16"/>
                      <w:szCs w:val="16"/>
                      <w:lang w:eastAsia="de-DE"/>
                    </w:rPr>
                  </w:pPr>
                  <w:r w:rsidRPr="00D749ED">
                    <w:rPr>
                      <w:rFonts w:cs="Arial"/>
                      <w:sz w:val="16"/>
                      <w:szCs w:val="16"/>
                      <w:lang w:eastAsia="de-DE"/>
                    </w:rPr>
                    <w:t>Neat</w:t>
                  </w:r>
                </w:p>
                <w:p w14:paraId="2E919672" w14:textId="77777777" w:rsidR="00D749ED" w:rsidRPr="00D749ED" w:rsidRDefault="00D749ED" w:rsidP="00D749ED">
                  <w:pPr>
                    <w:jc w:val="center"/>
                    <w:rPr>
                      <w:rFonts w:cs="Arial"/>
                      <w:sz w:val="16"/>
                      <w:szCs w:val="16"/>
                      <w:lang w:eastAsia="de-DE"/>
                    </w:rPr>
                  </w:pPr>
                  <w:r w:rsidRPr="00D749ED">
                    <w:rPr>
                      <w:rFonts w:cs="Arial"/>
                      <w:sz w:val="16"/>
                      <w:szCs w:val="16"/>
                      <w:lang w:eastAsia="de-DE"/>
                    </w:rPr>
                    <w:t>1% aqueous dilution</w:t>
                  </w:r>
                </w:p>
              </w:tc>
              <w:tc>
                <w:tcPr>
                  <w:tcW w:w="1950" w:type="dxa"/>
                  <w:vAlign w:val="center"/>
                </w:tcPr>
                <w:p w14:paraId="22455B1F" w14:textId="77777777" w:rsidR="00D749ED" w:rsidRPr="00D749ED" w:rsidRDefault="00D749ED" w:rsidP="00D749ED">
                  <w:pPr>
                    <w:jc w:val="center"/>
                    <w:rPr>
                      <w:rFonts w:cs="Arial"/>
                      <w:sz w:val="16"/>
                      <w:szCs w:val="16"/>
                      <w:lang w:eastAsia="de-DE"/>
                    </w:rPr>
                  </w:pPr>
                  <w:r w:rsidRPr="00D749ED">
                    <w:rPr>
                      <w:rFonts w:cs="Arial"/>
                      <w:sz w:val="16"/>
                      <w:szCs w:val="16"/>
                      <w:lang w:eastAsia="de-DE"/>
                    </w:rPr>
                    <w:t>4.02</w:t>
                  </w:r>
                </w:p>
                <w:p w14:paraId="59C58795" w14:textId="77777777" w:rsidR="00D749ED" w:rsidRPr="00D749ED" w:rsidRDefault="00D749ED" w:rsidP="00D749ED">
                  <w:pPr>
                    <w:jc w:val="center"/>
                    <w:rPr>
                      <w:rFonts w:cs="Arial"/>
                      <w:sz w:val="16"/>
                      <w:szCs w:val="16"/>
                      <w:lang w:eastAsia="de-DE"/>
                    </w:rPr>
                  </w:pPr>
                  <w:r w:rsidRPr="00D749ED">
                    <w:rPr>
                      <w:rFonts w:cs="Arial"/>
                      <w:sz w:val="16"/>
                      <w:szCs w:val="16"/>
                      <w:lang w:eastAsia="de-DE"/>
                    </w:rPr>
                    <w:t>4.32</w:t>
                  </w:r>
                </w:p>
              </w:tc>
              <w:tc>
                <w:tcPr>
                  <w:tcW w:w="1951" w:type="dxa"/>
                  <w:vAlign w:val="center"/>
                </w:tcPr>
                <w:p w14:paraId="09EF385F" w14:textId="77777777" w:rsidR="00D749ED" w:rsidRPr="00D749ED" w:rsidRDefault="00D749ED" w:rsidP="00D749ED">
                  <w:pPr>
                    <w:jc w:val="center"/>
                    <w:rPr>
                      <w:rFonts w:cs="Arial"/>
                      <w:sz w:val="16"/>
                      <w:szCs w:val="16"/>
                      <w:lang w:eastAsia="de-DE"/>
                    </w:rPr>
                  </w:pPr>
                  <w:r w:rsidRPr="00D749ED">
                    <w:rPr>
                      <w:rFonts w:cs="Arial"/>
                      <w:sz w:val="16"/>
                      <w:szCs w:val="16"/>
                      <w:lang w:eastAsia="de-DE"/>
                    </w:rPr>
                    <w:t>3.71</w:t>
                  </w:r>
                </w:p>
                <w:p w14:paraId="395254CD" w14:textId="77777777" w:rsidR="00D749ED" w:rsidRPr="00D749ED" w:rsidRDefault="00D749ED" w:rsidP="00D749ED">
                  <w:pPr>
                    <w:jc w:val="center"/>
                    <w:rPr>
                      <w:rFonts w:cs="Arial"/>
                      <w:sz w:val="16"/>
                      <w:szCs w:val="16"/>
                      <w:lang w:eastAsia="de-DE"/>
                    </w:rPr>
                  </w:pPr>
                  <w:r w:rsidRPr="00D749ED">
                    <w:rPr>
                      <w:rFonts w:cs="Arial"/>
                      <w:sz w:val="16"/>
                      <w:szCs w:val="16"/>
                      <w:lang w:eastAsia="de-DE"/>
                    </w:rPr>
                    <w:t>4.04</w:t>
                  </w:r>
                </w:p>
              </w:tc>
            </w:tr>
            <w:tr w:rsidR="00D749ED" w:rsidRPr="00D749ED" w14:paraId="62AB173A" w14:textId="77777777" w:rsidTr="000A3D3D">
              <w:trPr>
                <w:trHeight w:val="146"/>
              </w:trPr>
              <w:tc>
                <w:tcPr>
                  <w:tcW w:w="1950" w:type="dxa"/>
                </w:tcPr>
                <w:p w14:paraId="666096D2" w14:textId="77777777" w:rsidR="00D749ED" w:rsidRPr="00D749ED" w:rsidRDefault="00D749ED" w:rsidP="00D749ED">
                  <w:pPr>
                    <w:jc w:val="center"/>
                    <w:rPr>
                      <w:rFonts w:cs="Arial"/>
                      <w:sz w:val="16"/>
                      <w:szCs w:val="16"/>
                      <w:lang w:eastAsia="de-DE"/>
                    </w:rPr>
                  </w:pPr>
                  <w:r w:rsidRPr="00D749ED">
                    <w:rPr>
                      <w:rFonts w:cs="Arial"/>
                      <w:b/>
                      <w:sz w:val="16"/>
                      <w:szCs w:val="16"/>
                      <w:lang w:eastAsia="de-DE"/>
                    </w:rPr>
                    <w:t>Acidity/Alkalinity</w:t>
                  </w:r>
                  <w:r w:rsidRPr="00D749ED">
                    <w:rPr>
                      <w:rFonts w:cs="Arial"/>
                      <w:sz w:val="16"/>
                      <w:szCs w:val="16"/>
                      <w:lang w:eastAsia="de-DE"/>
                    </w:rPr>
                    <w:t xml:space="preserve"> (%H</w:t>
                  </w:r>
                  <w:r w:rsidRPr="00D749ED">
                    <w:rPr>
                      <w:rFonts w:cs="Arial"/>
                      <w:sz w:val="16"/>
                      <w:szCs w:val="16"/>
                      <w:vertAlign w:val="subscript"/>
                      <w:lang w:eastAsia="de-DE"/>
                    </w:rPr>
                    <w:t>2</w:t>
                  </w:r>
                  <w:r w:rsidRPr="00D749ED">
                    <w:rPr>
                      <w:rFonts w:cs="Arial"/>
                      <w:sz w:val="16"/>
                      <w:szCs w:val="16"/>
                      <w:lang w:eastAsia="de-DE"/>
                    </w:rPr>
                    <w:t>SO</w:t>
                  </w:r>
                  <w:r w:rsidRPr="00D749ED">
                    <w:rPr>
                      <w:rFonts w:cs="Arial"/>
                      <w:sz w:val="16"/>
                      <w:szCs w:val="16"/>
                      <w:vertAlign w:val="subscript"/>
                      <w:lang w:eastAsia="de-DE"/>
                    </w:rPr>
                    <w:t>4</w:t>
                  </w:r>
                  <w:r w:rsidRPr="00D749ED">
                    <w:rPr>
                      <w:rFonts w:cs="Arial"/>
                      <w:sz w:val="16"/>
                      <w:szCs w:val="16"/>
                      <w:lang w:eastAsia="de-DE"/>
                    </w:rPr>
                    <w:t>)</w:t>
                  </w:r>
                </w:p>
              </w:tc>
              <w:tc>
                <w:tcPr>
                  <w:tcW w:w="1950" w:type="dxa"/>
                  <w:vAlign w:val="center"/>
                </w:tcPr>
                <w:p w14:paraId="2286DE37" w14:textId="77777777" w:rsidR="00D749ED" w:rsidRPr="00D749ED" w:rsidRDefault="00D749ED" w:rsidP="00D749ED">
                  <w:pPr>
                    <w:jc w:val="center"/>
                    <w:rPr>
                      <w:rFonts w:cs="Arial"/>
                      <w:sz w:val="16"/>
                      <w:szCs w:val="16"/>
                      <w:lang w:eastAsia="de-DE"/>
                    </w:rPr>
                  </w:pPr>
                  <w:r w:rsidRPr="00D749ED">
                    <w:rPr>
                      <w:rFonts w:cs="Arial"/>
                      <w:sz w:val="16"/>
                      <w:szCs w:val="16"/>
                      <w:lang w:eastAsia="de-DE"/>
                    </w:rPr>
                    <w:t>-</w:t>
                  </w:r>
                </w:p>
              </w:tc>
              <w:tc>
                <w:tcPr>
                  <w:tcW w:w="1951" w:type="dxa"/>
                  <w:vAlign w:val="center"/>
                </w:tcPr>
                <w:p w14:paraId="2B07BB59" w14:textId="77777777" w:rsidR="00D749ED" w:rsidRPr="00D749ED" w:rsidRDefault="00D749ED" w:rsidP="00D749ED">
                  <w:pPr>
                    <w:jc w:val="center"/>
                    <w:rPr>
                      <w:rFonts w:cs="Arial"/>
                      <w:sz w:val="16"/>
                      <w:szCs w:val="16"/>
                      <w:lang w:eastAsia="de-DE"/>
                    </w:rPr>
                  </w:pPr>
                  <w:r w:rsidRPr="00D749ED">
                    <w:rPr>
                      <w:rFonts w:cs="Arial"/>
                      <w:sz w:val="16"/>
                      <w:szCs w:val="16"/>
                      <w:lang w:eastAsia="de-DE"/>
                    </w:rPr>
                    <w:t>0.127% w/w</w:t>
                  </w:r>
                </w:p>
              </w:tc>
            </w:tr>
            <w:tr w:rsidR="00D749ED" w:rsidRPr="00D749ED" w14:paraId="0934187B" w14:textId="77777777" w:rsidTr="000A3D3D">
              <w:trPr>
                <w:trHeight w:val="146"/>
              </w:trPr>
              <w:tc>
                <w:tcPr>
                  <w:tcW w:w="1950" w:type="dxa"/>
                </w:tcPr>
                <w:p w14:paraId="58A6FA5D" w14:textId="77777777" w:rsidR="00D749ED" w:rsidRPr="00D749ED" w:rsidRDefault="00D749ED" w:rsidP="00D749ED">
                  <w:pPr>
                    <w:jc w:val="center"/>
                    <w:rPr>
                      <w:rFonts w:cs="Arial"/>
                      <w:b/>
                      <w:sz w:val="16"/>
                      <w:szCs w:val="16"/>
                      <w:lang w:eastAsia="de-DE"/>
                    </w:rPr>
                  </w:pPr>
                  <w:r w:rsidRPr="00D749ED">
                    <w:rPr>
                      <w:rFonts w:cs="Arial"/>
                      <w:b/>
                      <w:sz w:val="16"/>
                      <w:szCs w:val="16"/>
                      <w:lang w:eastAsia="de-DE"/>
                    </w:rPr>
                    <w:t>Viscosity at 20°C (mPa.s)</w:t>
                  </w:r>
                </w:p>
                <w:p w14:paraId="18DFAA03" w14:textId="77777777" w:rsidR="00D749ED" w:rsidRPr="00D749ED" w:rsidRDefault="00D749ED" w:rsidP="00D749ED">
                  <w:pPr>
                    <w:jc w:val="center"/>
                    <w:rPr>
                      <w:rFonts w:cs="Arial"/>
                      <w:sz w:val="16"/>
                      <w:szCs w:val="16"/>
                      <w:lang w:eastAsia="de-DE"/>
                    </w:rPr>
                  </w:pPr>
                  <w:r w:rsidRPr="00D749ED">
                    <w:rPr>
                      <w:rFonts w:cs="Arial"/>
                      <w:sz w:val="16"/>
                      <w:szCs w:val="16"/>
                      <w:lang w:eastAsia="de-DE"/>
                    </w:rPr>
                    <w:t>Shear rate:</w:t>
                  </w:r>
                </w:p>
                <w:p w14:paraId="578A01F7" w14:textId="77777777" w:rsidR="00D749ED" w:rsidRPr="00D749ED" w:rsidRDefault="00D749ED" w:rsidP="00D749ED">
                  <w:pPr>
                    <w:jc w:val="center"/>
                    <w:rPr>
                      <w:rFonts w:cs="Arial"/>
                      <w:sz w:val="16"/>
                      <w:szCs w:val="16"/>
                      <w:lang w:eastAsia="de-DE"/>
                    </w:rPr>
                  </w:pPr>
                  <w:r w:rsidRPr="00D749ED">
                    <w:rPr>
                      <w:rFonts w:cs="Arial"/>
                      <w:sz w:val="16"/>
                      <w:szCs w:val="16"/>
                      <w:lang w:eastAsia="de-DE"/>
                    </w:rPr>
                    <w:t>0.102 s</w:t>
                  </w:r>
                  <w:r w:rsidRPr="00D749ED">
                    <w:rPr>
                      <w:rFonts w:cs="Arial"/>
                      <w:sz w:val="16"/>
                      <w:szCs w:val="16"/>
                      <w:vertAlign w:val="superscript"/>
                      <w:lang w:eastAsia="de-DE"/>
                    </w:rPr>
                    <w:t>-1</w:t>
                  </w:r>
                </w:p>
                <w:p w14:paraId="647A4881" w14:textId="77777777" w:rsidR="00D749ED" w:rsidRPr="00D749ED" w:rsidRDefault="00D749ED" w:rsidP="00D749ED">
                  <w:pPr>
                    <w:jc w:val="center"/>
                    <w:rPr>
                      <w:rFonts w:cs="Arial"/>
                      <w:sz w:val="16"/>
                      <w:szCs w:val="16"/>
                      <w:lang w:eastAsia="de-DE"/>
                    </w:rPr>
                  </w:pPr>
                  <w:r w:rsidRPr="00D749ED">
                    <w:rPr>
                      <w:rFonts w:cs="Arial"/>
                      <w:sz w:val="16"/>
                      <w:szCs w:val="16"/>
                      <w:lang w:eastAsia="de-DE"/>
                    </w:rPr>
                    <w:t>0.238 s</w:t>
                  </w:r>
                  <w:r w:rsidRPr="00D749ED">
                    <w:rPr>
                      <w:rFonts w:cs="Arial"/>
                      <w:sz w:val="16"/>
                      <w:szCs w:val="16"/>
                      <w:vertAlign w:val="superscript"/>
                      <w:lang w:eastAsia="de-DE"/>
                    </w:rPr>
                    <w:t>-1</w:t>
                  </w:r>
                </w:p>
                <w:p w14:paraId="423C6CA8" w14:textId="77777777" w:rsidR="00D749ED" w:rsidRPr="00D749ED" w:rsidRDefault="00D749ED" w:rsidP="00D749ED">
                  <w:pPr>
                    <w:jc w:val="center"/>
                    <w:rPr>
                      <w:rFonts w:cs="Arial"/>
                      <w:sz w:val="16"/>
                      <w:szCs w:val="16"/>
                      <w:lang w:eastAsia="de-DE"/>
                    </w:rPr>
                  </w:pPr>
                  <w:r w:rsidRPr="00D749ED">
                    <w:rPr>
                      <w:rFonts w:cs="Arial"/>
                      <w:sz w:val="16"/>
                      <w:szCs w:val="16"/>
                      <w:lang w:eastAsia="de-DE"/>
                    </w:rPr>
                    <w:t>0.510 s</w:t>
                  </w:r>
                  <w:r w:rsidRPr="00D749ED">
                    <w:rPr>
                      <w:rFonts w:cs="Arial"/>
                      <w:sz w:val="16"/>
                      <w:szCs w:val="16"/>
                      <w:vertAlign w:val="superscript"/>
                      <w:lang w:eastAsia="de-DE"/>
                    </w:rPr>
                    <w:t>-1</w:t>
                  </w:r>
                </w:p>
                <w:p w14:paraId="2321432C" w14:textId="77777777" w:rsidR="00D749ED" w:rsidRPr="00D749ED" w:rsidRDefault="00D749ED" w:rsidP="00D749ED">
                  <w:pPr>
                    <w:jc w:val="center"/>
                    <w:rPr>
                      <w:rFonts w:cs="Arial"/>
                      <w:sz w:val="16"/>
                      <w:szCs w:val="16"/>
                      <w:lang w:eastAsia="de-DE"/>
                    </w:rPr>
                  </w:pPr>
                  <w:r w:rsidRPr="00D749ED">
                    <w:rPr>
                      <w:rFonts w:cs="Arial"/>
                      <w:sz w:val="16"/>
                      <w:szCs w:val="16"/>
                      <w:lang w:eastAsia="de-DE"/>
                    </w:rPr>
                    <w:t>1.02 s</w:t>
                  </w:r>
                  <w:r w:rsidRPr="00D749ED">
                    <w:rPr>
                      <w:rFonts w:cs="Arial"/>
                      <w:sz w:val="16"/>
                      <w:szCs w:val="16"/>
                      <w:vertAlign w:val="superscript"/>
                      <w:lang w:eastAsia="de-DE"/>
                    </w:rPr>
                    <w:t>-1</w:t>
                  </w:r>
                </w:p>
                <w:p w14:paraId="4E1AB62A" w14:textId="77777777" w:rsidR="00D749ED" w:rsidRPr="00D749ED" w:rsidRDefault="00D749ED" w:rsidP="00D749ED">
                  <w:pPr>
                    <w:jc w:val="center"/>
                    <w:rPr>
                      <w:rFonts w:cs="Arial"/>
                      <w:sz w:val="16"/>
                      <w:szCs w:val="16"/>
                      <w:lang w:eastAsia="de-DE"/>
                    </w:rPr>
                  </w:pPr>
                  <w:r w:rsidRPr="00D749ED">
                    <w:rPr>
                      <w:rFonts w:cs="Arial"/>
                      <w:sz w:val="16"/>
                      <w:szCs w:val="16"/>
                      <w:lang w:eastAsia="de-DE"/>
                    </w:rPr>
                    <w:t>2.55 s</w:t>
                  </w:r>
                  <w:r w:rsidRPr="00D749ED">
                    <w:rPr>
                      <w:rFonts w:cs="Arial"/>
                      <w:sz w:val="16"/>
                      <w:szCs w:val="16"/>
                      <w:vertAlign w:val="superscript"/>
                      <w:lang w:eastAsia="de-DE"/>
                    </w:rPr>
                    <w:t>-1</w:t>
                  </w:r>
                </w:p>
              </w:tc>
              <w:tc>
                <w:tcPr>
                  <w:tcW w:w="1950" w:type="dxa"/>
                  <w:vAlign w:val="bottom"/>
                </w:tcPr>
                <w:p w14:paraId="71CB5886" w14:textId="77777777" w:rsidR="00D749ED" w:rsidRPr="00D749ED" w:rsidRDefault="00D749ED" w:rsidP="00D749ED">
                  <w:pPr>
                    <w:pStyle w:val="Default"/>
                    <w:jc w:val="center"/>
                    <w:rPr>
                      <w:rFonts w:ascii="Verdana" w:hAnsi="Verdana"/>
                      <w:sz w:val="16"/>
                      <w:szCs w:val="16"/>
                    </w:rPr>
                  </w:pPr>
                </w:p>
                <w:p w14:paraId="211002C5" w14:textId="77777777" w:rsidR="00D749ED" w:rsidRPr="00D749ED" w:rsidRDefault="00D749ED" w:rsidP="00D749ED">
                  <w:pPr>
                    <w:pStyle w:val="Default"/>
                    <w:jc w:val="center"/>
                    <w:rPr>
                      <w:rFonts w:ascii="Verdana" w:hAnsi="Verdana"/>
                      <w:sz w:val="16"/>
                      <w:szCs w:val="16"/>
                    </w:rPr>
                  </w:pPr>
                </w:p>
                <w:p w14:paraId="7E46FD3B" w14:textId="77777777" w:rsidR="00D749ED" w:rsidRPr="00D749ED" w:rsidRDefault="00D749ED" w:rsidP="00D749ED">
                  <w:pPr>
                    <w:pStyle w:val="Default"/>
                    <w:jc w:val="center"/>
                    <w:rPr>
                      <w:rFonts w:ascii="Verdana" w:hAnsi="Verdana"/>
                      <w:sz w:val="16"/>
                      <w:szCs w:val="16"/>
                    </w:rPr>
                  </w:pPr>
                </w:p>
                <w:p w14:paraId="046DAD15" w14:textId="77777777" w:rsidR="00D749ED" w:rsidRPr="00D749ED" w:rsidRDefault="00D749ED" w:rsidP="00D749ED">
                  <w:pPr>
                    <w:pStyle w:val="Default"/>
                    <w:jc w:val="center"/>
                    <w:rPr>
                      <w:rFonts w:ascii="Verdana" w:hAnsi="Verdana"/>
                      <w:sz w:val="16"/>
                      <w:szCs w:val="16"/>
                    </w:rPr>
                  </w:pPr>
                  <w:r w:rsidRPr="00D749ED">
                    <w:rPr>
                      <w:rFonts w:ascii="Verdana" w:hAnsi="Verdana"/>
                      <w:sz w:val="16"/>
                      <w:szCs w:val="16"/>
                    </w:rPr>
                    <w:t>3.18 x 10</w:t>
                  </w:r>
                  <w:r w:rsidRPr="00D749ED">
                    <w:rPr>
                      <w:rFonts w:ascii="Verdana" w:hAnsi="Verdana"/>
                      <w:sz w:val="16"/>
                      <w:szCs w:val="16"/>
                      <w:vertAlign w:val="superscript"/>
                    </w:rPr>
                    <w:t>4</w:t>
                  </w:r>
                </w:p>
                <w:p w14:paraId="7E95C0C9"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1.72 x 10</w:t>
                  </w:r>
                  <w:r w:rsidRPr="00D749ED">
                    <w:rPr>
                      <w:rFonts w:ascii="Verdana" w:hAnsi="Verdana"/>
                      <w:sz w:val="16"/>
                      <w:szCs w:val="16"/>
                      <w:vertAlign w:val="superscript"/>
                      <w:lang w:val="en-US"/>
                    </w:rPr>
                    <w:t>4</w:t>
                  </w:r>
                </w:p>
                <w:p w14:paraId="5211EE22"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9.96 x 10</w:t>
                  </w:r>
                  <w:r w:rsidRPr="00D749ED">
                    <w:rPr>
                      <w:rFonts w:ascii="Verdana" w:hAnsi="Verdana"/>
                      <w:sz w:val="16"/>
                      <w:szCs w:val="16"/>
                      <w:vertAlign w:val="superscript"/>
                      <w:lang w:val="en-US"/>
                    </w:rPr>
                    <w:t>3</w:t>
                  </w:r>
                </w:p>
                <w:p w14:paraId="14E965CC"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6.10 x 10</w:t>
                  </w:r>
                  <w:r w:rsidRPr="00D749ED">
                    <w:rPr>
                      <w:rFonts w:ascii="Verdana" w:hAnsi="Verdana"/>
                      <w:sz w:val="16"/>
                      <w:szCs w:val="16"/>
                      <w:vertAlign w:val="superscript"/>
                      <w:lang w:val="en-US"/>
                    </w:rPr>
                    <w:t>3</w:t>
                  </w:r>
                </w:p>
                <w:p w14:paraId="58F2F59C"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3.29 x 10</w:t>
                  </w:r>
                  <w:r w:rsidRPr="00D749ED">
                    <w:rPr>
                      <w:rFonts w:ascii="Verdana" w:hAnsi="Verdana"/>
                      <w:sz w:val="16"/>
                      <w:szCs w:val="16"/>
                      <w:vertAlign w:val="superscript"/>
                      <w:lang w:val="en-US"/>
                    </w:rPr>
                    <w:t>3</w:t>
                  </w:r>
                </w:p>
              </w:tc>
              <w:tc>
                <w:tcPr>
                  <w:tcW w:w="1951" w:type="dxa"/>
                  <w:vAlign w:val="bottom"/>
                </w:tcPr>
                <w:p w14:paraId="7BC54BD8" w14:textId="77777777" w:rsidR="00D749ED" w:rsidRPr="00D749ED" w:rsidRDefault="00D749ED" w:rsidP="00D749ED">
                  <w:pPr>
                    <w:pStyle w:val="Default"/>
                    <w:jc w:val="center"/>
                    <w:rPr>
                      <w:rFonts w:ascii="Verdana" w:hAnsi="Verdana"/>
                      <w:sz w:val="16"/>
                      <w:szCs w:val="16"/>
                      <w:lang w:val="en-US"/>
                    </w:rPr>
                  </w:pPr>
                </w:p>
                <w:p w14:paraId="5AFB8611" w14:textId="77777777" w:rsidR="00D749ED" w:rsidRPr="00D749ED" w:rsidRDefault="00D749ED" w:rsidP="00D749ED">
                  <w:pPr>
                    <w:pStyle w:val="Default"/>
                    <w:jc w:val="center"/>
                    <w:rPr>
                      <w:rFonts w:ascii="Verdana" w:hAnsi="Verdana"/>
                      <w:sz w:val="16"/>
                      <w:szCs w:val="16"/>
                      <w:lang w:val="en-US"/>
                    </w:rPr>
                  </w:pPr>
                </w:p>
                <w:p w14:paraId="7E5329E4" w14:textId="77777777" w:rsidR="00D749ED" w:rsidRPr="00D749ED" w:rsidRDefault="00D749ED" w:rsidP="00D749ED">
                  <w:pPr>
                    <w:pStyle w:val="Default"/>
                    <w:jc w:val="center"/>
                    <w:rPr>
                      <w:rFonts w:ascii="Verdana" w:hAnsi="Verdana"/>
                      <w:sz w:val="16"/>
                      <w:szCs w:val="16"/>
                      <w:lang w:val="en-US"/>
                    </w:rPr>
                  </w:pPr>
                </w:p>
                <w:p w14:paraId="577B095C"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3.69 x 10</w:t>
                  </w:r>
                  <w:r w:rsidRPr="00D749ED">
                    <w:rPr>
                      <w:rFonts w:ascii="Verdana" w:hAnsi="Verdana"/>
                      <w:sz w:val="16"/>
                      <w:szCs w:val="16"/>
                      <w:vertAlign w:val="superscript"/>
                      <w:lang w:val="en-US"/>
                    </w:rPr>
                    <w:t>4</w:t>
                  </w:r>
                </w:p>
                <w:p w14:paraId="2623003D"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1.97 x 10</w:t>
                  </w:r>
                  <w:r w:rsidRPr="00D749ED">
                    <w:rPr>
                      <w:rFonts w:ascii="Verdana" w:hAnsi="Verdana"/>
                      <w:sz w:val="16"/>
                      <w:szCs w:val="16"/>
                      <w:vertAlign w:val="superscript"/>
                      <w:lang w:val="en-US"/>
                    </w:rPr>
                    <w:t>4</w:t>
                  </w:r>
                </w:p>
                <w:p w14:paraId="27CCFAA1"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1.09 x 10</w:t>
                  </w:r>
                  <w:r w:rsidRPr="00D749ED">
                    <w:rPr>
                      <w:rFonts w:ascii="Verdana" w:hAnsi="Verdana"/>
                      <w:sz w:val="16"/>
                      <w:szCs w:val="16"/>
                      <w:vertAlign w:val="superscript"/>
                      <w:lang w:val="en-US"/>
                    </w:rPr>
                    <w:t>4</w:t>
                  </w:r>
                </w:p>
                <w:p w14:paraId="7DB7BD7D"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6.36 x 10</w:t>
                  </w:r>
                  <w:r w:rsidRPr="00D749ED">
                    <w:rPr>
                      <w:rFonts w:ascii="Verdana" w:hAnsi="Verdana"/>
                      <w:sz w:val="16"/>
                      <w:szCs w:val="16"/>
                      <w:vertAlign w:val="superscript"/>
                      <w:lang w:val="en-US"/>
                    </w:rPr>
                    <w:t>3</w:t>
                  </w:r>
                </w:p>
                <w:p w14:paraId="0CED5DCC" w14:textId="77777777" w:rsidR="00D749ED" w:rsidRPr="00D749ED" w:rsidRDefault="00D749ED" w:rsidP="00D749ED">
                  <w:pPr>
                    <w:jc w:val="center"/>
                    <w:rPr>
                      <w:rFonts w:cs="Arial"/>
                      <w:sz w:val="16"/>
                      <w:szCs w:val="16"/>
                      <w:lang w:eastAsia="de-DE"/>
                    </w:rPr>
                  </w:pPr>
                  <w:r w:rsidRPr="00D749ED">
                    <w:rPr>
                      <w:sz w:val="16"/>
                      <w:szCs w:val="16"/>
                      <w:lang w:val="en-US"/>
                    </w:rPr>
                    <w:t>3.13 x 10</w:t>
                  </w:r>
                  <w:r w:rsidRPr="00D749ED">
                    <w:rPr>
                      <w:sz w:val="16"/>
                      <w:szCs w:val="16"/>
                      <w:vertAlign w:val="superscript"/>
                      <w:lang w:val="en-US"/>
                    </w:rPr>
                    <w:t>3</w:t>
                  </w:r>
                </w:p>
              </w:tc>
            </w:tr>
            <w:tr w:rsidR="00D749ED" w:rsidRPr="00D749ED" w14:paraId="51C86974" w14:textId="77777777" w:rsidTr="000A3D3D">
              <w:trPr>
                <w:trHeight w:val="146"/>
              </w:trPr>
              <w:tc>
                <w:tcPr>
                  <w:tcW w:w="1950" w:type="dxa"/>
                </w:tcPr>
                <w:p w14:paraId="2E9BD118" w14:textId="77777777" w:rsidR="00D749ED" w:rsidRPr="00D749ED" w:rsidRDefault="00D749ED" w:rsidP="00D749ED">
                  <w:pPr>
                    <w:jc w:val="center"/>
                    <w:rPr>
                      <w:rFonts w:cs="Arial"/>
                      <w:b/>
                      <w:sz w:val="16"/>
                      <w:szCs w:val="16"/>
                      <w:lang w:eastAsia="de-DE"/>
                    </w:rPr>
                  </w:pPr>
                  <w:r w:rsidRPr="00D749ED">
                    <w:rPr>
                      <w:rFonts w:cs="Arial"/>
                      <w:b/>
                      <w:sz w:val="16"/>
                      <w:szCs w:val="16"/>
                      <w:lang w:eastAsia="de-DE"/>
                    </w:rPr>
                    <w:t>Viscosity at 40°C (mPa.s)</w:t>
                  </w:r>
                </w:p>
                <w:p w14:paraId="2AB15837" w14:textId="77777777" w:rsidR="00D749ED" w:rsidRPr="00D749ED" w:rsidRDefault="00D749ED" w:rsidP="00D749ED">
                  <w:pPr>
                    <w:jc w:val="center"/>
                    <w:rPr>
                      <w:rFonts w:cs="Arial"/>
                      <w:sz w:val="16"/>
                      <w:szCs w:val="16"/>
                      <w:lang w:eastAsia="de-DE"/>
                    </w:rPr>
                  </w:pPr>
                  <w:r w:rsidRPr="00D749ED">
                    <w:rPr>
                      <w:rFonts w:cs="Arial"/>
                      <w:sz w:val="16"/>
                      <w:szCs w:val="16"/>
                      <w:lang w:eastAsia="de-DE"/>
                    </w:rPr>
                    <w:t>Shear rate:</w:t>
                  </w:r>
                </w:p>
                <w:p w14:paraId="70920F4B" w14:textId="77777777" w:rsidR="00D749ED" w:rsidRPr="00D749ED" w:rsidRDefault="00D749ED" w:rsidP="00D749ED">
                  <w:pPr>
                    <w:jc w:val="center"/>
                    <w:rPr>
                      <w:rFonts w:cs="Arial"/>
                      <w:sz w:val="16"/>
                      <w:szCs w:val="16"/>
                      <w:lang w:eastAsia="de-DE"/>
                    </w:rPr>
                  </w:pPr>
                  <w:r w:rsidRPr="00D749ED">
                    <w:rPr>
                      <w:rFonts w:cs="Arial"/>
                      <w:sz w:val="16"/>
                      <w:szCs w:val="16"/>
                      <w:lang w:eastAsia="de-DE"/>
                    </w:rPr>
                    <w:t>2.55 s</w:t>
                  </w:r>
                  <w:r w:rsidRPr="00D749ED">
                    <w:rPr>
                      <w:rFonts w:cs="Arial"/>
                      <w:sz w:val="16"/>
                      <w:szCs w:val="16"/>
                      <w:vertAlign w:val="superscript"/>
                      <w:lang w:eastAsia="de-DE"/>
                    </w:rPr>
                    <w:t>-1</w:t>
                  </w:r>
                </w:p>
                <w:p w14:paraId="2E619DDE" w14:textId="77777777" w:rsidR="00D749ED" w:rsidRPr="00D749ED" w:rsidRDefault="00D749ED" w:rsidP="00D749ED">
                  <w:pPr>
                    <w:jc w:val="center"/>
                    <w:rPr>
                      <w:rFonts w:cs="Arial"/>
                      <w:sz w:val="16"/>
                      <w:szCs w:val="16"/>
                      <w:lang w:eastAsia="de-DE"/>
                    </w:rPr>
                  </w:pPr>
                  <w:r w:rsidRPr="00D749ED">
                    <w:rPr>
                      <w:rFonts w:cs="Arial"/>
                      <w:sz w:val="16"/>
                      <w:szCs w:val="16"/>
                      <w:lang w:eastAsia="de-DE"/>
                    </w:rPr>
                    <w:t>5.10 s</w:t>
                  </w:r>
                  <w:r w:rsidRPr="00D749ED">
                    <w:rPr>
                      <w:rFonts w:cs="Arial"/>
                      <w:sz w:val="16"/>
                      <w:szCs w:val="16"/>
                      <w:vertAlign w:val="superscript"/>
                      <w:lang w:eastAsia="de-DE"/>
                    </w:rPr>
                    <w:t>-1</w:t>
                  </w:r>
                </w:p>
                <w:p w14:paraId="71F21D98" w14:textId="77777777" w:rsidR="00D749ED" w:rsidRPr="00D749ED" w:rsidRDefault="00D749ED" w:rsidP="00D749ED">
                  <w:pPr>
                    <w:jc w:val="center"/>
                    <w:rPr>
                      <w:rFonts w:cs="Arial"/>
                      <w:sz w:val="16"/>
                      <w:szCs w:val="16"/>
                      <w:lang w:eastAsia="de-DE"/>
                    </w:rPr>
                  </w:pPr>
                  <w:r w:rsidRPr="00D749ED">
                    <w:rPr>
                      <w:rFonts w:cs="Arial"/>
                      <w:sz w:val="16"/>
                      <w:szCs w:val="16"/>
                      <w:lang w:eastAsia="de-DE"/>
                    </w:rPr>
                    <w:t>10.2 s</w:t>
                  </w:r>
                  <w:r w:rsidRPr="00D749ED">
                    <w:rPr>
                      <w:rFonts w:cs="Arial"/>
                      <w:sz w:val="16"/>
                      <w:szCs w:val="16"/>
                      <w:vertAlign w:val="superscript"/>
                      <w:lang w:eastAsia="de-DE"/>
                    </w:rPr>
                    <w:t>-1</w:t>
                  </w:r>
                </w:p>
                <w:p w14:paraId="70664927" w14:textId="77777777" w:rsidR="00D749ED" w:rsidRPr="00D749ED" w:rsidRDefault="00D749ED" w:rsidP="00D749ED">
                  <w:pPr>
                    <w:jc w:val="center"/>
                    <w:rPr>
                      <w:rFonts w:cs="Arial"/>
                      <w:sz w:val="16"/>
                      <w:szCs w:val="16"/>
                      <w:lang w:eastAsia="de-DE"/>
                    </w:rPr>
                  </w:pPr>
                  <w:r w:rsidRPr="00D749ED">
                    <w:rPr>
                      <w:rFonts w:cs="Arial"/>
                      <w:sz w:val="16"/>
                      <w:szCs w:val="16"/>
                      <w:lang w:eastAsia="de-DE"/>
                    </w:rPr>
                    <w:t>25.5 s</w:t>
                  </w:r>
                  <w:r w:rsidRPr="00D749ED">
                    <w:rPr>
                      <w:rFonts w:cs="Arial"/>
                      <w:sz w:val="16"/>
                      <w:szCs w:val="16"/>
                      <w:vertAlign w:val="superscript"/>
                      <w:lang w:eastAsia="de-DE"/>
                    </w:rPr>
                    <w:t>-1</w:t>
                  </w:r>
                </w:p>
                <w:p w14:paraId="1F113D9A" w14:textId="77777777" w:rsidR="00D749ED" w:rsidRPr="00D749ED" w:rsidRDefault="00D749ED" w:rsidP="00D749ED">
                  <w:pPr>
                    <w:jc w:val="center"/>
                    <w:rPr>
                      <w:rFonts w:cs="Arial"/>
                      <w:sz w:val="16"/>
                      <w:szCs w:val="16"/>
                      <w:lang w:eastAsia="de-DE"/>
                    </w:rPr>
                  </w:pPr>
                  <w:r w:rsidRPr="00D749ED">
                    <w:rPr>
                      <w:rFonts w:cs="Arial"/>
                      <w:sz w:val="16"/>
                      <w:szCs w:val="16"/>
                      <w:lang w:eastAsia="de-DE"/>
                    </w:rPr>
                    <w:t>51.0 s</w:t>
                  </w:r>
                  <w:r w:rsidRPr="00D749ED">
                    <w:rPr>
                      <w:rFonts w:cs="Arial"/>
                      <w:sz w:val="16"/>
                      <w:szCs w:val="16"/>
                      <w:vertAlign w:val="superscript"/>
                      <w:lang w:eastAsia="de-DE"/>
                    </w:rPr>
                    <w:t>-1</w:t>
                  </w:r>
                </w:p>
              </w:tc>
              <w:tc>
                <w:tcPr>
                  <w:tcW w:w="1950" w:type="dxa"/>
                  <w:vAlign w:val="bottom"/>
                </w:tcPr>
                <w:p w14:paraId="73750E17"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379</w:t>
                  </w:r>
                </w:p>
                <w:p w14:paraId="6CAA7DB1"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288</w:t>
                  </w:r>
                </w:p>
                <w:p w14:paraId="63A4DA85"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238</w:t>
                  </w:r>
                </w:p>
                <w:p w14:paraId="46601DD2"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197</w:t>
                  </w:r>
                </w:p>
                <w:p w14:paraId="7064E4A4" w14:textId="77777777" w:rsidR="00D749ED" w:rsidRPr="00D749ED" w:rsidRDefault="00D749ED" w:rsidP="00D749ED">
                  <w:pPr>
                    <w:pStyle w:val="Default"/>
                    <w:jc w:val="center"/>
                    <w:rPr>
                      <w:rFonts w:ascii="Verdana" w:hAnsi="Verdana"/>
                      <w:sz w:val="16"/>
                      <w:szCs w:val="16"/>
                      <w:lang w:val="en-US"/>
                    </w:rPr>
                  </w:pPr>
                  <w:r w:rsidRPr="00D749ED">
                    <w:rPr>
                      <w:rFonts w:ascii="Verdana" w:hAnsi="Verdana"/>
                      <w:sz w:val="16"/>
                      <w:szCs w:val="16"/>
                      <w:lang w:val="en-US"/>
                    </w:rPr>
                    <w:t>182</w:t>
                  </w:r>
                </w:p>
              </w:tc>
              <w:tc>
                <w:tcPr>
                  <w:tcW w:w="1951" w:type="dxa"/>
                  <w:vAlign w:val="bottom"/>
                </w:tcPr>
                <w:p w14:paraId="69A4623C" w14:textId="77777777" w:rsidR="00D749ED" w:rsidRPr="00D749ED" w:rsidRDefault="00D749ED" w:rsidP="00D749ED">
                  <w:pPr>
                    <w:jc w:val="center"/>
                    <w:rPr>
                      <w:rFonts w:cs="Arial"/>
                      <w:sz w:val="16"/>
                      <w:szCs w:val="16"/>
                      <w:lang w:eastAsia="de-DE"/>
                    </w:rPr>
                  </w:pPr>
                  <w:r w:rsidRPr="00D749ED">
                    <w:rPr>
                      <w:rFonts w:cs="Arial"/>
                      <w:sz w:val="16"/>
                      <w:szCs w:val="16"/>
                      <w:lang w:eastAsia="de-DE"/>
                    </w:rPr>
                    <w:t>444</w:t>
                  </w:r>
                </w:p>
                <w:p w14:paraId="62597EF9" w14:textId="77777777" w:rsidR="00D749ED" w:rsidRPr="00D749ED" w:rsidRDefault="00D749ED" w:rsidP="00D749ED">
                  <w:pPr>
                    <w:jc w:val="center"/>
                    <w:rPr>
                      <w:rFonts w:cs="Arial"/>
                      <w:sz w:val="16"/>
                      <w:szCs w:val="16"/>
                      <w:lang w:eastAsia="de-DE"/>
                    </w:rPr>
                  </w:pPr>
                  <w:r w:rsidRPr="00D749ED">
                    <w:rPr>
                      <w:rFonts w:cs="Arial"/>
                      <w:sz w:val="16"/>
                      <w:szCs w:val="16"/>
                      <w:lang w:eastAsia="de-DE"/>
                    </w:rPr>
                    <w:t>315</w:t>
                  </w:r>
                </w:p>
                <w:p w14:paraId="1E68F4DE" w14:textId="77777777" w:rsidR="00D749ED" w:rsidRPr="00D749ED" w:rsidRDefault="00D749ED" w:rsidP="00D749ED">
                  <w:pPr>
                    <w:jc w:val="center"/>
                    <w:rPr>
                      <w:rFonts w:cs="Arial"/>
                      <w:sz w:val="16"/>
                      <w:szCs w:val="16"/>
                      <w:lang w:eastAsia="de-DE"/>
                    </w:rPr>
                  </w:pPr>
                  <w:r w:rsidRPr="00D749ED">
                    <w:rPr>
                      <w:rFonts w:cs="Arial"/>
                      <w:sz w:val="16"/>
                      <w:szCs w:val="16"/>
                      <w:lang w:eastAsia="de-DE"/>
                    </w:rPr>
                    <w:t>244</w:t>
                  </w:r>
                </w:p>
                <w:p w14:paraId="3B86BD65" w14:textId="77777777" w:rsidR="00D749ED" w:rsidRPr="00D749ED" w:rsidRDefault="00D749ED" w:rsidP="00D749ED">
                  <w:pPr>
                    <w:jc w:val="center"/>
                    <w:rPr>
                      <w:rFonts w:cs="Arial"/>
                      <w:sz w:val="16"/>
                      <w:szCs w:val="16"/>
                      <w:lang w:eastAsia="de-DE"/>
                    </w:rPr>
                  </w:pPr>
                  <w:r w:rsidRPr="00D749ED">
                    <w:rPr>
                      <w:rFonts w:cs="Arial"/>
                      <w:sz w:val="16"/>
                      <w:szCs w:val="16"/>
                      <w:lang w:eastAsia="de-DE"/>
                    </w:rPr>
                    <w:t>199</w:t>
                  </w:r>
                </w:p>
                <w:p w14:paraId="3B1C8FE0" w14:textId="77777777" w:rsidR="00D749ED" w:rsidRPr="00D749ED" w:rsidRDefault="00D749ED" w:rsidP="00D749ED">
                  <w:pPr>
                    <w:jc w:val="center"/>
                    <w:rPr>
                      <w:rFonts w:cs="Arial"/>
                      <w:sz w:val="16"/>
                      <w:szCs w:val="16"/>
                      <w:lang w:eastAsia="de-DE"/>
                    </w:rPr>
                  </w:pPr>
                  <w:r w:rsidRPr="00D749ED">
                    <w:rPr>
                      <w:rFonts w:cs="Arial"/>
                      <w:sz w:val="16"/>
                      <w:szCs w:val="16"/>
                      <w:lang w:eastAsia="de-DE"/>
                    </w:rPr>
                    <w:t>182</w:t>
                  </w:r>
                </w:p>
              </w:tc>
            </w:tr>
            <w:tr w:rsidR="00D749ED" w:rsidRPr="00D749ED" w14:paraId="6F6F8C19" w14:textId="77777777" w:rsidTr="000A3D3D">
              <w:trPr>
                <w:trHeight w:val="146"/>
              </w:trPr>
              <w:tc>
                <w:tcPr>
                  <w:tcW w:w="1950" w:type="dxa"/>
                </w:tcPr>
                <w:p w14:paraId="10826242" w14:textId="77777777" w:rsidR="00D749ED" w:rsidRPr="00D749ED" w:rsidRDefault="00D749ED" w:rsidP="00D749ED">
                  <w:pPr>
                    <w:jc w:val="center"/>
                    <w:rPr>
                      <w:rFonts w:cs="Arial"/>
                      <w:b/>
                      <w:sz w:val="16"/>
                      <w:szCs w:val="16"/>
                      <w:lang w:eastAsia="de-DE"/>
                    </w:rPr>
                  </w:pPr>
                  <w:r w:rsidRPr="00D749ED">
                    <w:rPr>
                      <w:rFonts w:cs="Arial"/>
                      <w:b/>
                      <w:sz w:val="16"/>
                      <w:szCs w:val="16"/>
                      <w:lang w:eastAsia="de-DE"/>
                    </w:rPr>
                    <w:t>Surface tension (1g/L)</w:t>
                  </w:r>
                </w:p>
              </w:tc>
              <w:tc>
                <w:tcPr>
                  <w:tcW w:w="1950" w:type="dxa"/>
                  <w:vAlign w:val="center"/>
                </w:tcPr>
                <w:p w14:paraId="75002CA7" w14:textId="77777777" w:rsidR="00D749ED" w:rsidRPr="00D749ED" w:rsidRDefault="00D749ED" w:rsidP="00D749ED">
                  <w:pPr>
                    <w:jc w:val="center"/>
                    <w:rPr>
                      <w:rFonts w:cs="Arial"/>
                      <w:sz w:val="16"/>
                      <w:szCs w:val="16"/>
                      <w:lang w:eastAsia="de-DE"/>
                    </w:rPr>
                  </w:pPr>
                  <w:r w:rsidRPr="00D749ED">
                    <w:rPr>
                      <w:rFonts w:cs="Arial"/>
                      <w:sz w:val="16"/>
                      <w:szCs w:val="16"/>
                      <w:lang w:eastAsia="de-DE"/>
                    </w:rPr>
                    <w:t>63.7 to 64.0 mN/m</w:t>
                  </w:r>
                </w:p>
              </w:tc>
              <w:tc>
                <w:tcPr>
                  <w:tcW w:w="1951" w:type="dxa"/>
                  <w:vAlign w:val="center"/>
                </w:tcPr>
                <w:p w14:paraId="22BE0917" w14:textId="77777777" w:rsidR="00D749ED" w:rsidRPr="00D749ED" w:rsidRDefault="00D749ED" w:rsidP="00D749ED">
                  <w:pPr>
                    <w:jc w:val="center"/>
                    <w:rPr>
                      <w:rFonts w:cs="Arial"/>
                      <w:sz w:val="16"/>
                      <w:szCs w:val="16"/>
                      <w:lang w:eastAsia="de-DE"/>
                    </w:rPr>
                  </w:pPr>
                  <w:r w:rsidRPr="00D749ED">
                    <w:rPr>
                      <w:rFonts w:cs="Arial"/>
                      <w:sz w:val="16"/>
                      <w:szCs w:val="16"/>
                      <w:lang w:eastAsia="de-DE"/>
                    </w:rPr>
                    <w:t>64.1 to 64.2 mN/m</w:t>
                  </w:r>
                </w:p>
              </w:tc>
            </w:tr>
          </w:tbl>
          <w:p w14:paraId="255E85A2" w14:textId="77777777" w:rsidR="00D749ED" w:rsidRPr="00D749ED" w:rsidRDefault="00D749ED" w:rsidP="00D749ED">
            <w:pPr>
              <w:jc w:val="center"/>
              <w:rPr>
                <w:rFonts w:cs="Arial"/>
                <w:sz w:val="18"/>
                <w:szCs w:val="18"/>
                <w:lang w:eastAsia="de-DE"/>
              </w:rPr>
            </w:pPr>
          </w:p>
        </w:tc>
        <w:tc>
          <w:tcPr>
            <w:tcW w:w="567" w:type="dxa"/>
            <w:vAlign w:val="center"/>
          </w:tcPr>
          <w:p w14:paraId="363956B8" w14:textId="77777777" w:rsidR="00D749ED" w:rsidRPr="00D749ED" w:rsidRDefault="00D749ED" w:rsidP="00D749ED">
            <w:pPr>
              <w:jc w:val="center"/>
              <w:rPr>
                <w:rFonts w:cs="Arial"/>
                <w:sz w:val="18"/>
                <w:szCs w:val="18"/>
                <w:lang w:eastAsia="de-DE"/>
              </w:rPr>
            </w:pPr>
            <w:r w:rsidRPr="00D749ED">
              <w:rPr>
                <w:rFonts w:cs="Arial"/>
                <w:sz w:val="18"/>
                <w:szCs w:val="18"/>
                <w:lang w:eastAsia="de-DE"/>
              </w:rPr>
              <w:t>Y</w:t>
            </w:r>
          </w:p>
        </w:tc>
        <w:tc>
          <w:tcPr>
            <w:tcW w:w="1276" w:type="dxa"/>
            <w:vAlign w:val="center"/>
          </w:tcPr>
          <w:p w14:paraId="50C09387" w14:textId="77777777" w:rsidR="00D749ED" w:rsidRPr="00D749ED" w:rsidRDefault="00D749ED" w:rsidP="00D749ED">
            <w:pPr>
              <w:jc w:val="both"/>
              <w:rPr>
                <w:rFonts w:cs="Arial"/>
                <w:sz w:val="18"/>
                <w:szCs w:val="18"/>
                <w:lang w:eastAsia="de-DE"/>
              </w:rPr>
            </w:pPr>
            <w:r w:rsidRPr="0072604A">
              <w:rPr>
                <w:rFonts w:cs="Arial"/>
                <w:sz w:val="18"/>
                <w:szCs w:val="18"/>
                <w:highlight w:val="yellow"/>
                <w:lang w:eastAsia="de-DE"/>
              </w:rPr>
              <w:t>A.J. Wooley</w:t>
            </w:r>
            <w:r w:rsidRPr="00D749ED">
              <w:rPr>
                <w:rFonts w:cs="Arial"/>
                <w:sz w:val="18"/>
                <w:szCs w:val="18"/>
                <w:lang w:eastAsia="de-DE"/>
              </w:rPr>
              <w:t>, 2015</w:t>
            </w:r>
          </w:p>
          <w:p w14:paraId="06E89536" w14:textId="77777777" w:rsidR="00D749ED" w:rsidRPr="00D749ED" w:rsidRDefault="00D749ED" w:rsidP="00D749ED">
            <w:pPr>
              <w:jc w:val="both"/>
              <w:rPr>
                <w:rFonts w:cs="Arial"/>
                <w:sz w:val="18"/>
                <w:szCs w:val="18"/>
                <w:lang w:eastAsia="de-DE"/>
              </w:rPr>
            </w:pPr>
            <w:r w:rsidRPr="00D749ED">
              <w:rPr>
                <w:rFonts w:cs="Arial"/>
                <w:sz w:val="18"/>
                <w:szCs w:val="18"/>
                <w:lang w:eastAsia="de-DE"/>
              </w:rPr>
              <w:t>Report N°41500716</w:t>
            </w:r>
          </w:p>
        </w:tc>
        <w:tc>
          <w:tcPr>
            <w:tcW w:w="2198" w:type="dxa"/>
            <w:vAlign w:val="center"/>
          </w:tcPr>
          <w:p w14:paraId="23B0F310" w14:textId="77777777" w:rsidR="00FC2BF0" w:rsidRPr="000A3D3D" w:rsidRDefault="00FC2BF0" w:rsidP="00D749ED">
            <w:pPr>
              <w:jc w:val="both"/>
              <w:rPr>
                <w:rFonts w:cs="Arial"/>
                <w:sz w:val="18"/>
                <w:szCs w:val="18"/>
                <w:lang w:eastAsia="de-DE"/>
              </w:rPr>
            </w:pPr>
            <w:r w:rsidRPr="000A3D3D">
              <w:rPr>
                <w:rFonts w:cs="Arial"/>
                <w:sz w:val="18"/>
                <w:szCs w:val="18"/>
                <w:lang w:eastAsia="de-DE"/>
              </w:rPr>
              <w:t>The stability of Iodiguard was not demonstrated after 8 weeks at 40°C.</w:t>
            </w:r>
          </w:p>
          <w:p w14:paraId="56697A5D" w14:textId="77777777" w:rsidR="00FC2BF0" w:rsidRPr="000A3D3D" w:rsidRDefault="00FC2BF0" w:rsidP="00D749ED">
            <w:pPr>
              <w:jc w:val="both"/>
              <w:rPr>
                <w:rFonts w:cs="Arial"/>
                <w:sz w:val="18"/>
                <w:szCs w:val="18"/>
                <w:lang w:eastAsia="de-DE"/>
              </w:rPr>
            </w:pPr>
          </w:p>
          <w:p w14:paraId="27881B8D" w14:textId="77777777" w:rsidR="00FC2BF0" w:rsidRPr="000A3D3D" w:rsidRDefault="00FC2BF0" w:rsidP="00D749ED">
            <w:pPr>
              <w:jc w:val="both"/>
              <w:rPr>
                <w:rFonts w:cs="Arial"/>
                <w:sz w:val="18"/>
                <w:szCs w:val="18"/>
                <w:lang w:eastAsia="de-DE"/>
              </w:rPr>
            </w:pPr>
            <w:r w:rsidRPr="000A3D3D">
              <w:rPr>
                <w:rFonts w:cs="Arial"/>
                <w:sz w:val="18"/>
                <w:szCs w:val="18"/>
                <w:lang w:eastAsia="de-DE"/>
              </w:rPr>
              <w:t>However, a mitigation measure is proposed by applicant: do not store above 25°C.</w:t>
            </w:r>
          </w:p>
          <w:p w14:paraId="2B95BAEE" w14:textId="77777777" w:rsidR="00FC2BF0" w:rsidRDefault="00FC2BF0" w:rsidP="00D749ED">
            <w:pPr>
              <w:jc w:val="both"/>
              <w:rPr>
                <w:rFonts w:cs="Arial"/>
                <w:sz w:val="18"/>
                <w:szCs w:val="18"/>
                <w:lang w:eastAsia="de-DE"/>
              </w:rPr>
            </w:pPr>
          </w:p>
          <w:p w14:paraId="2A30F39C" w14:textId="77777777" w:rsidR="00FC2BF0" w:rsidRPr="000A3D3D" w:rsidRDefault="00FC2BF0" w:rsidP="00D749ED">
            <w:pPr>
              <w:jc w:val="both"/>
              <w:rPr>
                <w:rFonts w:cs="Arial"/>
                <w:sz w:val="18"/>
                <w:szCs w:val="18"/>
                <w:lang w:eastAsia="de-DE"/>
              </w:rPr>
            </w:pPr>
            <w:r>
              <w:rPr>
                <w:rFonts w:cs="Arial"/>
                <w:sz w:val="18"/>
                <w:szCs w:val="18"/>
                <w:lang w:eastAsia="de-DE"/>
              </w:rPr>
              <w:t>As a shelf life study is available, n</w:t>
            </w:r>
            <w:r w:rsidRPr="000A3D3D">
              <w:rPr>
                <w:rFonts w:cs="Arial"/>
                <w:sz w:val="18"/>
                <w:szCs w:val="18"/>
                <w:lang w:eastAsia="de-DE"/>
              </w:rPr>
              <w:t>o more data required</w:t>
            </w:r>
            <w:r w:rsidR="00975130">
              <w:rPr>
                <w:rFonts w:cs="Arial"/>
                <w:sz w:val="18"/>
                <w:szCs w:val="18"/>
                <w:lang w:eastAsia="de-DE"/>
              </w:rPr>
              <w:t>.</w:t>
            </w:r>
          </w:p>
          <w:p w14:paraId="32FE7586" w14:textId="77777777" w:rsidR="00FC2BF0" w:rsidRDefault="00FC2BF0" w:rsidP="00D749ED">
            <w:pPr>
              <w:jc w:val="both"/>
              <w:rPr>
                <w:rFonts w:cs="Arial"/>
                <w:b/>
                <w:sz w:val="18"/>
                <w:szCs w:val="18"/>
                <w:lang w:eastAsia="de-DE"/>
              </w:rPr>
            </w:pPr>
          </w:p>
          <w:p w14:paraId="66EF64F4" w14:textId="77777777" w:rsidR="00D749ED" w:rsidRPr="00D749ED" w:rsidRDefault="00D749ED" w:rsidP="00D749ED">
            <w:pPr>
              <w:jc w:val="both"/>
              <w:rPr>
                <w:rFonts w:cs="Arial"/>
                <w:sz w:val="18"/>
                <w:szCs w:val="18"/>
                <w:lang w:eastAsia="de-DE"/>
              </w:rPr>
            </w:pPr>
          </w:p>
          <w:p w14:paraId="0900C53A" w14:textId="77777777" w:rsidR="00D749ED" w:rsidRPr="00D749ED" w:rsidRDefault="00D749ED" w:rsidP="00D749ED">
            <w:pPr>
              <w:jc w:val="both"/>
              <w:rPr>
                <w:rFonts w:cs="Arial"/>
                <w:sz w:val="18"/>
                <w:szCs w:val="18"/>
                <w:lang w:eastAsia="de-DE"/>
              </w:rPr>
            </w:pPr>
          </w:p>
        </w:tc>
      </w:tr>
      <w:tr w:rsidR="005C7089" w:rsidRPr="00D749ED" w14:paraId="0C20D133" w14:textId="77777777" w:rsidTr="002929F9">
        <w:trPr>
          <w:trHeight w:val="88"/>
        </w:trPr>
        <w:tc>
          <w:tcPr>
            <w:tcW w:w="1771" w:type="dxa"/>
            <w:vMerge w:val="restart"/>
            <w:vAlign w:val="center"/>
          </w:tcPr>
          <w:p w14:paraId="3D91249C" w14:textId="77777777" w:rsidR="005C7089" w:rsidRPr="00D749ED" w:rsidRDefault="005C7089" w:rsidP="00D749ED">
            <w:pPr>
              <w:jc w:val="center"/>
              <w:rPr>
                <w:rFonts w:cs="Arial"/>
                <w:sz w:val="18"/>
                <w:szCs w:val="18"/>
                <w:lang w:eastAsia="de-DE"/>
              </w:rPr>
            </w:pPr>
            <w:r w:rsidRPr="00D749ED">
              <w:rPr>
                <w:rFonts w:cs="Arial"/>
                <w:sz w:val="18"/>
                <w:szCs w:val="18"/>
                <w:lang w:eastAsia="de-DE"/>
              </w:rPr>
              <w:t xml:space="preserve">Storage stability test – </w:t>
            </w:r>
            <w:r w:rsidRPr="00D749ED">
              <w:rPr>
                <w:rFonts w:cs="Arial"/>
                <w:b/>
                <w:sz w:val="18"/>
                <w:szCs w:val="18"/>
                <w:lang w:eastAsia="de-DE"/>
              </w:rPr>
              <w:t>long term storage at ambient temperature</w:t>
            </w:r>
          </w:p>
        </w:tc>
        <w:tc>
          <w:tcPr>
            <w:tcW w:w="1276" w:type="dxa"/>
            <w:vAlign w:val="center"/>
          </w:tcPr>
          <w:p w14:paraId="04363E55" w14:textId="77777777" w:rsidR="005C7089" w:rsidRPr="00D749ED" w:rsidRDefault="005C7089" w:rsidP="00D749ED">
            <w:pPr>
              <w:jc w:val="center"/>
              <w:rPr>
                <w:rFonts w:cs="Arial"/>
                <w:sz w:val="18"/>
                <w:szCs w:val="18"/>
                <w:lang w:eastAsia="de-DE"/>
              </w:rPr>
            </w:pPr>
            <w:r w:rsidRPr="00D749ED">
              <w:rPr>
                <w:rFonts w:cs="Arial"/>
                <w:sz w:val="18"/>
                <w:szCs w:val="18"/>
                <w:lang w:eastAsia="de-DE"/>
              </w:rPr>
              <w:t>CIPAC MT 75</w:t>
            </w:r>
          </w:p>
          <w:p w14:paraId="3001E533" w14:textId="77777777" w:rsidR="005C7089" w:rsidRPr="00D749ED" w:rsidRDefault="005C7089" w:rsidP="00D749ED">
            <w:pPr>
              <w:jc w:val="center"/>
              <w:rPr>
                <w:rFonts w:cs="Arial"/>
                <w:sz w:val="18"/>
                <w:szCs w:val="18"/>
                <w:lang w:eastAsia="de-DE"/>
              </w:rPr>
            </w:pPr>
          </w:p>
          <w:p w14:paraId="53C29058" w14:textId="77777777" w:rsidR="005C7089" w:rsidRPr="00D749ED" w:rsidRDefault="005C7089" w:rsidP="00D749ED">
            <w:pPr>
              <w:jc w:val="center"/>
              <w:rPr>
                <w:rFonts w:cs="Arial"/>
                <w:sz w:val="18"/>
                <w:szCs w:val="18"/>
                <w:lang w:eastAsia="de-DE"/>
              </w:rPr>
            </w:pPr>
            <w:r w:rsidRPr="00D749ED">
              <w:rPr>
                <w:rFonts w:cs="Arial"/>
                <w:sz w:val="18"/>
                <w:szCs w:val="18"/>
                <w:lang w:eastAsia="de-DE"/>
              </w:rPr>
              <w:t>OECD 114</w:t>
            </w:r>
          </w:p>
          <w:p w14:paraId="6A28705C" w14:textId="77777777" w:rsidR="005C7089" w:rsidRPr="00D749ED" w:rsidRDefault="005C7089" w:rsidP="00D749ED">
            <w:pPr>
              <w:jc w:val="center"/>
              <w:rPr>
                <w:rFonts w:cs="Arial"/>
                <w:sz w:val="18"/>
                <w:szCs w:val="18"/>
                <w:lang w:eastAsia="de-DE"/>
              </w:rPr>
            </w:pPr>
          </w:p>
          <w:p w14:paraId="2C6B64F2" w14:textId="77777777" w:rsidR="005C7089" w:rsidRPr="00D749ED" w:rsidRDefault="005C7089" w:rsidP="00D749ED">
            <w:pPr>
              <w:jc w:val="center"/>
              <w:rPr>
                <w:rFonts w:cs="Arial"/>
                <w:sz w:val="18"/>
                <w:szCs w:val="18"/>
                <w:lang w:eastAsia="de-DE"/>
              </w:rPr>
            </w:pPr>
            <w:r w:rsidRPr="00D749ED">
              <w:rPr>
                <w:rFonts w:cs="Arial"/>
                <w:sz w:val="18"/>
                <w:szCs w:val="18"/>
                <w:lang w:eastAsia="de-DE"/>
              </w:rPr>
              <w:t>EC A5</w:t>
            </w:r>
          </w:p>
          <w:p w14:paraId="2F0C647E" w14:textId="77777777" w:rsidR="005C7089" w:rsidRPr="00D749ED" w:rsidRDefault="005C7089" w:rsidP="00D749ED">
            <w:pPr>
              <w:jc w:val="center"/>
              <w:rPr>
                <w:rFonts w:cs="Arial"/>
                <w:sz w:val="18"/>
                <w:szCs w:val="18"/>
                <w:lang w:eastAsia="de-DE"/>
              </w:rPr>
            </w:pPr>
          </w:p>
          <w:p w14:paraId="097801AE" w14:textId="77777777" w:rsidR="005C7089" w:rsidRPr="00D749ED" w:rsidRDefault="005C7089" w:rsidP="00D749ED">
            <w:pPr>
              <w:jc w:val="center"/>
              <w:rPr>
                <w:rFonts w:cs="Arial"/>
                <w:sz w:val="18"/>
                <w:szCs w:val="18"/>
                <w:lang w:eastAsia="de-DE"/>
              </w:rPr>
            </w:pPr>
            <w:r w:rsidRPr="00D749ED">
              <w:rPr>
                <w:rFonts w:cs="Arial"/>
                <w:sz w:val="18"/>
                <w:szCs w:val="18"/>
                <w:lang w:eastAsia="de-DE"/>
              </w:rPr>
              <w:t>EC A3</w:t>
            </w:r>
          </w:p>
          <w:p w14:paraId="5BE523C3" w14:textId="77777777" w:rsidR="005C7089" w:rsidRPr="00D749ED" w:rsidRDefault="005C7089" w:rsidP="00D749ED">
            <w:pPr>
              <w:jc w:val="center"/>
              <w:rPr>
                <w:rFonts w:cs="Arial"/>
                <w:sz w:val="18"/>
                <w:szCs w:val="18"/>
                <w:lang w:eastAsia="de-DE"/>
              </w:rPr>
            </w:pPr>
          </w:p>
          <w:p w14:paraId="0099C87C" w14:textId="77777777" w:rsidR="005C7089" w:rsidRPr="00D749ED" w:rsidRDefault="005C7089" w:rsidP="00D749ED">
            <w:pPr>
              <w:jc w:val="center"/>
              <w:rPr>
                <w:rFonts w:cs="Arial"/>
                <w:sz w:val="18"/>
                <w:szCs w:val="18"/>
                <w:lang w:val="fr-FR" w:eastAsia="de-DE"/>
              </w:rPr>
            </w:pPr>
            <w:r w:rsidRPr="00D749ED">
              <w:rPr>
                <w:rFonts w:cs="Arial"/>
                <w:sz w:val="18"/>
                <w:szCs w:val="18"/>
                <w:lang w:val="fr-FR" w:eastAsia="de-DE"/>
              </w:rPr>
              <w:t>Titrimetric quantification of total iodine: « dosage de l’iode actif”</w:t>
            </w:r>
          </w:p>
        </w:tc>
        <w:tc>
          <w:tcPr>
            <w:tcW w:w="1418" w:type="dxa"/>
            <w:vAlign w:val="center"/>
          </w:tcPr>
          <w:p w14:paraId="26ACEBF4" w14:textId="77777777" w:rsidR="005C7089" w:rsidRPr="00D749ED" w:rsidRDefault="005C7089" w:rsidP="00D749ED">
            <w:pPr>
              <w:jc w:val="center"/>
              <w:rPr>
                <w:rFonts w:cs="Arial"/>
                <w:sz w:val="18"/>
                <w:szCs w:val="18"/>
                <w:lang w:eastAsia="de-DE"/>
              </w:rPr>
            </w:pPr>
            <w:r w:rsidRPr="00D749ED">
              <w:rPr>
                <w:rFonts w:cs="Arial"/>
                <w:sz w:val="18"/>
                <w:szCs w:val="18"/>
                <w:lang w:eastAsia="de-DE"/>
              </w:rPr>
              <w:t>IODIGUARD</w:t>
            </w:r>
          </w:p>
          <w:p w14:paraId="52E4BE3E" w14:textId="77777777" w:rsidR="005C7089" w:rsidRPr="00D749ED" w:rsidRDefault="005C7089" w:rsidP="00D749ED">
            <w:pPr>
              <w:jc w:val="center"/>
              <w:rPr>
                <w:rFonts w:cs="Arial"/>
                <w:sz w:val="18"/>
                <w:szCs w:val="18"/>
                <w:lang w:val="fr-FR" w:eastAsia="de-DE"/>
              </w:rPr>
            </w:pPr>
            <w:r w:rsidRPr="00D749ED">
              <w:rPr>
                <w:rFonts w:cs="Arial"/>
                <w:sz w:val="18"/>
                <w:szCs w:val="18"/>
                <w:lang w:eastAsia="de-DE"/>
              </w:rPr>
              <w:t>Batch 26230415001</w:t>
            </w:r>
          </w:p>
        </w:tc>
        <w:tc>
          <w:tcPr>
            <w:tcW w:w="5953" w:type="dxa"/>
            <w:vAlign w:val="center"/>
          </w:tcPr>
          <w:tbl>
            <w:tblPr>
              <w:tblStyle w:val="Grilledutableau"/>
              <w:tblW w:w="5812" w:type="dxa"/>
              <w:tblLayout w:type="fixed"/>
              <w:tblLook w:val="04A0" w:firstRow="1" w:lastRow="0" w:firstColumn="1" w:lastColumn="0" w:noHBand="0" w:noVBand="1"/>
            </w:tblPr>
            <w:tblGrid>
              <w:gridCol w:w="1247"/>
              <w:gridCol w:w="808"/>
              <w:gridCol w:w="1292"/>
              <w:gridCol w:w="1292"/>
              <w:gridCol w:w="1173"/>
            </w:tblGrid>
            <w:tr w:rsidR="005C7089" w:rsidRPr="00D749ED" w14:paraId="0EE42A70" w14:textId="77777777" w:rsidTr="000A3D3D">
              <w:trPr>
                <w:trHeight w:val="137"/>
              </w:trPr>
              <w:tc>
                <w:tcPr>
                  <w:tcW w:w="1247" w:type="dxa"/>
                </w:tcPr>
                <w:p w14:paraId="2C632442" w14:textId="77777777" w:rsidR="005C7089" w:rsidRPr="00D749ED" w:rsidRDefault="005C7089" w:rsidP="00D749ED">
                  <w:pPr>
                    <w:jc w:val="center"/>
                    <w:rPr>
                      <w:rFonts w:cs="Arial"/>
                      <w:sz w:val="16"/>
                      <w:szCs w:val="16"/>
                      <w:lang w:eastAsia="de-DE"/>
                    </w:rPr>
                  </w:pPr>
                </w:p>
              </w:tc>
              <w:tc>
                <w:tcPr>
                  <w:tcW w:w="808" w:type="dxa"/>
                </w:tcPr>
                <w:p w14:paraId="7272BDF5" w14:textId="77777777" w:rsidR="005C7089" w:rsidRPr="00D749ED" w:rsidRDefault="005C7089" w:rsidP="00D749ED">
                  <w:pPr>
                    <w:jc w:val="center"/>
                    <w:rPr>
                      <w:rFonts w:cs="Arial"/>
                      <w:b/>
                      <w:sz w:val="16"/>
                      <w:szCs w:val="16"/>
                      <w:lang w:eastAsia="de-DE"/>
                    </w:rPr>
                  </w:pPr>
                  <w:r w:rsidRPr="00D749ED">
                    <w:rPr>
                      <w:rFonts w:cs="Arial"/>
                      <w:b/>
                      <w:sz w:val="16"/>
                      <w:szCs w:val="16"/>
                      <w:lang w:eastAsia="de-DE"/>
                    </w:rPr>
                    <w:t>Initial</w:t>
                  </w:r>
                </w:p>
              </w:tc>
              <w:tc>
                <w:tcPr>
                  <w:tcW w:w="1292" w:type="dxa"/>
                </w:tcPr>
                <w:p w14:paraId="36EE52DF" w14:textId="77777777" w:rsidR="005C7089" w:rsidRPr="00D749ED" w:rsidRDefault="005C7089" w:rsidP="00D749ED">
                  <w:pPr>
                    <w:jc w:val="center"/>
                    <w:rPr>
                      <w:rFonts w:cs="Arial"/>
                      <w:b/>
                      <w:sz w:val="16"/>
                      <w:szCs w:val="16"/>
                      <w:lang w:eastAsia="de-DE"/>
                    </w:rPr>
                  </w:pPr>
                  <w:r>
                    <w:rPr>
                      <w:rFonts w:cs="Arial"/>
                      <w:b/>
                      <w:sz w:val="16"/>
                      <w:szCs w:val="16"/>
                      <w:lang w:eastAsia="de-DE"/>
                    </w:rPr>
                    <w:t>After 6 months</w:t>
                  </w:r>
                </w:p>
              </w:tc>
              <w:tc>
                <w:tcPr>
                  <w:tcW w:w="1292" w:type="dxa"/>
                </w:tcPr>
                <w:p w14:paraId="6FEDFA05" w14:textId="77777777" w:rsidR="005C7089" w:rsidRPr="00D749ED" w:rsidRDefault="005C7089" w:rsidP="00D749ED">
                  <w:pPr>
                    <w:jc w:val="center"/>
                    <w:rPr>
                      <w:rFonts w:cs="Arial"/>
                      <w:b/>
                      <w:sz w:val="16"/>
                      <w:szCs w:val="16"/>
                      <w:lang w:eastAsia="de-DE"/>
                    </w:rPr>
                  </w:pPr>
                  <w:r w:rsidRPr="00D749ED">
                    <w:rPr>
                      <w:rFonts w:cs="Arial"/>
                      <w:b/>
                      <w:sz w:val="16"/>
                      <w:szCs w:val="16"/>
                      <w:lang w:eastAsia="de-DE"/>
                    </w:rPr>
                    <w:t>After 1 year in opaque HDPE</w:t>
                  </w:r>
                </w:p>
              </w:tc>
              <w:tc>
                <w:tcPr>
                  <w:tcW w:w="1173" w:type="dxa"/>
                </w:tcPr>
                <w:p w14:paraId="179D76D3" w14:textId="77777777" w:rsidR="005C7089" w:rsidRPr="00D749ED" w:rsidRDefault="005C7089" w:rsidP="00D749ED">
                  <w:pPr>
                    <w:jc w:val="center"/>
                    <w:rPr>
                      <w:rFonts w:cs="Arial"/>
                      <w:b/>
                      <w:sz w:val="16"/>
                      <w:szCs w:val="16"/>
                      <w:lang w:eastAsia="de-DE"/>
                    </w:rPr>
                  </w:pPr>
                  <w:r w:rsidRPr="00D749ED">
                    <w:rPr>
                      <w:rFonts w:cs="Arial"/>
                      <w:b/>
                      <w:sz w:val="16"/>
                      <w:szCs w:val="16"/>
                      <w:lang w:eastAsia="de-DE"/>
                    </w:rPr>
                    <w:t>After 18 months in opaque HDPE</w:t>
                  </w:r>
                </w:p>
              </w:tc>
            </w:tr>
            <w:tr w:rsidR="005C7089" w:rsidRPr="00D749ED" w14:paraId="0E5AF8F6" w14:textId="77777777" w:rsidTr="000A3D3D">
              <w:trPr>
                <w:trHeight w:val="137"/>
              </w:trPr>
              <w:tc>
                <w:tcPr>
                  <w:tcW w:w="1247" w:type="dxa"/>
                </w:tcPr>
                <w:p w14:paraId="623CBD7D" w14:textId="77777777" w:rsidR="005C7089" w:rsidRPr="00D749ED" w:rsidRDefault="005C7089" w:rsidP="00D749ED">
                  <w:pPr>
                    <w:jc w:val="center"/>
                    <w:rPr>
                      <w:rFonts w:cs="Arial"/>
                      <w:sz w:val="16"/>
                      <w:szCs w:val="16"/>
                      <w:lang w:eastAsia="de-DE"/>
                    </w:rPr>
                  </w:pPr>
                  <w:r w:rsidRPr="00D749ED">
                    <w:rPr>
                      <w:rFonts w:cs="Arial"/>
                      <w:b/>
                      <w:sz w:val="16"/>
                      <w:szCs w:val="16"/>
                      <w:lang w:eastAsia="de-DE"/>
                    </w:rPr>
                    <w:t>Active ingredient content</w:t>
                  </w:r>
                  <w:r w:rsidRPr="00D749ED">
                    <w:rPr>
                      <w:rFonts w:cs="Arial"/>
                      <w:sz w:val="16"/>
                      <w:szCs w:val="16"/>
                      <w:lang w:eastAsia="de-DE"/>
                    </w:rPr>
                    <w:t xml:space="preserve"> (total active iodine)</w:t>
                  </w:r>
                </w:p>
              </w:tc>
              <w:tc>
                <w:tcPr>
                  <w:tcW w:w="808" w:type="dxa"/>
                  <w:vAlign w:val="center"/>
                </w:tcPr>
                <w:p w14:paraId="4F3E4418" w14:textId="77777777" w:rsidR="005C7089" w:rsidRPr="00D749ED" w:rsidRDefault="005C7089" w:rsidP="006D632C">
                  <w:pPr>
                    <w:jc w:val="center"/>
                    <w:rPr>
                      <w:rFonts w:cs="Arial"/>
                      <w:sz w:val="16"/>
                      <w:szCs w:val="16"/>
                      <w:lang w:eastAsia="de-DE"/>
                    </w:rPr>
                  </w:pPr>
                  <w:r w:rsidRPr="00D749ED">
                    <w:rPr>
                      <w:rFonts w:cs="Arial"/>
                      <w:sz w:val="16"/>
                      <w:szCs w:val="16"/>
                      <w:lang w:eastAsia="de-DE"/>
                    </w:rPr>
                    <w:t>0.132% w/w</w:t>
                  </w:r>
                </w:p>
              </w:tc>
              <w:tc>
                <w:tcPr>
                  <w:tcW w:w="1292" w:type="dxa"/>
                  <w:vAlign w:val="center"/>
                </w:tcPr>
                <w:p w14:paraId="22C724D6" w14:textId="77777777" w:rsidR="005C7089" w:rsidRPr="00D749ED" w:rsidRDefault="005C7089" w:rsidP="00B838CC">
                  <w:pPr>
                    <w:jc w:val="center"/>
                    <w:rPr>
                      <w:rFonts w:cs="Arial"/>
                      <w:sz w:val="16"/>
                      <w:szCs w:val="16"/>
                      <w:lang w:eastAsia="de-DE"/>
                    </w:rPr>
                  </w:pPr>
                  <w:r>
                    <w:rPr>
                      <w:rFonts w:cs="Arial"/>
                      <w:sz w:val="16"/>
                      <w:szCs w:val="16"/>
                      <w:lang w:eastAsia="de-DE"/>
                    </w:rPr>
                    <w:t>0.106% w/w (-20%)</w:t>
                  </w:r>
                </w:p>
              </w:tc>
              <w:tc>
                <w:tcPr>
                  <w:tcW w:w="1292" w:type="dxa"/>
                  <w:vAlign w:val="center"/>
                </w:tcPr>
                <w:p w14:paraId="4CDCF098" w14:textId="77777777" w:rsidR="005C7089" w:rsidRPr="00D749ED" w:rsidRDefault="005C7089" w:rsidP="00875E69">
                  <w:pPr>
                    <w:jc w:val="center"/>
                    <w:rPr>
                      <w:rFonts w:cs="Arial"/>
                      <w:sz w:val="16"/>
                      <w:szCs w:val="16"/>
                      <w:lang w:eastAsia="de-DE"/>
                    </w:rPr>
                  </w:pPr>
                  <w:r w:rsidRPr="00D749ED">
                    <w:rPr>
                      <w:rFonts w:cs="Arial"/>
                      <w:sz w:val="16"/>
                      <w:szCs w:val="16"/>
                      <w:lang w:eastAsia="de-DE"/>
                    </w:rPr>
                    <w:t>0.087% w/w</w:t>
                  </w:r>
                </w:p>
                <w:p w14:paraId="5306E2AA" w14:textId="77777777" w:rsidR="005C7089" w:rsidRPr="00D749ED" w:rsidRDefault="005C7089" w:rsidP="00875E69">
                  <w:pPr>
                    <w:jc w:val="center"/>
                    <w:rPr>
                      <w:rFonts w:cs="Arial"/>
                      <w:sz w:val="16"/>
                      <w:szCs w:val="16"/>
                      <w:lang w:eastAsia="de-DE"/>
                    </w:rPr>
                  </w:pPr>
                  <w:r w:rsidRPr="00D749ED">
                    <w:rPr>
                      <w:rFonts w:cs="Arial"/>
                      <w:sz w:val="16"/>
                      <w:szCs w:val="16"/>
                      <w:lang w:eastAsia="de-DE"/>
                    </w:rPr>
                    <w:t>(-34%)</w:t>
                  </w:r>
                </w:p>
              </w:tc>
              <w:tc>
                <w:tcPr>
                  <w:tcW w:w="1173" w:type="dxa"/>
                  <w:vAlign w:val="center"/>
                </w:tcPr>
                <w:p w14:paraId="4A327FBB" w14:textId="77777777" w:rsidR="005C7089" w:rsidRPr="00D749ED" w:rsidRDefault="005C7089" w:rsidP="00D749ED">
                  <w:pPr>
                    <w:jc w:val="center"/>
                    <w:rPr>
                      <w:rFonts w:cs="Arial"/>
                      <w:sz w:val="16"/>
                      <w:szCs w:val="16"/>
                      <w:lang w:eastAsia="de-DE"/>
                    </w:rPr>
                  </w:pPr>
                  <w:r w:rsidRPr="00D749ED">
                    <w:rPr>
                      <w:rFonts w:cs="Arial"/>
                      <w:sz w:val="16"/>
                      <w:szCs w:val="16"/>
                      <w:lang w:eastAsia="de-DE"/>
                    </w:rPr>
                    <w:t>0.0053 % w/w (-96%)</w:t>
                  </w:r>
                </w:p>
              </w:tc>
            </w:tr>
            <w:tr w:rsidR="005C7089" w:rsidRPr="00D749ED" w14:paraId="5E310702" w14:textId="77777777" w:rsidTr="00EA0F6D">
              <w:trPr>
                <w:trHeight w:val="137"/>
              </w:trPr>
              <w:tc>
                <w:tcPr>
                  <w:tcW w:w="1247" w:type="dxa"/>
                </w:tcPr>
                <w:p w14:paraId="530DA88B" w14:textId="77777777" w:rsidR="005C7089" w:rsidRPr="00D749ED" w:rsidRDefault="005C7089" w:rsidP="00D749ED">
                  <w:pPr>
                    <w:jc w:val="center"/>
                    <w:rPr>
                      <w:rFonts w:cs="Arial"/>
                      <w:b/>
                      <w:sz w:val="16"/>
                      <w:szCs w:val="16"/>
                      <w:lang w:eastAsia="de-DE"/>
                    </w:rPr>
                  </w:pPr>
                  <w:r w:rsidRPr="00D749ED">
                    <w:rPr>
                      <w:rFonts w:cs="Arial"/>
                      <w:b/>
                      <w:sz w:val="16"/>
                      <w:szCs w:val="16"/>
                      <w:lang w:eastAsia="de-DE"/>
                    </w:rPr>
                    <w:t>Appearance</w:t>
                  </w:r>
                </w:p>
              </w:tc>
              <w:tc>
                <w:tcPr>
                  <w:tcW w:w="4565" w:type="dxa"/>
                  <w:gridSpan w:val="4"/>
                </w:tcPr>
                <w:p w14:paraId="4E07B8A8" w14:textId="77777777" w:rsidR="005C7089" w:rsidRPr="00D749ED" w:rsidRDefault="005C7089" w:rsidP="00D749ED">
                  <w:pPr>
                    <w:pStyle w:val="Default"/>
                    <w:jc w:val="center"/>
                    <w:rPr>
                      <w:rFonts w:ascii="Verdana" w:hAnsi="Verdana"/>
                      <w:sz w:val="16"/>
                      <w:szCs w:val="16"/>
                      <w:lang w:val="en-US"/>
                    </w:rPr>
                  </w:pPr>
                  <w:r w:rsidRPr="00D749ED">
                    <w:rPr>
                      <w:rFonts w:ascii="Verdana" w:hAnsi="Verdana"/>
                      <w:sz w:val="16"/>
                      <w:szCs w:val="16"/>
                      <w:lang w:val="en-US"/>
                    </w:rPr>
                    <w:t xml:space="preserve"> Brown opaque liquid. </w:t>
                  </w:r>
                </w:p>
                <w:p w14:paraId="1943EEE8" w14:textId="77777777" w:rsidR="005C7089" w:rsidRPr="00D749ED" w:rsidRDefault="005C7089" w:rsidP="00D749ED">
                  <w:pPr>
                    <w:pStyle w:val="Default"/>
                    <w:jc w:val="center"/>
                    <w:rPr>
                      <w:rFonts w:ascii="Verdana" w:hAnsi="Verdana"/>
                      <w:sz w:val="16"/>
                      <w:szCs w:val="16"/>
                      <w:lang w:val="en-US"/>
                    </w:rPr>
                  </w:pPr>
                  <w:r w:rsidRPr="00D749ED">
                    <w:rPr>
                      <w:rFonts w:ascii="Verdana" w:hAnsi="Verdana"/>
                      <w:sz w:val="16"/>
                      <w:szCs w:val="16"/>
                      <w:lang w:val="en-US"/>
                    </w:rPr>
                    <w:t>20 kg black, opaque, plastic (HDPE) with an opaque orange screw on lid and an opaque orange plastic tamper proof seal. The container has two large manufacturers’ labels on. No signs of corrosion,   degradation or seepage. &lt;</w:t>
                  </w:r>
                  <w:r w:rsidRPr="00D749ED">
                    <w:rPr>
                      <w:rFonts w:ascii="Verdana" w:hAnsi="Verdana"/>
                      <w:sz w:val="16"/>
                      <w:szCs w:val="16"/>
                    </w:rPr>
                    <w:t>0.06% of weight packaging change</w:t>
                  </w:r>
                </w:p>
              </w:tc>
            </w:tr>
            <w:tr w:rsidR="005C7089" w:rsidRPr="00D749ED" w14:paraId="43E2D43E" w14:textId="77777777" w:rsidTr="000A3D3D">
              <w:trPr>
                <w:trHeight w:val="137"/>
              </w:trPr>
              <w:tc>
                <w:tcPr>
                  <w:tcW w:w="1247" w:type="dxa"/>
                </w:tcPr>
                <w:p w14:paraId="19E6B191" w14:textId="77777777" w:rsidR="005C7089" w:rsidRPr="00D749ED" w:rsidRDefault="005C7089" w:rsidP="00D749ED">
                  <w:pPr>
                    <w:jc w:val="center"/>
                    <w:rPr>
                      <w:rFonts w:cs="Arial"/>
                      <w:b/>
                      <w:sz w:val="16"/>
                      <w:szCs w:val="16"/>
                      <w:lang w:eastAsia="de-DE"/>
                    </w:rPr>
                  </w:pPr>
                  <w:r w:rsidRPr="00D749ED">
                    <w:rPr>
                      <w:rFonts w:cs="Arial"/>
                      <w:b/>
                      <w:sz w:val="16"/>
                      <w:szCs w:val="16"/>
                      <w:lang w:eastAsia="de-DE"/>
                    </w:rPr>
                    <w:t>D</w:t>
                  </w:r>
                  <w:r w:rsidRPr="00D749ED">
                    <w:rPr>
                      <w:rFonts w:cs="Arial"/>
                      <w:b/>
                      <w:sz w:val="16"/>
                      <w:szCs w:val="16"/>
                      <w:vertAlign w:val="subscript"/>
                      <w:lang w:eastAsia="de-DE"/>
                    </w:rPr>
                    <w:t>4</w:t>
                  </w:r>
                  <w:r w:rsidRPr="00D749ED">
                    <w:rPr>
                      <w:rFonts w:cs="Arial"/>
                      <w:b/>
                      <w:sz w:val="16"/>
                      <w:szCs w:val="16"/>
                      <w:vertAlign w:val="superscript"/>
                      <w:lang w:eastAsia="de-DE"/>
                    </w:rPr>
                    <w:t>20</w:t>
                  </w:r>
                </w:p>
              </w:tc>
              <w:tc>
                <w:tcPr>
                  <w:tcW w:w="808" w:type="dxa"/>
                  <w:vAlign w:val="center"/>
                </w:tcPr>
                <w:p w14:paraId="4236D959" w14:textId="77777777" w:rsidR="005C7089" w:rsidRPr="00D749ED" w:rsidRDefault="005C7089" w:rsidP="00D749ED">
                  <w:pPr>
                    <w:jc w:val="center"/>
                    <w:rPr>
                      <w:rFonts w:cs="Arial"/>
                      <w:sz w:val="16"/>
                      <w:szCs w:val="16"/>
                      <w:lang w:eastAsia="de-DE"/>
                    </w:rPr>
                  </w:pPr>
                  <w:r w:rsidRPr="00D749ED">
                    <w:rPr>
                      <w:rFonts w:cs="Arial"/>
                      <w:sz w:val="16"/>
                      <w:szCs w:val="16"/>
                      <w:lang w:eastAsia="de-DE"/>
                    </w:rPr>
                    <w:t>1.03</w:t>
                  </w:r>
                </w:p>
              </w:tc>
              <w:tc>
                <w:tcPr>
                  <w:tcW w:w="1292" w:type="dxa"/>
                </w:tcPr>
                <w:p w14:paraId="4D3D04B9" w14:textId="77777777" w:rsidR="005C7089" w:rsidRPr="00D749ED" w:rsidRDefault="005C7089" w:rsidP="00D749ED">
                  <w:pPr>
                    <w:jc w:val="center"/>
                    <w:rPr>
                      <w:rFonts w:cs="Arial"/>
                      <w:sz w:val="16"/>
                      <w:szCs w:val="16"/>
                      <w:lang w:eastAsia="de-DE"/>
                    </w:rPr>
                  </w:pPr>
                </w:p>
              </w:tc>
              <w:tc>
                <w:tcPr>
                  <w:tcW w:w="1292" w:type="dxa"/>
                  <w:vAlign w:val="center"/>
                </w:tcPr>
                <w:p w14:paraId="38EAFB6F" w14:textId="77777777" w:rsidR="005C7089" w:rsidRPr="00D749ED" w:rsidRDefault="005C7089" w:rsidP="00D749ED">
                  <w:pPr>
                    <w:jc w:val="center"/>
                    <w:rPr>
                      <w:rFonts w:cs="Arial"/>
                      <w:sz w:val="16"/>
                      <w:szCs w:val="16"/>
                      <w:lang w:eastAsia="de-DE"/>
                    </w:rPr>
                  </w:pPr>
                  <w:r w:rsidRPr="00D749ED">
                    <w:rPr>
                      <w:rFonts w:cs="Arial"/>
                      <w:sz w:val="16"/>
                      <w:szCs w:val="16"/>
                      <w:lang w:eastAsia="de-DE"/>
                    </w:rPr>
                    <w:t>-</w:t>
                  </w:r>
                </w:p>
              </w:tc>
              <w:tc>
                <w:tcPr>
                  <w:tcW w:w="1173" w:type="dxa"/>
                </w:tcPr>
                <w:p w14:paraId="29BC9D14" w14:textId="77777777" w:rsidR="005C7089" w:rsidRPr="00D749ED" w:rsidRDefault="005C7089" w:rsidP="00D749ED">
                  <w:pPr>
                    <w:jc w:val="center"/>
                    <w:rPr>
                      <w:rFonts w:cs="Arial"/>
                      <w:sz w:val="16"/>
                      <w:szCs w:val="16"/>
                      <w:lang w:eastAsia="de-DE"/>
                    </w:rPr>
                  </w:pPr>
                </w:p>
              </w:tc>
            </w:tr>
            <w:tr w:rsidR="005C7089" w:rsidRPr="00D749ED" w14:paraId="45681B9E" w14:textId="77777777" w:rsidTr="000A3D3D">
              <w:trPr>
                <w:trHeight w:val="137"/>
              </w:trPr>
              <w:tc>
                <w:tcPr>
                  <w:tcW w:w="1247" w:type="dxa"/>
                </w:tcPr>
                <w:p w14:paraId="6FF52F67" w14:textId="77777777" w:rsidR="005C7089" w:rsidRPr="00D749ED" w:rsidRDefault="005C7089" w:rsidP="00D749ED">
                  <w:pPr>
                    <w:jc w:val="center"/>
                    <w:rPr>
                      <w:rFonts w:cs="Arial"/>
                      <w:b/>
                      <w:sz w:val="16"/>
                      <w:szCs w:val="16"/>
                      <w:lang w:eastAsia="de-DE"/>
                    </w:rPr>
                  </w:pPr>
                  <w:r w:rsidRPr="00D749ED">
                    <w:rPr>
                      <w:rFonts w:cs="Arial"/>
                      <w:b/>
                      <w:sz w:val="16"/>
                      <w:szCs w:val="16"/>
                      <w:lang w:eastAsia="de-DE"/>
                    </w:rPr>
                    <w:t>pH at 25°C</w:t>
                  </w:r>
                </w:p>
                <w:p w14:paraId="2C287D4D" w14:textId="77777777" w:rsidR="005C7089" w:rsidRPr="00D749ED" w:rsidRDefault="005C7089" w:rsidP="00D749ED">
                  <w:pPr>
                    <w:jc w:val="center"/>
                    <w:rPr>
                      <w:rFonts w:cs="Arial"/>
                      <w:sz w:val="16"/>
                      <w:szCs w:val="16"/>
                      <w:lang w:eastAsia="de-DE"/>
                    </w:rPr>
                  </w:pPr>
                  <w:r w:rsidRPr="00D749ED">
                    <w:rPr>
                      <w:rFonts w:cs="Arial"/>
                      <w:sz w:val="16"/>
                      <w:szCs w:val="16"/>
                      <w:lang w:eastAsia="de-DE"/>
                    </w:rPr>
                    <w:t>Neat</w:t>
                  </w:r>
                </w:p>
                <w:p w14:paraId="285BC89E" w14:textId="77777777" w:rsidR="005C7089" w:rsidRPr="00D749ED" w:rsidRDefault="005C7089" w:rsidP="00D749ED">
                  <w:pPr>
                    <w:jc w:val="center"/>
                    <w:rPr>
                      <w:rFonts w:cs="Arial"/>
                      <w:sz w:val="16"/>
                      <w:szCs w:val="16"/>
                      <w:lang w:eastAsia="de-DE"/>
                    </w:rPr>
                  </w:pPr>
                  <w:r w:rsidRPr="00D749ED">
                    <w:rPr>
                      <w:rFonts w:cs="Arial"/>
                      <w:sz w:val="16"/>
                      <w:szCs w:val="16"/>
                      <w:lang w:eastAsia="de-DE"/>
                    </w:rPr>
                    <w:t>1% aqueous dilution</w:t>
                  </w:r>
                </w:p>
              </w:tc>
              <w:tc>
                <w:tcPr>
                  <w:tcW w:w="808" w:type="dxa"/>
                  <w:vAlign w:val="center"/>
                </w:tcPr>
                <w:p w14:paraId="642C207A" w14:textId="77777777" w:rsidR="005C7089" w:rsidRPr="00D749ED" w:rsidRDefault="005C7089" w:rsidP="006D632C">
                  <w:pPr>
                    <w:jc w:val="center"/>
                    <w:rPr>
                      <w:rFonts w:cs="Arial"/>
                      <w:sz w:val="16"/>
                      <w:szCs w:val="16"/>
                      <w:lang w:eastAsia="de-DE"/>
                    </w:rPr>
                  </w:pPr>
                  <w:r w:rsidRPr="00D749ED">
                    <w:rPr>
                      <w:rFonts w:cs="Arial"/>
                      <w:sz w:val="16"/>
                      <w:szCs w:val="16"/>
                      <w:lang w:eastAsia="de-DE"/>
                    </w:rPr>
                    <w:t>4.02</w:t>
                  </w:r>
                </w:p>
                <w:p w14:paraId="0BE6C250" w14:textId="77777777" w:rsidR="005C7089" w:rsidRPr="00D749ED" w:rsidRDefault="005C7089" w:rsidP="00B838CC">
                  <w:pPr>
                    <w:jc w:val="center"/>
                    <w:rPr>
                      <w:rFonts w:cs="Arial"/>
                      <w:sz w:val="16"/>
                      <w:szCs w:val="16"/>
                      <w:lang w:eastAsia="de-DE"/>
                    </w:rPr>
                  </w:pPr>
                  <w:r w:rsidRPr="00D749ED">
                    <w:rPr>
                      <w:rFonts w:cs="Arial"/>
                      <w:sz w:val="16"/>
                      <w:szCs w:val="16"/>
                      <w:lang w:eastAsia="de-DE"/>
                    </w:rPr>
                    <w:t>4.32</w:t>
                  </w:r>
                </w:p>
              </w:tc>
              <w:tc>
                <w:tcPr>
                  <w:tcW w:w="1292" w:type="dxa"/>
                  <w:vAlign w:val="center"/>
                </w:tcPr>
                <w:p w14:paraId="2EB9304F" w14:textId="77777777" w:rsidR="005C7089" w:rsidRDefault="005C7089" w:rsidP="00875E69">
                  <w:pPr>
                    <w:jc w:val="center"/>
                    <w:rPr>
                      <w:rFonts w:cs="Arial"/>
                      <w:sz w:val="16"/>
                      <w:szCs w:val="16"/>
                      <w:lang w:eastAsia="de-DE"/>
                    </w:rPr>
                  </w:pPr>
                  <w:r>
                    <w:rPr>
                      <w:rFonts w:cs="Arial"/>
                      <w:sz w:val="16"/>
                      <w:szCs w:val="16"/>
                      <w:lang w:eastAsia="de-DE"/>
                    </w:rPr>
                    <w:t>3.90</w:t>
                  </w:r>
                </w:p>
                <w:p w14:paraId="117F17DA" w14:textId="77777777" w:rsidR="005C7089" w:rsidRPr="00D749ED" w:rsidRDefault="005C7089" w:rsidP="00875E69">
                  <w:pPr>
                    <w:jc w:val="center"/>
                    <w:rPr>
                      <w:rFonts w:cs="Arial"/>
                      <w:sz w:val="16"/>
                      <w:szCs w:val="16"/>
                      <w:lang w:eastAsia="de-DE"/>
                    </w:rPr>
                  </w:pPr>
                  <w:r>
                    <w:rPr>
                      <w:rFonts w:cs="Arial"/>
                      <w:sz w:val="16"/>
                      <w:szCs w:val="16"/>
                      <w:lang w:eastAsia="de-DE"/>
                    </w:rPr>
                    <w:t>4.26</w:t>
                  </w:r>
                </w:p>
              </w:tc>
              <w:tc>
                <w:tcPr>
                  <w:tcW w:w="1292" w:type="dxa"/>
                  <w:vAlign w:val="center"/>
                </w:tcPr>
                <w:p w14:paraId="53C2AECE" w14:textId="77777777" w:rsidR="005C7089" w:rsidRPr="00D749ED" w:rsidRDefault="005C7089" w:rsidP="00D749ED">
                  <w:pPr>
                    <w:jc w:val="center"/>
                    <w:rPr>
                      <w:rFonts w:cs="Arial"/>
                      <w:sz w:val="16"/>
                      <w:szCs w:val="16"/>
                      <w:lang w:eastAsia="de-DE"/>
                    </w:rPr>
                  </w:pPr>
                  <w:r w:rsidRPr="00D749ED">
                    <w:rPr>
                      <w:rFonts w:cs="Arial"/>
                      <w:sz w:val="16"/>
                      <w:szCs w:val="16"/>
                      <w:lang w:eastAsia="de-DE"/>
                    </w:rPr>
                    <w:t>3.90</w:t>
                  </w:r>
                </w:p>
                <w:p w14:paraId="6EB8FFE8" w14:textId="77777777" w:rsidR="005C7089" w:rsidRPr="00D749ED" w:rsidRDefault="005C7089" w:rsidP="00D749ED">
                  <w:pPr>
                    <w:jc w:val="center"/>
                    <w:rPr>
                      <w:rFonts w:cs="Arial"/>
                      <w:sz w:val="16"/>
                      <w:szCs w:val="16"/>
                      <w:lang w:eastAsia="de-DE"/>
                    </w:rPr>
                  </w:pPr>
                  <w:r w:rsidRPr="00D749ED">
                    <w:rPr>
                      <w:rFonts w:cs="Arial"/>
                      <w:sz w:val="16"/>
                      <w:szCs w:val="16"/>
                      <w:lang w:eastAsia="de-DE"/>
                    </w:rPr>
                    <w:t>4.41</w:t>
                  </w:r>
                </w:p>
              </w:tc>
              <w:tc>
                <w:tcPr>
                  <w:tcW w:w="1173" w:type="dxa"/>
                  <w:vAlign w:val="center"/>
                </w:tcPr>
                <w:p w14:paraId="4A3E56C6" w14:textId="77777777" w:rsidR="005C7089" w:rsidRPr="00D749ED" w:rsidRDefault="005C7089" w:rsidP="00D749ED">
                  <w:pPr>
                    <w:jc w:val="center"/>
                    <w:rPr>
                      <w:rFonts w:cs="Arial"/>
                      <w:sz w:val="16"/>
                      <w:szCs w:val="16"/>
                      <w:lang w:eastAsia="de-DE"/>
                    </w:rPr>
                  </w:pPr>
                  <w:r w:rsidRPr="00D749ED">
                    <w:rPr>
                      <w:rFonts w:cs="Arial"/>
                      <w:sz w:val="16"/>
                      <w:szCs w:val="16"/>
                      <w:lang w:eastAsia="de-DE"/>
                    </w:rPr>
                    <w:t>3.67</w:t>
                  </w:r>
                </w:p>
                <w:p w14:paraId="5493CE8F" w14:textId="77777777" w:rsidR="005C7089" w:rsidRPr="00D749ED" w:rsidRDefault="005C7089" w:rsidP="00D749ED">
                  <w:pPr>
                    <w:jc w:val="center"/>
                    <w:rPr>
                      <w:rFonts w:cs="Arial"/>
                      <w:sz w:val="16"/>
                      <w:szCs w:val="16"/>
                      <w:lang w:eastAsia="de-DE"/>
                    </w:rPr>
                  </w:pPr>
                  <w:r w:rsidRPr="00D749ED">
                    <w:rPr>
                      <w:rFonts w:cs="Arial"/>
                      <w:sz w:val="16"/>
                      <w:szCs w:val="16"/>
                      <w:lang w:eastAsia="de-DE"/>
                    </w:rPr>
                    <w:t>4.21</w:t>
                  </w:r>
                </w:p>
              </w:tc>
            </w:tr>
            <w:tr w:rsidR="005C7089" w:rsidRPr="00D749ED" w14:paraId="0BCA4C92" w14:textId="77777777" w:rsidTr="000A3D3D">
              <w:trPr>
                <w:trHeight w:val="137"/>
              </w:trPr>
              <w:tc>
                <w:tcPr>
                  <w:tcW w:w="1247" w:type="dxa"/>
                </w:tcPr>
                <w:p w14:paraId="45F843CE" w14:textId="77777777" w:rsidR="005C7089" w:rsidRPr="00D749ED" w:rsidRDefault="005C7089" w:rsidP="00D749ED">
                  <w:pPr>
                    <w:jc w:val="center"/>
                    <w:rPr>
                      <w:rFonts w:cs="Arial"/>
                      <w:sz w:val="16"/>
                      <w:szCs w:val="16"/>
                      <w:lang w:eastAsia="de-DE"/>
                    </w:rPr>
                  </w:pPr>
                  <w:r w:rsidRPr="00D749ED">
                    <w:rPr>
                      <w:rFonts w:cs="Arial"/>
                      <w:b/>
                      <w:sz w:val="16"/>
                      <w:szCs w:val="16"/>
                      <w:lang w:eastAsia="de-DE"/>
                    </w:rPr>
                    <w:t>Acidity/Alkalinity</w:t>
                  </w:r>
                  <w:r w:rsidRPr="00D749ED">
                    <w:rPr>
                      <w:rFonts w:cs="Arial"/>
                      <w:sz w:val="16"/>
                      <w:szCs w:val="16"/>
                      <w:lang w:eastAsia="de-DE"/>
                    </w:rPr>
                    <w:t xml:space="preserve"> (%H</w:t>
                  </w:r>
                  <w:r w:rsidRPr="00D749ED">
                    <w:rPr>
                      <w:rFonts w:cs="Arial"/>
                      <w:sz w:val="16"/>
                      <w:szCs w:val="16"/>
                      <w:vertAlign w:val="subscript"/>
                      <w:lang w:eastAsia="de-DE"/>
                    </w:rPr>
                    <w:t>2</w:t>
                  </w:r>
                  <w:r w:rsidRPr="00D749ED">
                    <w:rPr>
                      <w:rFonts w:cs="Arial"/>
                      <w:sz w:val="16"/>
                      <w:szCs w:val="16"/>
                      <w:lang w:eastAsia="de-DE"/>
                    </w:rPr>
                    <w:t>SO</w:t>
                  </w:r>
                  <w:r w:rsidRPr="00D749ED">
                    <w:rPr>
                      <w:rFonts w:cs="Arial"/>
                      <w:sz w:val="16"/>
                      <w:szCs w:val="16"/>
                      <w:vertAlign w:val="subscript"/>
                      <w:lang w:eastAsia="de-DE"/>
                    </w:rPr>
                    <w:t>4</w:t>
                  </w:r>
                  <w:r w:rsidRPr="00D749ED">
                    <w:rPr>
                      <w:rFonts w:cs="Arial"/>
                      <w:sz w:val="16"/>
                      <w:szCs w:val="16"/>
                      <w:lang w:eastAsia="de-DE"/>
                    </w:rPr>
                    <w:t>)</w:t>
                  </w:r>
                </w:p>
              </w:tc>
              <w:tc>
                <w:tcPr>
                  <w:tcW w:w="808" w:type="dxa"/>
                  <w:vAlign w:val="center"/>
                </w:tcPr>
                <w:p w14:paraId="604E13A5" w14:textId="77777777" w:rsidR="005C7089" w:rsidRPr="00D749ED" w:rsidRDefault="005C7089" w:rsidP="006D632C">
                  <w:pPr>
                    <w:jc w:val="center"/>
                    <w:rPr>
                      <w:rFonts w:cs="Arial"/>
                      <w:sz w:val="16"/>
                      <w:szCs w:val="16"/>
                      <w:lang w:eastAsia="de-DE"/>
                    </w:rPr>
                  </w:pPr>
                  <w:r w:rsidRPr="00D749ED">
                    <w:rPr>
                      <w:rFonts w:cs="Arial"/>
                      <w:sz w:val="16"/>
                      <w:szCs w:val="16"/>
                      <w:lang w:eastAsia="de-DE"/>
                    </w:rPr>
                    <w:t>-</w:t>
                  </w:r>
                </w:p>
              </w:tc>
              <w:tc>
                <w:tcPr>
                  <w:tcW w:w="1292" w:type="dxa"/>
                  <w:vAlign w:val="center"/>
                </w:tcPr>
                <w:p w14:paraId="2E548AAB" w14:textId="77777777" w:rsidR="005C7089" w:rsidRPr="00D749ED" w:rsidRDefault="005C7089" w:rsidP="006D632C">
                  <w:pPr>
                    <w:jc w:val="center"/>
                    <w:rPr>
                      <w:rFonts w:cs="Arial"/>
                      <w:sz w:val="16"/>
                      <w:szCs w:val="16"/>
                      <w:lang w:eastAsia="de-DE"/>
                    </w:rPr>
                  </w:pPr>
                  <w:r>
                    <w:rPr>
                      <w:rFonts w:cs="Arial"/>
                      <w:sz w:val="16"/>
                      <w:szCs w:val="16"/>
                      <w:lang w:eastAsia="de-DE"/>
                    </w:rPr>
                    <w:t>0.109 w/w</w:t>
                  </w:r>
                </w:p>
              </w:tc>
              <w:tc>
                <w:tcPr>
                  <w:tcW w:w="1292" w:type="dxa"/>
                  <w:vAlign w:val="center"/>
                </w:tcPr>
                <w:p w14:paraId="7C5880E8" w14:textId="77777777" w:rsidR="005C7089" w:rsidRPr="00D749ED" w:rsidRDefault="005C7089" w:rsidP="00D749ED">
                  <w:pPr>
                    <w:jc w:val="center"/>
                    <w:rPr>
                      <w:rFonts w:cs="Arial"/>
                      <w:sz w:val="16"/>
                      <w:szCs w:val="16"/>
                      <w:lang w:eastAsia="de-DE"/>
                    </w:rPr>
                  </w:pPr>
                  <w:r w:rsidRPr="00D749ED">
                    <w:rPr>
                      <w:rFonts w:cs="Arial"/>
                      <w:sz w:val="16"/>
                      <w:szCs w:val="16"/>
                      <w:lang w:eastAsia="de-DE"/>
                    </w:rPr>
                    <w:t>0.109% w/w</w:t>
                  </w:r>
                </w:p>
              </w:tc>
              <w:tc>
                <w:tcPr>
                  <w:tcW w:w="1173" w:type="dxa"/>
                  <w:vAlign w:val="center"/>
                </w:tcPr>
                <w:p w14:paraId="6A564CB9" w14:textId="77777777" w:rsidR="005C7089" w:rsidRPr="00D749ED" w:rsidRDefault="005C7089" w:rsidP="00D749ED">
                  <w:pPr>
                    <w:jc w:val="center"/>
                    <w:rPr>
                      <w:rFonts w:cs="Arial"/>
                      <w:sz w:val="16"/>
                      <w:szCs w:val="16"/>
                      <w:lang w:eastAsia="de-DE"/>
                    </w:rPr>
                  </w:pPr>
                  <w:r w:rsidRPr="00D749ED">
                    <w:rPr>
                      <w:rFonts w:cs="Arial"/>
                      <w:sz w:val="16"/>
                      <w:szCs w:val="16"/>
                      <w:lang w:eastAsia="de-DE"/>
                    </w:rPr>
                    <w:t>0.134%</w:t>
                  </w:r>
                </w:p>
              </w:tc>
            </w:tr>
          </w:tbl>
          <w:p w14:paraId="6AE83E13" w14:textId="77777777" w:rsidR="005C7089" w:rsidRPr="00D749ED" w:rsidRDefault="005C7089" w:rsidP="00D749ED">
            <w:pPr>
              <w:jc w:val="center"/>
              <w:rPr>
                <w:rFonts w:cs="Arial"/>
                <w:sz w:val="18"/>
                <w:szCs w:val="18"/>
                <w:lang w:val="fr-FR" w:eastAsia="de-DE"/>
              </w:rPr>
            </w:pPr>
          </w:p>
        </w:tc>
        <w:tc>
          <w:tcPr>
            <w:tcW w:w="567" w:type="dxa"/>
            <w:vAlign w:val="center"/>
          </w:tcPr>
          <w:p w14:paraId="6AA25237" w14:textId="77777777" w:rsidR="005C7089" w:rsidRPr="00D749ED" w:rsidRDefault="005C7089" w:rsidP="00D749ED">
            <w:pPr>
              <w:jc w:val="center"/>
              <w:rPr>
                <w:rFonts w:cs="Arial"/>
                <w:sz w:val="18"/>
                <w:szCs w:val="18"/>
                <w:lang w:eastAsia="de-DE"/>
              </w:rPr>
            </w:pPr>
            <w:r w:rsidRPr="00D749ED">
              <w:rPr>
                <w:rFonts w:cs="Arial"/>
                <w:sz w:val="18"/>
                <w:szCs w:val="18"/>
                <w:lang w:eastAsia="de-DE"/>
              </w:rPr>
              <w:t>Y</w:t>
            </w:r>
          </w:p>
        </w:tc>
        <w:tc>
          <w:tcPr>
            <w:tcW w:w="1276" w:type="dxa"/>
            <w:vAlign w:val="center"/>
          </w:tcPr>
          <w:p w14:paraId="7038F6CC" w14:textId="77777777" w:rsidR="005C7089" w:rsidRPr="00D749ED" w:rsidRDefault="005C7089" w:rsidP="00D749ED">
            <w:pPr>
              <w:jc w:val="both"/>
              <w:rPr>
                <w:rFonts w:cs="Arial"/>
                <w:sz w:val="18"/>
                <w:szCs w:val="18"/>
                <w:lang w:eastAsia="de-DE"/>
              </w:rPr>
            </w:pPr>
            <w:r w:rsidRPr="0072604A">
              <w:rPr>
                <w:rFonts w:cs="Arial"/>
                <w:sz w:val="18"/>
                <w:szCs w:val="18"/>
                <w:highlight w:val="yellow"/>
                <w:lang w:eastAsia="de-DE"/>
              </w:rPr>
              <w:t>A.J. Wooley</w:t>
            </w:r>
            <w:r w:rsidRPr="00D749ED">
              <w:rPr>
                <w:rFonts w:cs="Arial"/>
                <w:sz w:val="18"/>
                <w:szCs w:val="18"/>
                <w:lang w:eastAsia="de-DE"/>
              </w:rPr>
              <w:t>, 2015</w:t>
            </w:r>
          </w:p>
          <w:p w14:paraId="5460E2C0" w14:textId="77777777" w:rsidR="005C7089" w:rsidRPr="00D749ED" w:rsidRDefault="005C7089" w:rsidP="00D749ED">
            <w:pPr>
              <w:rPr>
                <w:rFonts w:cs="Arial"/>
                <w:sz w:val="18"/>
                <w:szCs w:val="18"/>
                <w:lang w:eastAsia="de-DE"/>
              </w:rPr>
            </w:pPr>
            <w:r w:rsidRPr="00D749ED">
              <w:rPr>
                <w:rFonts w:cs="Arial"/>
                <w:sz w:val="18"/>
                <w:szCs w:val="18"/>
                <w:lang w:eastAsia="de-DE"/>
              </w:rPr>
              <w:t>Report N°41500717</w:t>
            </w:r>
          </w:p>
        </w:tc>
        <w:tc>
          <w:tcPr>
            <w:tcW w:w="2198" w:type="dxa"/>
            <w:vAlign w:val="center"/>
          </w:tcPr>
          <w:p w14:paraId="23E7B64B" w14:textId="77777777" w:rsidR="005C7089" w:rsidRDefault="005C7089" w:rsidP="00D749ED">
            <w:pPr>
              <w:jc w:val="both"/>
              <w:rPr>
                <w:rFonts w:cs="Arial"/>
                <w:sz w:val="18"/>
                <w:szCs w:val="18"/>
                <w:lang w:eastAsia="de-DE"/>
              </w:rPr>
            </w:pPr>
            <w:r>
              <w:rPr>
                <w:rFonts w:cs="Arial"/>
                <w:sz w:val="18"/>
                <w:szCs w:val="18"/>
                <w:lang w:eastAsia="de-DE"/>
              </w:rPr>
              <w:t xml:space="preserve">A shelf life study of 1 year is proposed by the applicant. </w:t>
            </w:r>
          </w:p>
          <w:p w14:paraId="0B492D39" w14:textId="77777777" w:rsidR="005C7089" w:rsidRDefault="005C7089" w:rsidP="00D749ED">
            <w:pPr>
              <w:jc w:val="both"/>
              <w:rPr>
                <w:rFonts w:cs="Arial"/>
                <w:sz w:val="18"/>
                <w:szCs w:val="18"/>
                <w:lang w:eastAsia="de-DE"/>
              </w:rPr>
            </w:pPr>
          </w:p>
          <w:p w14:paraId="11588C3F" w14:textId="77777777" w:rsidR="005C7089" w:rsidRDefault="005C7089" w:rsidP="000A3D3D">
            <w:pPr>
              <w:rPr>
                <w:rFonts w:cs="Arial"/>
                <w:sz w:val="18"/>
                <w:szCs w:val="18"/>
                <w:lang w:eastAsia="de-DE"/>
              </w:rPr>
            </w:pPr>
            <w:r w:rsidRPr="00D749ED">
              <w:rPr>
                <w:rFonts w:cs="Arial"/>
                <w:sz w:val="18"/>
                <w:szCs w:val="18"/>
                <w:lang w:eastAsia="de-DE"/>
              </w:rPr>
              <w:t>The total iodine content decrease</w:t>
            </w:r>
            <w:r>
              <w:rPr>
                <w:rFonts w:cs="Arial"/>
                <w:sz w:val="18"/>
                <w:szCs w:val="18"/>
                <w:lang w:eastAsia="de-DE"/>
              </w:rPr>
              <w:t>d</w:t>
            </w:r>
            <w:r w:rsidRPr="00D749ED">
              <w:rPr>
                <w:rFonts w:cs="Arial"/>
                <w:sz w:val="18"/>
                <w:szCs w:val="18"/>
                <w:lang w:eastAsia="de-DE"/>
              </w:rPr>
              <w:t xml:space="preserve"> </w:t>
            </w:r>
            <w:r>
              <w:rPr>
                <w:rFonts w:cs="Arial"/>
                <w:sz w:val="18"/>
                <w:szCs w:val="18"/>
                <w:lang w:eastAsia="de-DE"/>
              </w:rPr>
              <w:t>strongly</w:t>
            </w:r>
            <w:r w:rsidRPr="00D749ED">
              <w:rPr>
                <w:rFonts w:cs="Arial"/>
                <w:sz w:val="18"/>
                <w:szCs w:val="18"/>
                <w:lang w:eastAsia="de-DE"/>
              </w:rPr>
              <w:t xml:space="preserve"> after 1 year</w:t>
            </w:r>
            <w:r>
              <w:rPr>
                <w:rFonts w:cs="Arial"/>
                <w:sz w:val="18"/>
                <w:szCs w:val="18"/>
                <w:lang w:eastAsia="de-DE"/>
              </w:rPr>
              <w:t xml:space="preserve"> (-34%). Therefore, to set a </w:t>
            </w:r>
            <w:r>
              <w:rPr>
                <w:rFonts w:cs="Arial"/>
                <w:sz w:val="18"/>
                <w:szCs w:val="18"/>
                <w:lang w:eastAsia="de-DE"/>
              </w:rPr>
              <w:lastRenderedPageBreak/>
              <w:t>shelf life, data on efficacy and degradation substance must be available.</w:t>
            </w:r>
          </w:p>
          <w:p w14:paraId="0D090AA2" w14:textId="77777777" w:rsidR="005C7089" w:rsidRDefault="005C7089" w:rsidP="00FC2BF0">
            <w:pPr>
              <w:jc w:val="both"/>
              <w:rPr>
                <w:rFonts w:cs="Arial"/>
                <w:sz w:val="18"/>
                <w:szCs w:val="18"/>
                <w:lang w:eastAsia="de-DE"/>
              </w:rPr>
            </w:pPr>
          </w:p>
          <w:p w14:paraId="2EE98FBE" w14:textId="77777777" w:rsidR="005C7089" w:rsidRPr="0099781E" w:rsidRDefault="005C7089" w:rsidP="00D03557">
            <w:pPr>
              <w:jc w:val="both"/>
              <w:rPr>
                <w:rFonts w:cs="Arial"/>
                <w:sz w:val="18"/>
                <w:szCs w:val="18"/>
                <w:lang w:eastAsia="de-DE"/>
              </w:rPr>
            </w:pPr>
            <w:r w:rsidRPr="00E17CA4">
              <w:rPr>
                <w:rFonts w:cs="Arial"/>
                <w:sz w:val="18"/>
                <w:szCs w:val="18"/>
                <w:lang w:eastAsia="de-DE"/>
              </w:rPr>
              <w:t>Efficacy</w:t>
            </w:r>
            <w:r w:rsidRPr="000A3D3D">
              <w:rPr>
                <w:rFonts w:cs="Arial"/>
                <w:sz w:val="18"/>
                <w:szCs w:val="18"/>
                <w:lang w:eastAsia="de-DE"/>
              </w:rPr>
              <w:t xml:space="preserve"> is</w:t>
            </w:r>
            <w:r w:rsidRPr="00D749ED">
              <w:rPr>
                <w:rFonts w:cs="Arial"/>
                <w:b/>
                <w:sz w:val="18"/>
                <w:szCs w:val="18"/>
                <w:lang w:eastAsia="de-DE"/>
              </w:rPr>
              <w:t xml:space="preserve"> </w:t>
            </w:r>
            <w:r w:rsidRPr="000A3D3D">
              <w:rPr>
                <w:rFonts w:cs="Arial"/>
                <w:sz w:val="18"/>
                <w:szCs w:val="18"/>
                <w:lang w:eastAsia="de-DE"/>
              </w:rPr>
              <w:t xml:space="preserve">demonstrated at 0.075% </w:t>
            </w:r>
            <w:r>
              <w:rPr>
                <w:rFonts w:cs="Arial"/>
                <w:sz w:val="18"/>
                <w:szCs w:val="18"/>
                <w:lang w:eastAsia="de-DE"/>
              </w:rPr>
              <w:t>(equivalent to a degradation of 5</w:t>
            </w:r>
            <w:r w:rsidRPr="000A3D3D">
              <w:rPr>
                <w:rFonts w:cs="Arial"/>
                <w:sz w:val="18"/>
                <w:szCs w:val="18"/>
                <w:lang w:eastAsia="de-DE"/>
              </w:rPr>
              <w:t xml:space="preserve">0% </w:t>
            </w:r>
            <w:r>
              <w:rPr>
                <w:rFonts w:cs="Arial"/>
                <w:sz w:val="18"/>
                <w:szCs w:val="18"/>
                <w:lang w:eastAsia="de-DE"/>
              </w:rPr>
              <w:t>of AS)</w:t>
            </w:r>
            <w:r w:rsidRPr="000A3D3D">
              <w:rPr>
                <w:rFonts w:cs="Arial"/>
                <w:sz w:val="18"/>
                <w:szCs w:val="18"/>
                <w:lang w:eastAsia="de-DE"/>
              </w:rPr>
              <w:t xml:space="preserve">, </w:t>
            </w:r>
            <w:r>
              <w:rPr>
                <w:rFonts w:cs="Arial"/>
                <w:sz w:val="18"/>
                <w:szCs w:val="18"/>
                <w:lang w:eastAsia="de-DE"/>
              </w:rPr>
              <w:t xml:space="preserve">however </w:t>
            </w:r>
            <w:r w:rsidRPr="000A3D3D">
              <w:rPr>
                <w:rFonts w:cs="Arial"/>
                <w:sz w:val="18"/>
                <w:szCs w:val="18"/>
                <w:lang w:eastAsia="de-DE"/>
              </w:rPr>
              <w:t xml:space="preserve">explanations on the fate of iodine over time in the biocidal product are </w:t>
            </w:r>
            <w:r>
              <w:rPr>
                <w:rFonts w:cs="Arial"/>
                <w:sz w:val="18"/>
                <w:szCs w:val="18"/>
                <w:lang w:eastAsia="de-DE"/>
              </w:rPr>
              <w:t>not available</w:t>
            </w:r>
            <w:r w:rsidRPr="000A3D3D">
              <w:rPr>
                <w:rFonts w:cs="Arial"/>
                <w:sz w:val="18"/>
                <w:szCs w:val="18"/>
                <w:lang w:eastAsia="de-DE"/>
              </w:rPr>
              <w:t>.</w:t>
            </w:r>
            <w:r>
              <w:rPr>
                <w:rFonts w:cs="Arial"/>
                <w:sz w:val="18"/>
                <w:szCs w:val="18"/>
                <w:lang w:eastAsia="de-DE"/>
              </w:rPr>
              <w:t xml:space="preserve"> </w:t>
            </w:r>
            <w:r w:rsidRPr="0099781E">
              <w:rPr>
                <w:rFonts w:cs="Arial"/>
                <w:sz w:val="18"/>
                <w:szCs w:val="18"/>
                <w:lang w:eastAsia="de-DE"/>
              </w:rPr>
              <w:t xml:space="preserve">These explanations (or tests of all form of iodine on the batch after storage) are expecting in post authorisation in a 3 months delay.  </w:t>
            </w:r>
          </w:p>
          <w:p w14:paraId="513C29EA" w14:textId="77777777" w:rsidR="005C7089" w:rsidRPr="00D749ED" w:rsidRDefault="005C7089">
            <w:pPr>
              <w:rPr>
                <w:rFonts w:cs="Arial"/>
                <w:sz w:val="18"/>
                <w:szCs w:val="18"/>
                <w:lang w:eastAsia="de-DE"/>
              </w:rPr>
            </w:pPr>
          </w:p>
        </w:tc>
      </w:tr>
      <w:tr w:rsidR="005C7089" w:rsidRPr="00D749ED" w14:paraId="143C1923" w14:textId="77777777" w:rsidTr="00DC29E4">
        <w:trPr>
          <w:trHeight w:val="88"/>
        </w:trPr>
        <w:tc>
          <w:tcPr>
            <w:tcW w:w="1771" w:type="dxa"/>
            <w:vMerge/>
            <w:vAlign w:val="center"/>
          </w:tcPr>
          <w:p w14:paraId="60478C19" w14:textId="77777777" w:rsidR="005C7089" w:rsidRPr="00D749ED" w:rsidRDefault="005C7089" w:rsidP="00D749ED">
            <w:pPr>
              <w:jc w:val="center"/>
              <w:rPr>
                <w:rFonts w:cs="Arial"/>
                <w:sz w:val="18"/>
                <w:szCs w:val="18"/>
                <w:lang w:eastAsia="de-DE"/>
              </w:rPr>
            </w:pPr>
          </w:p>
        </w:tc>
        <w:tc>
          <w:tcPr>
            <w:tcW w:w="1276" w:type="dxa"/>
            <w:shd w:val="clear" w:color="auto" w:fill="D9D9D9" w:themeFill="background1" w:themeFillShade="D9"/>
            <w:vAlign w:val="center"/>
          </w:tcPr>
          <w:p w14:paraId="398EDF78" w14:textId="77777777" w:rsidR="005C7089" w:rsidRPr="00DC29E4" w:rsidRDefault="005C7089" w:rsidP="00D749ED">
            <w:pPr>
              <w:jc w:val="center"/>
              <w:rPr>
                <w:rFonts w:cs="Arial"/>
                <w:sz w:val="18"/>
                <w:szCs w:val="18"/>
                <w:lang w:val="en-US" w:eastAsia="de-DE"/>
              </w:rPr>
            </w:pPr>
            <w:r w:rsidRPr="00DC29E4">
              <w:rPr>
                <w:rFonts w:cs="Arial"/>
                <w:sz w:val="18"/>
                <w:szCs w:val="18"/>
                <w:lang w:val="en-US" w:eastAsia="de-DE"/>
              </w:rPr>
              <w:t>HPLC/UV method for iodide</w:t>
            </w:r>
          </w:p>
          <w:p w14:paraId="19598DCE" w14:textId="77777777" w:rsidR="005C7089" w:rsidRPr="00DC29E4" w:rsidRDefault="005C7089" w:rsidP="00D749ED">
            <w:pPr>
              <w:jc w:val="center"/>
              <w:rPr>
                <w:rFonts w:cs="Arial"/>
                <w:sz w:val="18"/>
                <w:szCs w:val="18"/>
                <w:lang w:val="en-US" w:eastAsia="de-DE"/>
              </w:rPr>
            </w:pPr>
          </w:p>
          <w:p w14:paraId="5543F063" w14:textId="77777777" w:rsidR="005C7089" w:rsidRPr="00DC29E4" w:rsidRDefault="005C7089" w:rsidP="00D749ED">
            <w:pPr>
              <w:jc w:val="center"/>
              <w:rPr>
                <w:rFonts w:cs="Arial"/>
                <w:sz w:val="18"/>
                <w:szCs w:val="18"/>
                <w:lang w:val="en-US" w:eastAsia="de-DE"/>
              </w:rPr>
            </w:pPr>
            <w:r w:rsidRPr="00DC29E4">
              <w:rPr>
                <w:rFonts w:cs="Arial"/>
                <w:sz w:val="18"/>
                <w:szCs w:val="18"/>
                <w:lang w:val="en-US" w:eastAsia="de-DE"/>
              </w:rPr>
              <w:t>Titration metho</w:t>
            </w:r>
            <w:r w:rsidR="002D2AE1" w:rsidRPr="00DC29E4">
              <w:rPr>
                <w:rFonts w:cs="Arial"/>
                <w:sz w:val="18"/>
                <w:szCs w:val="18"/>
                <w:lang w:val="en-US" w:eastAsia="de-DE"/>
              </w:rPr>
              <w:t>d for iodine</w:t>
            </w:r>
          </w:p>
          <w:p w14:paraId="44F9B5D0" w14:textId="77777777" w:rsidR="002D2AE1" w:rsidRPr="00DC29E4" w:rsidRDefault="002D2AE1" w:rsidP="00D749ED">
            <w:pPr>
              <w:jc w:val="center"/>
              <w:rPr>
                <w:rFonts w:cs="Arial"/>
                <w:sz w:val="18"/>
                <w:szCs w:val="18"/>
                <w:lang w:val="en-US" w:eastAsia="de-DE"/>
              </w:rPr>
            </w:pPr>
          </w:p>
          <w:p w14:paraId="33D68748" w14:textId="460A1D3D" w:rsidR="002D2AE1" w:rsidRPr="00DC29E4" w:rsidRDefault="002D2AE1" w:rsidP="00D749ED">
            <w:pPr>
              <w:jc w:val="center"/>
              <w:rPr>
                <w:rFonts w:cs="Arial"/>
                <w:sz w:val="18"/>
                <w:szCs w:val="18"/>
                <w:lang w:val="fr-FR" w:eastAsia="de-DE"/>
              </w:rPr>
            </w:pPr>
            <w:r w:rsidRPr="00DC29E4">
              <w:rPr>
                <w:rFonts w:cs="Arial"/>
                <w:sz w:val="18"/>
                <w:szCs w:val="18"/>
                <w:lang w:val="fr-FR" w:eastAsia="de-DE"/>
              </w:rPr>
              <w:t>Ionic chromatography for iodate</w:t>
            </w:r>
          </w:p>
        </w:tc>
        <w:tc>
          <w:tcPr>
            <w:tcW w:w="1418" w:type="dxa"/>
            <w:shd w:val="clear" w:color="auto" w:fill="D9D9D9" w:themeFill="background1" w:themeFillShade="D9"/>
            <w:vAlign w:val="center"/>
          </w:tcPr>
          <w:p w14:paraId="6736586B" w14:textId="77777777" w:rsidR="005C7089" w:rsidRPr="00DC29E4" w:rsidRDefault="005C7089" w:rsidP="005C7089">
            <w:pPr>
              <w:jc w:val="center"/>
              <w:rPr>
                <w:rFonts w:cs="Arial"/>
                <w:sz w:val="18"/>
                <w:szCs w:val="18"/>
                <w:lang w:val="fr-FR" w:eastAsia="de-DE"/>
              </w:rPr>
            </w:pPr>
            <w:r w:rsidRPr="00DC29E4">
              <w:rPr>
                <w:rFonts w:cs="Arial"/>
                <w:sz w:val="18"/>
                <w:szCs w:val="18"/>
                <w:lang w:val="fr-FR" w:eastAsia="de-DE"/>
              </w:rPr>
              <w:t>IODIGUARD</w:t>
            </w:r>
          </w:p>
          <w:p w14:paraId="481093B9" w14:textId="2AEAF683" w:rsidR="005C7089" w:rsidRPr="00DC29E4" w:rsidRDefault="005C7089" w:rsidP="005C7089">
            <w:pPr>
              <w:jc w:val="center"/>
              <w:rPr>
                <w:rFonts w:cs="Arial"/>
                <w:sz w:val="18"/>
                <w:szCs w:val="18"/>
                <w:lang w:val="fr-FR" w:eastAsia="de-DE"/>
              </w:rPr>
            </w:pPr>
            <w:r w:rsidRPr="00DC29E4">
              <w:rPr>
                <w:rFonts w:cs="Arial"/>
                <w:sz w:val="18"/>
                <w:szCs w:val="18"/>
                <w:lang w:val="fr-FR" w:eastAsia="de-DE"/>
              </w:rPr>
              <w:t>Batch 19000986</w:t>
            </w:r>
          </w:p>
        </w:tc>
        <w:tc>
          <w:tcPr>
            <w:tcW w:w="5953" w:type="dxa"/>
            <w:shd w:val="clear" w:color="auto" w:fill="D9D9D9" w:themeFill="background1" w:themeFillShade="D9"/>
            <w:vAlign w:val="center"/>
          </w:tcPr>
          <w:tbl>
            <w:tblPr>
              <w:tblStyle w:val="Grilledutableau"/>
              <w:tblW w:w="5812" w:type="dxa"/>
              <w:tblLayout w:type="fixed"/>
              <w:tblLook w:val="04A0" w:firstRow="1" w:lastRow="0" w:firstColumn="1" w:lastColumn="0" w:noHBand="0" w:noVBand="1"/>
            </w:tblPr>
            <w:tblGrid>
              <w:gridCol w:w="2165"/>
              <w:gridCol w:w="1403"/>
              <w:gridCol w:w="2244"/>
            </w:tblGrid>
            <w:tr w:rsidR="005C7089" w:rsidRPr="002D2AE1" w14:paraId="1FDA4EDC" w14:textId="77777777" w:rsidTr="00DC29E4">
              <w:trPr>
                <w:trHeight w:val="137"/>
              </w:trPr>
              <w:tc>
                <w:tcPr>
                  <w:tcW w:w="2165" w:type="dxa"/>
                </w:tcPr>
                <w:p w14:paraId="6AAE3320" w14:textId="668956EC" w:rsidR="005C7089" w:rsidRPr="00DC29E4" w:rsidRDefault="005C7089" w:rsidP="005C7089">
                  <w:pPr>
                    <w:jc w:val="center"/>
                    <w:rPr>
                      <w:rFonts w:cs="Arial"/>
                      <w:sz w:val="18"/>
                      <w:szCs w:val="16"/>
                      <w:lang w:eastAsia="de-DE"/>
                    </w:rPr>
                  </w:pPr>
                  <w:r w:rsidRPr="00DC29E4">
                    <w:rPr>
                      <w:rFonts w:cs="Arial"/>
                      <w:b/>
                      <w:sz w:val="18"/>
                      <w:szCs w:val="16"/>
                      <w:lang w:eastAsia="de-DE"/>
                    </w:rPr>
                    <w:t>Active ingredient content</w:t>
                  </w:r>
                </w:p>
              </w:tc>
              <w:tc>
                <w:tcPr>
                  <w:tcW w:w="1403" w:type="dxa"/>
                </w:tcPr>
                <w:p w14:paraId="37EC51C7" w14:textId="77777777" w:rsidR="005C7089" w:rsidRPr="00DC29E4" w:rsidRDefault="005C7089" w:rsidP="005C7089">
                  <w:pPr>
                    <w:jc w:val="center"/>
                    <w:rPr>
                      <w:rFonts w:cs="Arial"/>
                      <w:b/>
                      <w:sz w:val="18"/>
                      <w:szCs w:val="16"/>
                      <w:lang w:eastAsia="de-DE"/>
                    </w:rPr>
                  </w:pPr>
                  <w:r w:rsidRPr="00DC29E4">
                    <w:rPr>
                      <w:rFonts w:cs="Arial"/>
                      <w:b/>
                      <w:sz w:val="18"/>
                      <w:szCs w:val="16"/>
                      <w:lang w:eastAsia="de-DE"/>
                    </w:rPr>
                    <w:t>Initial</w:t>
                  </w:r>
                </w:p>
              </w:tc>
              <w:tc>
                <w:tcPr>
                  <w:tcW w:w="2244" w:type="dxa"/>
                </w:tcPr>
                <w:p w14:paraId="000A2281" w14:textId="6378ECF8" w:rsidR="005C7089" w:rsidRPr="00DC29E4" w:rsidRDefault="005C7089" w:rsidP="005C7089">
                  <w:pPr>
                    <w:jc w:val="center"/>
                    <w:rPr>
                      <w:rFonts w:cs="Arial"/>
                      <w:b/>
                      <w:sz w:val="18"/>
                      <w:szCs w:val="16"/>
                      <w:lang w:eastAsia="de-DE"/>
                    </w:rPr>
                  </w:pPr>
                  <w:r w:rsidRPr="00DC29E4">
                    <w:rPr>
                      <w:rFonts w:cs="Arial"/>
                      <w:b/>
                      <w:sz w:val="18"/>
                      <w:szCs w:val="16"/>
                      <w:lang w:eastAsia="de-DE"/>
                    </w:rPr>
                    <w:t>After 12 months</w:t>
                  </w:r>
                </w:p>
              </w:tc>
            </w:tr>
            <w:tr w:rsidR="005C7089" w:rsidRPr="002D2AE1" w14:paraId="484424E3" w14:textId="77777777" w:rsidTr="00DC29E4">
              <w:trPr>
                <w:trHeight w:val="137"/>
              </w:trPr>
              <w:tc>
                <w:tcPr>
                  <w:tcW w:w="2165" w:type="dxa"/>
                </w:tcPr>
                <w:p w14:paraId="151016E8" w14:textId="55E3993F" w:rsidR="005C7089" w:rsidRPr="00DC29E4" w:rsidRDefault="005C7089" w:rsidP="005C7089">
                  <w:pPr>
                    <w:jc w:val="center"/>
                    <w:rPr>
                      <w:rFonts w:cs="Arial"/>
                      <w:sz w:val="18"/>
                      <w:szCs w:val="16"/>
                      <w:lang w:eastAsia="de-DE"/>
                    </w:rPr>
                  </w:pPr>
                  <w:r w:rsidRPr="00DC29E4">
                    <w:rPr>
                      <w:rFonts w:cs="Arial"/>
                      <w:sz w:val="18"/>
                      <w:szCs w:val="16"/>
                      <w:lang w:eastAsia="de-DE"/>
                    </w:rPr>
                    <w:t xml:space="preserve"> total active iodine (di</w:t>
                  </w:r>
                  <w:r w:rsidR="00745215">
                    <w:rPr>
                      <w:rFonts w:cs="Arial"/>
                      <w:sz w:val="18"/>
                      <w:szCs w:val="16"/>
                      <w:lang w:eastAsia="de-DE"/>
                    </w:rPr>
                    <w:t>i</w:t>
                  </w:r>
                  <w:r w:rsidRPr="00DC29E4">
                    <w:rPr>
                      <w:rFonts w:cs="Arial"/>
                      <w:sz w:val="18"/>
                      <w:szCs w:val="16"/>
                      <w:lang w:eastAsia="de-DE"/>
                    </w:rPr>
                    <w:t>ode)</w:t>
                  </w:r>
                </w:p>
              </w:tc>
              <w:tc>
                <w:tcPr>
                  <w:tcW w:w="1403" w:type="dxa"/>
                  <w:vAlign w:val="center"/>
                </w:tcPr>
                <w:p w14:paraId="254B8040" w14:textId="77777777" w:rsidR="005C7089" w:rsidRPr="00DC29E4" w:rsidRDefault="005C7089" w:rsidP="005C7089">
                  <w:pPr>
                    <w:jc w:val="center"/>
                    <w:rPr>
                      <w:rFonts w:cs="Arial"/>
                      <w:sz w:val="18"/>
                      <w:szCs w:val="16"/>
                      <w:lang w:eastAsia="de-DE"/>
                    </w:rPr>
                  </w:pPr>
                  <w:r w:rsidRPr="00DC29E4">
                    <w:rPr>
                      <w:rFonts w:cs="Arial"/>
                      <w:sz w:val="18"/>
                      <w:szCs w:val="16"/>
                      <w:lang w:eastAsia="de-DE"/>
                    </w:rPr>
                    <w:t>0.132% w/w</w:t>
                  </w:r>
                </w:p>
              </w:tc>
              <w:tc>
                <w:tcPr>
                  <w:tcW w:w="2244" w:type="dxa"/>
                  <w:vAlign w:val="center"/>
                </w:tcPr>
                <w:p w14:paraId="5C83D30B" w14:textId="618E22EE" w:rsidR="005C7089" w:rsidRPr="00DC29E4" w:rsidRDefault="005C7089" w:rsidP="005C7089">
                  <w:pPr>
                    <w:jc w:val="center"/>
                    <w:rPr>
                      <w:rFonts w:cs="Arial"/>
                      <w:sz w:val="18"/>
                      <w:szCs w:val="16"/>
                      <w:lang w:eastAsia="de-DE"/>
                    </w:rPr>
                  </w:pPr>
                  <w:r w:rsidRPr="00DC29E4">
                    <w:rPr>
                      <w:rFonts w:cs="Arial"/>
                      <w:sz w:val="18"/>
                      <w:szCs w:val="16"/>
                      <w:lang w:eastAsia="de-DE"/>
                    </w:rPr>
                    <w:t>0.105% w/w (-20%)</w:t>
                  </w:r>
                </w:p>
              </w:tc>
            </w:tr>
            <w:tr w:rsidR="005C7089" w:rsidRPr="002D2AE1" w14:paraId="4BD5D7BE" w14:textId="77777777" w:rsidTr="00DC29E4">
              <w:trPr>
                <w:trHeight w:val="137"/>
              </w:trPr>
              <w:tc>
                <w:tcPr>
                  <w:tcW w:w="2165" w:type="dxa"/>
                </w:tcPr>
                <w:p w14:paraId="69460854" w14:textId="1FED6356" w:rsidR="005C7089" w:rsidRPr="00DC29E4" w:rsidRDefault="005C7089" w:rsidP="005C7089">
                  <w:pPr>
                    <w:jc w:val="center"/>
                    <w:rPr>
                      <w:rFonts w:cs="Arial"/>
                      <w:sz w:val="18"/>
                      <w:szCs w:val="16"/>
                      <w:lang w:eastAsia="de-DE"/>
                    </w:rPr>
                  </w:pPr>
                  <w:r w:rsidRPr="00DC29E4">
                    <w:rPr>
                      <w:rFonts w:cs="Arial"/>
                      <w:sz w:val="18"/>
                      <w:szCs w:val="16"/>
                      <w:lang w:eastAsia="de-DE"/>
                    </w:rPr>
                    <w:t>Iodide</w:t>
                  </w:r>
                </w:p>
              </w:tc>
              <w:tc>
                <w:tcPr>
                  <w:tcW w:w="1403" w:type="dxa"/>
                  <w:vAlign w:val="center"/>
                </w:tcPr>
                <w:p w14:paraId="3EBA737B" w14:textId="56DE317D" w:rsidR="005C7089" w:rsidRPr="00DC29E4" w:rsidRDefault="005C7089" w:rsidP="005C7089">
                  <w:pPr>
                    <w:jc w:val="center"/>
                    <w:rPr>
                      <w:rFonts w:cs="Arial"/>
                      <w:sz w:val="18"/>
                      <w:szCs w:val="16"/>
                      <w:lang w:eastAsia="de-DE"/>
                    </w:rPr>
                  </w:pPr>
                  <w:r w:rsidRPr="00DC29E4">
                    <w:rPr>
                      <w:rFonts w:cs="Arial"/>
                      <w:sz w:val="18"/>
                      <w:szCs w:val="16"/>
                      <w:lang w:eastAsia="de-DE"/>
                    </w:rPr>
                    <w:t>n/a</w:t>
                  </w:r>
                </w:p>
              </w:tc>
              <w:tc>
                <w:tcPr>
                  <w:tcW w:w="2244" w:type="dxa"/>
                  <w:vAlign w:val="center"/>
                </w:tcPr>
                <w:p w14:paraId="11ECFDEB" w14:textId="220B8F8E" w:rsidR="005C7089" w:rsidRPr="00DC29E4" w:rsidRDefault="005C7089" w:rsidP="005C7089">
                  <w:pPr>
                    <w:jc w:val="center"/>
                    <w:rPr>
                      <w:rFonts w:cs="Arial"/>
                      <w:sz w:val="18"/>
                      <w:szCs w:val="16"/>
                      <w:lang w:eastAsia="de-DE"/>
                    </w:rPr>
                  </w:pPr>
                  <w:r w:rsidRPr="00DC29E4">
                    <w:rPr>
                      <w:rFonts w:cs="Arial"/>
                      <w:sz w:val="18"/>
                      <w:szCs w:val="16"/>
                      <w:lang w:eastAsia="de-DE"/>
                    </w:rPr>
                    <w:t>0.16%</w:t>
                  </w:r>
                </w:p>
              </w:tc>
            </w:tr>
            <w:tr w:rsidR="005C7089" w:rsidRPr="002D2AE1" w14:paraId="08F49C96" w14:textId="77777777" w:rsidTr="00DC29E4">
              <w:trPr>
                <w:trHeight w:val="137"/>
              </w:trPr>
              <w:tc>
                <w:tcPr>
                  <w:tcW w:w="2165" w:type="dxa"/>
                </w:tcPr>
                <w:p w14:paraId="071752A7" w14:textId="02795181" w:rsidR="005C7089" w:rsidRPr="00DC29E4" w:rsidRDefault="005C7089" w:rsidP="005C7089">
                  <w:pPr>
                    <w:jc w:val="center"/>
                    <w:rPr>
                      <w:rFonts w:cs="Arial"/>
                      <w:sz w:val="18"/>
                      <w:szCs w:val="16"/>
                      <w:lang w:eastAsia="de-DE"/>
                    </w:rPr>
                  </w:pPr>
                  <w:r w:rsidRPr="00DC29E4">
                    <w:rPr>
                      <w:rFonts w:cs="Arial"/>
                      <w:sz w:val="18"/>
                      <w:szCs w:val="16"/>
                      <w:lang w:eastAsia="de-DE"/>
                    </w:rPr>
                    <w:t>iodate</w:t>
                  </w:r>
                </w:p>
              </w:tc>
              <w:tc>
                <w:tcPr>
                  <w:tcW w:w="1403" w:type="dxa"/>
                  <w:vAlign w:val="center"/>
                </w:tcPr>
                <w:p w14:paraId="24CA887E" w14:textId="12D4E77C" w:rsidR="005C7089" w:rsidRPr="00DC29E4" w:rsidRDefault="005C7089" w:rsidP="005C7089">
                  <w:pPr>
                    <w:jc w:val="center"/>
                    <w:rPr>
                      <w:rFonts w:cs="Arial"/>
                      <w:sz w:val="18"/>
                      <w:szCs w:val="16"/>
                      <w:lang w:eastAsia="de-DE"/>
                    </w:rPr>
                  </w:pPr>
                  <w:r w:rsidRPr="00DC29E4">
                    <w:rPr>
                      <w:rFonts w:cs="Arial"/>
                      <w:sz w:val="18"/>
                      <w:szCs w:val="16"/>
                      <w:lang w:eastAsia="de-DE"/>
                    </w:rPr>
                    <w:t>n/a</w:t>
                  </w:r>
                </w:p>
              </w:tc>
              <w:tc>
                <w:tcPr>
                  <w:tcW w:w="2244" w:type="dxa"/>
                  <w:vAlign w:val="center"/>
                </w:tcPr>
                <w:p w14:paraId="08E3099E" w14:textId="1EC144B3" w:rsidR="005C7089" w:rsidRPr="00DC29E4" w:rsidRDefault="005C7089" w:rsidP="005C7089">
                  <w:pPr>
                    <w:jc w:val="center"/>
                    <w:rPr>
                      <w:rFonts w:cs="Arial"/>
                      <w:sz w:val="18"/>
                      <w:szCs w:val="16"/>
                      <w:lang w:eastAsia="de-DE"/>
                    </w:rPr>
                  </w:pPr>
                  <w:r w:rsidRPr="00DC29E4">
                    <w:rPr>
                      <w:rFonts w:cs="Arial"/>
                      <w:sz w:val="18"/>
                      <w:szCs w:val="16"/>
                      <w:lang w:eastAsia="de-DE"/>
                    </w:rPr>
                    <w:t>&lt;LOQ</w:t>
                  </w:r>
                </w:p>
              </w:tc>
            </w:tr>
          </w:tbl>
          <w:p w14:paraId="3EFFED62" w14:textId="77777777" w:rsidR="005C7089" w:rsidRPr="00D749ED" w:rsidRDefault="005C7089" w:rsidP="00D749ED">
            <w:pPr>
              <w:jc w:val="center"/>
              <w:rPr>
                <w:rFonts w:cs="Arial"/>
                <w:sz w:val="16"/>
                <w:szCs w:val="16"/>
                <w:lang w:eastAsia="de-DE"/>
              </w:rPr>
            </w:pPr>
          </w:p>
        </w:tc>
        <w:tc>
          <w:tcPr>
            <w:tcW w:w="567" w:type="dxa"/>
            <w:shd w:val="clear" w:color="auto" w:fill="D9D9D9" w:themeFill="background1" w:themeFillShade="D9"/>
            <w:vAlign w:val="center"/>
          </w:tcPr>
          <w:p w14:paraId="7B42A5E2" w14:textId="300DE19B" w:rsidR="005C7089" w:rsidRPr="00D749ED" w:rsidRDefault="005C7089" w:rsidP="00D749ED">
            <w:pPr>
              <w:jc w:val="center"/>
              <w:rPr>
                <w:rFonts w:cs="Arial"/>
                <w:sz w:val="18"/>
                <w:szCs w:val="18"/>
                <w:lang w:eastAsia="de-DE"/>
              </w:rPr>
            </w:pPr>
            <w:r>
              <w:rPr>
                <w:rFonts w:cs="Arial"/>
                <w:sz w:val="18"/>
                <w:szCs w:val="18"/>
                <w:lang w:eastAsia="de-DE"/>
              </w:rPr>
              <w:t>Y</w:t>
            </w:r>
          </w:p>
        </w:tc>
        <w:tc>
          <w:tcPr>
            <w:tcW w:w="1276" w:type="dxa"/>
            <w:shd w:val="clear" w:color="auto" w:fill="D9D9D9" w:themeFill="background1" w:themeFillShade="D9"/>
            <w:vAlign w:val="center"/>
          </w:tcPr>
          <w:p w14:paraId="0D13EB4D" w14:textId="17B104EB" w:rsidR="005C7089" w:rsidRDefault="005C7089" w:rsidP="00D749ED">
            <w:pPr>
              <w:jc w:val="both"/>
              <w:rPr>
                <w:rFonts w:cs="Arial"/>
                <w:sz w:val="18"/>
                <w:szCs w:val="18"/>
                <w:lang w:eastAsia="de-DE"/>
              </w:rPr>
            </w:pPr>
            <w:r w:rsidRPr="0072604A">
              <w:rPr>
                <w:rFonts w:cs="Arial"/>
                <w:sz w:val="18"/>
                <w:szCs w:val="18"/>
                <w:highlight w:val="yellow"/>
                <w:lang w:eastAsia="de-DE"/>
              </w:rPr>
              <w:t>MOREL A.</w:t>
            </w:r>
            <w:r>
              <w:rPr>
                <w:rFonts w:cs="Arial"/>
                <w:sz w:val="18"/>
                <w:szCs w:val="18"/>
                <w:lang w:eastAsia="de-DE"/>
              </w:rPr>
              <w:t xml:space="preserve"> 2020, </w:t>
            </w:r>
          </w:p>
          <w:p w14:paraId="7D167253" w14:textId="77777777" w:rsidR="005C7089" w:rsidRDefault="005C7089" w:rsidP="00D749ED">
            <w:pPr>
              <w:jc w:val="both"/>
              <w:rPr>
                <w:rFonts w:cs="Arial"/>
                <w:sz w:val="18"/>
                <w:szCs w:val="18"/>
                <w:lang w:eastAsia="de-DE"/>
              </w:rPr>
            </w:pPr>
          </w:p>
          <w:p w14:paraId="6DACACD0" w14:textId="77777777" w:rsidR="005C7089" w:rsidRDefault="005C7089" w:rsidP="00D749ED">
            <w:pPr>
              <w:jc w:val="both"/>
              <w:rPr>
                <w:rFonts w:cs="Arial"/>
                <w:sz w:val="18"/>
                <w:szCs w:val="18"/>
                <w:lang w:eastAsia="de-DE"/>
              </w:rPr>
            </w:pPr>
            <w:r w:rsidRPr="005C7089">
              <w:rPr>
                <w:rFonts w:cs="Arial"/>
                <w:sz w:val="18"/>
                <w:szCs w:val="18"/>
                <w:lang w:eastAsia="de-DE"/>
              </w:rPr>
              <w:t>No. 20-912017-001</w:t>
            </w:r>
          </w:p>
          <w:p w14:paraId="72F1EBD5" w14:textId="77777777" w:rsidR="005C7089" w:rsidRDefault="005C7089" w:rsidP="00D749ED">
            <w:pPr>
              <w:jc w:val="both"/>
              <w:rPr>
                <w:rFonts w:cs="Arial"/>
                <w:sz w:val="18"/>
                <w:szCs w:val="18"/>
                <w:lang w:eastAsia="de-DE"/>
              </w:rPr>
            </w:pPr>
          </w:p>
          <w:p w14:paraId="413BA5C8" w14:textId="77777777" w:rsidR="005C7089" w:rsidRDefault="005C7089" w:rsidP="00D749ED">
            <w:pPr>
              <w:jc w:val="both"/>
              <w:rPr>
                <w:rFonts w:cs="Arial"/>
                <w:sz w:val="18"/>
                <w:szCs w:val="18"/>
                <w:lang w:eastAsia="de-DE"/>
              </w:rPr>
            </w:pPr>
            <w:r w:rsidRPr="005C7089">
              <w:rPr>
                <w:rFonts w:cs="Arial"/>
                <w:sz w:val="18"/>
                <w:szCs w:val="18"/>
                <w:lang w:eastAsia="de-DE"/>
              </w:rPr>
              <w:t>No. 20-912017-002</w:t>
            </w:r>
          </w:p>
          <w:p w14:paraId="4EE96854" w14:textId="77777777" w:rsidR="005C7089" w:rsidRDefault="005C7089" w:rsidP="00D749ED">
            <w:pPr>
              <w:jc w:val="both"/>
              <w:rPr>
                <w:rFonts w:cs="Arial"/>
                <w:sz w:val="18"/>
                <w:szCs w:val="18"/>
                <w:lang w:eastAsia="de-DE"/>
              </w:rPr>
            </w:pPr>
          </w:p>
          <w:p w14:paraId="46E2D4C6" w14:textId="1C864848" w:rsidR="005C7089" w:rsidRPr="00D749ED" w:rsidRDefault="005C7089" w:rsidP="00D749ED">
            <w:pPr>
              <w:jc w:val="both"/>
              <w:rPr>
                <w:rFonts w:cs="Arial"/>
                <w:sz w:val="18"/>
                <w:szCs w:val="18"/>
                <w:lang w:eastAsia="de-DE"/>
              </w:rPr>
            </w:pPr>
            <w:r>
              <w:rPr>
                <w:rFonts w:cs="Arial"/>
                <w:sz w:val="18"/>
                <w:szCs w:val="18"/>
                <w:lang w:eastAsia="de-DE"/>
              </w:rPr>
              <w:t>No. 20-912017-003</w:t>
            </w:r>
          </w:p>
        </w:tc>
        <w:tc>
          <w:tcPr>
            <w:tcW w:w="2198" w:type="dxa"/>
            <w:shd w:val="clear" w:color="auto" w:fill="D9D9D9" w:themeFill="background1" w:themeFillShade="D9"/>
            <w:vAlign w:val="center"/>
          </w:tcPr>
          <w:p w14:paraId="50FBAF1A" w14:textId="2F8A806F" w:rsidR="005C7089" w:rsidRDefault="002D2AE1" w:rsidP="00D749ED">
            <w:pPr>
              <w:jc w:val="both"/>
              <w:rPr>
                <w:rFonts w:cs="Arial"/>
                <w:sz w:val="18"/>
                <w:szCs w:val="18"/>
                <w:lang w:eastAsia="de-DE"/>
              </w:rPr>
            </w:pPr>
            <w:r>
              <w:rPr>
                <w:rFonts w:cs="Arial"/>
                <w:sz w:val="18"/>
                <w:szCs w:val="18"/>
                <w:lang w:eastAsia="de-DE"/>
              </w:rPr>
              <w:t>Maximum content of total iodine (under all form</w:t>
            </w:r>
            <w:r w:rsidR="00745215">
              <w:rPr>
                <w:rFonts w:cs="Arial"/>
                <w:sz w:val="18"/>
                <w:szCs w:val="18"/>
                <w:lang w:eastAsia="de-DE"/>
              </w:rPr>
              <w:t>s</w:t>
            </w:r>
            <w:r>
              <w:rPr>
                <w:rFonts w:cs="Arial"/>
                <w:sz w:val="18"/>
                <w:szCs w:val="18"/>
                <w:lang w:eastAsia="de-DE"/>
              </w:rPr>
              <w:t>) is 0.27% according to specification of PVPi.</w:t>
            </w:r>
          </w:p>
          <w:p w14:paraId="73F4917F" w14:textId="77777777" w:rsidR="002D2AE1" w:rsidRDefault="002D2AE1" w:rsidP="002D2AE1">
            <w:pPr>
              <w:jc w:val="both"/>
              <w:rPr>
                <w:rFonts w:cs="Arial"/>
                <w:sz w:val="18"/>
                <w:szCs w:val="18"/>
                <w:lang w:eastAsia="de-DE"/>
              </w:rPr>
            </w:pPr>
            <w:r>
              <w:rPr>
                <w:rFonts w:cs="Arial"/>
                <w:sz w:val="18"/>
                <w:szCs w:val="18"/>
                <w:lang w:eastAsia="de-DE"/>
              </w:rPr>
              <w:t>Therefore, even if content of iodide before storage was not performed, it can be expected a value around 0.14% (0.27% of total iodine -0.13% of active iodine).</w:t>
            </w:r>
          </w:p>
          <w:p w14:paraId="2D1F3C49" w14:textId="07A1707E" w:rsidR="002D2AE1" w:rsidRDefault="002D2AE1" w:rsidP="002D2AE1">
            <w:pPr>
              <w:jc w:val="both"/>
              <w:rPr>
                <w:rFonts w:cs="Arial"/>
                <w:sz w:val="18"/>
                <w:szCs w:val="18"/>
                <w:lang w:eastAsia="de-DE"/>
              </w:rPr>
            </w:pPr>
            <w:r>
              <w:rPr>
                <w:rFonts w:cs="Arial"/>
                <w:sz w:val="18"/>
                <w:szCs w:val="18"/>
                <w:lang w:eastAsia="de-DE"/>
              </w:rPr>
              <w:lastRenderedPageBreak/>
              <w:t xml:space="preserve">Then, after storage, the decrease of content of active iodine </w:t>
            </w:r>
            <w:r w:rsidR="00745215">
              <w:rPr>
                <w:rFonts w:cs="Arial"/>
                <w:sz w:val="18"/>
                <w:szCs w:val="18"/>
                <w:lang w:eastAsia="de-DE"/>
              </w:rPr>
              <w:t xml:space="preserve">can </w:t>
            </w:r>
            <w:proofErr w:type="gramStart"/>
            <w:r w:rsidR="00745215">
              <w:rPr>
                <w:rFonts w:cs="Arial"/>
                <w:sz w:val="18"/>
                <w:szCs w:val="18"/>
                <w:lang w:eastAsia="de-DE"/>
              </w:rPr>
              <w:t xml:space="preserve">be </w:t>
            </w:r>
            <w:r>
              <w:rPr>
                <w:rFonts w:cs="Arial"/>
                <w:sz w:val="18"/>
                <w:szCs w:val="18"/>
                <w:lang w:eastAsia="de-DE"/>
              </w:rPr>
              <w:t xml:space="preserve"> </w:t>
            </w:r>
            <w:r w:rsidR="00745215">
              <w:rPr>
                <w:rFonts w:cs="Arial"/>
                <w:sz w:val="18"/>
                <w:szCs w:val="18"/>
                <w:lang w:eastAsia="de-DE"/>
              </w:rPr>
              <w:t>explained</w:t>
            </w:r>
            <w:proofErr w:type="gramEnd"/>
            <w:r w:rsidR="00745215">
              <w:rPr>
                <w:rFonts w:cs="Arial"/>
                <w:sz w:val="18"/>
                <w:szCs w:val="18"/>
                <w:lang w:eastAsia="de-DE"/>
              </w:rPr>
              <w:t xml:space="preserve"> by the formation of</w:t>
            </w:r>
            <w:r>
              <w:rPr>
                <w:rFonts w:cs="Arial"/>
                <w:sz w:val="18"/>
                <w:szCs w:val="18"/>
                <w:lang w:eastAsia="de-DE"/>
              </w:rPr>
              <w:t xml:space="preserve"> iodide.</w:t>
            </w:r>
          </w:p>
          <w:p w14:paraId="07098B92" w14:textId="7D444221" w:rsidR="0032159E" w:rsidRDefault="0032159E" w:rsidP="002D2AE1">
            <w:pPr>
              <w:jc w:val="both"/>
              <w:rPr>
                <w:rFonts w:cs="Arial"/>
                <w:sz w:val="18"/>
                <w:szCs w:val="18"/>
                <w:lang w:eastAsia="de-DE"/>
              </w:rPr>
            </w:pPr>
            <w:r>
              <w:rPr>
                <w:rFonts w:cs="Arial"/>
                <w:sz w:val="18"/>
                <w:szCs w:val="18"/>
                <w:lang w:eastAsia="de-DE"/>
              </w:rPr>
              <w:t>No other data is required as efficacy is demonstrated after</w:t>
            </w:r>
            <w:r w:rsidR="00745215">
              <w:rPr>
                <w:rFonts w:cs="Arial"/>
                <w:sz w:val="18"/>
                <w:szCs w:val="18"/>
                <w:lang w:eastAsia="de-DE"/>
              </w:rPr>
              <w:t xml:space="preserve"> 12 </w:t>
            </w:r>
            <w:proofErr w:type="gramStart"/>
            <w:r w:rsidR="00745215">
              <w:rPr>
                <w:rFonts w:cs="Arial"/>
                <w:sz w:val="18"/>
                <w:szCs w:val="18"/>
                <w:lang w:eastAsia="de-DE"/>
              </w:rPr>
              <w:t xml:space="preserve">months </w:t>
            </w:r>
            <w:r>
              <w:rPr>
                <w:rFonts w:cs="Arial"/>
                <w:sz w:val="18"/>
                <w:szCs w:val="18"/>
                <w:lang w:eastAsia="de-DE"/>
              </w:rPr>
              <w:t xml:space="preserve"> storage</w:t>
            </w:r>
            <w:proofErr w:type="gramEnd"/>
            <w:r>
              <w:rPr>
                <w:rFonts w:cs="Arial"/>
                <w:sz w:val="18"/>
                <w:szCs w:val="18"/>
                <w:lang w:eastAsia="de-DE"/>
              </w:rPr>
              <w:t>.</w:t>
            </w:r>
          </w:p>
        </w:tc>
      </w:tr>
      <w:tr w:rsidR="00D749ED" w:rsidRPr="00D749ED" w14:paraId="6F987659" w14:textId="77777777" w:rsidTr="002929F9">
        <w:trPr>
          <w:trHeight w:val="88"/>
        </w:trPr>
        <w:tc>
          <w:tcPr>
            <w:tcW w:w="1771" w:type="dxa"/>
            <w:vAlign w:val="center"/>
          </w:tcPr>
          <w:p w14:paraId="6206472D" w14:textId="77777777" w:rsidR="00D749ED" w:rsidRPr="00D749ED" w:rsidRDefault="00D749ED" w:rsidP="00D749ED">
            <w:pPr>
              <w:jc w:val="center"/>
              <w:rPr>
                <w:rFonts w:cs="Arial"/>
                <w:sz w:val="18"/>
                <w:szCs w:val="18"/>
                <w:lang w:eastAsia="de-DE"/>
              </w:rPr>
            </w:pPr>
            <w:r w:rsidRPr="00D749ED">
              <w:rPr>
                <w:rFonts w:cs="Arial"/>
                <w:sz w:val="18"/>
                <w:szCs w:val="18"/>
                <w:lang w:eastAsia="de-DE"/>
              </w:rPr>
              <w:lastRenderedPageBreak/>
              <w:t xml:space="preserve">Storage stability test – </w:t>
            </w:r>
            <w:r w:rsidRPr="00D749ED">
              <w:rPr>
                <w:rFonts w:cs="Arial"/>
                <w:b/>
                <w:sz w:val="18"/>
                <w:szCs w:val="18"/>
                <w:lang w:eastAsia="de-DE"/>
              </w:rPr>
              <w:t>low temperature stability test for liquids</w:t>
            </w:r>
          </w:p>
        </w:tc>
        <w:tc>
          <w:tcPr>
            <w:tcW w:w="1276" w:type="dxa"/>
            <w:vAlign w:val="center"/>
          </w:tcPr>
          <w:p w14:paraId="25E56549" w14:textId="77777777" w:rsidR="00D749ED" w:rsidRPr="00D749ED" w:rsidRDefault="00D749ED" w:rsidP="00D749ED">
            <w:pPr>
              <w:jc w:val="center"/>
              <w:rPr>
                <w:rFonts w:cs="Arial"/>
                <w:sz w:val="18"/>
                <w:szCs w:val="18"/>
                <w:lang w:eastAsia="de-DE"/>
              </w:rPr>
            </w:pPr>
          </w:p>
        </w:tc>
        <w:tc>
          <w:tcPr>
            <w:tcW w:w="1418" w:type="dxa"/>
            <w:vAlign w:val="center"/>
          </w:tcPr>
          <w:p w14:paraId="6C6B767C" w14:textId="77777777" w:rsidR="00D749ED" w:rsidRPr="00D749ED" w:rsidRDefault="00D749ED" w:rsidP="00D749ED">
            <w:pPr>
              <w:jc w:val="center"/>
              <w:rPr>
                <w:rFonts w:cs="Arial"/>
                <w:sz w:val="18"/>
                <w:szCs w:val="18"/>
                <w:lang w:eastAsia="de-DE"/>
              </w:rPr>
            </w:pPr>
          </w:p>
        </w:tc>
        <w:tc>
          <w:tcPr>
            <w:tcW w:w="5953" w:type="dxa"/>
            <w:vAlign w:val="center"/>
          </w:tcPr>
          <w:p w14:paraId="71AD727F" w14:textId="77777777" w:rsidR="00D749ED" w:rsidRPr="00D749ED" w:rsidRDefault="00D749ED" w:rsidP="00D749ED">
            <w:pPr>
              <w:jc w:val="center"/>
              <w:rPr>
                <w:rFonts w:cs="Arial"/>
                <w:sz w:val="18"/>
                <w:szCs w:val="18"/>
                <w:lang w:eastAsia="de-DE"/>
              </w:rPr>
            </w:pPr>
          </w:p>
        </w:tc>
        <w:tc>
          <w:tcPr>
            <w:tcW w:w="567" w:type="dxa"/>
            <w:vAlign w:val="center"/>
          </w:tcPr>
          <w:p w14:paraId="260E714B" w14:textId="77777777" w:rsidR="00D749ED" w:rsidRPr="00D749ED" w:rsidRDefault="00D749ED" w:rsidP="00D749ED">
            <w:pPr>
              <w:jc w:val="center"/>
              <w:rPr>
                <w:rFonts w:cs="Arial"/>
                <w:sz w:val="18"/>
                <w:szCs w:val="18"/>
                <w:lang w:eastAsia="de-DE"/>
              </w:rPr>
            </w:pPr>
          </w:p>
        </w:tc>
        <w:tc>
          <w:tcPr>
            <w:tcW w:w="1276" w:type="dxa"/>
            <w:vAlign w:val="center"/>
          </w:tcPr>
          <w:p w14:paraId="131D072A" w14:textId="77777777" w:rsidR="00D749ED" w:rsidRPr="00D749ED" w:rsidRDefault="00D749ED" w:rsidP="00D749ED">
            <w:pPr>
              <w:jc w:val="center"/>
              <w:rPr>
                <w:rFonts w:cs="Arial"/>
                <w:sz w:val="18"/>
                <w:szCs w:val="18"/>
                <w:lang w:eastAsia="de-DE"/>
              </w:rPr>
            </w:pPr>
          </w:p>
        </w:tc>
        <w:tc>
          <w:tcPr>
            <w:tcW w:w="2198" w:type="dxa"/>
            <w:vAlign w:val="center"/>
          </w:tcPr>
          <w:p w14:paraId="5BA8A395" w14:textId="77777777" w:rsidR="00D749ED" w:rsidRPr="00D749ED" w:rsidRDefault="00D749ED" w:rsidP="00D749ED">
            <w:pPr>
              <w:jc w:val="both"/>
              <w:rPr>
                <w:rFonts w:cs="Arial"/>
                <w:sz w:val="18"/>
                <w:szCs w:val="18"/>
                <w:lang w:eastAsia="de-DE"/>
              </w:rPr>
            </w:pPr>
            <w:r w:rsidRPr="00D749ED">
              <w:rPr>
                <w:rFonts w:cs="Arial"/>
                <w:sz w:val="18"/>
                <w:szCs w:val="18"/>
                <w:lang w:eastAsia="de-DE"/>
              </w:rPr>
              <w:t>This study is not needed because mention is made on the label not to store under 0°C (see the label attached in the IUCLID file)</w:t>
            </w:r>
            <w:r w:rsidR="000A3D3D">
              <w:rPr>
                <w:rFonts w:cs="Arial"/>
                <w:sz w:val="18"/>
                <w:szCs w:val="18"/>
                <w:lang w:eastAsia="de-DE"/>
              </w:rPr>
              <w:t>.</w:t>
            </w:r>
          </w:p>
        </w:tc>
      </w:tr>
      <w:tr w:rsidR="00730670" w:rsidRPr="00D749ED" w14:paraId="5EA545CC" w14:textId="77777777" w:rsidTr="002929F9">
        <w:trPr>
          <w:trHeight w:val="88"/>
        </w:trPr>
        <w:tc>
          <w:tcPr>
            <w:tcW w:w="1771" w:type="dxa"/>
            <w:vAlign w:val="center"/>
          </w:tcPr>
          <w:p w14:paraId="470131C3" w14:textId="77777777" w:rsidR="00730670" w:rsidRPr="00D749ED" w:rsidRDefault="00730670" w:rsidP="00D749ED">
            <w:pPr>
              <w:jc w:val="center"/>
              <w:rPr>
                <w:rFonts w:cs="Arial"/>
                <w:sz w:val="18"/>
                <w:szCs w:val="18"/>
                <w:lang w:eastAsia="en-US"/>
              </w:rPr>
            </w:pPr>
            <w:r w:rsidRPr="00D749ED">
              <w:rPr>
                <w:rFonts w:cs="Arial"/>
                <w:sz w:val="18"/>
                <w:szCs w:val="18"/>
                <w:lang w:eastAsia="en-US"/>
              </w:rPr>
              <w:t xml:space="preserve">Effects on content of the active substance and technical characteristics of the biocidal product - </w:t>
            </w:r>
            <w:r w:rsidRPr="00D749ED">
              <w:rPr>
                <w:rFonts w:cs="Arial"/>
                <w:b/>
                <w:sz w:val="18"/>
                <w:szCs w:val="18"/>
                <w:lang w:eastAsia="en-US"/>
              </w:rPr>
              <w:t>light</w:t>
            </w:r>
          </w:p>
        </w:tc>
        <w:tc>
          <w:tcPr>
            <w:tcW w:w="1276" w:type="dxa"/>
            <w:vAlign w:val="center"/>
          </w:tcPr>
          <w:p w14:paraId="13DEE261" w14:textId="77777777" w:rsidR="00730670" w:rsidRPr="00D749ED" w:rsidRDefault="00730670" w:rsidP="00D749ED">
            <w:pPr>
              <w:jc w:val="center"/>
              <w:rPr>
                <w:rFonts w:cs="Arial"/>
                <w:sz w:val="18"/>
                <w:szCs w:val="18"/>
                <w:lang w:eastAsia="en-US"/>
              </w:rPr>
            </w:pPr>
          </w:p>
        </w:tc>
        <w:tc>
          <w:tcPr>
            <w:tcW w:w="1418" w:type="dxa"/>
            <w:vAlign w:val="center"/>
          </w:tcPr>
          <w:p w14:paraId="689F633A" w14:textId="77777777" w:rsidR="00730670" w:rsidRPr="00D749ED" w:rsidRDefault="00730670" w:rsidP="00D749ED">
            <w:pPr>
              <w:jc w:val="center"/>
              <w:rPr>
                <w:rFonts w:cs="Arial"/>
                <w:sz w:val="18"/>
                <w:szCs w:val="18"/>
                <w:lang w:eastAsia="en-US"/>
              </w:rPr>
            </w:pPr>
          </w:p>
        </w:tc>
        <w:tc>
          <w:tcPr>
            <w:tcW w:w="5953" w:type="dxa"/>
            <w:vAlign w:val="center"/>
          </w:tcPr>
          <w:p w14:paraId="45AE868E" w14:textId="77777777" w:rsidR="00730670" w:rsidRPr="00D749ED" w:rsidRDefault="00730670" w:rsidP="00D749ED">
            <w:pPr>
              <w:jc w:val="both"/>
              <w:rPr>
                <w:rFonts w:cs="Arial"/>
                <w:sz w:val="18"/>
                <w:szCs w:val="18"/>
                <w:lang w:eastAsia="en-US"/>
              </w:rPr>
            </w:pPr>
            <w:r w:rsidRPr="00D749ED">
              <w:rPr>
                <w:rFonts w:cs="Arial"/>
                <w:lang w:eastAsia="en-US"/>
              </w:rPr>
              <w:t>The active substance is light sensitive but the packaging is an opaque HDPE can.</w:t>
            </w:r>
          </w:p>
        </w:tc>
        <w:tc>
          <w:tcPr>
            <w:tcW w:w="567" w:type="dxa"/>
            <w:vAlign w:val="center"/>
          </w:tcPr>
          <w:p w14:paraId="536CD14C" w14:textId="77777777" w:rsidR="00730670" w:rsidRPr="00D749ED" w:rsidRDefault="00730670" w:rsidP="00D749ED">
            <w:pPr>
              <w:jc w:val="center"/>
              <w:rPr>
                <w:rFonts w:cs="Arial"/>
                <w:sz w:val="18"/>
                <w:szCs w:val="18"/>
                <w:lang w:eastAsia="en-US"/>
              </w:rPr>
            </w:pPr>
          </w:p>
        </w:tc>
        <w:tc>
          <w:tcPr>
            <w:tcW w:w="1276" w:type="dxa"/>
            <w:vAlign w:val="center"/>
          </w:tcPr>
          <w:p w14:paraId="10A6370A" w14:textId="77777777" w:rsidR="00730670" w:rsidRPr="00D749ED" w:rsidRDefault="00730670" w:rsidP="00D749ED">
            <w:pPr>
              <w:jc w:val="center"/>
              <w:rPr>
                <w:rFonts w:cs="Arial"/>
                <w:sz w:val="18"/>
                <w:szCs w:val="18"/>
                <w:lang w:eastAsia="en-US"/>
              </w:rPr>
            </w:pPr>
          </w:p>
        </w:tc>
        <w:tc>
          <w:tcPr>
            <w:tcW w:w="2198" w:type="dxa"/>
            <w:vAlign w:val="center"/>
          </w:tcPr>
          <w:p w14:paraId="539A39B9" w14:textId="77777777" w:rsidR="00730670" w:rsidRPr="00D749ED" w:rsidRDefault="00730670" w:rsidP="00D749ED">
            <w:pPr>
              <w:jc w:val="both"/>
              <w:rPr>
                <w:rFonts w:cs="Arial"/>
                <w:sz w:val="18"/>
                <w:szCs w:val="18"/>
                <w:lang w:eastAsia="en-US"/>
              </w:rPr>
            </w:pPr>
            <w:r>
              <w:rPr>
                <w:rFonts w:cs="Arial"/>
                <w:sz w:val="18"/>
                <w:szCs w:val="18"/>
                <w:lang w:eastAsia="en-US"/>
              </w:rPr>
              <w:t>Protect from direct sunlight</w:t>
            </w:r>
          </w:p>
        </w:tc>
      </w:tr>
      <w:tr w:rsidR="00730670" w:rsidRPr="00D749ED" w14:paraId="0E10460A" w14:textId="77777777" w:rsidTr="002929F9">
        <w:trPr>
          <w:trHeight w:val="88"/>
        </w:trPr>
        <w:tc>
          <w:tcPr>
            <w:tcW w:w="1771" w:type="dxa"/>
            <w:vAlign w:val="center"/>
          </w:tcPr>
          <w:p w14:paraId="057389EA" w14:textId="77777777" w:rsidR="00730670" w:rsidRPr="00D749ED" w:rsidRDefault="00730670" w:rsidP="00D749ED">
            <w:pPr>
              <w:jc w:val="center"/>
              <w:rPr>
                <w:rFonts w:cs="Arial"/>
                <w:sz w:val="18"/>
                <w:szCs w:val="18"/>
                <w:lang w:eastAsia="de-DE"/>
              </w:rPr>
            </w:pPr>
            <w:r w:rsidRPr="00D749ED">
              <w:rPr>
                <w:rFonts w:cs="Arial"/>
                <w:sz w:val="18"/>
                <w:szCs w:val="18"/>
                <w:lang w:eastAsia="de-DE"/>
              </w:rPr>
              <w:t xml:space="preserve">Effects on content of the active substance and technical characteristics of the biocidal product – </w:t>
            </w:r>
            <w:r w:rsidRPr="00D749ED">
              <w:rPr>
                <w:rFonts w:cs="Arial"/>
                <w:b/>
                <w:sz w:val="18"/>
                <w:szCs w:val="18"/>
                <w:lang w:eastAsia="de-DE"/>
              </w:rPr>
              <w:t>temperature and humidity</w:t>
            </w:r>
          </w:p>
        </w:tc>
        <w:tc>
          <w:tcPr>
            <w:tcW w:w="1276" w:type="dxa"/>
            <w:vAlign w:val="center"/>
          </w:tcPr>
          <w:p w14:paraId="3C7E9194" w14:textId="77777777" w:rsidR="00730670" w:rsidRPr="00D749ED" w:rsidRDefault="00730670" w:rsidP="00D749ED">
            <w:pPr>
              <w:jc w:val="center"/>
              <w:rPr>
                <w:rFonts w:cs="Arial"/>
                <w:sz w:val="18"/>
                <w:szCs w:val="18"/>
                <w:lang w:eastAsia="de-DE"/>
              </w:rPr>
            </w:pPr>
          </w:p>
        </w:tc>
        <w:tc>
          <w:tcPr>
            <w:tcW w:w="1418" w:type="dxa"/>
            <w:vAlign w:val="center"/>
          </w:tcPr>
          <w:p w14:paraId="5EA39DC0" w14:textId="77777777" w:rsidR="00730670" w:rsidRPr="00D749ED" w:rsidRDefault="00730670" w:rsidP="00D749ED">
            <w:pPr>
              <w:jc w:val="center"/>
              <w:rPr>
                <w:rFonts w:cs="Arial"/>
                <w:sz w:val="18"/>
                <w:szCs w:val="18"/>
                <w:lang w:eastAsia="de-DE"/>
              </w:rPr>
            </w:pPr>
          </w:p>
        </w:tc>
        <w:tc>
          <w:tcPr>
            <w:tcW w:w="5953" w:type="dxa"/>
            <w:vAlign w:val="center"/>
          </w:tcPr>
          <w:p w14:paraId="45E7B76D" w14:textId="77777777" w:rsidR="00730670" w:rsidRPr="00D749ED" w:rsidRDefault="00730670" w:rsidP="00D749ED">
            <w:pPr>
              <w:rPr>
                <w:rFonts w:cs="Arial"/>
                <w:sz w:val="18"/>
                <w:szCs w:val="18"/>
                <w:lang w:eastAsia="de-DE"/>
              </w:rPr>
            </w:pPr>
            <w:r w:rsidRPr="00D749ED">
              <w:rPr>
                <w:rFonts w:cs="Arial"/>
                <w:lang w:eastAsia="en-US"/>
              </w:rPr>
              <w:t>Not required</w:t>
            </w:r>
          </w:p>
        </w:tc>
        <w:tc>
          <w:tcPr>
            <w:tcW w:w="567" w:type="dxa"/>
            <w:vAlign w:val="center"/>
          </w:tcPr>
          <w:p w14:paraId="6574A0EB" w14:textId="77777777" w:rsidR="00730670" w:rsidRPr="00D749ED" w:rsidRDefault="00730670" w:rsidP="00D749ED">
            <w:pPr>
              <w:jc w:val="center"/>
              <w:rPr>
                <w:rFonts w:cs="Arial"/>
                <w:sz w:val="18"/>
                <w:szCs w:val="18"/>
                <w:lang w:eastAsia="de-DE"/>
              </w:rPr>
            </w:pPr>
          </w:p>
        </w:tc>
        <w:tc>
          <w:tcPr>
            <w:tcW w:w="1276" w:type="dxa"/>
            <w:vAlign w:val="center"/>
          </w:tcPr>
          <w:p w14:paraId="464E4CC9" w14:textId="77777777" w:rsidR="00730670" w:rsidRPr="00D749ED" w:rsidRDefault="00730670" w:rsidP="00D749ED">
            <w:pPr>
              <w:jc w:val="center"/>
              <w:rPr>
                <w:rFonts w:cs="Arial"/>
                <w:sz w:val="18"/>
                <w:szCs w:val="18"/>
                <w:lang w:eastAsia="de-DE"/>
              </w:rPr>
            </w:pPr>
          </w:p>
        </w:tc>
        <w:tc>
          <w:tcPr>
            <w:tcW w:w="2198" w:type="dxa"/>
            <w:vAlign w:val="center"/>
          </w:tcPr>
          <w:p w14:paraId="44E486B2" w14:textId="77777777" w:rsidR="00730670" w:rsidRPr="00D749ED" w:rsidRDefault="00730670" w:rsidP="00D749ED">
            <w:pPr>
              <w:jc w:val="both"/>
              <w:rPr>
                <w:rFonts w:cs="Arial"/>
                <w:sz w:val="18"/>
                <w:szCs w:val="18"/>
                <w:lang w:eastAsia="de-DE"/>
              </w:rPr>
            </w:pPr>
          </w:p>
        </w:tc>
      </w:tr>
      <w:tr w:rsidR="00730670" w:rsidRPr="00D749ED" w14:paraId="174BAE3F" w14:textId="77777777" w:rsidTr="002929F9">
        <w:trPr>
          <w:trHeight w:val="1044"/>
        </w:trPr>
        <w:tc>
          <w:tcPr>
            <w:tcW w:w="1771" w:type="dxa"/>
            <w:vAlign w:val="center"/>
          </w:tcPr>
          <w:p w14:paraId="215BAC46" w14:textId="77777777" w:rsidR="00730670" w:rsidRPr="00D749ED" w:rsidRDefault="00730670" w:rsidP="00D749ED">
            <w:pPr>
              <w:jc w:val="center"/>
              <w:rPr>
                <w:rFonts w:cs="Arial"/>
                <w:sz w:val="18"/>
                <w:szCs w:val="18"/>
                <w:lang w:eastAsia="de-DE"/>
              </w:rPr>
            </w:pPr>
            <w:r w:rsidRPr="00D749ED">
              <w:rPr>
                <w:rFonts w:cs="Arial"/>
                <w:sz w:val="18"/>
                <w:szCs w:val="18"/>
                <w:lang w:eastAsia="de-DE"/>
              </w:rPr>
              <w:t xml:space="preserve">Effects on content of the active substance and technical characteristics of the biocidal product - </w:t>
            </w:r>
            <w:r w:rsidRPr="00D749ED">
              <w:rPr>
                <w:rFonts w:cs="Arial"/>
                <w:b/>
                <w:sz w:val="18"/>
                <w:szCs w:val="18"/>
                <w:lang w:eastAsia="de-DE"/>
              </w:rPr>
              <w:t>reactivity towards container material</w:t>
            </w:r>
          </w:p>
        </w:tc>
        <w:tc>
          <w:tcPr>
            <w:tcW w:w="1276" w:type="dxa"/>
            <w:vAlign w:val="center"/>
          </w:tcPr>
          <w:p w14:paraId="54ECCD93" w14:textId="77777777" w:rsidR="00730670" w:rsidRPr="00D749ED" w:rsidRDefault="00730670" w:rsidP="00D749ED">
            <w:pPr>
              <w:jc w:val="center"/>
              <w:rPr>
                <w:rFonts w:cs="Arial"/>
                <w:sz w:val="18"/>
                <w:szCs w:val="18"/>
                <w:lang w:eastAsia="de-DE"/>
              </w:rPr>
            </w:pPr>
          </w:p>
        </w:tc>
        <w:tc>
          <w:tcPr>
            <w:tcW w:w="1418" w:type="dxa"/>
            <w:vAlign w:val="center"/>
          </w:tcPr>
          <w:p w14:paraId="1B975992" w14:textId="77777777" w:rsidR="00730670" w:rsidRPr="00D749ED" w:rsidRDefault="00730670" w:rsidP="00D749ED">
            <w:pPr>
              <w:jc w:val="center"/>
              <w:rPr>
                <w:rFonts w:cs="Arial"/>
                <w:sz w:val="18"/>
                <w:szCs w:val="18"/>
                <w:lang w:eastAsia="de-DE"/>
              </w:rPr>
            </w:pPr>
          </w:p>
        </w:tc>
        <w:tc>
          <w:tcPr>
            <w:tcW w:w="5953" w:type="dxa"/>
            <w:vAlign w:val="center"/>
          </w:tcPr>
          <w:p w14:paraId="1853EF5D" w14:textId="77777777" w:rsidR="00730670" w:rsidRPr="00D749ED" w:rsidRDefault="00730670" w:rsidP="00D749ED">
            <w:pPr>
              <w:rPr>
                <w:rFonts w:cs="Arial"/>
                <w:sz w:val="18"/>
                <w:szCs w:val="18"/>
                <w:lang w:eastAsia="de-DE"/>
              </w:rPr>
            </w:pPr>
            <w:r w:rsidRPr="00D749ED">
              <w:rPr>
                <w:rFonts w:cs="Arial"/>
                <w:lang w:eastAsia="en-US"/>
              </w:rPr>
              <w:t>See ”</w:t>
            </w:r>
            <w:r w:rsidRPr="00D749ED">
              <w:rPr>
                <w:rFonts w:cs="Arial"/>
                <w:lang w:eastAsia="de-DE"/>
              </w:rPr>
              <w:t xml:space="preserve">Storage stability test – </w:t>
            </w:r>
            <w:r w:rsidRPr="00D749ED">
              <w:rPr>
                <w:rFonts w:cs="Arial"/>
                <w:b/>
                <w:lang w:eastAsia="de-DE"/>
              </w:rPr>
              <w:t>long term storage at ambient temperature”</w:t>
            </w:r>
          </w:p>
        </w:tc>
        <w:tc>
          <w:tcPr>
            <w:tcW w:w="567" w:type="dxa"/>
            <w:vAlign w:val="center"/>
          </w:tcPr>
          <w:p w14:paraId="67127489" w14:textId="77777777" w:rsidR="00730670" w:rsidRPr="00D749ED" w:rsidRDefault="00730670" w:rsidP="00D749ED">
            <w:pPr>
              <w:jc w:val="center"/>
              <w:rPr>
                <w:rFonts w:cs="Arial"/>
                <w:sz w:val="18"/>
                <w:szCs w:val="18"/>
                <w:lang w:eastAsia="de-DE"/>
              </w:rPr>
            </w:pPr>
          </w:p>
        </w:tc>
        <w:tc>
          <w:tcPr>
            <w:tcW w:w="1276" w:type="dxa"/>
            <w:vAlign w:val="center"/>
          </w:tcPr>
          <w:p w14:paraId="4A0D9CFC" w14:textId="77777777" w:rsidR="00730670" w:rsidRPr="00D749ED" w:rsidRDefault="00730670" w:rsidP="00D749ED">
            <w:pPr>
              <w:jc w:val="center"/>
              <w:rPr>
                <w:rFonts w:cs="Arial"/>
                <w:sz w:val="18"/>
                <w:szCs w:val="18"/>
                <w:lang w:eastAsia="de-DE"/>
              </w:rPr>
            </w:pPr>
          </w:p>
        </w:tc>
        <w:tc>
          <w:tcPr>
            <w:tcW w:w="2198" w:type="dxa"/>
            <w:vAlign w:val="center"/>
          </w:tcPr>
          <w:p w14:paraId="074C5AFF" w14:textId="77777777" w:rsidR="00730670" w:rsidRPr="00D749ED" w:rsidRDefault="00730670" w:rsidP="00D749ED">
            <w:pPr>
              <w:jc w:val="both"/>
              <w:rPr>
                <w:rFonts w:cs="Arial"/>
                <w:sz w:val="18"/>
                <w:szCs w:val="18"/>
                <w:lang w:eastAsia="de-DE"/>
              </w:rPr>
            </w:pPr>
          </w:p>
        </w:tc>
      </w:tr>
      <w:tr w:rsidR="00730670" w:rsidRPr="00D749ED" w14:paraId="6FA7A23E" w14:textId="77777777" w:rsidTr="002929F9">
        <w:trPr>
          <w:trHeight w:val="146"/>
        </w:trPr>
        <w:tc>
          <w:tcPr>
            <w:tcW w:w="1771" w:type="dxa"/>
            <w:vAlign w:val="center"/>
          </w:tcPr>
          <w:p w14:paraId="4D6876E9" w14:textId="77777777" w:rsidR="00730670" w:rsidRPr="00D749ED" w:rsidRDefault="00730670" w:rsidP="00D749ED">
            <w:pPr>
              <w:jc w:val="center"/>
              <w:rPr>
                <w:rFonts w:cs="Arial"/>
                <w:sz w:val="18"/>
                <w:szCs w:val="18"/>
                <w:lang w:eastAsia="de-DE"/>
              </w:rPr>
            </w:pPr>
            <w:r w:rsidRPr="00D749ED">
              <w:rPr>
                <w:rFonts w:cs="Arial"/>
                <w:sz w:val="18"/>
                <w:szCs w:val="18"/>
                <w:lang w:eastAsia="de-DE"/>
              </w:rPr>
              <w:t>Wettability</w:t>
            </w:r>
          </w:p>
        </w:tc>
        <w:tc>
          <w:tcPr>
            <w:tcW w:w="1276" w:type="dxa"/>
            <w:vAlign w:val="center"/>
          </w:tcPr>
          <w:p w14:paraId="3BA6A22F" w14:textId="77777777" w:rsidR="00730670" w:rsidRPr="00D749ED" w:rsidRDefault="00730670" w:rsidP="00D749ED">
            <w:pPr>
              <w:jc w:val="center"/>
              <w:rPr>
                <w:rFonts w:cs="Arial"/>
                <w:sz w:val="18"/>
                <w:szCs w:val="18"/>
                <w:lang w:eastAsia="de-DE"/>
              </w:rPr>
            </w:pPr>
          </w:p>
        </w:tc>
        <w:tc>
          <w:tcPr>
            <w:tcW w:w="1418" w:type="dxa"/>
            <w:vAlign w:val="center"/>
          </w:tcPr>
          <w:p w14:paraId="02A8C13D" w14:textId="77777777" w:rsidR="00730670" w:rsidRPr="00D749ED" w:rsidRDefault="00730670" w:rsidP="00D749ED">
            <w:pPr>
              <w:jc w:val="center"/>
              <w:rPr>
                <w:rFonts w:cs="Arial"/>
                <w:sz w:val="18"/>
                <w:szCs w:val="18"/>
                <w:lang w:eastAsia="de-DE"/>
              </w:rPr>
            </w:pPr>
          </w:p>
        </w:tc>
        <w:tc>
          <w:tcPr>
            <w:tcW w:w="5953" w:type="dxa"/>
          </w:tcPr>
          <w:p w14:paraId="1F0A04AC" w14:textId="77777777" w:rsidR="00730670" w:rsidRPr="00D749ED" w:rsidRDefault="00730670" w:rsidP="00D749ED">
            <w:pPr>
              <w:rPr>
                <w:rFonts w:cs="Arial"/>
                <w:lang w:eastAsia="de-DE"/>
              </w:rPr>
            </w:pPr>
            <w:r w:rsidRPr="00D749ED">
              <w:rPr>
                <w:rFonts w:cs="Arial"/>
                <w:lang w:eastAsia="de-DE"/>
              </w:rPr>
              <w:t>Not relevant</w:t>
            </w:r>
          </w:p>
        </w:tc>
        <w:tc>
          <w:tcPr>
            <w:tcW w:w="567" w:type="dxa"/>
            <w:vAlign w:val="center"/>
          </w:tcPr>
          <w:p w14:paraId="5E620736" w14:textId="77777777" w:rsidR="00730670" w:rsidRPr="00D749ED" w:rsidRDefault="00730670" w:rsidP="00D749ED">
            <w:pPr>
              <w:jc w:val="center"/>
              <w:rPr>
                <w:rFonts w:cs="Arial"/>
                <w:sz w:val="18"/>
                <w:szCs w:val="18"/>
                <w:lang w:eastAsia="de-DE"/>
              </w:rPr>
            </w:pPr>
          </w:p>
        </w:tc>
        <w:tc>
          <w:tcPr>
            <w:tcW w:w="1276" w:type="dxa"/>
            <w:vAlign w:val="center"/>
          </w:tcPr>
          <w:p w14:paraId="71BB9375" w14:textId="77777777" w:rsidR="00730670" w:rsidRPr="00D749ED" w:rsidRDefault="00730670" w:rsidP="00D749ED">
            <w:pPr>
              <w:jc w:val="center"/>
              <w:rPr>
                <w:rFonts w:cs="Arial"/>
                <w:sz w:val="18"/>
                <w:szCs w:val="18"/>
                <w:lang w:eastAsia="de-DE"/>
              </w:rPr>
            </w:pPr>
          </w:p>
        </w:tc>
        <w:tc>
          <w:tcPr>
            <w:tcW w:w="2198" w:type="dxa"/>
            <w:vAlign w:val="center"/>
          </w:tcPr>
          <w:p w14:paraId="4414DE79" w14:textId="77777777" w:rsidR="00730670" w:rsidRPr="00D749ED" w:rsidRDefault="00730670" w:rsidP="00D749ED">
            <w:pPr>
              <w:jc w:val="both"/>
              <w:rPr>
                <w:rFonts w:cs="Arial"/>
                <w:sz w:val="18"/>
                <w:szCs w:val="18"/>
                <w:lang w:eastAsia="de-DE"/>
              </w:rPr>
            </w:pPr>
          </w:p>
        </w:tc>
      </w:tr>
      <w:tr w:rsidR="00730670" w:rsidRPr="00D749ED" w14:paraId="206158B7" w14:textId="77777777" w:rsidTr="002929F9">
        <w:trPr>
          <w:trHeight w:val="445"/>
        </w:trPr>
        <w:tc>
          <w:tcPr>
            <w:tcW w:w="1771" w:type="dxa"/>
            <w:vAlign w:val="center"/>
          </w:tcPr>
          <w:p w14:paraId="0D082002" w14:textId="77777777" w:rsidR="00730670" w:rsidRPr="00D749ED" w:rsidRDefault="00730670" w:rsidP="00D749ED">
            <w:pPr>
              <w:jc w:val="center"/>
              <w:rPr>
                <w:rFonts w:cs="Arial"/>
                <w:sz w:val="18"/>
                <w:szCs w:val="18"/>
                <w:lang w:eastAsia="de-DE"/>
              </w:rPr>
            </w:pPr>
            <w:r w:rsidRPr="00D749ED">
              <w:rPr>
                <w:rFonts w:cs="Arial"/>
                <w:sz w:val="18"/>
                <w:szCs w:val="18"/>
                <w:lang w:eastAsia="de-DE"/>
              </w:rPr>
              <w:t>Suspensibility, spontaneity and dispersion stability</w:t>
            </w:r>
          </w:p>
        </w:tc>
        <w:tc>
          <w:tcPr>
            <w:tcW w:w="1276" w:type="dxa"/>
            <w:vAlign w:val="center"/>
          </w:tcPr>
          <w:p w14:paraId="0BC0AD65" w14:textId="77777777" w:rsidR="00730670" w:rsidRPr="00D749ED" w:rsidRDefault="00730670" w:rsidP="00D749ED">
            <w:pPr>
              <w:jc w:val="center"/>
              <w:rPr>
                <w:rFonts w:cs="Arial"/>
                <w:sz w:val="18"/>
                <w:szCs w:val="18"/>
                <w:lang w:eastAsia="de-DE"/>
              </w:rPr>
            </w:pPr>
          </w:p>
        </w:tc>
        <w:tc>
          <w:tcPr>
            <w:tcW w:w="1418" w:type="dxa"/>
            <w:vAlign w:val="center"/>
          </w:tcPr>
          <w:p w14:paraId="79C8A5CC" w14:textId="77777777" w:rsidR="00730670" w:rsidRPr="00D749ED" w:rsidRDefault="00730670" w:rsidP="00D749ED">
            <w:pPr>
              <w:jc w:val="center"/>
              <w:rPr>
                <w:rFonts w:cs="Arial"/>
                <w:sz w:val="18"/>
                <w:szCs w:val="18"/>
                <w:lang w:eastAsia="de-DE"/>
              </w:rPr>
            </w:pPr>
          </w:p>
        </w:tc>
        <w:tc>
          <w:tcPr>
            <w:tcW w:w="5953" w:type="dxa"/>
          </w:tcPr>
          <w:p w14:paraId="218D8676" w14:textId="77777777" w:rsidR="00730670" w:rsidRPr="00D749ED" w:rsidRDefault="00730670" w:rsidP="00D749ED">
            <w:pPr>
              <w:rPr>
                <w:rFonts w:cs="Arial"/>
                <w:lang w:eastAsia="de-DE"/>
              </w:rPr>
            </w:pPr>
            <w:r w:rsidRPr="00D749ED">
              <w:rPr>
                <w:rFonts w:cs="Arial"/>
                <w:lang w:eastAsia="de-DE"/>
              </w:rPr>
              <w:t>Not relevant</w:t>
            </w:r>
          </w:p>
        </w:tc>
        <w:tc>
          <w:tcPr>
            <w:tcW w:w="567" w:type="dxa"/>
            <w:vAlign w:val="center"/>
          </w:tcPr>
          <w:p w14:paraId="4D6C2061" w14:textId="77777777" w:rsidR="00730670" w:rsidRPr="00D749ED" w:rsidRDefault="00730670" w:rsidP="00D749ED">
            <w:pPr>
              <w:jc w:val="center"/>
              <w:rPr>
                <w:rFonts w:cs="Arial"/>
                <w:sz w:val="18"/>
                <w:szCs w:val="18"/>
                <w:lang w:eastAsia="de-DE"/>
              </w:rPr>
            </w:pPr>
          </w:p>
        </w:tc>
        <w:tc>
          <w:tcPr>
            <w:tcW w:w="1276" w:type="dxa"/>
            <w:vAlign w:val="center"/>
          </w:tcPr>
          <w:p w14:paraId="4822F5F7" w14:textId="77777777" w:rsidR="00730670" w:rsidRPr="00D749ED" w:rsidRDefault="00730670" w:rsidP="00D749ED">
            <w:pPr>
              <w:jc w:val="center"/>
              <w:rPr>
                <w:rFonts w:cs="Arial"/>
                <w:sz w:val="18"/>
                <w:szCs w:val="18"/>
                <w:lang w:eastAsia="de-DE"/>
              </w:rPr>
            </w:pPr>
          </w:p>
        </w:tc>
        <w:tc>
          <w:tcPr>
            <w:tcW w:w="2198" w:type="dxa"/>
            <w:vAlign w:val="center"/>
          </w:tcPr>
          <w:p w14:paraId="0042DE93" w14:textId="77777777" w:rsidR="00730670" w:rsidRPr="00D749ED" w:rsidRDefault="00730670" w:rsidP="00D749ED">
            <w:pPr>
              <w:jc w:val="both"/>
              <w:rPr>
                <w:rFonts w:cs="Arial"/>
                <w:sz w:val="18"/>
                <w:szCs w:val="18"/>
                <w:lang w:eastAsia="de-DE"/>
              </w:rPr>
            </w:pPr>
          </w:p>
        </w:tc>
      </w:tr>
      <w:tr w:rsidR="00730670" w:rsidRPr="00D749ED" w14:paraId="5241CF9F" w14:textId="77777777" w:rsidTr="002929F9">
        <w:trPr>
          <w:trHeight w:val="299"/>
        </w:trPr>
        <w:tc>
          <w:tcPr>
            <w:tcW w:w="1771" w:type="dxa"/>
            <w:vAlign w:val="center"/>
          </w:tcPr>
          <w:p w14:paraId="51951782" w14:textId="77777777" w:rsidR="00730670" w:rsidRPr="00D749ED" w:rsidRDefault="00730670" w:rsidP="00D749ED">
            <w:pPr>
              <w:jc w:val="center"/>
              <w:rPr>
                <w:rFonts w:cs="Arial"/>
                <w:sz w:val="18"/>
                <w:szCs w:val="18"/>
                <w:lang w:eastAsia="de-DE"/>
              </w:rPr>
            </w:pPr>
            <w:r w:rsidRPr="00D749ED">
              <w:rPr>
                <w:rFonts w:cs="Arial"/>
                <w:sz w:val="18"/>
                <w:szCs w:val="18"/>
                <w:lang w:eastAsia="de-DE"/>
              </w:rPr>
              <w:t>Wet sieve analysis and dry sieve test</w:t>
            </w:r>
          </w:p>
        </w:tc>
        <w:tc>
          <w:tcPr>
            <w:tcW w:w="1276" w:type="dxa"/>
            <w:vAlign w:val="center"/>
          </w:tcPr>
          <w:p w14:paraId="5FB3B2D6" w14:textId="77777777" w:rsidR="00730670" w:rsidRPr="00D749ED" w:rsidRDefault="00730670" w:rsidP="00D749ED">
            <w:pPr>
              <w:jc w:val="center"/>
              <w:rPr>
                <w:rFonts w:cs="Arial"/>
                <w:sz w:val="18"/>
                <w:szCs w:val="18"/>
                <w:lang w:eastAsia="de-DE"/>
              </w:rPr>
            </w:pPr>
          </w:p>
        </w:tc>
        <w:tc>
          <w:tcPr>
            <w:tcW w:w="1418" w:type="dxa"/>
            <w:vAlign w:val="center"/>
          </w:tcPr>
          <w:p w14:paraId="0BE0A911" w14:textId="77777777" w:rsidR="00730670" w:rsidRPr="00D749ED" w:rsidRDefault="00730670" w:rsidP="00D749ED">
            <w:pPr>
              <w:jc w:val="center"/>
              <w:rPr>
                <w:rFonts w:cs="Arial"/>
                <w:sz w:val="18"/>
                <w:szCs w:val="18"/>
                <w:lang w:eastAsia="de-DE"/>
              </w:rPr>
            </w:pPr>
          </w:p>
        </w:tc>
        <w:tc>
          <w:tcPr>
            <w:tcW w:w="5953" w:type="dxa"/>
          </w:tcPr>
          <w:p w14:paraId="44C2A52D" w14:textId="77777777" w:rsidR="00730670" w:rsidRPr="00D749ED" w:rsidRDefault="00730670" w:rsidP="00D749ED">
            <w:pPr>
              <w:rPr>
                <w:rFonts w:cs="Arial"/>
                <w:lang w:eastAsia="de-DE"/>
              </w:rPr>
            </w:pPr>
            <w:r w:rsidRPr="00D749ED">
              <w:rPr>
                <w:rFonts w:cs="Arial"/>
                <w:lang w:eastAsia="de-DE"/>
              </w:rPr>
              <w:t>Not relevant</w:t>
            </w:r>
          </w:p>
        </w:tc>
        <w:tc>
          <w:tcPr>
            <w:tcW w:w="567" w:type="dxa"/>
            <w:vAlign w:val="center"/>
          </w:tcPr>
          <w:p w14:paraId="7A478B6E" w14:textId="77777777" w:rsidR="00730670" w:rsidRPr="00D749ED" w:rsidRDefault="00730670" w:rsidP="00D749ED">
            <w:pPr>
              <w:jc w:val="center"/>
              <w:rPr>
                <w:rFonts w:cs="Arial"/>
                <w:sz w:val="18"/>
                <w:szCs w:val="18"/>
                <w:lang w:eastAsia="de-DE"/>
              </w:rPr>
            </w:pPr>
          </w:p>
        </w:tc>
        <w:tc>
          <w:tcPr>
            <w:tcW w:w="1276" w:type="dxa"/>
            <w:vAlign w:val="center"/>
          </w:tcPr>
          <w:p w14:paraId="25BD043B" w14:textId="77777777" w:rsidR="00730670" w:rsidRPr="00D749ED" w:rsidRDefault="00730670" w:rsidP="00D749ED">
            <w:pPr>
              <w:jc w:val="center"/>
              <w:rPr>
                <w:rFonts w:cs="Arial"/>
                <w:sz w:val="18"/>
                <w:szCs w:val="18"/>
                <w:lang w:eastAsia="de-DE"/>
              </w:rPr>
            </w:pPr>
          </w:p>
        </w:tc>
        <w:tc>
          <w:tcPr>
            <w:tcW w:w="2198" w:type="dxa"/>
            <w:vAlign w:val="center"/>
          </w:tcPr>
          <w:p w14:paraId="5F581C48" w14:textId="77777777" w:rsidR="00730670" w:rsidRPr="00D749ED" w:rsidRDefault="00730670" w:rsidP="00D749ED">
            <w:pPr>
              <w:jc w:val="both"/>
              <w:rPr>
                <w:rFonts w:cs="Arial"/>
                <w:sz w:val="18"/>
                <w:szCs w:val="18"/>
                <w:lang w:eastAsia="de-DE"/>
              </w:rPr>
            </w:pPr>
          </w:p>
        </w:tc>
      </w:tr>
      <w:tr w:rsidR="00730670" w:rsidRPr="00D749ED" w14:paraId="67C43ECE" w14:textId="77777777" w:rsidTr="002929F9">
        <w:trPr>
          <w:trHeight w:val="445"/>
        </w:trPr>
        <w:tc>
          <w:tcPr>
            <w:tcW w:w="1771" w:type="dxa"/>
            <w:vAlign w:val="center"/>
          </w:tcPr>
          <w:p w14:paraId="41C6DBF5" w14:textId="77777777" w:rsidR="00730670" w:rsidRPr="00D749ED" w:rsidRDefault="00730670" w:rsidP="00D749ED">
            <w:pPr>
              <w:jc w:val="center"/>
              <w:rPr>
                <w:rFonts w:cs="Arial"/>
                <w:sz w:val="18"/>
                <w:szCs w:val="18"/>
                <w:lang w:eastAsia="de-DE"/>
              </w:rPr>
            </w:pPr>
            <w:r w:rsidRPr="00D749ED">
              <w:rPr>
                <w:rFonts w:cs="Arial"/>
                <w:sz w:val="18"/>
                <w:szCs w:val="18"/>
                <w:lang w:eastAsia="de-DE"/>
              </w:rPr>
              <w:t>Emulsifiability, re-emulsifiability and emulsion stability</w:t>
            </w:r>
          </w:p>
        </w:tc>
        <w:tc>
          <w:tcPr>
            <w:tcW w:w="1276" w:type="dxa"/>
            <w:vAlign w:val="center"/>
          </w:tcPr>
          <w:p w14:paraId="04F10DA4" w14:textId="77777777" w:rsidR="00730670" w:rsidRPr="00D749ED" w:rsidRDefault="00730670" w:rsidP="00D749ED">
            <w:pPr>
              <w:jc w:val="center"/>
              <w:rPr>
                <w:rFonts w:cs="Arial"/>
                <w:sz w:val="18"/>
                <w:szCs w:val="18"/>
                <w:lang w:eastAsia="de-DE"/>
              </w:rPr>
            </w:pPr>
          </w:p>
        </w:tc>
        <w:tc>
          <w:tcPr>
            <w:tcW w:w="1418" w:type="dxa"/>
            <w:vAlign w:val="center"/>
          </w:tcPr>
          <w:p w14:paraId="2EA4F291" w14:textId="77777777" w:rsidR="00730670" w:rsidRPr="00D749ED" w:rsidRDefault="00730670" w:rsidP="00D749ED">
            <w:pPr>
              <w:jc w:val="center"/>
              <w:rPr>
                <w:rFonts w:cs="Arial"/>
                <w:sz w:val="18"/>
                <w:szCs w:val="18"/>
                <w:lang w:eastAsia="de-DE"/>
              </w:rPr>
            </w:pPr>
          </w:p>
        </w:tc>
        <w:tc>
          <w:tcPr>
            <w:tcW w:w="5953" w:type="dxa"/>
          </w:tcPr>
          <w:p w14:paraId="08FA820A" w14:textId="77777777" w:rsidR="00730670" w:rsidRPr="00D749ED" w:rsidRDefault="00730670" w:rsidP="00D749ED">
            <w:pPr>
              <w:rPr>
                <w:rFonts w:cs="Arial"/>
                <w:lang w:eastAsia="de-DE"/>
              </w:rPr>
            </w:pPr>
            <w:r w:rsidRPr="00D749ED">
              <w:rPr>
                <w:rFonts w:cs="Arial"/>
                <w:lang w:eastAsia="de-DE"/>
              </w:rPr>
              <w:t>Not relevant</w:t>
            </w:r>
          </w:p>
        </w:tc>
        <w:tc>
          <w:tcPr>
            <w:tcW w:w="567" w:type="dxa"/>
            <w:vAlign w:val="center"/>
          </w:tcPr>
          <w:p w14:paraId="0D5B798D" w14:textId="77777777" w:rsidR="00730670" w:rsidRPr="00D749ED" w:rsidRDefault="00730670" w:rsidP="00D749ED">
            <w:pPr>
              <w:jc w:val="center"/>
              <w:rPr>
                <w:rFonts w:cs="Arial"/>
                <w:sz w:val="18"/>
                <w:szCs w:val="18"/>
                <w:lang w:eastAsia="de-DE"/>
              </w:rPr>
            </w:pPr>
          </w:p>
        </w:tc>
        <w:tc>
          <w:tcPr>
            <w:tcW w:w="1276" w:type="dxa"/>
            <w:vAlign w:val="center"/>
          </w:tcPr>
          <w:p w14:paraId="0952C761" w14:textId="77777777" w:rsidR="00730670" w:rsidRPr="00D749ED" w:rsidRDefault="00730670" w:rsidP="00D749ED">
            <w:pPr>
              <w:jc w:val="center"/>
              <w:rPr>
                <w:rFonts w:cs="Arial"/>
                <w:sz w:val="18"/>
                <w:szCs w:val="18"/>
                <w:lang w:eastAsia="de-DE"/>
              </w:rPr>
            </w:pPr>
          </w:p>
        </w:tc>
        <w:tc>
          <w:tcPr>
            <w:tcW w:w="2198" w:type="dxa"/>
            <w:vAlign w:val="center"/>
          </w:tcPr>
          <w:p w14:paraId="47B78DB5" w14:textId="77777777" w:rsidR="00730670" w:rsidRPr="00D749ED" w:rsidRDefault="00730670" w:rsidP="00D749ED">
            <w:pPr>
              <w:jc w:val="both"/>
              <w:rPr>
                <w:rFonts w:cs="Arial"/>
                <w:sz w:val="18"/>
                <w:szCs w:val="18"/>
                <w:lang w:eastAsia="de-DE"/>
              </w:rPr>
            </w:pPr>
          </w:p>
        </w:tc>
      </w:tr>
      <w:tr w:rsidR="00730670" w:rsidRPr="00D749ED" w14:paraId="3D1D2724" w14:textId="77777777" w:rsidTr="002929F9">
        <w:trPr>
          <w:trHeight w:val="146"/>
        </w:trPr>
        <w:tc>
          <w:tcPr>
            <w:tcW w:w="1771" w:type="dxa"/>
            <w:vAlign w:val="center"/>
          </w:tcPr>
          <w:p w14:paraId="6EAA4DCF" w14:textId="77777777" w:rsidR="00730670" w:rsidRPr="00D749ED" w:rsidRDefault="00730670" w:rsidP="00D749ED">
            <w:pPr>
              <w:jc w:val="center"/>
              <w:rPr>
                <w:rFonts w:cs="Arial"/>
                <w:sz w:val="18"/>
                <w:szCs w:val="18"/>
                <w:lang w:eastAsia="de-DE"/>
              </w:rPr>
            </w:pPr>
            <w:r w:rsidRPr="00D749ED">
              <w:rPr>
                <w:rFonts w:cs="Arial"/>
                <w:sz w:val="18"/>
                <w:szCs w:val="18"/>
                <w:lang w:eastAsia="de-DE"/>
              </w:rPr>
              <w:t>Disintegration time</w:t>
            </w:r>
          </w:p>
        </w:tc>
        <w:tc>
          <w:tcPr>
            <w:tcW w:w="1276" w:type="dxa"/>
            <w:vAlign w:val="center"/>
          </w:tcPr>
          <w:p w14:paraId="1677EA66" w14:textId="77777777" w:rsidR="00730670" w:rsidRPr="00D749ED" w:rsidRDefault="00730670" w:rsidP="00D749ED">
            <w:pPr>
              <w:jc w:val="center"/>
              <w:rPr>
                <w:rFonts w:cs="Arial"/>
                <w:sz w:val="18"/>
                <w:szCs w:val="18"/>
                <w:lang w:eastAsia="de-DE"/>
              </w:rPr>
            </w:pPr>
          </w:p>
        </w:tc>
        <w:tc>
          <w:tcPr>
            <w:tcW w:w="1418" w:type="dxa"/>
            <w:vAlign w:val="center"/>
          </w:tcPr>
          <w:p w14:paraId="1168099F" w14:textId="77777777" w:rsidR="00730670" w:rsidRPr="00D749ED" w:rsidRDefault="00730670" w:rsidP="00D749ED">
            <w:pPr>
              <w:jc w:val="center"/>
              <w:rPr>
                <w:rFonts w:cs="Arial"/>
                <w:sz w:val="18"/>
                <w:szCs w:val="18"/>
                <w:lang w:eastAsia="de-DE"/>
              </w:rPr>
            </w:pPr>
          </w:p>
        </w:tc>
        <w:tc>
          <w:tcPr>
            <w:tcW w:w="5953" w:type="dxa"/>
          </w:tcPr>
          <w:p w14:paraId="5F45E5F0" w14:textId="77777777" w:rsidR="00730670" w:rsidRPr="00D749ED" w:rsidRDefault="00730670" w:rsidP="00D749ED">
            <w:pPr>
              <w:rPr>
                <w:rFonts w:cs="Arial"/>
                <w:lang w:eastAsia="de-DE"/>
              </w:rPr>
            </w:pPr>
            <w:r w:rsidRPr="00D749ED">
              <w:rPr>
                <w:rFonts w:cs="Arial"/>
                <w:lang w:eastAsia="de-DE"/>
              </w:rPr>
              <w:t>Not relevant</w:t>
            </w:r>
          </w:p>
        </w:tc>
        <w:tc>
          <w:tcPr>
            <w:tcW w:w="567" w:type="dxa"/>
            <w:vAlign w:val="center"/>
          </w:tcPr>
          <w:p w14:paraId="1793057A" w14:textId="77777777" w:rsidR="00730670" w:rsidRPr="00D749ED" w:rsidRDefault="00730670" w:rsidP="00D749ED">
            <w:pPr>
              <w:jc w:val="center"/>
              <w:rPr>
                <w:rFonts w:cs="Arial"/>
                <w:sz w:val="18"/>
                <w:szCs w:val="18"/>
                <w:lang w:eastAsia="de-DE"/>
              </w:rPr>
            </w:pPr>
          </w:p>
        </w:tc>
        <w:tc>
          <w:tcPr>
            <w:tcW w:w="1276" w:type="dxa"/>
            <w:vAlign w:val="center"/>
          </w:tcPr>
          <w:p w14:paraId="7E45D243" w14:textId="77777777" w:rsidR="00730670" w:rsidRPr="00D749ED" w:rsidRDefault="00730670" w:rsidP="00D749ED">
            <w:pPr>
              <w:jc w:val="center"/>
              <w:rPr>
                <w:rFonts w:cs="Arial"/>
                <w:sz w:val="18"/>
                <w:szCs w:val="18"/>
                <w:lang w:eastAsia="de-DE"/>
              </w:rPr>
            </w:pPr>
          </w:p>
        </w:tc>
        <w:tc>
          <w:tcPr>
            <w:tcW w:w="2198" w:type="dxa"/>
            <w:vAlign w:val="center"/>
          </w:tcPr>
          <w:p w14:paraId="57A05657" w14:textId="77777777" w:rsidR="00730670" w:rsidRPr="00D749ED" w:rsidRDefault="00730670" w:rsidP="00D749ED">
            <w:pPr>
              <w:jc w:val="both"/>
              <w:rPr>
                <w:rFonts w:cs="Arial"/>
                <w:sz w:val="18"/>
                <w:szCs w:val="18"/>
                <w:lang w:eastAsia="de-DE"/>
              </w:rPr>
            </w:pPr>
          </w:p>
        </w:tc>
      </w:tr>
      <w:tr w:rsidR="00730670" w:rsidRPr="00D749ED" w14:paraId="1BCB4CC3" w14:textId="77777777" w:rsidTr="002929F9">
        <w:trPr>
          <w:trHeight w:val="599"/>
        </w:trPr>
        <w:tc>
          <w:tcPr>
            <w:tcW w:w="1771" w:type="dxa"/>
            <w:vAlign w:val="center"/>
          </w:tcPr>
          <w:p w14:paraId="22735A42" w14:textId="77777777" w:rsidR="00730670" w:rsidRPr="00D749ED" w:rsidRDefault="00730670" w:rsidP="00D749ED">
            <w:pPr>
              <w:jc w:val="center"/>
              <w:rPr>
                <w:rFonts w:cs="Arial"/>
                <w:sz w:val="18"/>
                <w:szCs w:val="18"/>
                <w:lang w:eastAsia="de-DE"/>
              </w:rPr>
            </w:pPr>
            <w:r w:rsidRPr="00D749ED">
              <w:rPr>
                <w:rFonts w:cs="Arial"/>
                <w:sz w:val="18"/>
                <w:szCs w:val="18"/>
                <w:lang w:eastAsia="de-DE"/>
              </w:rPr>
              <w:t>Particle size distribution, content of dust/fines, attrition, friability</w:t>
            </w:r>
          </w:p>
        </w:tc>
        <w:tc>
          <w:tcPr>
            <w:tcW w:w="1276" w:type="dxa"/>
            <w:vAlign w:val="center"/>
          </w:tcPr>
          <w:p w14:paraId="3E5A6913" w14:textId="77777777" w:rsidR="00730670" w:rsidRPr="00D749ED" w:rsidRDefault="00730670" w:rsidP="00D749ED">
            <w:pPr>
              <w:jc w:val="center"/>
              <w:rPr>
                <w:rFonts w:cs="Arial"/>
                <w:sz w:val="18"/>
                <w:szCs w:val="18"/>
                <w:lang w:eastAsia="de-DE"/>
              </w:rPr>
            </w:pPr>
          </w:p>
        </w:tc>
        <w:tc>
          <w:tcPr>
            <w:tcW w:w="1418" w:type="dxa"/>
            <w:vAlign w:val="center"/>
          </w:tcPr>
          <w:p w14:paraId="2D7DC23D" w14:textId="77777777" w:rsidR="00730670" w:rsidRPr="00D749ED" w:rsidRDefault="00730670" w:rsidP="00D749ED">
            <w:pPr>
              <w:jc w:val="center"/>
              <w:rPr>
                <w:rFonts w:cs="Arial"/>
                <w:sz w:val="18"/>
                <w:szCs w:val="18"/>
                <w:lang w:eastAsia="de-DE"/>
              </w:rPr>
            </w:pPr>
          </w:p>
        </w:tc>
        <w:tc>
          <w:tcPr>
            <w:tcW w:w="5953" w:type="dxa"/>
          </w:tcPr>
          <w:p w14:paraId="4C916AD0" w14:textId="77777777" w:rsidR="00730670" w:rsidRPr="00D749ED" w:rsidRDefault="00730670" w:rsidP="00D749ED">
            <w:pPr>
              <w:rPr>
                <w:rFonts w:cs="Arial"/>
                <w:lang w:eastAsia="de-DE"/>
              </w:rPr>
            </w:pPr>
            <w:r w:rsidRPr="00D749ED">
              <w:rPr>
                <w:rFonts w:cs="Arial"/>
                <w:lang w:eastAsia="de-DE"/>
              </w:rPr>
              <w:t>Not relevant</w:t>
            </w:r>
          </w:p>
        </w:tc>
        <w:tc>
          <w:tcPr>
            <w:tcW w:w="567" w:type="dxa"/>
            <w:vAlign w:val="center"/>
          </w:tcPr>
          <w:p w14:paraId="01BB8070" w14:textId="77777777" w:rsidR="00730670" w:rsidRPr="00D749ED" w:rsidRDefault="00730670" w:rsidP="00D749ED">
            <w:pPr>
              <w:jc w:val="center"/>
              <w:rPr>
                <w:rFonts w:cs="Arial"/>
                <w:sz w:val="18"/>
                <w:szCs w:val="18"/>
                <w:lang w:eastAsia="de-DE"/>
              </w:rPr>
            </w:pPr>
          </w:p>
        </w:tc>
        <w:tc>
          <w:tcPr>
            <w:tcW w:w="1276" w:type="dxa"/>
            <w:vAlign w:val="center"/>
          </w:tcPr>
          <w:p w14:paraId="113AF81F" w14:textId="77777777" w:rsidR="00730670" w:rsidRPr="00D749ED" w:rsidRDefault="00730670" w:rsidP="00D749ED">
            <w:pPr>
              <w:jc w:val="center"/>
              <w:rPr>
                <w:rFonts w:cs="Arial"/>
                <w:sz w:val="18"/>
                <w:szCs w:val="18"/>
                <w:lang w:eastAsia="de-DE"/>
              </w:rPr>
            </w:pPr>
          </w:p>
        </w:tc>
        <w:tc>
          <w:tcPr>
            <w:tcW w:w="2198" w:type="dxa"/>
            <w:vAlign w:val="center"/>
          </w:tcPr>
          <w:p w14:paraId="1E4D6FEB" w14:textId="77777777" w:rsidR="00730670" w:rsidRPr="00D749ED" w:rsidRDefault="00730670" w:rsidP="00D749ED">
            <w:pPr>
              <w:jc w:val="both"/>
              <w:rPr>
                <w:rFonts w:cs="Arial"/>
                <w:sz w:val="18"/>
                <w:szCs w:val="18"/>
                <w:lang w:eastAsia="de-DE"/>
              </w:rPr>
            </w:pPr>
          </w:p>
        </w:tc>
      </w:tr>
      <w:tr w:rsidR="00730670" w:rsidRPr="00D749ED" w14:paraId="1CB363AB" w14:textId="77777777" w:rsidTr="002929F9">
        <w:trPr>
          <w:trHeight w:val="146"/>
        </w:trPr>
        <w:tc>
          <w:tcPr>
            <w:tcW w:w="1771" w:type="dxa"/>
            <w:vAlign w:val="center"/>
          </w:tcPr>
          <w:p w14:paraId="614C85C4" w14:textId="77777777" w:rsidR="00730670" w:rsidRPr="00D749ED" w:rsidRDefault="00730670" w:rsidP="00D749ED">
            <w:pPr>
              <w:jc w:val="center"/>
              <w:rPr>
                <w:rFonts w:cs="Arial"/>
                <w:sz w:val="18"/>
                <w:szCs w:val="18"/>
                <w:lang w:eastAsia="de-DE"/>
              </w:rPr>
            </w:pPr>
            <w:r w:rsidRPr="00D749ED">
              <w:rPr>
                <w:rFonts w:cs="Arial"/>
                <w:sz w:val="18"/>
                <w:szCs w:val="18"/>
                <w:lang w:eastAsia="de-DE"/>
              </w:rPr>
              <w:t>Persistent foaming</w:t>
            </w:r>
          </w:p>
        </w:tc>
        <w:tc>
          <w:tcPr>
            <w:tcW w:w="1276" w:type="dxa"/>
            <w:vAlign w:val="center"/>
          </w:tcPr>
          <w:p w14:paraId="4FB4A17E" w14:textId="77777777" w:rsidR="00730670" w:rsidRPr="00D749ED" w:rsidRDefault="00730670" w:rsidP="00D749ED">
            <w:pPr>
              <w:jc w:val="center"/>
              <w:rPr>
                <w:rFonts w:cs="Arial"/>
                <w:sz w:val="18"/>
                <w:szCs w:val="18"/>
                <w:lang w:eastAsia="de-DE"/>
              </w:rPr>
            </w:pPr>
          </w:p>
        </w:tc>
        <w:tc>
          <w:tcPr>
            <w:tcW w:w="1418" w:type="dxa"/>
            <w:vAlign w:val="center"/>
          </w:tcPr>
          <w:p w14:paraId="5FA45130" w14:textId="77777777" w:rsidR="00730670" w:rsidRPr="00D749ED" w:rsidRDefault="00730670" w:rsidP="00D749ED">
            <w:pPr>
              <w:jc w:val="center"/>
              <w:rPr>
                <w:rFonts w:cs="Arial"/>
                <w:sz w:val="18"/>
                <w:szCs w:val="18"/>
                <w:lang w:eastAsia="de-DE"/>
              </w:rPr>
            </w:pPr>
          </w:p>
        </w:tc>
        <w:tc>
          <w:tcPr>
            <w:tcW w:w="5953" w:type="dxa"/>
            <w:vAlign w:val="center"/>
          </w:tcPr>
          <w:p w14:paraId="3DCB864A"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43EB9548" w14:textId="77777777" w:rsidR="00730670" w:rsidRPr="00D749ED" w:rsidRDefault="00730670" w:rsidP="00D749ED">
            <w:pPr>
              <w:jc w:val="center"/>
              <w:rPr>
                <w:rFonts w:cs="Arial"/>
                <w:sz w:val="18"/>
                <w:szCs w:val="18"/>
                <w:lang w:eastAsia="de-DE"/>
              </w:rPr>
            </w:pPr>
          </w:p>
        </w:tc>
        <w:tc>
          <w:tcPr>
            <w:tcW w:w="1276" w:type="dxa"/>
            <w:vAlign w:val="center"/>
          </w:tcPr>
          <w:p w14:paraId="3FCAC12D" w14:textId="77777777" w:rsidR="00730670" w:rsidRPr="00D749ED" w:rsidRDefault="00730670" w:rsidP="00D749ED">
            <w:pPr>
              <w:jc w:val="center"/>
              <w:rPr>
                <w:rFonts w:cs="Arial"/>
                <w:sz w:val="18"/>
                <w:szCs w:val="18"/>
                <w:lang w:eastAsia="de-DE"/>
              </w:rPr>
            </w:pPr>
          </w:p>
        </w:tc>
        <w:tc>
          <w:tcPr>
            <w:tcW w:w="2198" w:type="dxa"/>
            <w:vAlign w:val="center"/>
          </w:tcPr>
          <w:p w14:paraId="6061A2E7" w14:textId="77777777" w:rsidR="00730670" w:rsidRPr="00D749ED" w:rsidRDefault="00730670" w:rsidP="00D749ED">
            <w:pPr>
              <w:jc w:val="both"/>
              <w:rPr>
                <w:rFonts w:cs="Arial"/>
                <w:sz w:val="18"/>
                <w:szCs w:val="18"/>
                <w:lang w:eastAsia="de-DE"/>
              </w:rPr>
            </w:pPr>
          </w:p>
        </w:tc>
      </w:tr>
      <w:tr w:rsidR="00730670" w:rsidRPr="00D749ED" w14:paraId="779A407B" w14:textId="77777777" w:rsidTr="002929F9">
        <w:trPr>
          <w:trHeight w:val="291"/>
        </w:trPr>
        <w:tc>
          <w:tcPr>
            <w:tcW w:w="1771" w:type="dxa"/>
            <w:vAlign w:val="center"/>
          </w:tcPr>
          <w:p w14:paraId="2903523E" w14:textId="77777777" w:rsidR="00730670" w:rsidRPr="00D749ED" w:rsidRDefault="00730670" w:rsidP="00D749ED">
            <w:pPr>
              <w:jc w:val="center"/>
              <w:rPr>
                <w:rFonts w:cs="Arial"/>
                <w:sz w:val="18"/>
                <w:szCs w:val="18"/>
                <w:lang w:eastAsia="de-DE"/>
              </w:rPr>
            </w:pPr>
            <w:r w:rsidRPr="00D749ED">
              <w:rPr>
                <w:rFonts w:cs="Arial"/>
                <w:sz w:val="18"/>
                <w:szCs w:val="18"/>
                <w:lang w:eastAsia="de-DE"/>
              </w:rPr>
              <w:t>Flowability/Pourability/Dustability</w:t>
            </w:r>
          </w:p>
        </w:tc>
        <w:tc>
          <w:tcPr>
            <w:tcW w:w="1276" w:type="dxa"/>
            <w:vAlign w:val="center"/>
          </w:tcPr>
          <w:p w14:paraId="7F76D40F" w14:textId="77777777" w:rsidR="00730670" w:rsidRPr="00D749ED" w:rsidRDefault="00730670" w:rsidP="00D749ED">
            <w:pPr>
              <w:jc w:val="center"/>
              <w:rPr>
                <w:rFonts w:cs="Arial"/>
                <w:sz w:val="18"/>
                <w:szCs w:val="18"/>
                <w:lang w:eastAsia="de-DE"/>
              </w:rPr>
            </w:pPr>
          </w:p>
        </w:tc>
        <w:tc>
          <w:tcPr>
            <w:tcW w:w="1418" w:type="dxa"/>
            <w:vAlign w:val="center"/>
          </w:tcPr>
          <w:p w14:paraId="0CB244DB" w14:textId="77777777" w:rsidR="00730670" w:rsidRPr="00D749ED" w:rsidRDefault="00730670" w:rsidP="00D749ED">
            <w:pPr>
              <w:jc w:val="center"/>
              <w:rPr>
                <w:rFonts w:cs="Arial"/>
                <w:sz w:val="18"/>
                <w:szCs w:val="18"/>
                <w:lang w:eastAsia="de-DE"/>
              </w:rPr>
            </w:pPr>
          </w:p>
        </w:tc>
        <w:tc>
          <w:tcPr>
            <w:tcW w:w="5953" w:type="dxa"/>
            <w:vAlign w:val="center"/>
          </w:tcPr>
          <w:p w14:paraId="2E082D59"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0AC0741F" w14:textId="77777777" w:rsidR="00730670" w:rsidRPr="00D749ED" w:rsidRDefault="00730670" w:rsidP="00D749ED">
            <w:pPr>
              <w:jc w:val="center"/>
              <w:rPr>
                <w:rFonts w:cs="Arial"/>
                <w:sz w:val="18"/>
                <w:szCs w:val="18"/>
                <w:lang w:eastAsia="de-DE"/>
              </w:rPr>
            </w:pPr>
          </w:p>
        </w:tc>
        <w:tc>
          <w:tcPr>
            <w:tcW w:w="1276" w:type="dxa"/>
            <w:vAlign w:val="center"/>
          </w:tcPr>
          <w:p w14:paraId="14337300" w14:textId="77777777" w:rsidR="00730670" w:rsidRPr="00D749ED" w:rsidRDefault="00730670" w:rsidP="00D749ED">
            <w:pPr>
              <w:jc w:val="center"/>
              <w:rPr>
                <w:rFonts w:cs="Arial"/>
                <w:sz w:val="18"/>
                <w:szCs w:val="18"/>
                <w:lang w:eastAsia="de-DE"/>
              </w:rPr>
            </w:pPr>
          </w:p>
        </w:tc>
        <w:tc>
          <w:tcPr>
            <w:tcW w:w="2198" w:type="dxa"/>
            <w:vAlign w:val="center"/>
          </w:tcPr>
          <w:p w14:paraId="14CF8126" w14:textId="77777777" w:rsidR="00730670" w:rsidRPr="00D749ED" w:rsidRDefault="00730670" w:rsidP="00D749ED">
            <w:pPr>
              <w:jc w:val="both"/>
              <w:rPr>
                <w:rFonts w:cs="Arial"/>
                <w:sz w:val="18"/>
                <w:szCs w:val="18"/>
                <w:lang w:eastAsia="de-DE"/>
              </w:rPr>
            </w:pPr>
          </w:p>
        </w:tc>
      </w:tr>
      <w:tr w:rsidR="00730670" w:rsidRPr="00D749ED" w14:paraId="06DD6BC7" w14:textId="77777777" w:rsidTr="002929F9">
        <w:trPr>
          <w:trHeight w:val="299"/>
        </w:trPr>
        <w:tc>
          <w:tcPr>
            <w:tcW w:w="1771" w:type="dxa"/>
            <w:vAlign w:val="center"/>
          </w:tcPr>
          <w:p w14:paraId="73A898EE" w14:textId="77777777" w:rsidR="00730670" w:rsidRPr="00D749ED" w:rsidRDefault="00730670" w:rsidP="00D749ED">
            <w:pPr>
              <w:jc w:val="center"/>
              <w:rPr>
                <w:rFonts w:cs="Arial"/>
                <w:sz w:val="18"/>
                <w:szCs w:val="18"/>
                <w:lang w:eastAsia="de-DE"/>
              </w:rPr>
            </w:pPr>
            <w:r w:rsidRPr="00D749ED">
              <w:rPr>
                <w:rFonts w:cs="Arial"/>
                <w:sz w:val="18"/>
                <w:szCs w:val="18"/>
                <w:lang w:eastAsia="de-DE"/>
              </w:rPr>
              <w:t>Burning rate — smoke generators</w:t>
            </w:r>
          </w:p>
        </w:tc>
        <w:tc>
          <w:tcPr>
            <w:tcW w:w="1276" w:type="dxa"/>
            <w:vAlign w:val="center"/>
          </w:tcPr>
          <w:p w14:paraId="25FFD22E" w14:textId="77777777" w:rsidR="00730670" w:rsidRPr="00D749ED" w:rsidRDefault="00730670" w:rsidP="00D749ED">
            <w:pPr>
              <w:jc w:val="center"/>
              <w:rPr>
                <w:rFonts w:cs="Arial"/>
                <w:sz w:val="18"/>
                <w:szCs w:val="18"/>
                <w:lang w:eastAsia="de-DE"/>
              </w:rPr>
            </w:pPr>
          </w:p>
        </w:tc>
        <w:tc>
          <w:tcPr>
            <w:tcW w:w="1418" w:type="dxa"/>
            <w:vAlign w:val="center"/>
          </w:tcPr>
          <w:p w14:paraId="622F01F4" w14:textId="77777777" w:rsidR="00730670" w:rsidRPr="00D749ED" w:rsidRDefault="00730670" w:rsidP="00D749ED">
            <w:pPr>
              <w:jc w:val="center"/>
              <w:rPr>
                <w:rFonts w:cs="Arial"/>
                <w:sz w:val="18"/>
                <w:szCs w:val="18"/>
                <w:lang w:eastAsia="de-DE"/>
              </w:rPr>
            </w:pPr>
          </w:p>
        </w:tc>
        <w:tc>
          <w:tcPr>
            <w:tcW w:w="5953" w:type="dxa"/>
            <w:vAlign w:val="center"/>
          </w:tcPr>
          <w:p w14:paraId="406AE647"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6010F633" w14:textId="77777777" w:rsidR="00730670" w:rsidRPr="00D749ED" w:rsidRDefault="00730670" w:rsidP="00D749ED">
            <w:pPr>
              <w:jc w:val="center"/>
              <w:rPr>
                <w:rFonts w:cs="Arial"/>
                <w:sz w:val="18"/>
                <w:szCs w:val="18"/>
                <w:lang w:eastAsia="de-DE"/>
              </w:rPr>
            </w:pPr>
          </w:p>
        </w:tc>
        <w:tc>
          <w:tcPr>
            <w:tcW w:w="1276" w:type="dxa"/>
            <w:vAlign w:val="center"/>
          </w:tcPr>
          <w:p w14:paraId="05C1FC84" w14:textId="77777777" w:rsidR="00730670" w:rsidRPr="00D749ED" w:rsidRDefault="00730670" w:rsidP="00D749ED">
            <w:pPr>
              <w:jc w:val="center"/>
              <w:rPr>
                <w:rFonts w:cs="Arial"/>
                <w:sz w:val="18"/>
                <w:szCs w:val="18"/>
                <w:lang w:eastAsia="de-DE"/>
              </w:rPr>
            </w:pPr>
          </w:p>
        </w:tc>
        <w:tc>
          <w:tcPr>
            <w:tcW w:w="2198" w:type="dxa"/>
            <w:vAlign w:val="center"/>
          </w:tcPr>
          <w:p w14:paraId="7E00FC56" w14:textId="77777777" w:rsidR="00730670" w:rsidRPr="00D749ED" w:rsidRDefault="00730670" w:rsidP="00D749ED">
            <w:pPr>
              <w:jc w:val="both"/>
              <w:rPr>
                <w:rFonts w:cs="Arial"/>
                <w:sz w:val="18"/>
                <w:szCs w:val="18"/>
                <w:lang w:eastAsia="de-DE"/>
              </w:rPr>
            </w:pPr>
          </w:p>
        </w:tc>
      </w:tr>
      <w:tr w:rsidR="00730670" w:rsidRPr="00D749ED" w14:paraId="024999FD" w14:textId="77777777" w:rsidTr="002929F9">
        <w:trPr>
          <w:trHeight w:val="445"/>
        </w:trPr>
        <w:tc>
          <w:tcPr>
            <w:tcW w:w="1771" w:type="dxa"/>
            <w:vAlign w:val="center"/>
          </w:tcPr>
          <w:p w14:paraId="777C6092" w14:textId="77777777" w:rsidR="00730670" w:rsidRPr="00D749ED" w:rsidRDefault="00730670" w:rsidP="00D749ED">
            <w:pPr>
              <w:jc w:val="center"/>
              <w:rPr>
                <w:rFonts w:cs="Arial"/>
                <w:sz w:val="18"/>
                <w:szCs w:val="18"/>
                <w:lang w:eastAsia="de-DE"/>
              </w:rPr>
            </w:pPr>
            <w:r w:rsidRPr="00D749ED">
              <w:rPr>
                <w:rFonts w:cs="Arial"/>
                <w:sz w:val="18"/>
                <w:szCs w:val="18"/>
                <w:lang w:eastAsia="de-DE"/>
              </w:rPr>
              <w:t>Burning completeness — smoke generators</w:t>
            </w:r>
          </w:p>
        </w:tc>
        <w:tc>
          <w:tcPr>
            <w:tcW w:w="1276" w:type="dxa"/>
            <w:vAlign w:val="center"/>
          </w:tcPr>
          <w:p w14:paraId="7991B27A" w14:textId="77777777" w:rsidR="00730670" w:rsidRPr="00D749ED" w:rsidRDefault="00730670" w:rsidP="00D749ED">
            <w:pPr>
              <w:jc w:val="center"/>
              <w:rPr>
                <w:rFonts w:cs="Arial"/>
                <w:sz w:val="18"/>
                <w:szCs w:val="18"/>
                <w:lang w:eastAsia="de-DE"/>
              </w:rPr>
            </w:pPr>
          </w:p>
        </w:tc>
        <w:tc>
          <w:tcPr>
            <w:tcW w:w="1418" w:type="dxa"/>
            <w:vAlign w:val="center"/>
          </w:tcPr>
          <w:p w14:paraId="6578F2D2" w14:textId="77777777" w:rsidR="00730670" w:rsidRPr="00D749ED" w:rsidRDefault="00730670" w:rsidP="00D749ED">
            <w:pPr>
              <w:jc w:val="center"/>
              <w:rPr>
                <w:rFonts w:cs="Arial"/>
                <w:sz w:val="18"/>
                <w:szCs w:val="18"/>
                <w:lang w:eastAsia="de-DE"/>
              </w:rPr>
            </w:pPr>
          </w:p>
        </w:tc>
        <w:tc>
          <w:tcPr>
            <w:tcW w:w="5953" w:type="dxa"/>
            <w:vAlign w:val="center"/>
          </w:tcPr>
          <w:p w14:paraId="6C084FE8"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15EE6D85" w14:textId="77777777" w:rsidR="00730670" w:rsidRPr="00D749ED" w:rsidRDefault="00730670" w:rsidP="00D749ED">
            <w:pPr>
              <w:jc w:val="center"/>
              <w:rPr>
                <w:rFonts w:cs="Arial"/>
                <w:sz w:val="18"/>
                <w:szCs w:val="18"/>
                <w:lang w:eastAsia="de-DE"/>
              </w:rPr>
            </w:pPr>
          </w:p>
        </w:tc>
        <w:tc>
          <w:tcPr>
            <w:tcW w:w="1276" w:type="dxa"/>
            <w:vAlign w:val="center"/>
          </w:tcPr>
          <w:p w14:paraId="76EC5311" w14:textId="77777777" w:rsidR="00730670" w:rsidRPr="00D749ED" w:rsidRDefault="00730670" w:rsidP="00D749ED">
            <w:pPr>
              <w:jc w:val="center"/>
              <w:rPr>
                <w:rFonts w:cs="Arial"/>
                <w:sz w:val="18"/>
                <w:szCs w:val="18"/>
                <w:lang w:eastAsia="de-DE"/>
              </w:rPr>
            </w:pPr>
          </w:p>
        </w:tc>
        <w:tc>
          <w:tcPr>
            <w:tcW w:w="2198" w:type="dxa"/>
            <w:vAlign w:val="center"/>
          </w:tcPr>
          <w:p w14:paraId="633BA584" w14:textId="77777777" w:rsidR="00730670" w:rsidRPr="00D749ED" w:rsidRDefault="00730670" w:rsidP="00D749ED">
            <w:pPr>
              <w:jc w:val="both"/>
              <w:rPr>
                <w:rFonts w:cs="Arial"/>
                <w:sz w:val="18"/>
                <w:szCs w:val="18"/>
                <w:lang w:eastAsia="de-DE"/>
              </w:rPr>
            </w:pPr>
          </w:p>
        </w:tc>
      </w:tr>
      <w:tr w:rsidR="00730670" w:rsidRPr="00D749ED" w14:paraId="0536C6F7" w14:textId="77777777" w:rsidTr="002929F9">
        <w:trPr>
          <w:trHeight w:val="445"/>
        </w:trPr>
        <w:tc>
          <w:tcPr>
            <w:tcW w:w="1771" w:type="dxa"/>
            <w:vAlign w:val="center"/>
          </w:tcPr>
          <w:p w14:paraId="5CA53B00" w14:textId="77777777" w:rsidR="00730670" w:rsidRPr="00D749ED" w:rsidRDefault="00730670" w:rsidP="00D749ED">
            <w:pPr>
              <w:jc w:val="center"/>
              <w:rPr>
                <w:rFonts w:cs="Arial"/>
                <w:sz w:val="18"/>
                <w:szCs w:val="18"/>
                <w:lang w:eastAsia="de-DE"/>
              </w:rPr>
            </w:pPr>
            <w:r w:rsidRPr="00D749ED">
              <w:rPr>
                <w:rFonts w:cs="Arial"/>
                <w:sz w:val="18"/>
                <w:szCs w:val="18"/>
                <w:lang w:eastAsia="de-DE"/>
              </w:rPr>
              <w:t>Composition of smoke — smoke generators</w:t>
            </w:r>
          </w:p>
        </w:tc>
        <w:tc>
          <w:tcPr>
            <w:tcW w:w="1276" w:type="dxa"/>
            <w:vAlign w:val="center"/>
          </w:tcPr>
          <w:p w14:paraId="49D562C4" w14:textId="77777777" w:rsidR="00730670" w:rsidRPr="00D749ED" w:rsidRDefault="00730670" w:rsidP="00D749ED">
            <w:pPr>
              <w:jc w:val="center"/>
              <w:rPr>
                <w:rFonts w:cs="Arial"/>
                <w:sz w:val="18"/>
                <w:szCs w:val="18"/>
                <w:lang w:eastAsia="de-DE"/>
              </w:rPr>
            </w:pPr>
          </w:p>
        </w:tc>
        <w:tc>
          <w:tcPr>
            <w:tcW w:w="1418" w:type="dxa"/>
            <w:vAlign w:val="center"/>
          </w:tcPr>
          <w:p w14:paraId="1A3ADC09" w14:textId="77777777" w:rsidR="00730670" w:rsidRPr="00D749ED" w:rsidRDefault="00730670" w:rsidP="00D749ED">
            <w:pPr>
              <w:jc w:val="center"/>
              <w:rPr>
                <w:rFonts w:cs="Arial"/>
                <w:sz w:val="18"/>
                <w:szCs w:val="18"/>
                <w:lang w:eastAsia="de-DE"/>
              </w:rPr>
            </w:pPr>
          </w:p>
        </w:tc>
        <w:tc>
          <w:tcPr>
            <w:tcW w:w="5953" w:type="dxa"/>
            <w:vAlign w:val="center"/>
          </w:tcPr>
          <w:p w14:paraId="5F180F26"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390A0264" w14:textId="77777777" w:rsidR="00730670" w:rsidRPr="00D749ED" w:rsidRDefault="00730670" w:rsidP="00D749ED">
            <w:pPr>
              <w:jc w:val="center"/>
              <w:rPr>
                <w:rFonts w:cs="Arial"/>
                <w:sz w:val="18"/>
                <w:szCs w:val="18"/>
                <w:lang w:eastAsia="de-DE"/>
              </w:rPr>
            </w:pPr>
          </w:p>
        </w:tc>
        <w:tc>
          <w:tcPr>
            <w:tcW w:w="1276" w:type="dxa"/>
            <w:vAlign w:val="center"/>
          </w:tcPr>
          <w:p w14:paraId="500A8B25" w14:textId="77777777" w:rsidR="00730670" w:rsidRPr="00D749ED" w:rsidRDefault="00730670" w:rsidP="00D749ED">
            <w:pPr>
              <w:jc w:val="center"/>
              <w:rPr>
                <w:rFonts w:cs="Arial"/>
                <w:sz w:val="18"/>
                <w:szCs w:val="18"/>
                <w:lang w:eastAsia="de-DE"/>
              </w:rPr>
            </w:pPr>
          </w:p>
        </w:tc>
        <w:tc>
          <w:tcPr>
            <w:tcW w:w="2198" w:type="dxa"/>
            <w:vAlign w:val="center"/>
          </w:tcPr>
          <w:p w14:paraId="3F88FBF5" w14:textId="77777777" w:rsidR="00730670" w:rsidRPr="00D749ED" w:rsidRDefault="00730670" w:rsidP="00D749ED">
            <w:pPr>
              <w:jc w:val="both"/>
              <w:rPr>
                <w:rFonts w:cs="Arial"/>
                <w:sz w:val="18"/>
                <w:szCs w:val="18"/>
                <w:lang w:eastAsia="de-DE"/>
              </w:rPr>
            </w:pPr>
          </w:p>
        </w:tc>
      </w:tr>
      <w:tr w:rsidR="00730670" w:rsidRPr="00D749ED" w14:paraId="4BE8FD90" w14:textId="77777777" w:rsidTr="002929F9">
        <w:trPr>
          <w:trHeight w:val="307"/>
        </w:trPr>
        <w:tc>
          <w:tcPr>
            <w:tcW w:w="1771" w:type="dxa"/>
            <w:vAlign w:val="center"/>
          </w:tcPr>
          <w:p w14:paraId="217BA6DB" w14:textId="77777777" w:rsidR="00730670" w:rsidRPr="00D749ED" w:rsidRDefault="00730670" w:rsidP="00D749ED">
            <w:pPr>
              <w:jc w:val="center"/>
              <w:rPr>
                <w:rFonts w:cs="Arial"/>
                <w:sz w:val="18"/>
                <w:szCs w:val="18"/>
                <w:lang w:eastAsia="de-DE"/>
              </w:rPr>
            </w:pPr>
            <w:r w:rsidRPr="00D749ED">
              <w:rPr>
                <w:rFonts w:cs="Arial"/>
                <w:sz w:val="18"/>
                <w:szCs w:val="18"/>
                <w:lang w:eastAsia="de-DE"/>
              </w:rPr>
              <w:t>Spraying pattern — aerosols</w:t>
            </w:r>
          </w:p>
        </w:tc>
        <w:tc>
          <w:tcPr>
            <w:tcW w:w="1276" w:type="dxa"/>
            <w:vAlign w:val="center"/>
          </w:tcPr>
          <w:p w14:paraId="1FBCF115" w14:textId="77777777" w:rsidR="00730670" w:rsidRPr="00D749ED" w:rsidRDefault="00730670" w:rsidP="00D749ED">
            <w:pPr>
              <w:jc w:val="center"/>
              <w:rPr>
                <w:rFonts w:cs="Arial"/>
                <w:sz w:val="18"/>
                <w:szCs w:val="18"/>
                <w:lang w:eastAsia="de-DE"/>
              </w:rPr>
            </w:pPr>
          </w:p>
        </w:tc>
        <w:tc>
          <w:tcPr>
            <w:tcW w:w="1418" w:type="dxa"/>
            <w:vAlign w:val="center"/>
          </w:tcPr>
          <w:p w14:paraId="2E797E15" w14:textId="77777777" w:rsidR="00730670" w:rsidRPr="00D749ED" w:rsidRDefault="00730670" w:rsidP="00D749ED">
            <w:pPr>
              <w:jc w:val="center"/>
              <w:rPr>
                <w:rFonts w:cs="Arial"/>
                <w:sz w:val="18"/>
                <w:szCs w:val="18"/>
                <w:lang w:eastAsia="de-DE"/>
              </w:rPr>
            </w:pPr>
          </w:p>
        </w:tc>
        <w:tc>
          <w:tcPr>
            <w:tcW w:w="5953" w:type="dxa"/>
            <w:vAlign w:val="center"/>
          </w:tcPr>
          <w:p w14:paraId="05E6C21A"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00B10417" w14:textId="77777777" w:rsidR="00730670" w:rsidRPr="00D749ED" w:rsidRDefault="00730670" w:rsidP="00D749ED">
            <w:pPr>
              <w:jc w:val="center"/>
              <w:rPr>
                <w:rFonts w:cs="Arial"/>
                <w:sz w:val="18"/>
                <w:szCs w:val="18"/>
                <w:lang w:eastAsia="de-DE"/>
              </w:rPr>
            </w:pPr>
          </w:p>
        </w:tc>
        <w:tc>
          <w:tcPr>
            <w:tcW w:w="1276" w:type="dxa"/>
            <w:vAlign w:val="center"/>
          </w:tcPr>
          <w:p w14:paraId="21F69304" w14:textId="77777777" w:rsidR="00730670" w:rsidRPr="00D749ED" w:rsidRDefault="00730670" w:rsidP="00D749ED">
            <w:pPr>
              <w:jc w:val="center"/>
              <w:rPr>
                <w:rFonts w:cs="Arial"/>
                <w:sz w:val="18"/>
                <w:szCs w:val="18"/>
                <w:lang w:eastAsia="de-DE"/>
              </w:rPr>
            </w:pPr>
          </w:p>
        </w:tc>
        <w:tc>
          <w:tcPr>
            <w:tcW w:w="2198" w:type="dxa"/>
            <w:vAlign w:val="center"/>
          </w:tcPr>
          <w:p w14:paraId="0B72BDD3" w14:textId="77777777" w:rsidR="00730670" w:rsidRPr="00D749ED" w:rsidRDefault="00730670" w:rsidP="00D749ED">
            <w:pPr>
              <w:jc w:val="both"/>
              <w:rPr>
                <w:rFonts w:cs="Arial"/>
                <w:sz w:val="18"/>
                <w:szCs w:val="18"/>
                <w:lang w:eastAsia="de-DE"/>
              </w:rPr>
            </w:pPr>
          </w:p>
        </w:tc>
      </w:tr>
      <w:tr w:rsidR="00730670" w:rsidRPr="00D749ED" w14:paraId="68E3F00D" w14:textId="77777777" w:rsidTr="002929F9">
        <w:trPr>
          <w:trHeight w:val="299"/>
        </w:trPr>
        <w:tc>
          <w:tcPr>
            <w:tcW w:w="1771" w:type="dxa"/>
            <w:vAlign w:val="center"/>
          </w:tcPr>
          <w:p w14:paraId="44545E75" w14:textId="77777777" w:rsidR="00730670" w:rsidRPr="00D749ED" w:rsidRDefault="00730670" w:rsidP="00D749ED">
            <w:pPr>
              <w:jc w:val="center"/>
              <w:rPr>
                <w:rFonts w:cs="Arial"/>
                <w:sz w:val="18"/>
                <w:szCs w:val="18"/>
                <w:lang w:eastAsia="de-DE"/>
              </w:rPr>
            </w:pPr>
            <w:r w:rsidRPr="00D749ED">
              <w:rPr>
                <w:rFonts w:cs="Arial"/>
                <w:sz w:val="18"/>
                <w:szCs w:val="18"/>
                <w:lang w:eastAsia="de-DE"/>
              </w:rPr>
              <w:t>Physical compatibility</w:t>
            </w:r>
          </w:p>
        </w:tc>
        <w:tc>
          <w:tcPr>
            <w:tcW w:w="1276" w:type="dxa"/>
            <w:vAlign w:val="center"/>
          </w:tcPr>
          <w:p w14:paraId="73B88844" w14:textId="77777777" w:rsidR="00730670" w:rsidRPr="00D749ED" w:rsidRDefault="00730670" w:rsidP="00D749ED">
            <w:pPr>
              <w:jc w:val="center"/>
              <w:rPr>
                <w:rFonts w:cs="Arial"/>
                <w:sz w:val="18"/>
                <w:szCs w:val="18"/>
                <w:lang w:eastAsia="de-DE"/>
              </w:rPr>
            </w:pPr>
          </w:p>
        </w:tc>
        <w:tc>
          <w:tcPr>
            <w:tcW w:w="1418" w:type="dxa"/>
            <w:vAlign w:val="center"/>
          </w:tcPr>
          <w:p w14:paraId="095089C6" w14:textId="77777777" w:rsidR="00730670" w:rsidRPr="00D749ED" w:rsidRDefault="00730670" w:rsidP="00D749ED">
            <w:pPr>
              <w:jc w:val="center"/>
              <w:rPr>
                <w:rFonts w:cs="Arial"/>
                <w:sz w:val="18"/>
                <w:szCs w:val="18"/>
                <w:lang w:eastAsia="de-DE"/>
              </w:rPr>
            </w:pPr>
          </w:p>
        </w:tc>
        <w:tc>
          <w:tcPr>
            <w:tcW w:w="5953" w:type="dxa"/>
            <w:vAlign w:val="center"/>
          </w:tcPr>
          <w:p w14:paraId="71C22826"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408B34FD" w14:textId="77777777" w:rsidR="00730670" w:rsidRPr="00D749ED" w:rsidRDefault="00730670" w:rsidP="00D749ED">
            <w:pPr>
              <w:jc w:val="center"/>
              <w:rPr>
                <w:rFonts w:cs="Arial"/>
                <w:sz w:val="18"/>
                <w:szCs w:val="18"/>
                <w:lang w:eastAsia="de-DE"/>
              </w:rPr>
            </w:pPr>
          </w:p>
        </w:tc>
        <w:tc>
          <w:tcPr>
            <w:tcW w:w="1276" w:type="dxa"/>
            <w:vAlign w:val="center"/>
          </w:tcPr>
          <w:p w14:paraId="377C9910" w14:textId="77777777" w:rsidR="00730670" w:rsidRPr="00D749ED" w:rsidRDefault="00730670" w:rsidP="00D749ED">
            <w:pPr>
              <w:jc w:val="center"/>
              <w:rPr>
                <w:rFonts w:cs="Arial"/>
                <w:sz w:val="18"/>
                <w:szCs w:val="18"/>
                <w:lang w:eastAsia="de-DE"/>
              </w:rPr>
            </w:pPr>
          </w:p>
        </w:tc>
        <w:tc>
          <w:tcPr>
            <w:tcW w:w="2198" w:type="dxa"/>
            <w:vAlign w:val="center"/>
          </w:tcPr>
          <w:p w14:paraId="4208DBC5" w14:textId="77777777" w:rsidR="00730670" w:rsidRPr="00D749ED" w:rsidRDefault="00730670" w:rsidP="00D749ED">
            <w:pPr>
              <w:jc w:val="both"/>
              <w:rPr>
                <w:rFonts w:cs="Arial"/>
                <w:sz w:val="18"/>
                <w:szCs w:val="18"/>
                <w:lang w:eastAsia="de-DE"/>
              </w:rPr>
            </w:pPr>
          </w:p>
        </w:tc>
      </w:tr>
      <w:tr w:rsidR="00730670" w:rsidRPr="00D749ED" w14:paraId="48AF3388" w14:textId="77777777" w:rsidTr="002929F9">
        <w:trPr>
          <w:trHeight w:val="299"/>
        </w:trPr>
        <w:tc>
          <w:tcPr>
            <w:tcW w:w="1771" w:type="dxa"/>
            <w:vAlign w:val="center"/>
          </w:tcPr>
          <w:p w14:paraId="0B7D1A9D" w14:textId="77777777" w:rsidR="00730670" w:rsidRPr="00D749ED" w:rsidRDefault="00730670" w:rsidP="00D749ED">
            <w:pPr>
              <w:jc w:val="center"/>
              <w:rPr>
                <w:rFonts w:cs="Arial"/>
                <w:sz w:val="18"/>
                <w:szCs w:val="18"/>
                <w:lang w:eastAsia="de-DE"/>
              </w:rPr>
            </w:pPr>
            <w:r w:rsidRPr="00D749ED">
              <w:rPr>
                <w:rFonts w:cs="Arial"/>
                <w:sz w:val="18"/>
                <w:szCs w:val="18"/>
                <w:lang w:eastAsia="de-DE"/>
              </w:rPr>
              <w:lastRenderedPageBreak/>
              <w:t>Chemical compatibility</w:t>
            </w:r>
          </w:p>
        </w:tc>
        <w:tc>
          <w:tcPr>
            <w:tcW w:w="1276" w:type="dxa"/>
            <w:vAlign w:val="center"/>
          </w:tcPr>
          <w:p w14:paraId="59729E20" w14:textId="77777777" w:rsidR="00730670" w:rsidRPr="00D749ED" w:rsidRDefault="00730670" w:rsidP="00D749ED">
            <w:pPr>
              <w:jc w:val="center"/>
              <w:rPr>
                <w:rFonts w:cs="Arial"/>
                <w:sz w:val="18"/>
                <w:szCs w:val="18"/>
                <w:lang w:eastAsia="de-DE"/>
              </w:rPr>
            </w:pPr>
          </w:p>
        </w:tc>
        <w:tc>
          <w:tcPr>
            <w:tcW w:w="1418" w:type="dxa"/>
            <w:vAlign w:val="center"/>
          </w:tcPr>
          <w:p w14:paraId="1D290818" w14:textId="77777777" w:rsidR="00730670" w:rsidRPr="00D749ED" w:rsidRDefault="00730670" w:rsidP="00D749ED">
            <w:pPr>
              <w:jc w:val="center"/>
              <w:rPr>
                <w:rFonts w:cs="Arial"/>
                <w:sz w:val="18"/>
                <w:szCs w:val="18"/>
                <w:lang w:eastAsia="de-DE"/>
              </w:rPr>
            </w:pPr>
          </w:p>
        </w:tc>
        <w:tc>
          <w:tcPr>
            <w:tcW w:w="5953" w:type="dxa"/>
            <w:vAlign w:val="center"/>
          </w:tcPr>
          <w:p w14:paraId="4A284BB9"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06EDCB3B" w14:textId="77777777" w:rsidR="00730670" w:rsidRPr="00D749ED" w:rsidRDefault="00730670" w:rsidP="00D749ED">
            <w:pPr>
              <w:jc w:val="center"/>
              <w:rPr>
                <w:rFonts w:cs="Arial"/>
                <w:sz w:val="18"/>
                <w:szCs w:val="18"/>
                <w:lang w:eastAsia="de-DE"/>
              </w:rPr>
            </w:pPr>
          </w:p>
        </w:tc>
        <w:tc>
          <w:tcPr>
            <w:tcW w:w="1276" w:type="dxa"/>
            <w:vAlign w:val="center"/>
          </w:tcPr>
          <w:p w14:paraId="6B9A53CC" w14:textId="77777777" w:rsidR="00730670" w:rsidRPr="00D749ED" w:rsidRDefault="00730670" w:rsidP="00D749ED">
            <w:pPr>
              <w:jc w:val="center"/>
              <w:rPr>
                <w:rFonts w:cs="Arial"/>
                <w:sz w:val="18"/>
                <w:szCs w:val="18"/>
                <w:lang w:eastAsia="de-DE"/>
              </w:rPr>
            </w:pPr>
          </w:p>
        </w:tc>
        <w:tc>
          <w:tcPr>
            <w:tcW w:w="2198" w:type="dxa"/>
            <w:vAlign w:val="center"/>
          </w:tcPr>
          <w:p w14:paraId="1A8DB03F" w14:textId="77777777" w:rsidR="00730670" w:rsidRPr="00D749ED" w:rsidRDefault="00730670" w:rsidP="00D749ED">
            <w:pPr>
              <w:jc w:val="both"/>
              <w:rPr>
                <w:rFonts w:cs="Arial"/>
                <w:sz w:val="18"/>
                <w:szCs w:val="18"/>
                <w:lang w:eastAsia="de-DE"/>
              </w:rPr>
            </w:pPr>
          </w:p>
        </w:tc>
      </w:tr>
      <w:tr w:rsidR="00730670" w:rsidRPr="00D749ED" w14:paraId="4B9F76CF" w14:textId="77777777" w:rsidTr="002929F9">
        <w:trPr>
          <w:trHeight w:val="291"/>
        </w:trPr>
        <w:tc>
          <w:tcPr>
            <w:tcW w:w="1771" w:type="dxa"/>
            <w:vAlign w:val="center"/>
          </w:tcPr>
          <w:p w14:paraId="0458CFA9" w14:textId="77777777" w:rsidR="00730670" w:rsidRPr="00D749ED" w:rsidRDefault="00730670" w:rsidP="00D749ED">
            <w:pPr>
              <w:jc w:val="center"/>
              <w:rPr>
                <w:rFonts w:cs="Arial"/>
                <w:sz w:val="18"/>
                <w:szCs w:val="18"/>
                <w:lang w:eastAsia="de-DE"/>
              </w:rPr>
            </w:pPr>
            <w:r w:rsidRPr="00D749ED">
              <w:rPr>
                <w:rFonts w:cs="Arial"/>
                <w:sz w:val="18"/>
                <w:szCs w:val="18"/>
                <w:lang w:eastAsia="de-DE"/>
              </w:rPr>
              <w:t>Degree of dissolution and dilution stability</w:t>
            </w:r>
          </w:p>
        </w:tc>
        <w:tc>
          <w:tcPr>
            <w:tcW w:w="1276" w:type="dxa"/>
            <w:vAlign w:val="center"/>
          </w:tcPr>
          <w:p w14:paraId="5E234568" w14:textId="77777777" w:rsidR="00730670" w:rsidRPr="00D749ED" w:rsidRDefault="00730670" w:rsidP="00D749ED">
            <w:pPr>
              <w:jc w:val="center"/>
              <w:rPr>
                <w:rFonts w:cs="Arial"/>
                <w:sz w:val="18"/>
                <w:szCs w:val="18"/>
                <w:lang w:eastAsia="de-DE"/>
              </w:rPr>
            </w:pPr>
          </w:p>
        </w:tc>
        <w:tc>
          <w:tcPr>
            <w:tcW w:w="1418" w:type="dxa"/>
            <w:vAlign w:val="center"/>
          </w:tcPr>
          <w:p w14:paraId="0A2A9DC5" w14:textId="77777777" w:rsidR="00730670" w:rsidRPr="00D749ED" w:rsidRDefault="00730670" w:rsidP="00D749ED">
            <w:pPr>
              <w:jc w:val="center"/>
              <w:rPr>
                <w:rFonts w:cs="Arial"/>
                <w:sz w:val="18"/>
                <w:szCs w:val="18"/>
                <w:lang w:eastAsia="de-DE"/>
              </w:rPr>
            </w:pPr>
          </w:p>
        </w:tc>
        <w:tc>
          <w:tcPr>
            <w:tcW w:w="5953" w:type="dxa"/>
            <w:vAlign w:val="center"/>
          </w:tcPr>
          <w:p w14:paraId="1FF35321" w14:textId="77777777" w:rsidR="00730670" w:rsidRPr="00D749ED" w:rsidRDefault="00730670" w:rsidP="00D749ED">
            <w:pPr>
              <w:rPr>
                <w:rFonts w:cs="Arial"/>
                <w:sz w:val="18"/>
                <w:szCs w:val="18"/>
                <w:lang w:eastAsia="de-DE"/>
              </w:rPr>
            </w:pPr>
            <w:r w:rsidRPr="00D749ED">
              <w:rPr>
                <w:rFonts w:cs="Arial"/>
                <w:lang w:eastAsia="de-DE"/>
              </w:rPr>
              <w:t>Not relevant</w:t>
            </w:r>
          </w:p>
        </w:tc>
        <w:tc>
          <w:tcPr>
            <w:tcW w:w="567" w:type="dxa"/>
            <w:vAlign w:val="center"/>
          </w:tcPr>
          <w:p w14:paraId="54C8D42E" w14:textId="77777777" w:rsidR="00730670" w:rsidRPr="00D749ED" w:rsidRDefault="00730670" w:rsidP="00D749ED">
            <w:pPr>
              <w:jc w:val="center"/>
              <w:rPr>
                <w:rFonts w:cs="Arial"/>
                <w:sz w:val="18"/>
                <w:szCs w:val="18"/>
                <w:lang w:eastAsia="de-DE"/>
              </w:rPr>
            </w:pPr>
          </w:p>
        </w:tc>
        <w:tc>
          <w:tcPr>
            <w:tcW w:w="1276" w:type="dxa"/>
            <w:vAlign w:val="center"/>
          </w:tcPr>
          <w:p w14:paraId="3780D595" w14:textId="77777777" w:rsidR="00730670" w:rsidRPr="00D749ED" w:rsidRDefault="00730670" w:rsidP="00D749ED">
            <w:pPr>
              <w:jc w:val="center"/>
              <w:rPr>
                <w:rFonts w:cs="Arial"/>
                <w:sz w:val="18"/>
                <w:szCs w:val="18"/>
                <w:lang w:eastAsia="de-DE"/>
              </w:rPr>
            </w:pPr>
          </w:p>
        </w:tc>
        <w:tc>
          <w:tcPr>
            <w:tcW w:w="2198" w:type="dxa"/>
            <w:vAlign w:val="center"/>
          </w:tcPr>
          <w:p w14:paraId="648E8C0B" w14:textId="77777777" w:rsidR="00730670" w:rsidRPr="00D749ED" w:rsidRDefault="00730670" w:rsidP="00D749ED">
            <w:pPr>
              <w:jc w:val="both"/>
              <w:rPr>
                <w:rFonts w:cs="Arial"/>
                <w:sz w:val="18"/>
                <w:szCs w:val="18"/>
                <w:lang w:eastAsia="de-DE"/>
              </w:rPr>
            </w:pPr>
          </w:p>
        </w:tc>
      </w:tr>
      <w:tr w:rsidR="00730670" w:rsidRPr="00D749ED" w14:paraId="0897CCDF" w14:textId="77777777" w:rsidTr="002929F9">
        <w:trPr>
          <w:trHeight w:val="146"/>
        </w:trPr>
        <w:tc>
          <w:tcPr>
            <w:tcW w:w="1771" w:type="dxa"/>
            <w:vAlign w:val="center"/>
          </w:tcPr>
          <w:p w14:paraId="3F9DC3DB" w14:textId="77777777" w:rsidR="00730670" w:rsidRPr="00D749ED" w:rsidRDefault="00730670" w:rsidP="00D749ED">
            <w:pPr>
              <w:jc w:val="center"/>
              <w:rPr>
                <w:rFonts w:cs="Arial"/>
                <w:sz w:val="18"/>
                <w:szCs w:val="18"/>
                <w:lang w:eastAsia="de-DE"/>
              </w:rPr>
            </w:pPr>
            <w:r w:rsidRPr="00D749ED">
              <w:rPr>
                <w:rFonts w:cs="Arial"/>
                <w:sz w:val="18"/>
                <w:szCs w:val="18"/>
                <w:lang w:eastAsia="de-DE"/>
              </w:rPr>
              <w:t>Surface tension</w:t>
            </w:r>
          </w:p>
        </w:tc>
        <w:tc>
          <w:tcPr>
            <w:tcW w:w="1276" w:type="dxa"/>
            <w:vAlign w:val="center"/>
          </w:tcPr>
          <w:p w14:paraId="226F8E8A" w14:textId="77777777" w:rsidR="00730670" w:rsidRPr="00D749ED" w:rsidRDefault="00730670" w:rsidP="00D749ED">
            <w:pPr>
              <w:jc w:val="center"/>
              <w:rPr>
                <w:rFonts w:cs="Arial"/>
                <w:sz w:val="18"/>
                <w:szCs w:val="18"/>
                <w:lang w:val="fr-FR" w:eastAsia="de-DE"/>
              </w:rPr>
            </w:pPr>
            <w:r w:rsidRPr="00D749ED">
              <w:rPr>
                <w:rFonts w:cs="Arial"/>
                <w:sz w:val="18"/>
                <w:szCs w:val="18"/>
                <w:lang w:val="fr-FR" w:eastAsia="de-DE"/>
              </w:rPr>
              <w:t>EC A5</w:t>
            </w:r>
          </w:p>
        </w:tc>
        <w:tc>
          <w:tcPr>
            <w:tcW w:w="1418" w:type="dxa"/>
            <w:vAlign w:val="center"/>
          </w:tcPr>
          <w:p w14:paraId="2CBBFFC7" w14:textId="77777777" w:rsidR="00730670" w:rsidRPr="00D749ED" w:rsidRDefault="00730670" w:rsidP="00D749ED">
            <w:pPr>
              <w:jc w:val="center"/>
              <w:rPr>
                <w:rFonts w:cs="Arial"/>
                <w:sz w:val="18"/>
                <w:szCs w:val="18"/>
                <w:lang w:eastAsia="de-DE"/>
              </w:rPr>
            </w:pPr>
            <w:r w:rsidRPr="00D749ED">
              <w:rPr>
                <w:rFonts w:cs="Arial"/>
                <w:sz w:val="18"/>
                <w:szCs w:val="18"/>
                <w:lang w:eastAsia="de-DE"/>
              </w:rPr>
              <w:t>IODIGUARD</w:t>
            </w:r>
          </w:p>
          <w:p w14:paraId="43503F3F" w14:textId="77777777" w:rsidR="00730670" w:rsidRPr="00D749ED" w:rsidRDefault="00730670" w:rsidP="00D749ED">
            <w:pPr>
              <w:jc w:val="center"/>
              <w:rPr>
                <w:rFonts w:cs="Arial"/>
                <w:sz w:val="18"/>
                <w:szCs w:val="18"/>
                <w:lang w:eastAsia="de-DE"/>
              </w:rPr>
            </w:pPr>
            <w:r w:rsidRPr="00D749ED">
              <w:rPr>
                <w:rFonts w:cs="Arial"/>
                <w:sz w:val="18"/>
                <w:szCs w:val="18"/>
                <w:lang w:eastAsia="de-DE"/>
              </w:rPr>
              <w:t>Batch 26230415001</w:t>
            </w:r>
          </w:p>
        </w:tc>
        <w:tc>
          <w:tcPr>
            <w:tcW w:w="5953" w:type="dxa"/>
            <w:vAlign w:val="center"/>
          </w:tcPr>
          <w:p w14:paraId="78973870" w14:textId="77777777" w:rsidR="00730670" w:rsidRPr="00D749ED" w:rsidRDefault="00730670" w:rsidP="00D749ED">
            <w:pPr>
              <w:rPr>
                <w:rFonts w:cs="Arial"/>
                <w:sz w:val="18"/>
                <w:szCs w:val="18"/>
                <w:lang w:eastAsia="de-DE"/>
              </w:rPr>
            </w:pPr>
            <w:r w:rsidRPr="00D749ED">
              <w:rPr>
                <w:rFonts w:cs="Arial"/>
                <w:szCs w:val="16"/>
                <w:lang w:eastAsia="de-DE"/>
              </w:rPr>
              <w:t>63.7 to 64.0 mN/m (1g/L)</w:t>
            </w:r>
          </w:p>
        </w:tc>
        <w:tc>
          <w:tcPr>
            <w:tcW w:w="567" w:type="dxa"/>
            <w:vAlign w:val="center"/>
          </w:tcPr>
          <w:p w14:paraId="5C5D17BF" w14:textId="77777777" w:rsidR="00730670" w:rsidRPr="00D749ED" w:rsidRDefault="00730670" w:rsidP="00D749ED">
            <w:pPr>
              <w:jc w:val="center"/>
              <w:rPr>
                <w:rFonts w:cs="Arial"/>
                <w:sz w:val="18"/>
                <w:szCs w:val="18"/>
                <w:lang w:eastAsia="de-DE"/>
              </w:rPr>
            </w:pPr>
            <w:r w:rsidRPr="00D749ED">
              <w:rPr>
                <w:rFonts w:cs="Arial"/>
                <w:sz w:val="18"/>
                <w:szCs w:val="18"/>
                <w:lang w:eastAsia="de-DE"/>
              </w:rPr>
              <w:t>Y</w:t>
            </w:r>
          </w:p>
        </w:tc>
        <w:tc>
          <w:tcPr>
            <w:tcW w:w="1276" w:type="dxa"/>
            <w:vAlign w:val="center"/>
          </w:tcPr>
          <w:p w14:paraId="7A64EC59" w14:textId="77777777" w:rsidR="00730670" w:rsidRPr="00D749ED" w:rsidRDefault="00730670" w:rsidP="00D749ED">
            <w:pPr>
              <w:rPr>
                <w:rFonts w:cs="Arial"/>
                <w:sz w:val="18"/>
                <w:szCs w:val="18"/>
                <w:lang w:eastAsia="de-DE"/>
              </w:rPr>
            </w:pPr>
            <w:r w:rsidRPr="0072604A">
              <w:rPr>
                <w:rFonts w:cs="Arial"/>
                <w:sz w:val="18"/>
                <w:szCs w:val="18"/>
                <w:highlight w:val="yellow"/>
                <w:lang w:eastAsia="de-DE"/>
              </w:rPr>
              <w:t>A.J. Wooley</w:t>
            </w:r>
            <w:r w:rsidRPr="00D749ED">
              <w:rPr>
                <w:rFonts w:cs="Arial"/>
                <w:sz w:val="18"/>
                <w:szCs w:val="18"/>
                <w:lang w:eastAsia="de-DE"/>
              </w:rPr>
              <w:t>, 2015</w:t>
            </w:r>
          </w:p>
          <w:p w14:paraId="0CCC1D1A" w14:textId="77777777" w:rsidR="00730670" w:rsidRPr="00D749ED" w:rsidRDefault="00730670" w:rsidP="00D749ED">
            <w:pPr>
              <w:rPr>
                <w:rFonts w:cs="Arial"/>
                <w:sz w:val="18"/>
                <w:szCs w:val="18"/>
                <w:lang w:eastAsia="de-DE"/>
              </w:rPr>
            </w:pPr>
            <w:r w:rsidRPr="00D749ED">
              <w:rPr>
                <w:rFonts w:cs="Arial"/>
                <w:sz w:val="18"/>
                <w:szCs w:val="18"/>
                <w:lang w:eastAsia="de-DE"/>
              </w:rPr>
              <w:t>Report N°41500716</w:t>
            </w:r>
          </w:p>
        </w:tc>
        <w:tc>
          <w:tcPr>
            <w:tcW w:w="2198" w:type="dxa"/>
            <w:vAlign w:val="center"/>
          </w:tcPr>
          <w:p w14:paraId="0D853136" w14:textId="77777777" w:rsidR="00730670" w:rsidRPr="00D749ED" w:rsidRDefault="00730670" w:rsidP="00D749ED">
            <w:pPr>
              <w:jc w:val="both"/>
              <w:rPr>
                <w:rFonts w:cs="Arial"/>
                <w:sz w:val="18"/>
                <w:szCs w:val="18"/>
                <w:lang w:eastAsia="de-DE"/>
              </w:rPr>
            </w:pPr>
            <w:r w:rsidRPr="00D749ED">
              <w:rPr>
                <w:rFonts w:cs="Arial"/>
                <w:sz w:val="18"/>
                <w:szCs w:val="18"/>
                <w:lang w:eastAsia="de-DE"/>
              </w:rPr>
              <w:t>Acceptable</w:t>
            </w:r>
          </w:p>
          <w:p w14:paraId="49BD9206" w14:textId="77777777" w:rsidR="00730670" w:rsidRPr="00D749ED" w:rsidRDefault="00730670" w:rsidP="00D749ED">
            <w:pPr>
              <w:jc w:val="both"/>
              <w:rPr>
                <w:rFonts w:cs="Arial"/>
                <w:sz w:val="18"/>
                <w:szCs w:val="18"/>
                <w:lang w:eastAsia="de-DE"/>
              </w:rPr>
            </w:pPr>
            <w:r w:rsidRPr="00D749ED">
              <w:rPr>
                <w:rFonts w:cs="Arial"/>
                <w:sz w:val="18"/>
                <w:szCs w:val="18"/>
                <w:lang w:eastAsia="de-DE"/>
              </w:rPr>
              <w:t>Not surface active product.</w:t>
            </w:r>
          </w:p>
        </w:tc>
      </w:tr>
      <w:tr w:rsidR="00730670" w:rsidRPr="00D749ED" w14:paraId="0A8FF7FE" w14:textId="77777777" w:rsidTr="002929F9">
        <w:trPr>
          <w:trHeight w:val="153"/>
        </w:trPr>
        <w:tc>
          <w:tcPr>
            <w:tcW w:w="1771" w:type="dxa"/>
            <w:vAlign w:val="center"/>
          </w:tcPr>
          <w:p w14:paraId="429B2E93" w14:textId="77777777" w:rsidR="00730670" w:rsidRPr="00D749ED" w:rsidRDefault="00730670" w:rsidP="00D749ED">
            <w:pPr>
              <w:jc w:val="center"/>
              <w:rPr>
                <w:rFonts w:cs="Arial"/>
                <w:sz w:val="18"/>
                <w:szCs w:val="18"/>
                <w:lang w:eastAsia="de-DE"/>
              </w:rPr>
            </w:pPr>
            <w:r w:rsidRPr="00D749ED">
              <w:rPr>
                <w:rFonts w:cs="Arial"/>
                <w:sz w:val="18"/>
                <w:szCs w:val="18"/>
                <w:lang w:eastAsia="de-DE"/>
              </w:rPr>
              <w:t>Viscosity</w:t>
            </w:r>
          </w:p>
        </w:tc>
        <w:tc>
          <w:tcPr>
            <w:tcW w:w="1276" w:type="dxa"/>
            <w:vAlign w:val="center"/>
          </w:tcPr>
          <w:p w14:paraId="565693A5" w14:textId="77777777" w:rsidR="00730670" w:rsidRPr="00D749ED" w:rsidRDefault="00730670" w:rsidP="00D749ED">
            <w:pPr>
              <w:jc w:val="center"/>
              <w:rPr>
                <w:rFonts w:cs="Arial"/>
                <w:sz w:val="18"/>
                <w:szCs w:val="18"/>
                <w:lang w:val="fr-FR" w:eastAsia="de-DE"/>
              </w:rPr>
            </w:pPr>
            <w:r w:rsidRPr="00D749ED">
              <w:rPr>
                <w:rFonts w:cs="Arial"/>
                <w:sz w:val="18"/>
                <w:szCs w:val="18"/>
                <w:lang w:val="fr-FR" w:eastAsia="de-DE"/>
              </w:rPr>
              <w:t>OECD 114</w:t>
            </w:r>
          </w:p>
        </w:tc>
        <w:tc>
          <w:tcPr>
            <w:tcW w:w="1418" w:type="dxa"/>
            <w:vAlign w:val="center"/>
          </w:tcPr>
          <w:p w14:paraId="526AFD67" w14:textId="77777777" w:rsidR="00730670" w:rsidRPr="00D749ED" w:rsidRDefault="00730670" w:rsidP="00D749ED">
            <w:pPr>
              <w:jc w:val="center"/>
              <w:rPr>
                <w:rFonts w:cs="Arial"/>
                <w:sz w:val="18"/>
                <w:szCs w:val="18"/>
                <w:lang w:eastAsia="de-DE"/>
              </w:rPr>
            </w:pPr>
            <w:r w:rsidRPr="00D749ED">
              <w:rPr>
                <w:rFonts w:cs="Arial"/>
                <w:sz w:val="18"/>
                <w:szCs w:val="18"/>
                <w:lang w:eastAsia="de-DE"/>
              </w:rPr>
              <w:t>IODIGUARD</w:t>
            </w:r>
          </w:p>
          <w:p w14:paraId="6D8837CD" w14:textId="77777777" w:rsidR="00730670" w:rsidRPr="00D749ED" w:rsidRDefault="00730670" w:rsidP="00D749ED">
            <w:pPr>
              <w:jc w:val="center"/>
              <w:rPr>
                <w:rFonts w:cs="Arial"/>
                <w:sz w:val="18"/>
                <w:szCs w:val="18"/>
                <w:lang w:eastAsia="de-DE"/>
              </w:rPr>
            </w:pPr>
            <w:r w:rsidRPr="00D749ED">
              <w:rPr>
                <w:rFonts w:cs="Arial"/>
                <w:sz w:val="18"/>
                <w:szCs w:val="18"/>
                <w:lang w:eastAsia="de-DE"/>
              </w:rPr>
              <w:t>Batch 26230415001</w:t>
            </w:r>
          </w:p>
        </w:tc>
        <w:tc>
          <w:tcPr>
            <w:tcW w:w="5953" w:type="dxa"/>
            <w:vAlign w:val="center"/>
          </w:tcPr>
          <w:tbl>
            <w:tblPr>
              <w:tblStyle w:val="Grilledutableau"/>
              <w:tblW w:w="0" w:type="auto"/>
              <w:jc w:val="center"/>
              <w:tblLayout w:type="fixed"/>
              <w:tblLook w:val="04A0" w:firstRow="1" w:lastRow="0" w:firstColumn="1" w:lastColumn="0" w:noHBand="0" w:noVBand="1"/>
            </w:tblPr>
            <w:tblGrid>
              <w:gridCol w:w="2067"/>
              <w:gridCol w:w="2067"/>
            </w:tblGrid>
            <w:tr w:rsidR="00730670" w:rsidRPr="00D749ED" w14:paraId="062C11E3" w14:textId="77777777" w:rsidTr="009109EB">
              <w:trPr>
                <w:trHeight w:val="203"/>
                <w:jc w:val="center"/>
              </w:trPr>
              <w:tc>
                <w:tcPr>
                  <w:tcW w:w="2067" w:type="dxa"/>
                </w:tcPr>
                <w:p w14:paraId="1DD19615" w14:textId="77777777" w:rsidR="00730670" w:rsidRPr="00D749ED" w:rsidRDefault="00730670" w:rsidP="00D749ED">
                  <w:pPr>
                    <w:jc w:val="center"/>
                    <w:rPr>
                      <w:rFonts w:cs="Arial"/>
                      <w:b/>
                      <w:sz w:val="16"/>
                      <w:szCs w:val="16"/>
                      <w:lang w:eastAsia="de-DE"/>
                    </w:rPr>
                  </w:pPr>
                  <w:r w:rsidRPr="00D749ED">
                    <w:rPr>
                      <w:rFonts w:cs="Arial"/>
                      <w:b/>
                      <w:sz w:val="16"/>
                      <w:szCs w:val="16"/>
                      <w:lang w:eastAsia="de-DE"/>
                    </w:rPr>
                    <w:t>Viscosity at 20°C (mPa.s)</w:t>
                  </w:r>
                </w:p>
                <w:p w14:paraId="0C77589B" w14:textId="77777777" w:rsidR="00730670" w:rsidRPr="00D749ED" w:rsidRDefault="00730670" w:rsidP="00D749ED">
                  <w:pPr>
                    <w:jc w:val="center"/>
                    <w:rPr>
                      <w:rFonts w:cs="Arial"/>
                      <w:sz w:val="16"/>
                      <w:szCs w:val="16"/>
                      <w:lang w:eastAsia="de-DE"/>
                    </w:rPr>
                  </w:pPr>
                  <w:r w:rsidRPr="00D749ED">
                    <w:rPr>
                      <w:rFonts w:cs="Arial"/>
                      <w:sz w:val="16"/>
                      <w:szCs w:val="16"/>
                      <w:lang w:eastAsia="de-DE"/>
                    </w:rPr>
                    <w:t>Shear rate:</w:t>
                  </w:r>
                </w:p>
                <w:p w14:paraId="598EF5E5" w14:textId="77777777" w:rsidR="00730670" w:rsidRPr="00D749ED" w:rsidRDefault="00730670" w:rsidP="00D749ED">
                  <w:pPr>
                    <w:jc w:val="center"/>
                    <w:rPr>
                      <w:rFonts w:cs="Arial"/>
                      <w:sz w:val="16"/>
                      <w:szCs w:val="16"/>
                      <w:lang w:eastAsia="de-DE"/>
                    </w:rPr>
                  </w:pPr>
                  <w:r w:rsidRPr="00D749ED">
                    <w:rPr>
                      <w:rFonts w:cs="Arial"/>
                      <w:sz w:val="16"/>
                      <w:szCs w:val="16"/>
                      <w:lang w:eastAsia="de-DE"/>
                    </w:rPr>
                    <w:t>0.102 s</w:t>
                  </w:r>
                  <w:r w:rsidRPr="00D749ED">
                    <w:rPr>
                      <w:rFonts w:cs="Arial"/>
                      <w:sz w:val="16"/>
                      <w:szCs w:val="16"/>
                      <w:vertAlign w:val="superscript"/>
                      <w:lang w:eastAsia="de-DE"/>
                    </w:rPr>
                    <w:t>-1</w:t>
                  </w:r>
                </w:p>
                <w:p w14:paraId="5C7C25E3" w14:textId="77777777" w:rsidR="00730670" w:rsidRPr="00D749ED" w:rsidRDefault="00730670" w:rsidP="00D749ED">
                  <w:pPr>
                    <w:jc w:val="center"/>
                    <w:rPr>
                      <w:rFonts w:cs="Arial"/>
                      <w:sz w:val="16"/>
                      <w:szCs w:val="16"/>
                      <w:lang w:eastAsia="de-DE"/>
                    </w:rPr>
                  </w:pPr>
                  <w:r w:rsidRPr="00D749ED">
                    <w:rPr>
                      <w:rFonts w:cs="Arial"/>
                      <w:sz w:val="16"/>
                      <w:szCs w:val="16"/>
                      <w:lang w:eastAsia="de-DE"/>
                    </w:rPr>
                    <w:t>0.238 s</w:t>
                  </w:r>
                  <w:r w:rsidRPr="00D749ED">
                    <w:rPr>
                      <w:rFonts w:cs="Arial"/>
                      <w:sz w:val="16"/>
                      <w:szCs w:val="16"/>
                      <w:vertAlign w:val="superscript"/>
                      <w:lang w:eastAsia="de-DE"/>
                    </w:rPr>
                    <w:t>-1</w:t>
                  </w:r>
                </w:p>
                <w:p w14:paraId="21C64B2F" w14:textId="77777777" w:rsidR="00730670" w:rsidRPr="00D749ED" w:rsidRDefault="00730670" w:rsidP="00D749ED">
                  <w:pPr>
                    <w:jc w:val="center"/>
                    <w:rPr>
                      <w:rFonts w:cs="Arial"/>
                      <w:sz w:val="16"/>
                      <w:szCs w:val="16"/>
                      <w:lang w:eastAsia="de-DE"/>
                    </w:rPr>
                  </w:pPr>
                  <w:r w:rsidRPr="00D749ED">
                    <w:rPr>
                      <w:rFonts w:cs="Arial"/>
                      <w:sz w:val="16"/>
                      <w:szCs w:val="16"/>
                      <w:lang w:eastAsia="de-DE"/>
                    </w:rPr>
                    <w:t>0.510 s</w:t>
                  </w:r>
                  <w:r w:rsidRPr="00D749ED">
                    <w:rPr>
                      <w:rFonts w:cs="Arial"/>
                      <w:sz w:val="16"/>
                      <w:szCs w:val="16"/>
                      <w:vertAlign w:val="superscript"/>
                      <w:lang w:eastAsia="de-DE"/>
                    </w:rPr>
                    <w:t>-1</w:t>
                  </w:r>
                </w:p>
                <w:p w14:paraId="4F3F1C1F" w14:textId="77777777" w:rsidR="00730670" w:rsidRPr="00D749ED" w:rsidRDefault="00730670" w:rsidP="00D749ED">
                  <w:pPr>
                    <w:jc w:val="center"/>
                    <w:rPr>
                      <w:rFonts w:cs="Arial"/>
                      <w:sz w:val="16"/>
                      <w:szCs w:val="16"/>
                      <w:lang w:eastAsia="de-DE"/>
                    </w:rPr>
                  </w:pPr>
                  <w:r w:rsidRPr="00D749ED">
                    <w:rPr>
                      <w:rFonts w:cs="Arial"/>
                      <w:sz w:val="16"/>
                      <w:szCs w:val="16"/>
                      <w:lang w:eastAsia="de-DE"/>
                    </w:rPr>
                    <w:t>1.02 s</w:t>
                  </w:r>
                  <w:r w:rsidRPr="00D749ED">
                    <w:rPr>
                      <w:rFonts w:cs="Arial"/>
                      <w:sz w:val="16"/>
                      <w:szCs w:val="16"/>
                      <w:vertAlign w:val="superscript"/>
                      <w:lang w:eastAsia="de-DE"/>
                    </w:rPr>
                    <w:t>-1</w:t>
                  </w:r>
                </w:p>
                <w:p w14:paraId="4326A721" w14:textId="77777777" w:rsidR="00730670" w:rsidRPr="00D749ED" w:rsidRDefault="00730670" w:rsidP="00D749ED">
                  <w:pPr>
                    <w:jc w:val="center"/>
                    <w:rPr>
                      <w:rFonts w:cs="Arial"/>
                      <w:sz w:val="16"/>
                      <w:szCs w:val="16"/>
                      <w:lang w:eastAsia="de-DE"/>
                    </w:rPr>
                  </w:pPr>
                  <w:r w:rsidRPr="00D749ED">
                    <w:rPr>
                      <w:rFonts w:cs="Arial"/>
                      <w:sz w:val="16"/>
                      <w:szCs w:val="16"/>
                      <w:lang w:eastAsia="de-DE"/>
                    </w:rPr>
                    <w:t>2.55 s</w:t>
                  </w:r>
                  <w:r w:rsidRPr="00D749ED">
                    <w:rPr>
                      <w:rFonts w:cs="Arial"/>
                      <w:sz w:val="16"/>
                      <w:szCs w:val="16"/>
                      <w:vertAlign w:val="superscript"/>
                      <w:lang w:eastAsia="de-DE"/>
                    </w:rPr>
                    <w:t>-1</w:t>
                  </w:r>
                </w:p>
              </w:tc>
              <w:tc>
                <w:tcPr>
                  <w:tcW w:w="2067" w:type="dxa"/>
                  <w:vAlign w:val="bottom"/>
                </w:tcPr>
                <w:p w14:paraId="3CE67CF9" w14:textId="77777777" w:rsidR="00730670" w:rsidRPr="00D749ED" w:rsidRDefault="00730670" w:rsidP="00D749ED">
                  <w:pPr>
                    <w:pStyle w:val="Default"/>
                    <w:jc w:val="center"/>
                    <w:rPr>
                      <w:rFonts w:ascii="Verdana" w:hAnsi="Verdana"/>
                      <w:sz w:val="16"/>
                      <w:szCs w:val="16"/>
                    </w:rPr>
                  </w:pPr>
                </w:p>
                <w:p w14:paraId="71552A14" w14:textId="77777777" w:rsidR="00730670" w:rsidRPr="00D749ED" w:rsidRDefault="00730670" w:rsidP="00D749ED">
                  <w:pPr>
                    <w:pStyle w:val="Default"/>
                    <w:jc w:val="center"/>
                    <w:rPr>
                      <w:rFonts w:ascii="Verdana" w:hAnsi="Verdana"/>
                      <w:sz w:val="16"/>
                      <w:szCs w:val="16"/>
                    </w:rPr>
                  </w:pPr>
                </w:p>
                <w:p w14:paraId="6B3C485C" w14:textId="77777777" w:rsidR="00730670" w:rsidRPr="00D749ED" w:rsidRDefault="00730670" w:rsidP="00D749ED">
                  <w:pPr>
                    <w:pStyle w:val="Default"/>
                    <w:jc w:val="center"/>
                    <w:rPr>
                      <w:rFonts w:ascii="Verdana" w:hAnsi="Verdana"/>
                      <w:sz w:val="16"/>
                      <w:szCs w:val="16"/>
                    </w:rPr>
                  </w:pPr>
                </w:p>
                <w:p w14:paraId="02B0DE72" w14:textId="77777777" w:rsidR="00730670" w:rsidRPr="00D749ED" w:rsidRDefault="00730670" w:rsidP="00D749ED">
                  <w:pPr>
                    <w:pStyle w:val="Default"/>
                    <w:jc w:val="center"/>
                    <w:rPr>
                      <w:rFonts w:ascii="Verdana" w:hAnsi="Verdana"/>
                      <w:sz w:val="16"/>
                      <w:szCs w:val="16"/>
                    </w:rPr>
                  </w:pPr>
                  <w:r w:rsidRPr="00D749ED">
                    <w:rPr>
                      <w:rFonts w:ascii="Verdana" w:hAnsi="Verdana"/>
                      <w:sz w:val="16"/>
                      <w:szCs w:val="16"/>
                    </w:rPr>
                    <w:t>3.18 x 10</w:t>
                  </w:r>
                  <w:r w:rsidRPr="00D749ED">
                    <w:rPr>
                      <w:rFonts w:ascii="Verdana" w:hAnsi="Verdana"/>
                      <w:sz w:val="16"/>
                      <w:szCs w:val="16"/>
                      <w:vertAlign w:val="superscript"/>
                    </w:rPr>
                    <w:t>4</w:t>
                  </w:r>
                </w:p>
                <w:p w14:paraId="565279FA"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1.72 x 10</w:t>
                  </w:r>
                  <w:r w:rsidRPr="00D749ED">
                    <w:rPr>
                      <w:rFonts w:ascii="Verdana" w:hAnsi="Verdana"/>
                      <w:sz w:val="16"/>
                      <w:szCs w:val="16"/>
                      <w:vertAlign w:val="superscript"/>
                      <w:lang w:val="en-US"/>
                    </w:rPr>
                    <w:t>4</w:t>
                  </w:r>
                </w:p>
                <w:p w14:paraId="351E5F5D"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9.96 x 10</w:t>
                  </w:r>
                  <w:r w:rsidRPr="00D749ED">
                    <w:rPr>
                      <w:rFonts w:ascii="Verdana" w:hAnsi="Verdana"/>
                      <w:sz w:val="16"/>
                      <w:szCs w:val="16"/>
                      <w:vertAlign w:val="superscript"/>
                      <w:lang w:val="en-US"/>
                    </w:rPr>
                    <w:t>3</w:t>
                  </w:r>
                </w:p>
                <w:p w14:paraId="693D40B5"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6.10 x 10</w:t>
                  </w:r>
                  <w:r w:rsidRPr="00D749ED">
                    <w:rPr>
                      <w:rFonts w:ascii="Verdana" w:hAnsi="Verdana"/>
                      <w:sz w:val="16"/>
                      <w:szCs w:val="16"/>
                      <w:vertAlign w:val="superscript"/>
                      <w:lang w:val="en-US"/>
                    </w:rPr>
                    <w:t>3</w:t>
                  </w:r>
                </w:p>
                <w:p w14:paraId="6DE85C5B"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3.29 x 10</w:t>
                  </w:r>
                  <w:r w:rsidRPr="00D749ED">
                    <w:rPr>
                      <w:rFonts w:ascii="Verdana" w:hAnsi="Verdana"/>
                      <w:sz w:val="16"/>
                      <w:szCs w:val="16"/>
                      <w:vertAlign w:val="superscript"/>
                      <w:lang w:val="en-US"/>
                    </w:rPr>
                    <w:t>3</w:t>
                  </w:r>
                </w:p>
              </w:tc>
            </w:tr>
            <w:tr w:rsidR="00730670" w:rsidRPr="00D749ED" w14:paraId="0238B58C" w14:textId="77777777" w:rsidTr="009109EB">
              <w:trPr>
                <w:trHeight w:val="1542"/>
                <w:jc w:val="center"/>
              </w:trPr>
              <w:tc>
                <w:tcPr>
                  <w:tcW w:w="2067" w:type="dxa"/>
                </w:tcPr>
                <w:p w14:paraId="63B6EAA2" w14:textId="77777777" w:rsidR="00730670" w:rsidRPr="00D749ED" w:rsidRDefault="00730670" w:rsidP="00D749ED">
                  <w:pPr>
                    <w:jc w:val="center"/>
                    <w:rPr>
                      <w:rFonts w:cs="Arial"/>
                      <w:b/>
                      <w:sz w:val="16"/>
                      <w:szCs w:val="16"/>
                      <w:lang w:eastAsia="de-DE"/>
                    </w:rPr>
                  </w:pPr>
                  <w:r w:rsidRPr="00D749ED">
                    <w:rPr>
                      <w:rFonts w:cs="Arial"/>
                      <w:b/>
                      <w:sz w:val="16"/>
                      <w:szCs w:val="16"/>
                      <w:lang w:eastAsia="de-DE"/>
                    </w:rPr>
                    <w:t>Viscosity at 40°C (mPa.s)</w:t>
                  </w:r>
                </w:p>
                <w:p w14:paraId="7B543964" w14:textId="77777777" w:rsidR="00730670" w:rsidRPr="00D749ED" w:rsidRDefault="00730670" w:rsidP="00D749ED">
                  <w:pPr>
                    <w:jc w:val="center"/>
                    <w:rPr>
                      <w:rFonts w:cs="Arial"/>
                      <w:sz w:val="16"/>
                      <w:szCs w:val="16"/>
                      <w:lang w:eastAsia="de-DE"/>
                    </w:rPr>
                  </w:pPr>
                  <w:r w:rsidRPr="00D749ED">
                    <w:rPr>
                      <w:rFonts w:cs="Arial"/>
                      <w:sz w:val="16"/>
                      <w:szCs w:val="16"/>
                      <w:lang w:eastAsia="de-DE"/>
                    </w:rPr>
                    <w:t>Shear rate:</w:t>
                  </w:r>
                </w:p>
                <w:p w14:paraId="692AAAC9" w14:textId="77777777" w:rsidR="00730670" w:rsidRPr="00D749ED" w:rsidRDefault="00730670" w:rsidP="00D749ED">
                  <w:pPr>
                    <w:jc w:val="center"/>
                    <w:rPr>
                      <w:rFonts w:cs="Arial"/>
                      <w:sz w:val="16"/>
                      <w:szCs w:val="16"/>
                      <w:lang w:eastAsia="de-DE"/>
                    </w:rPr>
                  </w:pPr>
                  <w:r w:rsidRPr="00D749ED">
                    <w:rPr>
                      <w:rFonts w:cs="Arial"/>
                      <w:sz w:val="16"/>
                      <w:szCs w:val="16"/>
                      <w:lang w:eastAsia="de-DE"/>
                    </w:rPr>
                    <w:t>2.55 s</w:t>
                  </w:r>
                  <w:r w:rsidRPr="00D749ED">
                    <w:rPr>
                      <w:rFonts w:cs="Arial"/>
                      <w:sz w:val="16"/>
                      <w:szCs w:val="16"/>
                      <w:vertAlign w:val="superscript"/>
                      <w:lang w:eastAsia="de-DE"/>
                    </w:rPr>
                    <w:t>-1</w:t>
                  </w:r>
                </w:p>
                <w:p w14:paraId="24E6CBCB" w14:textId="77777777" w:rsidR="00730670" w:rsidRPr="00D749ED" w:rsidRDefault="00730670" w:rsidP="00D749ED">
                  <w:pPr>
                    <w:jc w:val="center"/>
                    <w:rPr>
                      <w:rFonts w:cs="Arial"/>
                      <w:sz w:val="16"/>
                      <w:szCs w:val="16"/>
                      <w:lang w:eastAsia="de-DE"/>
                    </w:rPr>
                  </w:pPr>
                  <w:r w:rsidRPr="00D749ED">
                    <w:rPr>
                      <w:rFonts w:cs="Arial"/>
                      <w:sz w:val="16"/>
                      <w:szCs w:val="16"/>
                      <w:lang w:eastAsia="de-DE"/>
                    </w:rPr>
                    <w:t>5.10 s</w:t>
                  </w:r>
                  <w:r w:rsidRPr="00D749ED">
                    <w:rPr>
                      <w:rFonts w:cs="Arial"/>
                      <w:sz w:val="16"/>
                      <w:szCs w:val="16"/>
                      <w:vertAlign w:val="superscript"/>
                      <w:lang w:eastAsia="de-DE"/>
                    </w:rPr>
                    <w:t>-1</w:t>
                  </w:r>
                </w:p>
                <w:p w14:paraId="4524FE5E" w14:textId="77777777" w:rsidR="00730670" w:rsidRPr="00D749ED" w:rsidRDefault="00730670" w:rsidP="00D749ED">
                  <w:pPr>
                    <w:jc w:val="center"/>
                    <w:rPr>
                      <w:rFonts w:cs="Arial"/>
                      <w:sz w:val="16"/>
                      <w:szCs w:val="16"/>
                      <w:lang w:eastAsia="de-DE"/>
                    </w:rPr>
                  </w:pPr>
                  <w:r w:rsidRPr="00D749ED">
                    <w:rPr>
                      <w:rFonts w:cs="Arial"/>
                      <w:sz w:val="16"/>
                      <w:szCs w:val="16"/>
                      <w:lang w:eastAsia="de-DE"/>
                    </w:rPr>
                    <w:t>10.2 s</w:t>
                  </w:r>
                  <w:r w:rsidRPr="00D749ED">
                    <w:rPr>
                      <w:rFonts w:cs="Arial"/>
                      <w:sz w:val="16"/>
                      <w:szCs w:val="16"/>
                      <w:vertAlign w:val="superscript"/>
                      <w:lang w:eastAsia="de-DE"/>
                    </w:rPr>
                    <w:t>-1</w:t>
                  </w:r>
                </w:p>
                <w:p w14:paraId="373F2AE6" w14:textId="77777777" w:rsidR="00730670" w:rsidRPr="00D749ED" w:rsidRDefault="00730670" w:rsidP="00D749ED">
                  <w:pPr>
                    <w:jc w:val="center"/>
                    <w:rPr>
                      <w:rFonts w:cs="Arial"/>
                      <w:sz w:val="16"/>
                      <w:szCs w:val="16"/>
                      <w:lang w:eastAsia="de-DE"/>
                    </w:rPr>
                  </w:pPr>
                  <w:r w:rsidRPr="00D749ED">
                    <w:rPr>
                      <w:rFonts w:cs="Arial"/>
                      <w:sz w:val="16"/>
                      <w:szCs w:val="16"/>
                      <w:lang w:eastAsia="de-DE"/>
                    </w:rPr>
                    <w:t>25.5 s</w:t>
                  </w:r>
                  <w:r w:rsidRPr="00D749ED">
                    <w:rPr>
                      <w:rFonts w:cs="Arial"/>
                      <w:sz w:val="16"/>
                      <w:szCs w:val="16"/>
                      <w:vertAlign w:val="superscript"/>
                      <w:lang w:eastAsia="de-DE"/>
                    </w:rPr>
                    <w:t>-1</w:t>
                  </w:r>
                </w:p>
                <w:p w14:paraId="0D5D8FBA" w14:textId="77777777" w:rsidR="00730670" w:rsidRPr="00D749ED" w:rsidRDefault="00730670" w:rsidP="00D749ED">
                  <w:pPr>
                    <w:jc w:val="center"/>
                    <w:rPr>
                      <w:rFonts w:cs="Arial"/>
                      <w:sz w:val="16"/>
                      <w:szCs w:val="16"/>
                      <w:lang w:eastAsia="de-DE"/>
                    </w:rPr>
                  </w:pPr>
                  <w:r w:rsidRPr="00D749ED">
                    <w:rPr>
                      <w:rFonts w:cs="Arial"/>
                      <w:sz w:val="16"/>
                      <w:szCs w:val="16"/>
                      <w:lang w:eastAsia="de-DE"/>
                    </w:rPr>
                    <w:t>51.0 s</w:t>
                  </w:r>
                  <w:r w:rsidRPr="00D749ED">
                    <w:rPr>
                      <w:rFonts w:cs="Arial"/>
                      <w:sz w:val="16"/>
                      <w:szCs w:val="16"/>
                      <w:vertAlign w:val="superscript"/>
                      <w:lang w:eastAsia="de-DE"/>
                    </w:rPr>
                    <w:t>-1</w:t>
                  </w:r>
                </w:p>
              </w:tc>
              <w:tc>
                <w:tcPr>
                  <w:tcW w:w="2067" w:type="dxa"/>
                  <w:vAlign w:val="bottom"/>
                </w:tcPr>
                <w:p w14:paraId="595F81B3"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379</w:t>
                  </w:r>
                </w:p>
                <w:p w14:paraId="3FFF9388"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288</w:t>
                  </w:r>
                </w:p>
                <w:p w14:paraId="4ACBAAA3"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238</w:t>
                  </w:r>
                </w:p>
                <w:p w14:paraId="025E0E14"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197</w:t>
                  </w:r>
                </w:p>
                <w:p w14:paraId="6D4EC717" w14:textId="77777777" w:rsidR="00730670" w:rsidRPr="00D749ED" w:rsidRDefault="00730670" w:rsidP="00D749ED">
                  <w:pPr>
                    <w:pStyle w:val="Default"/>
                    <w:jc w:val="center"/>
                    <w:rPr>
                      <w:rFonts w:ascii="Verdana" w:hAnsi="Verdana"/>
                      <w:sz w:val="16"/>
                      <w:szCs w:val="16"/>
                      <w:lang w:val="en-US"/>
                    </w:rPr>
                  </w:pPr>
                  <w:r w:rsidRPr="00D749ED">
                    <w:rPr>
                      <w:rFonts w:ascii="Verdana" w:hAnsi="Verdana"/>
                      <w:sz w:val="16"/>
                      <w:szCs w:val="16"/>
                      <w:lang w:val="en-US"/>
                    </w:rPr>
                    <w:t>182</w:t>
                  </w:r>
                </w:p>
              </w:tc>
            </w:tr>
          </w:tbl>
          <w:p w14:paraId="54996D89" w14:textId="77777777" w:rsidR="00730670" w:rsidRPr="00D749ED" w:rsidRDefault="00730670" w:rsidP="00D749ED">
            <w:pPr>
              <w:jc w:val="center"/>
              <w:rPr>
                <w:rFonts w:cs="Arial"/>
                <w:sz w:val="18"/>
                <w:szCs w:val="18"/>
                <w:lang w:eastAsia="de-DE"/>
              </w:rPr>
            </w:pPr>
          </w:p>
        </w:tc>
        <w:tc>
          <w:tcPr>
            <w:tcW w:w="567" w:type="dxa"/>
            <w:vAlign w:val="center"/>
          </w:tcPr>
          <w:p w14:paraId="1D0C0B06" w14:textId="77777777" w:rsidR="00730670" w:rsidRPr="00D749ED" w:rsidRDefault="00730670" w:rsidP="00D749ED">
            <w:pPr>
              <w:jc w:val="center"/>
              <w:rPr>
                <w:rFonts w:cs="Arial"/>
                <w:sz w:val="18"/>
                <w:szCs w:val="18"/>
                <w:lang w:eastAsia="de-DE"/>
              </w:rPr>
            </w:pPr>
            <w:r w:rsidRPr="00D749ED">
              <w:rPr>
                <w:rFonts w:cs="Arial"/>
                <w:sz w:val="18"/>
                <w:szCs w:val="18"/>
                <w:lang w:eastAsia="de-DE"/>
              </w:rPr>
              <w:t>Y</w:t>
            </w:r>
          </w:p>
        </w:tc>
        <w:tc>
          <w:tcPr>
            <w:tcW w:w="1276" w:type="dxa"/>
            <w:vAlign w:val="center"/>
          </w:tcPr>
          <w:p w14:paraId="720F9F06" w14:textId="77777777" w:rsidR="00730670" w:rsidRPr="00D749ED" w:rsidRDefault="00730670" w:rsidP="00D749ED">
            <w:pPr>
              <w:rPr>
                <w:rFonts w:cs="Arial"/>
                <w:sz w:val="18"/>
                <w:szCs w:val="18"/>
                <w:lang w:eastAsia="de-DE"/>
              </w:rPr>
            </w:pPr>
            <w:r w:rsidRPr="0072604A">
              <w:rPr>
                <w:rFonts w:cs="Arial"/>
                <w:sz w:val="18"/>
                <w:szCs w:val="18"/>
                <w:highlight w:val="yellow"/>
                <w:lang w:eastAsia="de-DE"/>
              </w:rPr>
              <w:t>A.J. Wooley</w:t>
            </w:r>
            <w:r w:rsidRPr="00D749ED">
              <w:rPr>
                <w:rFonts w:cs="Arial"/>
                <w:sz w:val="18"/>
                <w:szCs w:val="18"/>
                <w:lang w:eastAsia="de-DE"/>
              </w:rPr>
              <w:t>, 2015</w:t>
            </w:r>
          </w:p>
          <w:p w14:paraId="5C548BB6" w14:textId="77777777" w:rsidR="00730670" w:rsidRPr="00D749ED" w:rsidRDefault="00730670" w:rsidP="00D749ED">
            <w:pPr>
              <w:rPr>
                <w:rFonts w:cs="Arial"/>
                <w:sz w:val="18"/>
                <w:szCs w:val="18"/>
                <w:lang w:eastAsia="de-DE"/>
              </w:rPr>
            </w:pPr>
            <w:r w:rsidRPr="00D749ED">
              <w:rPr>
                <w:rFonts w:cs="Arial"/>
                <w:sz w:val="18"/>
                <w:szCs w:val="18"/>
                <w:lang w:eastAsia="de-DE"/>
              </w:rPr>
              <w:t>Report N°41500716</w:t>
            </w:r>
          </w:p>
        </w:tc>
        <w:tc>
          <w:tcPr>
            <w:tcW w:w="2198" w:type="dxa"/>
            <w:vAlign w:val="center"/>
          </w:tcPr>
          <w:p w14:paraId="32809990" w14:textId="77777777" w:rsidR="00730670" w:rsidRPr="00D749ED" w:rsidRDefault="00730670" w:rsidP="00D749ED">
            <w:pPr>
              <w:jc w:val="both"/>
              <w:rPr>
                <w:rFonts w:cs="Arial"/>
                <w:sz w:val="18"/>
                <w:szCs w:val="18"/>
                <w:lang w:eastAsia="de-DE"/>
              </w:rPr>
            </w:pPr>
            <w:r w:rsidRPr="00D749ED">
              <w:rPr>
                <w:rFonts w:cs="Arial"/>
                <w:sz w:val="18"/>
                <w:szCs w:val="18"/>
                <w:lang w:eastAsia="de-DE"/>
              </w:rPr>
              <w:t>Acceptable</w:t>
            </w:r>
          </w:p>
        </w:tc>
      </w:tr>
    </w:tbl>
    <w:p w14:paraId="5029741C" w14:textId="77777777" w:rsidR="009D0C0B" w:rsidRDefault="009D0C0B">
      <w:pPr>
        <w:spacing w:line="260" w:lineRule="atLeast"/>
        <w:ind w:left="360"/>
        <w:contextualSpacing/>
        <w:rPr>
          <w:rFonts w:eastAsia="Calibri"/>
          <w:lang w:eastAsia="sv-SE"/>
        </w:rPr>
      </w:pPr>
    </w:p>
    <w:p w14:paraId="61582FC9" w14:textId="77777777" w:rsidR="009D0C0B" w:rsidRDefault="009D0C0B">
      <w:pPr>
        <w:spacing w:line="260" w:lineRule="atLeast"/>
        <w:ind w:left="360"/>
        <w:contextualSpacing/>
        <w:rPr>
          <w:rFonts w:eastAsia="Calibri"/>
          <w:lang w:eastAsia="sv-SE"/>
        </w:rPr>
      </w:pPr>
    </w:p>
    <w:p w14:paraId="0F2E1527" w14:textId="77777777" w:rsidR="009D0C0B" w:rsidRDefault="00FA480B">
      <w:pPr>
        <w:pStyle w:val="Titre3"/>
        <w:rPr>
          <w:rFonts w:eastAsia="Calibri"/>
          <w:lang w:eastAsia="en-US"/>
        </w:rPr>
      </w:pPr>
      <w:bookmarkStart w:id="54" w:name="_Toc516669773"/>
      <w:r>
        <w:t>Physical hazards and respective characteristics</w:t>
      </w:r>
      <w:bookmarkEnd w:id="54"/>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8"/>
        <w:gridCol w:w="1417"/>
        <w:gridCol w:w="4390"/>
        <w:gridCol w:w="713"/>
        <w:gridCol w:w="1275"/>
        <w:gridCol w:w="2127"/>
      </w:tblGrid>
      <w:tr w:rsidR="00D749ED" w:rsidRPr="00A41B49" w14:paraId="2CE36B9F" w14:textId="77777777" w:rsidTr="00D749ED">
        <w:trPr>
          <w:trHeight w:val="171"/>
          <w:tblHeader/>
        </w:trPr>
        <w:tc>
          <w:tcPr>
            <w:tcW w:w="2622" w:type="dxa"/>
            <w:shd w:val="clear" w:color="auto" w:fill="E0E0E0"/>
            <w:vAlign w:val="center"/>
          </w:tcPr>
          <w:p w14:paraId="75EE388E" w14:textId="77777777" w:rsidR="00D749ED" w:rsidRPr="00A41B49" w:rsidRDefault="00D749ED" w:rsidP="00D749ED">
            <w:pPr>
              <w:rPr>
                <w:rFonts w:cs="Arial"/>
                <w:b/>
                <w:sz w:val="18"/>
                <w:lang w:eastAsia="de-DE"/>
              </w:rPr>
            </w:pPr>
            <w:r w:rsidRPr="00A41B49">
              <w:rPr>
                <w:rFonts w:cs="Arial"/>
                <w:b/>
                <w:sz w:val="18"/>
                <w:lang w:eastAsia="de-DE"/>
              </w:rPr>
              <w:t>Property</w:t>
            </w:r>
          </w:p>
        </w:tc>
        <w:tc>
          <w:tcPr>
            <w:tcW w:w="1418" w:type="dxa"/>
            <w:shd w:val="clear" w:color="auto" w:fill="E0E0E0"/>
            <w:vAlign w:val="center"/>
          </w:tcPr>
          <w:p w14:paraId="4EFC930D" w14:textId="77777777" w:rsidR="00D749ED" w:rsidRPr="00A41B49" w:rsidRDefault="00D749ED" w:rsidP="00D749ED">
            <w:pPr>
              <w:rPr>
                <w:rFonts w:cs="Arial"/>
                <w:b/>
                <w:sz w:val="18"/>
                <w:lang w:eastAsia="de-DE"/>
              </w:rPr>
            </w:pPr>
            <w:r w:rsidRPr="00A41B49">
              <w:rPr>
                <w:rFonts w:cs="Arial"/>
                <w:b/>
                <w:sz w:val="18"/>
                <w:lang w:eastAsia="de-DE"/>
              </w:rPr>
              <w:t>Guideline  and Method</w:t>
            </w:r>
          </w:p>
        </w:tc>
        <w:tc>
          <w:tcPr>
            <w:tcW w:w="1417" w:type="dxa"/>
            <w:shd w:val="clear" w:color="auto" w:fill="E0E0E0"/>
            <w:vAlign w:val="center"/>
          </w:tcPr>
          <w:p w14:paraId="4AA2301D" w14:textId="77777777" w:rsidR="00D749ED" w:rsidRPr="00A41B49" w:rsidRDefault="00D749ED" w:rsidP="00D749ED">
            <w:pPr>
              <w:rPr>
                <w:rFonts w:cs="Arial"/>
                <w:b/>
                <w:sz w:val="18"/>
                <w:lang w:eastAsia="de-DE"/>
              </w:rPr>
            </w:pPr>
            <w:r w:rsidRPr="00A41B49">
              <w:rPr>
                <w:rFonts w:cs="Arial"/>
                <w:b/>
                <w:sz w:val="18"/>
                <w:lang w:eastAsia="de-DE"/>
              </w:rPr>
              <w:t>Purity of the test substance (% (w/w)</w:t>
            </w:r>
          </w:p>
        </w:tc>
        <w:tc>
          <w:tcPr>
            <w:tcW w:w="4390" w:type="dxa"/>
            <w:shd w:val="clear" w:color="auto" w:fill="E0E0E0"/>
            <w:vAlign w:val="center"/>
          </w:tcPr>
          <w:p w14:paraId="4B1CB2EF" w14:textId="77777777" w:rsidR="00D749ED" w:rsidRPr="00A41B49" w:rsidRDefault="00D749ED" w:rsidP="00D749ED">
            <w:pPr>
              <w:rPr>
                <w:rFonts w:cs="Arial"/>
                <w:b/>
                <w:sz w:val="18"/>
                <w:lang w:eastAsia="de-DE"/>
              </w:rPr>
            </w:pPr>
            <w:r w:rsidRPr="00A41B49">
              <w:rPr>
                <w:rFonts w:cs="Arial"/>
                <w:b/>
                <w:sz w:val="18"/>
                <w:lang w:eastAsia="de-DE"/>
              </w:rPr>
              <w:t>Results</w:t>
            </w:r>
          </w:p>
        </w:tc>
        <w:tc>
          <w:tcPr>
            <w:tcW w:w="713" w:type="dxa"/>
            <w:shd w:val="clear" w:color="auto" w:fill="E0E0E0"/>
            <w:vAlign w:val="center"/>
          </w:tcPr>
          <w:p w14:paraId="270951F8" w14:textId="77777777" w:rsidR="00D749ED" w:rsidRPr="00A41B49" w:rsidRDefault="00D749ED" w:rsidP="00D749ED">
            <w:pPr>
              <w:jc w:val="center"/>
              <w:rPr>
                <w:rFonts w:cs="Arial"/>
                <w:b/>
                <w:sz w:val="18"/>
                <w:lang w:eastAsia="de-DE"/>
              </w:rPr>
            </w:pPr>
            <w:r w:rsidRPr="00A41B49">
              <w:rPr>
                <w:rFonts w:cs="Arial"/>
                <w:b/>
                <w:sz w:val="18"/>
                <w:lang w:eastAsia="de-DE"/>
              </w:rPr>
              <w:t>GLP</w:t>
            </w:r>
          </w:p>
        </w:tc>
        <w:tc>
          <w:tcPr>
            <w:tcW w:w="1275" w:type="dxa"/>
            <w:shd w:val="clear" w:color="auto" w:fill="E0E0E0"/>
            <w:vAlign w:val="center"/>
          </w:tcPr>
          <w:p w14:paraId="2B9A5416" w14:textId="77777777" w:rsidR="00D749ED" w:rsidRPr="00A41B49" w:rsidRDefault="00D749ED" w:rsidP="00D749ED">
            <w:pPr>
              <w:rPr>
                <w:rFonts w:cs="Arial"/>
                <w:b/>
                <w:sz w:val="18"/>
                <w:lang w:eastAsia="de-DE"/>
              </w:rPr>
            </w:pPr>
            <w:r w:rsidRPr="00A41B49">
              <w:rPr>
                <w:rFonts w:cs="Arial"/>
                <w:b/>
                <w:sz w:val="18"/>
                <w:lang w:eastAsia="de-DE"/>
              </w:rPr>
              <w:t>Reference</w:t>
            </w:r>
          </w:p>
        </w:tc>
        <w:tc>
          <w:tcPr>
            <w:tcW w:w="2127" w:type="dxa"/>
            <w:shd w:val="clear" w:color="auto" w:fill="E0E0E0"/>
            <w:vAlign w:val="center"/>
          </w:tcPr>
          <w:p w14:paraId="5A98A449" w14:textId="77777777" w:rsidR="00D749ED" w:rsidRPr="00A41B49" w:rsidRDefault="00D749ED" w:rsidP="00D749ED">
            <w:pPr>
              <w:jc w:val="center"/>
              <w:rPr>
                <w:rFonts w:cs="Arial"/>
                <w:b/>
                <w:sz w:val="18"/>
                <w:lang w:eastAsia="de-DE"/>
              </w:rPr>
            </w:pPr>
            <w:r w:rsidRPr="00A41B49">
              <w:rPr>
                <w:rFonts w:cs="Arial"/>
                <w:b/>
                <w:sz w:val="18"/>
                <w:lang w:eastAsia="de-DE"/>
              </w:rPr>
              <w:t>Comments</w:t>
            </w:r>
          </w:p>
        </w:tc>
      </w:tr>
      <w:tr w:rsidR="00D749ED" w:rsidRPr="00A41B49" w14:paraId="3926E843" w14:textId="77777777" w:rsidTr="00D749ED">
        <w:trPr>
          <w:trHeight w:val="171"/>
        </w:trPr>
        <w:tc>
          <w:tcPr>
            <w:tcW w:w="2622" w:type="dxa"/>
          </w:tcPr>
          <w:p w14:paraId="2BA48A34" w14:textId="77777777" w:rsidR="00D749ED" w:rsidRPr="00A41B49" w:rsidRDefault="00D749ED" w:rsidP="00D749ED">
            <w:pPr>
              <w:rPr>
                <w:lang w:eastAsia="de-DE"/>
              </w:rPr>
            </w:pPr>
            <w:r w:rsidRPr="00A41B49">
              <w:rPr>
                <w:lang w:eastAsia="de-DE"/>
              </w:rPr>
              <w:t>Explosives</w:t>
            </w:r>
          </w:p>
        </w:tc>
        <w:tc>
          <w:tcPr>
            <w:tcW w:w="1418" w:type="dxa"/>
          </w:tcPr>
          <w:p w14:paraId="6256C5C1" w14:textId="77777777" w:rsidR="00D749ED" w:rsidRPr="00A41B49" w:rsidRDefault="00D749ED" w:rsidP="00D749ED">
            <w:pPr>
              <w:rPr>
                <w:lang w:eastAsia="de-DE"/>
              </w:rPr>
            </w:pPr>
          </w:p>
        </w:tc>
        <w:tc>
          <w:tcPr>
            <w:tcW w:w="1417" w:type="dxa"/>
          </w:tcPr>
          <w:p w14:paraId="35ED674A" w14:textId="77777777" w:rsidR="00D749ED" w:rsidRPr="00A41B49" w:rsidRDefault="00D749ED" w:rsidP="00D749ED">
            <w:pPr>
              <w:rPr>
                <w:lang w:eastAsia="de-DE"/>
              </w:rPr>
            </w:pPr>
          </w:p>
        </w:tc>
        <w:tc>
          <w:tcPr>
            <w:tcW w:w="4390" w:type="dxa"/>
          </w:tcPr>
          <w:p w14:paraId="6FA0441E" w14:textId="77777777" w:rsidR="00D749ED" w:rsidRPr="00A41B49" w:rsidRDefault="00D749ED" w:rsidP="00D749ED">
            <w:pPr>
              <w:rPr>
                <w:lang w:eastAsia="de-DE"/>
              </w:rPr>
            </w:pPr>
            <w:r w:rsidRPr="00A41B49">
              <w:rPr>
                <w:lang w:eastAsia="de-DE"/>
              </w:rPr>
              <w:t>Waived on the basis of the classification (see justification and manual classification according to annex I of CLP in sections 12 and 13). See details in confidential part.</w:t>
            </w:r>
          </w:p>
        </w:tc>
        <w:tc>
          <w:tcPr>
            <w:tcW w:w="713" w:type="dxa"/>
            <w:vAlign w:val="center"/>
          </w:tcPr>
          <w:p w14:paraId="7262229D" w14:textId="77777777" w:rsidR="00D749ED" w:rsidRPr="00A41B49" w:rsidRDefault="00D749ED" w:rsidP="00D749ED">
            <w:pPr>
              <w:jc w:val="center"/>
              <w:rPr>
                <w:lang w:eastAsia="de-DE"/>
              </w:rPr>
            </w:pPr>
          </w:p>
        </w:tc>
        <w:tc>
          <w:tcPr>
            <w:tcW w:w="1275" w:type="dxa"/>
          </w:tcPr>
          <w:p w14:paraId="39D6DAA5" w14:textId="77777777" w:rsidR="00D749ED" w:rsidRPr="00A41B49" w:rsidRDefault="00D749ED" w:rsidP="00D749ED">
            <w:pPr>
              <w:rPr>
                <w:lang w:eastAsia="de-DE"/>
              </w:rPr>
            </w:pPr>
          </w:p>
        </w:tc>
        <w:tc>
          <w:tcPr>
            <w:tcW w:w="2127" w:type="dxa"/>
          </w:tcPr>
          <w:p w14:paraId="028EBE4B" w14:textId="77777777" w:rsidR="00D749ED" w:rsidRPr="00A41B49" w:rsidRDefault="00D749ED" w:rsidP="00D749ED">
            <w:pPr>
              <w:rPr>
                <w:lang w:eastAsia="de-DE"/>
              </w:rPr>
            </w:pPr>
            <w:r w:rsidRPr="00A41B49">
              <w:rPr>
                <w:lang w:eastAsia="de-DE"/>
              </w:rPr>
              <w:t>Acceptable</w:t>
            </w:r>
          </w:p>
        </w:tc>
      </w:tr>
      <w:tr w:rsidR="00D749ED" w:rsidRPr="00A41B49" w14:paraId="2C2E876A" w14:textId="77777777" w:rsidTr="00D749ED">
        <w:trPr>
          <w:trHeight w:val="171"/>
        </w:trPr>
        <w:tc>
          <w:tcPr>
            <w:tcW w:w="2622" w:type="dxa"/>
          </w:tcPr>
          <w:p w14:paraId="24A921D8" w14:textId="77777777" w:rsidR="00D749ED" w:rsidRPr="00A41B49" w:rsidRDefault="00D749ED" w:rsidP="00D749ED">
            <w:pPr>
              <w:rPr>
                <w:lang w:eastAsia="de-DE"/>
              </w:rPr>
            </w:pPr>
            <w:r w:rsidRPr="00A41B49">
              <w:rPr>
                <w:lang w:eastAsia="de-DE"/>
              </w:rPr>
              <w:t>Flammable gases</w:t>
            </w:r>
          </w:p>
        </w:tc>
        <w:tc>
          <w:tcPr>
            <w:tcW w:w="1418" w:type="dxa"/>
          </w:tcPr>
          <w:p w14:paraId="07841B3D" w14:textId="77777777" w:rsidR="00D749ED" w:rsidRPr="00A41B49" w:rsidRDefault="00D749ED" w:rsidP="00D749ED">
            <w:pPr>
              <w:rPr>
                <w:lang w:eastAsia="de-DE"/>
              </w:rPr>
            </w:pPr>
          </w:p>
        </w:tc>
        <w:tc>
          <w:tcPr>
            <w:tcW w:w="1417" w:type="dxa"/>
          </w:tcPr>
          <w:p w14:paraId="72159660" w14:textId="77777777" w:rsidR="00D749ED" w:rsidRPr="00A41B49" w:rsidRDefault="00D749ED" w:rsidP="00D749ED">
            <w:pPr>
              <w:rPr>
                <w:lang w:eastAsia="de-DE"/>
              </w:rPr>
            </w:pPr>
          </w:p>
        </w:tc>
        <w:tc>
          <w:tcPr>
            <w:tcW w:w="4390" w:type="dxa"/>
          </w:tcPr>
          <w:p w14:paraId="4136C8F3"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6DC7F7A7" w14:textId="77777777" w:rsidR="00D749ED" w:rsidRPr="00A41B49" w:rsidRDefault="00D749ED" w:rsidP="00D749ED">
            <w:pPr>
              <w:jc w:val="center"/>
              <w:rPr>
                <w:lang w:eastAsia="de-DE"/>
              </w:rPr>
            </w:pPr>
          </w:p>
        </w:tc>
        <w:tc>
          <w:tcPr>
            <w:tcW w:w="1275" w:type="dxa"/>
          </w:tcPr>
          <w:p w14:paraId="2B74B8A8" w14:textId="77777777" w:rsidR="00D749ED" w:rsidRPr="00A41B49" w:rsidRDefault="00D749ED" w:rsidP="00D749ED">
            <w:pPr>
              <w:rPr>
                <w:lang w:eastAsia="de-DE"/>
              </w:rPr>
            </w:pPr>
          </w:p>
        </w:tc>
        <w:tc>
          <w:tcPr>
            <w:tcW w:w="2127" w:type="dxa"/>
          </w:tcPr>
          <w:p w14:paraId="37DCC997" w14:textId="77777777" w:rsidR="00D749ED" w:rsidRPr="00A41B49" w:rsidRDefault="00D749ED" w:rsidP="00D749ED">
            <w:pPr>
              <w:rPr>
                <w:lang w:eastAsia="de-DE"/>
              </w:rPr>
            </w:pPr>
          </w:p>
        </w:tc>
      </w:tr>
      <w:tr w:rsidR="00D749ED" w:rsidRPr="00A41B49" w14:paraId="3D36E01E" w14:textId="77777777" w:rsidTr="00D749ED">
        <w:trPr>
          <w:trHeight w:val="171"/>
        </w:trPr>
        <w:tc>
          <w:tcPr>
            <w:tcW w:w="2622" w:type="dxa"/>
          </w:tcPr>
          <w:p w14:paraId="100DB405" w14:textId="77777777" w:rsidR="00D749ED" w:rsidRPr="00A41B49" w:rsidRDefault="00D749ED" w:rsidP="00D749ED">
            <w:pPr>
              <w:rPr>
                <w:lang w:eastAsia="de-DE"/>
              </w:rPr>
            </w:pPr>
            <w:r w:rsidRPr="00A41B49">
              <w:rPr>
                <w:lang w:eastAsia="de-DE"/>
              </w:rPr>
              <w:t>Flammable aerosols</w:t>
            </w:r>
          </w:p>
        </w:tc>
        <w:tc>
          <w:tcPr>
            <w:tcW w:w="1418" w:type="dxa"/>
          </w:tcPr>
          <w:p w14:paraId="78BFD45E" w14:textId="77777777" w:rsidR="00D749ED" w:rsidRPr="00A41B49" w:rsidRDefault="00D749ED" w:rsidP="00D749ED">
            <w:pPr>
              <w:rPr>
                <w:lang w:eastAsia="de-DE"/>
              </w:rPr>
            </w:pPr>
          </w:p>
        </w:tc>
        <w:tc>
          <w:tcPr>
            <w:tcW w:w="1417" w:type="dxa"/>
          </w:tcPr>
          <w:p w14:paraId="72430EF5" w14:textId="77777777" w:rsidR="00D749ED" w:rsidRPr="00A41B49" w:rsidRDefault="00D749ED" w:rsidP="00D749ED">
            <w:pPr>
              <w:rPr>
                <w:lang w:eastAsia="de-DE"/>
              </w:rPr>
            </w:pPr>
          </w:p>
        </w:tc>
        <w:tc>
          <w:tcPr>
            <w:tcW w:w="4390" w:type="dxa"/>
          </w:tcPr>
          <w:p w14:paraId="11A1D41A"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0852B01B" w14:textId="77777777" w:rsidR="00D749ED" w:rsidRPr="00A41B49" w:rsidRDefault="00D749ED" w:rsidP="00D749ED">
            <w:pPr>
              <w:jc w:val="center"/>
              <w:rPr>
                <w:lang w:eastAsia="de-DE"/>
              </w:rPr>
            </w:pPr>
          </w:p>
        </w:tc>
        <w:tc>
          <w:tcPr>
            <w:tcW w:w="1275" w:type="dxa"/>
          </w:tcPr>
          <w:p w14:paraId="673ABA4C" w14:textId="77777777" w:rsidR="00D749ED" w:rsidRPr="00A41B49" w:rsidRDefault="00D749ED" w:rsidP="00D749ED">
            <w:pPr>
              <w:rPr>
                <w:lang w:eastAsia="de-DE"/>
              </w:rPr>
            </w:pPr>
          </w:p>
        </w:tc>
        <w:tc>
          <w:tcPr>
            <w:tcW w:w="2127" w:type="dxa"/>
          </w:tcPr>
          <w:p w14:paraId="5309E22E" w14:textId="77777777" w:rsidR="00D749ED" w:rsidRPr="00A41B49" w:rsidRDefault="00D749ED" w:rsidP="00D749ED">
            <w:pPr>
              <w:rPr>
                <w:lang w:eastAsia="de-DE"/>
              </w:rPr>
            </w:pPr>
          </w:p>
        </w:tc>
      </w:tr>
      <w:tr w:rsidR="00D749ED" w:rsidRPr="00A41B49" w14:paraId="3DB81C7E" w14:textId="77777777" w:rsidTr="00D749ED">
        <w:trPr>
          <w:trHeight w:val="171"/>
        </w:trPr>
        <w:tc>
          <w:tcPr>
            <w:tcW w:w="2622" w:type="dxa"/>
          </w:tcPr>
          <w:p w14:paraId="7D40BDD4" w14:textId="77777777" w:rsidR="00D749ED" w:rsidRPr="00A41B49" w:rsidRDefault="00D749ED" w:rsidP="00D749ED">
            <w:pPr>
              <w:rPr>
                <w:lang w:eastAsia="de-DE"/>
              </w:rPr>
            </w:pPr>
            <w:r w:rsidRPr="00A41B49">
              <w:rPr>
                <w:lang w:eastAsia="de-DE"/>
              </w:rPr>
              <w:t>Oxidising gases</w:t>
            </w:r>
          </w:p>
        </w:tc>
        <w:tc>
          <w:tcPr>
            <w:tcW w:w="1418" w:type="dxa"/>
          </w:tcPr>
          <w:p w14:paraId="37BF738A" w14:textId="77777777" w:rsidR="00D749ED" w:rsidRPr="00A41B49" w:rsidRDefault="00D749ED" w:rsidP="00D749ED">
            <w:pPr>
              <w:rPr>
                <w:lang w:eastAsia="de-DE"/>
              </w:rPr>
            </w:pPr>
          </w:p>
        </w:tc>
        <w:tc>
          <w:tcPr>
            <w:tcW w:w="1417" w:type="dxa"/>
          </w:tcPr>
          <w:p w14:paraId="46C042FC" w14:textId="77777777" w:rsidR="00D749ED" w:rsidRPr="00A41B49" w:rsidRDefault="00D749ED" w:rsidP="00D749ED">
            <w:pPr>
              <w:rPr>
                <w:lang w:eastAsia="de-DE"/>
              </w:rPr>
            </w:pPr>
          </w:p>
        </w:tc>
        <w:tc>
          <w:tcPr>
            <w:tcW w:w="4390" w:type="dxa"/>
          </w:tcPr>
          <w:p w14:paraId="58D68CD2"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39E534DF" w14:textId="77777777" w:rsidR="00D749ED" w:rsidRPr="00A41B49" w:rsidRDefault="00D749ED" w:rsidP="00D749ED">
            <w:pPr>
              <w:jc w:val="center"/>
              <w:rPr>
                <w:lang w:eastAsia="de-DE"/>
              </w:rPr>
            </w:pPr>
          </w:p>
        </w:tc>
        <w:tc>
          <w:tcPr>
            <w:tcW w:w="1275" w:type="dxa"/>
          </w:tcPr>
          <w:p w14:paraId="292A2E06" w14:textId="77777777" w:rsidR="00D749ED" w:rsidRPr="00A41B49" w:rsidRDefault="00D749ED" w:rsidP="00D749ED">
            <w:pPr>
              <w:rPr>
                <w:lang w:eastAsia="de-DE"/>
              </w:rPr>
            </w:pPr>
          </w:p>
        </w:tc>
        <w:tc>
          <w:tcPr>
            <w:tcW w:w="2127" w:type="dxa"/>
          </w:tcPr>
          <w:p w14:paraId="52345BF1" w14:textId="77777777" w:rsidR="00D749ED" w:rsidRPr="00A41B49" w:rsidRDefault="00D749ED" w:rsidP="00D749ED">
            <w:pPr>
              <w:rPr>
                <w:lang w:eastAsia="de-DE"/>
              </w:rPr>
            </w:pPr>
          </w:p>
        </w:tc>
      </w:tr>
      <w:tr w:rsidR="00D749ED" w:rsidRPr="00A41B49" w14:paraId="729CCF0A" w14:textId="77777777" w:rsidTr="00D749ED">
        <w:trPr>
          <w:trHeight w:val="171"/>
        </w:trPr>
        <w:tc>
          <w:tcPr>
            <w:tcW w:w="2622" w:type="dxa"/>
          </w:tcPr>
          <w:p w14:paraId="5B29F5D9" w14:textId="77777777" w:rsidR="00D749ED" w:rsidRPr="00A41B49" w:rsidRDefault="00D749ED" w:rsidP="00D749ED">
            <w:pPr>
              <w:rPr>
                <w:lang w:eastAsia="de-DE"/>
              </w:rPr>
            </w:pPr>
            <w:r w:rsidRPr="00A41B49">
              <w:rPr>
                <w:lang w:eastAsia="de-DE"/>
              </w:rPr>
              <w:t>Gases under pressure</w:t>
            </w:r>
          </w:p>
        </w:tc>
        <w:tc>
          <w:tcPr>
            <w:tcW w:w="1418" w:type="dxa"/>
          </w:tcPr>
          <w:p w14:paraId="73C96B22" w14:textId="77777777" w:rsidR="00D749ED" w:rsidRPr="00A41B49" w:rsidRDefault="00D749ED" w:rsidP="00D749ED">
            <w:pPr>
              <w:rPr>
                <w:lang w:eastAsia="de-DE"/>
              </w:rPr>
            </w:pPr>
          </w:p>
        </w:tc>
        <w:tc>
          <w:tcPr>
            <w:tcW w:w="1417" w:type="dxa"/>
          </w:tcPr>
          <w:p w14:paraId="111FE75F" w14:textId="77777777" w:rsidR="00D749ED" w:rsidRPr="00A41B49" w:rsidRDefault="00D749ED" w:rsidP="00D749ED">
            <w:pPr>
              <w:rPr>
                <w:lang w:eastAsia="de-DE"/>
              </w:rPr>
            </w:pPr>
          </w:p>
        </w:tc>
        <w:tc>
          <w:tcPr>
            <w:tcW w:w="4390" w:type="dxa"/>
          </w:tcPr>
          <w:p w14:paraId="0FFBF045"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4F3D48DA" w14:textId="77777777" w:rsidR="00D749ED" w:rsidRPr="00A41B49" w:rsidRDefault="00D749ED" w:rsidP="00D749ED">
            <w:pPr>
              <w:jc w:val="center"/>
              <w:rPr>
                <w:lang w:eastAsia="de-DE"/>
              </w:rPr>
            </w:pPr>
          </w:p>
        </w:tc>
        <w:tc>
          <w:tcPr>
            <w:tcW w:w="1275" w:type="dxa"/>
          </w:tcPr>
          <w:p w14:paraId="7D20BF77" w14:textId="77777777" w:rsidR="00D749ED" w:rsidRPr="00A41B49" w:rsidRDefault="00D749ED" w:rsidP="00D749ED">
            <w:pPr>
              <w:rPr>
                <w:lang w:eastAsia="de-DE"/>
              </w:rPr>
            </w:pPr>
          </w:p>
        </w:tc>
        <w:tc>
          <w:tcPr>
            <w:tcW w:w="2127" w:type="dxa"/>
          </w:tcPr>
          <w:p w14:paraId="6C5E2420" w14:textId="77777777" w:rsidR="00D749ED" w:rsidRPr="00A41B49" w:rsidRDefault="00D749ED" w:rsidP="00D749ED">
            <w:pPr>
              <w:rPr>
                <w:lang w:eastAsia="de-DE"/>
              </w:rPr>
            </w:pPr>
          </w:p>
        </w:tc>
      </w:tr>
      <w:tr w:rsidR="00D749ED" w:rsidRPr="00A41B49" w14:paraId="511DC31E" w14:textId="77777777" w:rsidTr="00D749ED">
        <w:trPr>
          <w:trHeight w:val="171"/>
        </w:trPr>
        <w:tc>
          <w:tcPr>
            <w:tcW w:w="2622" w:type="dxa"/>
          </w:tcPr>
          <w:p w14:paraId="04BFB6BC" w14:textId="77777777" w:rsidR="00D749ED" w:rsidRPr="00A41B49" w:rsidRDefault="00D749ED" w:rsidP="00D749ED">
            <w:pPr>
              <w:rPr>
                <w:lang w:eastAsia="de-DE"/>
              </w:rPr>
            </w:pPr>
            <w:r w:rsidRPr="00A41B49">
              <w:rPr>
                <w:lang w:eastAsia="de-DE"/>
              </w:rPr>
              <w:t>Flammable liquids</w:t>
            </w:r>
          </w:p>
        </w:tc>
        <w:tc>
          <w:tcPr>
            <w:tcW w:w="1418" w:type="dxa"/>
          </w:tcPr>
          <w:p w14:paraId="49D206C4" w14:textId="77777777" w:rsidR="00D749ED" w:rsidRPr="00A41B49" w:rsidRDefault="00D749ED" w:rsidP="00D749ED">
            <w:pPr>
              <w:rPr>
                <w:lang w:eastAsia="de-DE"/>
              </w:rPr>
            </w:pPr>
          </w:p>
        </w:tc>
        <w:tc>
          <w:tcPr>
            <w:tcW w:w="1417" w:type="dxa"/>
          </w:tcPr>
          <w:p w14:paraId="195A5716" w14:textId="77777777" w:rsidR="00D749ED" w:rsidRPr="00A41B49" w:rsidRDefault="00D749ED" w:rsidP="00D749ED">
            <w:pPr>
              <w:rPr>
                <w:lang w:eastAsia="de-DE"/>
              </w:rPr>
            </w:pPr>
          </w:p>
        </w:tc>
        <w:tc>
          <w:tcPr>
            <w:tcW w:w="4390" w:type="dxa"/>
          </w:tcPr>
          <w:p w14:paraId="39CB9E37" w14:textId="77777777" w:rsidR="00D749ED" w:rsidRPr="00A41B49" w:rsidRDefault="00D749ED" w:rsidP="00D749ED">
            <w:pPr>
              <w:rPr>
                <w:lang w:eastAsia="de-DE"/>
              </w:rPr>
            </w:pPr>
            <w:r w:rsidRPr="00A41B49">
              <w:rPr>
                <w:lang w:eastAsia="de-DE"/>
              </w:rPr>
              <w:t>Waived on the basis of the classification (see justification and manual classification according to annex I of CLP in sections 12 and 13). See details in confidential part.</w:t>
            </w:r>
          </w:p>
        </w:tc>
        <w:tc>
          <w:tcPr>
            <w:tcW w:w="713" w:type="dxa"/>
            <w:vAlign w:val="center"/>
          </w:tcPr>
          <w:p w14:paraId="538178CC" w14:textId="77777777" w:rsidR="00D749ED" w:rsidRPr="00A41B49" w:rsidRDefault="00D749ED" w:rsidP="00D749ED">
            <w:pPr>
              <w:jc w:val="center"/>
              <w:rPr>
                <w:lang w:eastAsia="de-DE"/>
              </w:rPr>
            </w:pPr>
          </w:p>
        </w:tc>
        <w:tc>
          <w:tcPr>
            <w:tcW w:w="1275" w:type="dxa"/>
          </w:tcPr>
          <w:p w14:paraId="29041BA1" w14:textId="77777777" w:rsidR="00D749ED" w:rsidRPr="00A41B49" w:rsidRDefault="00D749ED" w:rsidP="00D749ED">
            <w:pPr>
              <w:rPr>
                <w:lang w:eastAsia="de-DE"/>
              </w:rPr>
            </w:pPr>
          </w:p>
        </w:tc>
        <w:tc>
          <w:tcPr>
            <w:tcW w:w="2127" w:type="dxa"/>
          </w:tcPr>
          <w:p w14:paraId="1DA4AA16" w14:textId="77777777" w:rsidR="00D749ED" w:rsidRPr="00A41B49" w:rsidRDefault="00D749ED" w:rsidP="00D749ED">
            <w:pPr>
              <w:rPr>
                <w:lang w:eastAsia="de-DE"/>
              </w:rPr>
            </w:pPr>
            <w:r w:rsidRPr="00A41B49">
              <w:rPr>
                <w:lang w:eastAsia="de-DE"/>
              </w:rPr>
              <w:t>Acceptable</w:t>
            </w:r>
          </w:p>
        </w:tc>
      </w:tr>
      <w:tr w:rsidR="00D749ED" w:rsidRPr="00A41B49" w14:paraId="3818B36D" w14:textId="77777777" w:rsidTr="00D749ED">
        <w:trPr>
          <w:trHeight w:val="171"/>
        </w:trPr>
        <w:tc>
          <w:tcPr>
            <w:tcW w:w="2622" w:type="dxa"/>
          </w:tcPr>
          <w:p w14:paraId="7DD3276B" w14:textId="77777777" w:rsidR="00D749ED" w:rsidRPr="00A41B49" w:rsidRDefault="00D749ED" w:rsidP="00D749ED">
            <w:pPr>
              <w:rPr>
                <w:lang w:eastAsia="de-DE"/>
              </w:rPr>
            </w:pPr>
            <w:r w:rsidRPr="00A41B49">
              <w:rPr>
                <w:lang w:eastAsia="de-DE"/>
              </w:rPr>
              <w:t>Flammable solids</w:t>
            </w:r>
          </w:p>
        </w:tc>
        <w:tc>
          <w:tcPr>
            <w:tcW w:w="1418" w:type="dxa"/>
          </w:tcPr>
          <w:p w14:paraId="289C25B0" w14:textId="77777777" w:rsidR="00D749ED" w:rsidRPr="00A41B49" w:rsidRDefault="00D749ED" w:rsidP="00D749ED">
            <w:pPr>
              <w:rPr>
                <w:lang w:eastAsia="de-DE"/>
              </w:rPr>
            </w:pPr>
          </w:p>
        </w:tc>
        <w:tc>
          <w:tcPr>
            <w:tcW w:w="1417" w:type="dxa"/>
          </w:tcPr>
          <w:p w14:paraId="095EA77C" w14:textId="77777777" w:rsidR="00D749ED" w:rsidRPr="00A41B49" w:rsidRDefault="00D749ED" w:rsidP="00D749ED">
            <w:pPr>
              <w:rPr>
                <w:lang w:eastAsia="de-DE"/>
              </w:rPr>
            </w:pPr>
          </w:p>
        </w:tc>
        <w:tc>
          <w:tcPr>
            <w:tcW w:w="4390" w:type="dxa"/>
          </w:tcPr>
          <w:p w14:paraId="0F4BEBA9"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6E9C5AEE" w14:textId="77777777" w:rsidR="00D749ED" w:rsidRPr="00A41B49" w:rsidRDefault="00D749ED" w:rsidP="00D749ED">
            <w:pPr>
              <w:jc w:val="center"/>
              <w:rPr>
                <w:lang w:eastAsia="de-DE"/>
              </w:rPr>
            </w:pPr>
          </w:p>
        </w:tc>
        <w:tc>
          <w:tcPr>
            <w:tcW w:w="1275" w:type="dxa"/>
          </w:tcPr>
          <w:p w14:paraId="7F594090" w14:textId="77777777" w:rsidR="00D749ED" w:rsidRPr="00A41B49" w:rsidRDefault="00D749ED" w:rsidP="00D749ED">
            <w:pPr>
              <w:rPr>
                <w:lang w:eastAsia="de-DE"/>
              </w:rPr>
            </w:pPr>
          </w:p>
        </w:tc>
        <w:tc>
          <w:tcPr>
            <w:tcW w:w="2127" w:type="dxa"/>
          </w:tcPr>
          <w:p w14:paraId="1E0EC7EE" w14:textId="77777777" w:rsidR="00D749ED" w:rsidRPr="00A41B49" w:rsidRDefault="00D749ED" w:rsidP="00D749ED">
            <w:pPr>
              <w:rPr>
                <w:lang w:eastAsia="de-DE"/>
              </w:rPr>
            </w:pPr>
          </w:p>
        </w:tc>
      </w:tr>
      <w:tr w:rsidR="00D749ED" w:rsidRPr="00A41B49" w14:paraId="25A17F43" w14:textId="77777777" w:rsidTr="00D749ED">
        <w:trPr>
          <w:trHeight w:val="171"/>
        </w:trPr>
        <w:tc>
          <w:tcPr>
            <w:tcW w:w="2622" w:type="dxa"/>
          </w:tcPr>
          <w:p w14:paraId="26A83EC1" w14:textId="77777777" w:rsidR="00D749ED" w:rsidRPr="00A41B49" w:rsidRDefault="00D749ED" w:rsidP="00D749ED">
            <w:pPr>
              <w:rPr>
                <w:lang w:eastAsia="de-DE"/>
              </w:rPr>
            </w:pPr>
            <w:r w:rsidRPr="00A41B49">
              <w:rPr>
                <w:lang w:eastAsia="de-DE"/>
              </w:rPr>
              <w:t>Self-reactive substances and mixtures</w:t>
            </w:r>
          </w:p>
        </w:tc>
        <w:tc>
          <w:tcPr>
            <w:tcW w:w="1418" w:type="dxa"/>
          </w:tcPr>
          <w:p w14:paraId="1F7C4A02" w14:textId="77777777" w:rsidR="00D749ED" w:rsidRPr="00A41B49" w:rsidRDefault="00D749ED" w:rsidP="00D749ED">
            <w:pPr>
              <w:rPr>
                <w:lang w:eastAsia="de-DE"/>
              </w:rPr>
            </w:pPr>
          </w:p>
        </w:tc>
        <w:tc>
          <w:tcPr>
            <w:tcW w:w="1417" w:type="dxa"/>
          </w:tcPr>
          <w:p w14:paraId="7E2FE4AC" w14:textId="77777777" w:rsidR="00D749ED" w:rsidRPr="00A41B49" w:rsidRDefault="00D749ED" w:rsidP="00D749ED">
            <w:pPr>
              <w:rPr>
                <w:lang w:eastAsia="de-DE"/>
              </w:rPr>
            </w:pPr>
          </w:p>
        </w:tc>
        <w:tc>
          <w:tcPr>
            <w:tcW w:w="4390" w:type="dxa"/>
          </w:tcPr>
          <w:p w14:paraId="0E64924C" w14:textId="77777777" w:rsidR="00D749ED" w:rsidRPr="00A41B49" w:rsidRDefault="00D749ED" w:rsidP="00D749ED">
            <w:pPr>
              <w:rPr>
                <w:lang w:eastAsia="de-DE"/>
              </w:rPr>
            </w:pPr>
            <w:r w:rsidRPr="00A41B49">
              <w:rPr>
                <w:lang w:eastAsia="de-DE"/>
              </w:rPr>
              <w:t>Waived on the basis of the classification (see justification and manual classification according to annex I of CLP in sections 12 and 13). See details in confidential part.</w:t>
            </w:r>
          </w:p>
        </w:tc>
        <w:tc>
          <w:tcPr>
            <w:tcW w:w="713" w:type="dxa"/>
            <w:vAlign w:val="center"/>
          </w:tcPr>
          <w:p w14:paraId="434D322B" w14:textId="77777777" w:rsidR="00D749ED" w:rsidRPr="00A41B49" w:rsidRDefault="00D749ED" w:rsidP="00D749ED">
            <w:pPr>
              <w:jc w:val="center"/>
              <w:rPr>
                <w:lang w:eastAsia="de-DE"/>
              </w:rPr>
            </w:pPr>
          </w:p>
        </w:tc>
        <w:tc>
          <w:tcPr>
            <w:tcW w:w="1275" w:type="dxa"/>
          </w:tcPr>
          <w:p w14:paraId="038A7D2F" w14:textId="77777777" w:rsidR="00D749ED" w:rsidRPr="00A41B49" w:rsidRDefault="00D749ED" w:rsidP="00D749ED">
            <w:pPr>
              <w:rPr>
                <w:lang w:eastAsia="de-DE"/>
              </w:rPr>
            </w:pPr>
          </w:p>
        </w:tc>
        <w:tc>
          <w:tcPr>
            <w:tcW w:w="2127" w:type="dxa"/>
          </w:tcPr>
          <w:p w14:paraId="72F11437" w14:textId="77777777" w:rsidR="00D749ED" w:rsidRPr="00A41B49" w:rsidRDefault="00D749ED" w:rsidP="00D749ED">
            <w:pPr>
              <w:rPr>
                <w:lang w:eastAsia="de-DE"/>
              </w:rPr>
            </w:pPr>
            <w:r w:rsidRPr="00A41B49">
              <w:rPr>
                <w:lang w:eastAsia="de-DE"/>
              </w:rPr>
              <w:t>Acceptable</w:t>
            </w:r>
          </w:p>
        </w:tc>
      </w:tr>
      <w:tr w:rsidR="00D749ED" w:rsidRPr="00A41B49" w14:paraId="1BA549DF" w14:textId="77777777" w:rsidTr="00D749ED">
        <w:trPr>
          <w:trHeight w:val="171"/>
        </w:trPr>
        <w:tc>
          <w:tcPr>
            <w:tcW w:w="2622" w:type="dxa"/>
          </w:tcPr>
          <w:p w14:paraId="3F9BFBCA" w14:textId="77777777" w:rsidR="00D749ED" w:rsidRPr="00A41B49" w:rsidRDefault="00D749ED" w:rsidP="00D749ED">
            <w:pPr>
              <w:rPr>
                <w:lang w:eastAsia="de-DE"/>
              </w:rPr>
            </w:pPr>
            <w:r w:rsidRPr="00A41B49">
              <w:rPr>
                <w:lang w:eastAsia="de-DE"/>
              </w:rPr>
              <w:t>Pyrophoric liquids</w:t>
            </w:r>
          </w:p>
        </w:tc>
        <w:tc>
          <w:tcPr>
            <w:tcW w:w="1418" w:type="dxa"/>
          </w:tcPr>
          <w:p w14:paraId="5E17550A" w14:textId="77777777" w:rsidR="00D749ED" w:rsidRPr="00A41B49" w:rsidRDefault="00D749ED" w:rsidP="00D749ED">
            <w:pPr>
              <w:rPr>
                <w:lang w:eastAsia="de-DE"/>
              </w:rPr>
            </w:pPr>
          </w:p>
        </w:tc>
        <w:tc>
          <w:tcPr>
            <w:tcW w:w="1417" w:type="dxa"/>
          </w:tcPr>
          <w:p w14:paraId="4026469C" w14:textId="77777777" w:rsidR="00D749ED" w:rsidRPr="00A41B49" w:rsidRDefault="00D749ED" w:rsidP="00D749ED">
            <w:pPr>
              <w:rPr>
                <w:lang w:eastAsia="de-DE"/>
              </w:rPr>
            </w:pPr>
          </w:p>
        </w:tc>
        <w:tc>
          <w:tcPr>
            <w:tcW w:w="4390" w:type="dxa"/>
          </w:tcPr>
          <w:p w14:paraId="176FB0AE"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32D9CD2B" w14:textId="77777777" w:rsidR="00D749ED" w:rsidRPr="00A41B49" w:rsidRDefault="00D749ED" w:rsidP="00D749ED">
            <w:pPr>
              <w:jc w:val="center"/>
              <w:rPr>
                <w:lang w:eastAsia="de-DE"/>
              </w:rPr>
            </w:pPr>
          </w:p>
        </w:tc>
        <w:tc>
          <w:tcPr>
            <w:tcW w:w="1275" w:type="dxa"/>
          </w:tcPr>
          <w:p w14:paraId="68A0A8CF" w14:textId="77777777" w:rsidR="00D749ED" w:rsidRPr="00A41B49" w:rsidRDefault="00D749ED" w:rsidP="00D749ED">
            <w:pPr>
              <w:rPr>
                <w:lang w:eastAsia="de-DE"/>
              </w:rPr>
            </w:pPr>
          </w:p>
        </w:tc>
        <w:tc>
          <w:tcPr>
            <w:tcW w:w="2127" w:type="dxa"/>
          </w:tcPr>
          <w:p w14:paraId="76790442" w14:textId="77777777" w:rsidR="00D749ED" w:rsidRPr="00A41B49" w:rsidRDefault="00D749ED" w:rsidP="00D749ED">
            <w:pPr>
              <w:rPr>
                <w:lang w:eastAsia="de-DE"/>
              </w:rPr>
            </w:pPr>
          </w:p>
        </w:tc>
      </w:tr>
      <w:tr w:rsidR="00D749ED" w:rsidRPr="00A41B49" w14:paraId="602255B5" w14:textId="77777777" w:rsidTr="00D749ED">
        <w:trPr>
          <w:trHeight w:val="171"/>
        </w:trPr>
        <w:tc>
          <w:tcPr>
            <w:tcW w:w="2622" w:type="dxa"/>
          </w:tcPr>
          <w:p w14:paraId="2F0FA716" w14:textId="77777777" w:rsidR="00D749ED" w:rsidRPr="00A41B49" w:rsidRDefault="00D749ED" w:rsidP="00D749ED">
            <w:pPr>
              <w:rPr>
                <w:lang w:eastAsia="de-DE"/>
              </w:rPr>
            </w:pPr>
            <w:r w:rsidRPr="00A41B49">
              <w:rPr>
                <w:lang w:eastAsia="de-DE"/>
              </w:rPr>
              <w:t>Pyrophoric solids</w:t>
            </w:r>
          </w:p>
        </w:tc>
        <w:tc>
          <w:tcPr>
            <w:tcW w:w="1418" w:type="dxa"/>
          </w:tcPr>
          <w:p w14:paraId="0689BDE1" w14:textId="77777777" w:rsidR="00D749ED" w:rsidRPr="00A41B49" w:rsidRDefault="00D749ED" w:rsidP="00D749ED">
            <w:pPr>
              <w:rPr>
                <w:lang w:eastAsia="de-DE"/>
              </w:rPr>
            </w:pPr>
          </w:p>
        </w:tc>
        <w:tc>
          <w:tcPr>
            <w:tcW w:w="1417" w:type="dxa"/>
          </w:tcPr>
          <w:p w14:paraId="6D460DC5" w14:textId="77777777" w:rsidR="00D749ED" w:rsidRPr="00A41B49" w:rsidRDefault="00D749ED" w:rsidP="00D749ED">
            <w:pPr>
              <w:rPr>
                <w:lang w:eastAsia="de-DE"/>
              </w:rPr>
            </w:pPr>
          </w:p>
        </w:tc>
        <w:tc>
          <w:tcPr>
            <w:tcW w:w="4390" w:type="dxa"/>
          </w:tcPr>
          <w:p w14:paraId="338B1EC7"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7B287475" w14:textId="77777777" w:rsidR="00D749ED" w:rsidRPr="00A41B49" w:rsidRDefault="00D749ED" w:rsidP="00D749ED">
            <w:pPr>
              <w:jc w:val="center"/>
              <w:rPr>
                <w:lang w:eastAsia="de-DE"/>
              </w:rPr>
            </w:pPr>
          </w:p>
        </w:tc>
        <w:tc>
          <w:tcPr>
            <w:tcW w:w="1275" w:type="dxa"/>
          </w:tcPr>
          <w:p w14:paraId="5A08A73C" w14:textId="77777777" w:rsidR="00D749ED" w:rsidRPr="00A41B49" w:rsidRDefault="00D749ED" w:rsidP="00D749ED">
            <w:pPr>
              <w:rPr>
                <w:lang w:eastAsia="de-DE"/>
              </w:rPr>
            </w:pPr>
          </w:p>
        </w:tc>
        <w:tc>
          <w:tcPr>
            <w:tcW w:w="2127" w:type="dxa"/>
          </w:tcPr>
          <w:p w14:paraId="19049705" w14:textId="77777777" w:rsidR="00D749ED" w:rsidRPr="00A41B49" w:rsidRDefault="00D749ED" w:rsidP="00D749ED">
            <w:pPr>
              <w:rPr>
                <w:lang w:eastAsia="de-DE"/>
              </w:rPr>
            </w:pPr>
          </w:p>
        </w:tc>
      </w:tr>
      <w:tr w:rsidR="00D749ED" w:rsidRPr="00A41B49" w14:paraId="7CF39177" w14:textId="77777777" w:rsidTr="00D749ED">
        <w:trPr>
          <w:trHeight w:val="171"/>
        </w:trPr>
        <w:tc>
          <w:tcPr>
            <w:tcW w:w="2622" w:type="dxa"/>
          </w:tcPr>
          <w:p w14:paraId="203EF81E" w14:textId="77777777" w:rsidR="00D749ED" w:rsidRPr="00A41B49" w:rsidRDefault="00D749ED" w:rsidP="00D749ED">
            <w:pPr>
              <w:rPr>
                <w:lang w:eastAsia="de-DE"/>
              </w:rPr>
            </w:pPr>
            <w:r w:rsidRPr="00A41B49">
              <w:rPr>
                <w:lang w:eastAsia="de-DE"/>
              </w:rPr>
              <w:t>Self-heating substances and mixtures</w:t>
            </w:r>
          </w:p>
        </w:tc>
        <w:tc>
          <w:tcPr>
            <w:tcW w:w="1418" w:type="dxa"/>
          </w:tcPr>
          <w:p w14:paraId="2AC157F0" w14:textId="77777777" w:rsidR="00D749ED" w:rsidRPr="00A41B49" w:rsidRDefault="00D749ED" w:rsidP="00D749ED">
            <w:pPr>
              <w:rPr>
                <w:lang w:eastAsia="de-DE"/>
              </w:rPr>
            </w:pPr>
          </w:p>
        </w:tc>
        <w:tc>
          <w:tcPr>
            <w:tcW w:w="1417" w:type="dxa"/>
          </w:tcPr>
          <w:p w14:paraId="56575F23" w14:textId="77777777" w:rsidR="00D749ED" w:rsidRPr="00A41B49" w:rsidRDefault="00D749ED" w:rsidP="00D749ED">
            <w:pPr>
              <w:rPr>
                <w:lang w:eastAsia="de-DE"/>
              </w:rPr>
            </w:pPr>
          </w:p>
        </w:tc>
        <w:tc>
          <w:tcPr>
            <w:tcW w:w="4390" w:type="dxa"/>
          </w:tcPr>
          <w:p w14:paraId="70E9B075"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5023642D" w14:textId="77777777" w:rsidR="00D749ED" w:rsidRPr="00A41B49" w:rsidRDefault="00D749ED" w:rsidP="00D749ED">
            <w:pPr>
              <w:jc w:val="center"/>
              <w:rPr>
                <w:lang w:eastAsia="de-DE"/>
              </w:rPr>
            </w:pPr>
          </w:p>
        </w:tc>
        <w:tc>
          <w:tcPr>
            <w:tcW w:w="1275" w:type="dxa"/>
          </w:tcPr>
          <w:p w14:paraId="78C6ECEF" w14:textId="77777777" w:rsidR="00D749ED" w:rsidRPr="00A41B49" w:rsidRDefault="00D749ED" w:rsidP="00D749ED">
            <w:pPr>
              <w:rPr>
                <w:lang w:eastAsia="de-DE"/>
              </w:rPr>
            </w:pPr>
          </w:p>
        </w:tc>
        <w:tc>
          <w:tcPr>
            <w:tcW w:w="2127" w:type="dxa"/>
          </w:tcPr>
          <w:p w14:paraId="027C7DD2" w14:textId="77777777" w:rsidR="00D749ED" w:rsidRPr="00A41B49" w:rsidRDefault="00D749ED" w:rsidP="00D749ED">
            <w:pPr>
              <w:rPr>
                <w:lang w:eastAsia="de-DE"/>
              </w:rPr>
            </w:pPr>
          </w:p>
        </w:tc>
      </w:tr>
      <w:tr w:rsidR="00D749ED" w:rsidRPr="00A41B49" w14:paraId="61E46428" w14:textId="77777777" w:rsidTr="00D749ED">
        <w:trPr>
          <w:trHeight w:val="452"/>
        </w:trPr>
        <w:tc>
          <w:tcPr>
            <w:tcW w:w="2622" w:type="dxa"/>
          </w:tcPr>
          <w:p w14:paraId="27207A92" w14:textId="77777777" w:rsidR="00D749ED" w:rsidRPr="00A41B49" w:rsidRDefault="00D749ED" w:rsidP="00D749ED">
            <w:pPr>
              <w:rPr>
                <w:lang w:eastAsia="de-DE"/>
              </w:rPr>
            </w:pPr>
            <w:r w:rsidRPr="00A41B49">
              <w:rPr>
                <w:lang w:eastAsia="de-DE"/>
              </w:rPr>
              <w:t>Substances and mixtures which in contact with water emit flammable gases</w:t>
            </w:r>
          </w:p>
        </w:tc>
        <w:tc>
          <w:tcPr>
            <w:tcW w:w="1418" w:type="dxa"/>
          </w:tcPr>
          <w:p w14:paraId="240AF2A8" w14:textId="77777777" w:rsidR="00D749ED" w:rsidRPr="00A41B49" w:rsidRDefault="00D749ED" w:rsidP="00D749ED">
            <w:pPr>
              <w:rPr>
                <w:lang w:eastAsia="de-DE"/>
              </w:rPr>
            </w:pPr>
          </w:p>
        </w:tc>
        <w:tc>
          <w:tcPr>
            <w:tcW w:w="1417" w:type="dxa"/>
          </w:tcPr>
          <w:p w14:paraId="530BD2AC" w14:textId="77777777" w:rsidR="00D749ED" w:rsidRPr="00A41B49" w:rsidRDefault="00D749ED" w:rsidP="00D749ED">
            <w:pPr>
              <w:rPr>
                <w:lang w:eastAsia="de-DE"/>
              </w:rPr>
            </w:pPr>
          </w:p>
        </w:tc>
        <w:tc>
          <w:tcPr>
            <w:tcW w:w="4390" w:type="dxa"/>
          </w:tcPr>
          <w:p w14:paraId="079E00CE"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53919D07" w14:textId="77777777" w:rsidR="00D749ED" w:rsidRPr="00A41B49" w:rsidRDefault="00D749ED" w:rsidP="00D749ED">
            <w:pPr>
              <w:jc w:val="center"/>
              <w:rPr>
                <w:lang w:eastAsia="de-DE"/>
              </w:rPr>
            </w:pPr>
          </w:p>
        </w:tc>
        <w:tc>
          <w:tcPr>
            <w:tcW w:w="1275" w:type="dxa"/>
          </w:tcPr>
          <w:p w14:paraId="1441E63E" w14:textId="77777777" w:rsidR="00D749ED" w:rsidRPr="00A41B49" w:rsidRDefault="00D749ED" w:rsidP="00D749ED">
            <w:pPr>
              <w:rPr>
                <w:lang w:eastAsia="de-DE"/>
              </w:rPr>
            </w:pPr>
          </w:p>
        </w:tc>
        <w:tc>
          <w:tcPr>
            <w:tcW w:w="2127" w:type="dxa"/>
          </w:tcPr>
          <w:p w14:paraId="3F2AA40D" w14:textId="77777777" w:rsidR="00D749ED" w:rsidRPr="00A41B49" w:rsidRDefault="00D749ED" w:rsidP="00D749ED">
            <w:pPr>
              <w:rPr>
                <w:lang w:eastAsia="de-DE"/>
              </w:rPr>
            </w:pPr>
          </w:p>
        </w:tc>
      </w:tr>
      <w:tr w:rsidR="00D749ED" w:rsidRPr="00A41B49" w14:paraId="43A2F527" w14:textId="77777777" w:rsidTr="00D749ED">
        <w:trPr>
          <w:trHeight w:val="288"/>
        </w:trPr>
        <w:tc>
          <w:tcPr>
            <w:tcW w:w="2622" w:type="dxa"/>
          </w:tcPr>
          <w:p w14:paraId="11E33FC8" w14:textId="77777777" w:rsidR="00D749ED" w:rsidRPr="00A41B49" w:rsidRDefault="00D749ED" w:rsidP="00D749ED">
            <w:pPr>
              <w:rPr>
                <w:lang w:eastAsia="de-DE"/>
              </w:rPr>
            </w:pPr>
            <w:r w:rsidRPr="00A41B49">
              <w:rPr>
                <w:lang w:eastAsia="de-DE"/>
              </w:rPr>
              <w:t>Oxidising liquids</w:t>
            </w:r>
          </w:p>
        </w:tc>
        <w:tc>
          <w:tcPr>
            <w:tcW w:w="1418" w:type="dxa"/>
          </w:tcPr>
          <w:p w14:paraId="561288B0" w14:textId="77777777" w:rsidR="00D749ED" w:rsidRPr="00A41B49" w:rsidRDefault="00D749ED" w:rsidP="00D749ED">
            <w:pPr>
              <w:rPr>
                <w:lang w:eastAsia="de-DE"/>
              </w:rPr>
            </w:pPr>
          </w:p>
        </w:tc>
        <w:tc>
          <w:tcPr>
            <w:tcW w:w="1417" w:type="dxa"/>
          </w:tcPr>
          <w:p w14:paraId="2012A826" w14:textId="77777777" w:rsidR="00D749ED" w:rsidRPr="00A41B49" w:rsidRDefault="00D749ED" w:rsidP="00D749ED">
            <w:pPr>
              <w:rPr>
                <w:lang w:eastAsia="de-DE"/>
              </w:rPr>
            </w:pPr>
          </w:p>
        </w:tc>
        <w:tc>
          <w:tcPr>
            <w:tcW w:w="4390" w:type="dxa"/>
          </w:tcPr>
          <w:p w14:paraId="06C975FA" w14:textId="77777777" w:rsidR="00D749ED" w:rsidRPr="00A41B49" w:rsidRDefault="00D749ED" w:rsidP="00D749ED">
            <w:pPr>
              <w:rPr>
                <w:lang w:eastAsia="de-DE"/>
              </w:rPr>
            </w:pPr>
            <w:r w:rsidRPr="00A41B49">
              <w:rPr>
                <w:lang w:eastAsia="de-DE"/>
              </w:rPr>
              <w:t>Waived on the basis of the classification (see justification and manual classification according to annex I of CLP in sections 12 and 13). See details in confidential part.</w:t>
            </w:r>
          </w:p>
        </w:tc>
        <w:tc>
          <w:tcPr>
            <w:tcW w:w="713" w:type="dxa"/>
            <w:vAlign w:val="center"/>
          </w:tcPr>
          <w:p w14:paraId="79BFA5D3" w14:textId="77777777" w:rsidR="00D749ED" w:rsidRPr="00A41B49" w:rsidRDefault="00D749ED" w:rsidP="00D749ED">
            <w:pPr>
              <w:jc w:val="center"/>
              <w:rPr>
                <w:lang w:eastAsia="de-DE"/>
              </w:rPr>
            </w:pPr>
          </w:p>
        </w:tc>
        <w:tc>
          <w:tcPr>
            <w:tcW w:w="1275" w:type="dxa"/>
          </w:tcPr>
          <w:p w14:paraId="48497DB9" w14:textId="77777777" w:rsidR="00D749ED" w:rsidRPr="00A41B49" w:rsidRDefault="00D749ED" w:rsidP="00D749ED">
            <w:pPr>
              <w:rPr>
                <w:lang w:eastAsia="de-DE"/>
              </w:rPr>
            </w:pPr>
          </w:p>
        </w:tc>
        <w:tc>
          <w:tcPr>
            <w:tcW w:w="2127" w:type="dxa"/>
          </w:tcPr>
          <w:p w14:paraId="4668F59A" w14:textId="77777777" w:rsidR="00D749ED" w:rsidRPr="00A41B49" w:rsidRDefault="00D749ED" w:rsidP="00D749ED">
            <w:pPr>
              <w:rPr>
                <w:lang w:eastAsia="de-DE"/>
              </w:rPr>
            </w:pPr>
            <w:r w:rsidRPr="00A41B49">
              <w:rPr>
                <w:lang w:eastAsia="de-DE"/>
              </w:rPr>
              <w:t>Acceptable</w:t>
            </w:r>
          </w:p>
        </w:tc>
      </w:tr>
      <w:tr w:rsidR="00D749ED" w:rsidRPr="00A41B49" w14:paraId="6956C405" w14:textId="77777777" w:rsidTr="00D749ED">
        <w:trPr>
          <w:trHeight w:val="288"/>
        </w:trPr>
        <w:tc>
          <w:tcPr>
            <w:tcW w:w="2622" w:type="dxa"/>
          </w:tcPr>
          <w:p w14:paraId="5DA3BBB2" w14:textId="77777777" w:rsidR="00D749ED" w:rsidRPr="00A41B49" w:rsidRDefault="00D749ED" w:rsidP="00D749ED">
            <w:pPr>
              <w:rPr>
                <w:lang w:eastAsia="de-DE"/>
              </w:rPr>
            </w:pPr>
            <w:r w:rsidRPr="00A41B49">
              <w:rPr>
                <w:lang w:eastAsia="de-DE"/>
              </w:rPr>
              <w:t>Oxidising solids</w:t>
            </w:r>
          </w:p>
        </w:tc>
        <w:tc>
          <w:tcPr>
            <w:tcW w:w="1418" w:type="dxa"/>
          </w:tcPr>
          <w:p w14:paraId="6D649665" w14:textId="77777777" w:rsidR="00D749ED" w:rsidRPr="00A41B49" w:rsidRDefault="00D749ED" w:rsidP="00D749ED">
            <w:pPr>
              <w:rPr>
                <w:lang w:eastAsia="de-DE"/>
              </w:rPr>
            </w:pPr>
          </w:p>
        </w:tc>
        <w:tc>
          <w:tcPr>
            <w:tcW w:w="1417" w:type="dxa"/>
          </w:tcPr>
          <w:p w14:paraId="46EA8EC3" w14:textId="77777777" w:rsidR="00D749ED" w:rsidRPr="00A41B49" w:rsidRDefault="00D749ED" w:rsidP="00D749ED">
            <w:pPr>
              <w:rPr>
                <w:lang w:eastAsia="de-DE"/>
              </w:rPr>
            </w:pPr>
          </w:p>
        </w:tc>
        <w:tc>
          <w:tcPr>
            <w:tcW w:w="4390" w:type="dxa"/>
          </w:tcPr>
          <w:p w14:paraId="2F73A23D"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0223B802" w14:textId="77777777" w:rsidR="00D749ED" w:rsidRPr="00A41B49" w:rsidRDefault="00D749ED" w:rsidP="00D749ED">
            <w:pPr>
              <w:jc w:val="center"/>
              <w:rPr>
                <w:lang w:eastAsia="de-DE"/>
              </w:rPr>
            </w:pPr>
          </w:p>
        </w:tc>
        <w:tc>
          <w:tcPr>
            <w:tcW w:w="1275" w:type="dxa"/>
          </w:tcPr>
          <w:p w14:paraId="2F56E0E5" w14:textId="77777777" w:rsidR="00D749ED" w:rsidRPr="00A41B49" w:rsidRDefault="00D749ED" w:rsidP="00D749ED">
            <w:pPr>
              <w:rPr>
                <w:lang w:eastAsia="de-DE"/>
              </w:rPr>
            </w:pPr>
          </w:p>
        </w:tc>
        <w:tc>
          <w:tcPr>
            <w:tcW w:w="2127" w:type="dxa"/>
          </w:tcPr>
          <w:p w14:paraId="32FE8590" w14:textId="77777777" w:rsidR="00D749ED" w:rsidRPr="00A41B49" w:rsidRDefault="00D749ED" w:rsidP="00D749ED">
            <w:pPr>
              <w:rPr>
                <w:lang w:eastAsia="de-DE"/>
              </w:rPr>
            </w:pPr>
          </w:p>
        </w:tc>
      </w:tr>
      <w:tr w:rsidR="00D749ED" w:rsidRPr="00A41B49" w14:paraId="42A8142F" w14:textId="77777777" w:rsidTr="00D749ED">
        <w:trPr>
          <w:trHeight w:val="288"/>
        </w:trPr>
        <w:tc>
          <w:tcPr>
            <w:tcW w:w="2622" w:type="dxa"/>
          </w:tcPr>
          <w:p w14:paraId="40AAE46F" w14:textId="77777777" w:rsidR="00D749ED" w:rsidRPr="00A41B49" w:rsidRDefault="00D749ED" w:rsidP="00D749ED">
            <w:pPr>
              <w:rPr>
                <w:lang w:eastAsia="de-DE"/>
              </w:rPr>
            </w:pPr>
            <w:r w:rsidRPr="00A41B49">
              <w:rPr>
                <w:lang w:eastAsia="de-DE"/>
              </w:rPr>
              <w:t>Organic peroxides</w:t>
            </w:r>
          </w:p>
        </w:tc>
        <w:tc>
          <w:tcPr>
            <w:tcW w:w="1418" w:type="dxa"/>
          </w:tcPr>
          <w:p w14:paraId="770A5063" w14:textId="77777777" w:rsidR="00D749ED" w:rsidRPr="00A41B49" w:rsidRDefault="00D749ED" w:rsidP="00D749ED">
            <w:pPr>
              <w:rPr>
                <w:lang w:eastAsia="de-DE"/>
              </w:rPr>
            </w:pPr>
          </w:p>
        </w:tc>
        <w:tc>
          <w:tcPr>
            <w:tcW w:w="1417" w:type="dxa"/>
          </w:tcPr>
          <w:p w14:paraId="61BACC8A" w14:textId="77777777" w:rsidR="00D749ED" w:rsidRPr="00A41B49" w:rsidRDefault="00D749ED" w:rsidP="00D749ED">
            <w:pPr>
              <w:rPr>
                <w:lang w:eastAsia="de-DE"/>
              </w:rPr>
            </w:pPr>
          </w:p>
        </w:tc>
        <w:tc>
          <w:tcPr>
            <w:tcW w:w="4390" w:type="dxa"/>
          </w:tcPr>
          <w:p w14:paraId="5645BD99"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4C876CE6" w14:textId="77777777" w:rsidR="00D749ED" w:rsidRPr="00A41B49" w:rsidRDefault="00D749ED" w:rsidP="00D749ED">
            <w:pPr>
              <w:jc w:val="center"/>
              <w:rPr>
                <w:lang w:eastAsia="de-DE"/>
              </w:rPr>
            </w:pPr>
          </w:p>
        </w:tc>
        <w:tc>
          <w:tcPr>
            <w:tcW w:w="1275" w:type="dxa"/>
          </w:tcPr>
          <w:p w14:paraId="026996FD" w14:textId="77777777" w:rsidR="00D749ED" w:rsidRPr="00A41B49" w:rsidRDefault="00D749ED" w:rsidP="00D749ED">
            <w:pPr>
              <w:rPr>
                <w:lang w:eastAsia="de-DE"/>
              </w:rPr>
            </w:pPr>
          </w:p>
        </w:tc>
        <w:tc>
          <w:tcPr>
            <w:tcW w:w="2127" w:type="dxa"/>
          </w:tcPr>
          <w:p w14:paraId="27D21CD0" w14:textId="77777777" w:rsidR="00D749ED" w:rsidRPr="00A41B49" w:rsidRDefault="00D749ED" w:rsidP="00D749ED">
            <w:pPr>
              <w:rPr>
                <w:lang w:eastAsia="de-DE"/>
              </w:rPr>
            </w:pPr>
          </w:p>
        </w:tc>
      </w:tr>
      <w:tr w:rsidR="00D749ED" w:rsidRPr="00A41B49" w14:paraId="1FA1910C" w14:textId="77777777" w:rsidTr="00D749ED">
        <w:trPr>
          <w:trHeight w:val="288"/>
        </w:trPr>
        <w:tc>
          <w:tcPr>
            <w:tcW w:w="2622" w:type="dxa"/>
          </w:tcPr>
          <w:p w14:paraId="451B1788" w14:textId="77777777" w:rsidR="00D749ED" w:rsidRPr="00A41B49" w:rsidRDefault="00D749ED" w:rsidP="00D749ED">
            <w:pPr>
              <w:rPr>
                <w:lang w:eastAsia="de-DE"/>
              </w:rPr>
            </w:pPr>
            <w:r w:rsidRPr="00A41B49">
              <w:rPr>
                <w:lang w:eastAsia="de-DE"/>
              </w:rPr>
              <w:lastRenderedPageBreak/>
              <w:t>Corrosive to metals</w:t>
            </w:r>
          </w:p>
        </w:tc>
        <w:tc>
          <w:tcPr>
            <w:tcW w:w="1418" w:type="dxa"/>
          </w:tcPr>
          <w:p w14:paraId="3B6288AF" w14:textId="77777777" w:rsidR="00D749ED" w:rsidRPr="00A41B49" w:rsidRDefault="00D749ED" w:rsidP="00D749ED">
            <w:pPr>
              <w:rPr>
                <w:rFonts w:cs="Arial"/>
                <w:lang w:eastAsia="de-DE"/>
              </w:rPr>
            </w:pPr>
            <w:r w:rsidRPr="00A41B49">
              <w:rPr>
                <w:rFonts w:cs="Arial"/>
                <w:sz w:val="18"/>
                <w:lang w:eastAsia="de-DE"/>
              </w:rPr>
              <w:t>Section 37.4 of UN-MTC according to CLP regulation</w:t>
            </w:r>
          </w:p>
        </w:tc>
        <w:tc>
          <w:tcPr>
            <w:tcW w:w="1417" w:type="dxa"/>
          </w:tcPr>
          <w:p w14:paraId="4E2277F7" w14:textId="77777777" w:rsidR="00D749ED" w:rsidRPr="00A41B49" w:rsidRDefault="00D749ED" w:rsidP="00D749ED">
            <w:pPr>
              <w:jc w:val="center"/>
              <w:rPr>
                <w:rFonts w:cs="Arial"/>
                <w:lang w:eastAsia="de-DE"/>
              </w:rPr>
            </w:pPr>
            <w:r w:rsidRPr="00A41B49">
              <w:rPr>
                <w:rFonts w:cs="Arial"/>
                <w:sz w:val="18"/>
                <w:lang w:eastAsia="de-DE"/>
              </w:rPr>
              <w:t>IODIGUARD - LOT 16001693</w:t>
            </w:r>
          </w:p>
        </w:tc>
        <w:tc>
          <w:tcPr>
            <w:tcW w:w="4390" w:type="dxa"/>
          </w:tcPr>
          <w:p w14:paraId="1B612922" w14:textId="77777777" w:rsidR="00D749ED" w:rsidRPr="00A41B49" w:rsidRDefault="00D749ED" w:rsidP="00D749ED">
            <w:pPr>
              <w:rPr>
                <w:lang w:eastAsia="de-DE"/>
              </w:rPr>
            </w:pPr>
            <w:r w:rsidRPr="00A41B49">
              <w:rPr>
                <w:lang w:eastAsia="de-DE"/>
              </w:rPr>
              <w:t>Mass loss of specimens after 7 days exposure times for aluminum specimen: 0</w:t>
            </w:r>
            <w:proofErr w:type="gramStart"/>
            <w:r w:rsidRPr="00A41B49">
              <w:rPr>
                <w:lang w:eastAsia="de-DE"/>
              </w:rPr>
              <w:t>,4</w:t>
            </w:r>
            <w:proofErr w:type="gramEnd"/>
            <w:r w:rsidRPr="00A41B49">
              <w:rPr>
                <w:lang w:eastAsia="de-DE"/>
              </w:rPr>
              <w:t>% (&lt;13.7%)</w:t>
            </w:r>
          </w:p>
          <w:p w14:paraId="6D4C88F1" w14:textId="77777777" w:rsidR="00D749ED" w:rsidRDefault="00D749ED" w:rsidP="00D749ED">
            <w:pPr>
              <w:rPr>
                <w:lang w:eastAsia="de-DE"/>
              </w:rPr>
            </w:pPr>
            <w:r w:rsidRPr="00A41B49">
              <w:rPr>
                <w:lang w:eastAsia="de-DE"/>
              </w:rPr>
              <w:t>Mass loss of specimens after 7 days exposure times for steel specimen: 1</w:t>
            </w:r>
            <w:proofErr w:type="gramStart"/>
            <w:r w:rsidRPr="00A41B49">
              <w:rPr>
                <w:lang w:eastAsia="de-DE"/>
              </w:rPr>
              <w:t>,1</w:t>
            </w:r>
            <w:proofErr w:type="gramEnd"/>
            <w:r w:rsidRPr="00A41B49">
              <w:rPr>
                <w:lang w:eastAsia="de-DE"/>
              </w:rPr>
              <w:t>% (&lt;13.7%)</w:t>
            </w:r>
          </w:p>
          <w:p w14:paraId="7973AE20" w14:textId="2C4FA536" w:rsidR="00B41BC3" w:rsidRPr="00A41B49" w:rsidRDefault="00B41BC3" w:rsidP="00B41BC3">
            <w:pPr>
              <w:rPr>
                <w:lang w:eastAsia="de-DE"/>
              </w:rPr>
            </w:pPr>
            <w:r w:rsidRPr="00B41BC3">
              <w:rPr>
                <w:lang w:eastAsia="de-DE"/>
              </w:rPr>
              <w:t>The metal plates were corroded uniformly within the sample</w:t>
            </w:r>
            <w:r w:rsidR="005A5189">
              <w:rPr>
                <w:lang w:eastAsia="de-DE"/>
              </w:rPr>
              <w:t>.</w:t>
            </w:r>
          </w:p>
        </w:tc>
        <w:tc>
          <w:tcPr>
            <w:tcW w:w="713" w:type="dxa"/>
            <w:vAlign w:val="center"/>
          </w:tcPr>
          <w:p w14:paraId="65EC0B57" w14:textId="77777777" w:rsidR="00D749ED" w:rsidRPr="00A41B49" w:rsidRDefault="00D749ED" w:rsidP="00D749ED">
            <w:pPr>
              <w:jc w:val="center"/>
              <w:rPr>
                <w:lang w:eastAsia="de-DE"/>
              </w:rPr>
            </w:pPr>
            <w:r w:rsidRPr="00A41B49">
              <w:rPr>
                <w:lang w:eastAsia="de-DE"/>
              </w:rPr>
              <w:t>N</w:t>
            </w:r>
          </w:p>
        </w:tc>
        <w:tc>
          <w:tcPr>
            <w:tcW w:w="1275" w:type="dxa"/>
          </w:tcPr>
          <w:p w14:paraId="2B7C036A" w14:textId="77777777" w:rsidR="00D749ED" w:rsidRPr="00A41B49" w:rsidRDefault="00D749ED" w:rsidP="00D749ED">
            <w:pPr>
              <w:rPr>
                <w:lang w:eastAsia="de-DE"/>
              </w:rPr>
            </w:pPr>
            <w:r w:rsidRPr="00A41B49">
              <w:rPr>
                <w:lang w:eastAsia="de-DE"/>
              </w:rPr>
              <w:t>Conte E., 2016</w:t>
            </w:r>
          </w:p>
        </w:tc>
        <w:tc>
          <w:tcPr>
            <w:tcW w:w="2127" w:type="dxa"/>
          </w:tcPr>
          <w:p w14:paraId="4F9BC82F" w14:textId="7749E83E" w:rsidR="00D749ED" w:rsidRDefault="00D749ED" w:rsidP="00D749ED">
            <w:pPr>
              <w:rPr>
                <w:lang w:eastAsia="de-DE"/>
              </w:rPr>
            </w:pPr>
            <w:r w:rsidRPr="00A41B49">
              <w:rPr>
                <w:lang w:eastAsia="de-DE"/>
              </w:rPr>
              <w:t>Acceptable</w:t>
            </w:r>
          </w:p>
          <w:p w14:paraId="695F94E5" w14:textId="4FE34AE2" w:rsidR="00B41BC3" w:rsidRPr="00A41B49" w:rsidRDefault="002970E9" w:rsidP="00D749ED">
            <w:pPr>
              <w:rPr>
                <w:lang w:eastAsia="de-DE"/>
              </w:rPr>
            </w:pPr>
            <w:r>
              <w:rPr>
                <w:lang w:eastAsia="de-DE"/>
              </w:rPr>
              <w:t>No</w:t>
            </w:r>
            <w:r w:rsidR="00B41BC3">
              <w:rPr>
                <w:lang w:eastAsia="de-DE"/>
              </w:rPr>
              <w:t xml:space="preserve"> localised corrosion expected, however, this should be measured for renewal of the dossier.</w:t>
            </w:r>
          </w:p>
          <w:p w14:paraId="265B8246" w14:textId="77777777" w:rsidR="00D749ED" w:rsidRPr="00A41B49" w:rsidRDefault="00D749ED" w:rsidP="00D749ED">
            <w:pPr>
              <w:rPr>
                <w:lang w:eastAsia="de-DE"/>
              </w:rPr>
            </w:pPr>
            <w:r w:rsidRPr="00A41B49">
              <w:rPr>
                <w:lang w:eastAsia="de-DE"/>
              </w:rPr>
              <w:t>The product is not classified H290 cat 1 metal corrosive according to CLP regulation.</w:t>
            </w:r>
          </w:p>
        </w:tc>
      </w:tr>
      <w:tr w:rsidR="00D749ED" w:rsidRPr="00A41B49" w14:paraId="381FA76D" w14:textId="77777777" w:rsidTr="00D749ED">
        <w:trPr>
          <w:trHeight w:val="1152"/>
        </w:trPr>
        <w:tc>
          <w:tcPr>
            <w:tcW w:w="2622" w:type="dxa"/>
          </w:tcPr>
          <w:p w14:paraId="14463621" w14:textId="77777777" w:rsidR="00D749ED" w:rsidRPr="00A41B49" w:rsidRDefault="00D749ED" w:rsidP="00D749ED">
            <w:pPr>
              <w:rPr>
                <w:lang w:eastAsia="de-DE"/>
              </w:rPr>
            </w:pPr>
            <w:r w:rsidRPr="00A41B49">
              <w:rPr>
                <w:lang w:eastAsia="de-DE"/>
              </w:rPr>
              <w:t>Auto-ignition temperatures of products (liquids and gases)</w:t>
            </w:r>
          </w:p>
        </w:tc>
        <w:tc>
          <w:tcPr>
            <w:tcW w:w="1418" w:type="dxa"/>
          </w:tcPr>
          <w:p w14:paraId="64974F60" w14:textId="77777777" w:rsidR="00D749ED" w:rsidRPr="00A41B49" w:rsidRDefault="00D749ED" w:rsidP="00D749ED">
            <w:pPr>
              <w:rPr>
                <w:lang w:eastAsia="de-DE"/>
              </w:rPr>
            </w:pPr>
          </w:p>
        </w:tc>
        <w:tc>
          <w:tcPr>
            <w:tcW w:w="1417" w:type="dxa"/>
          </w:tcPr>
          <w:p w14:paraId="1BCD0958" w14:textId="77777777" w:rsidR="00D749ED" w:rsidRPr="00A41B49" w:rsidRDefault="00D749ED" w:rsidP="00D749ED">
            <w:pPr>
              <w:rPr>
                <w:lang w:eastAsia="de-DE"/>
              </w:rPr>
            </w:pPr>
          </w:p>
        </w:tc>
        <w:tc>
          <w:tcPr>
            <w:tcW w:w="4390" w:type="dxa"/>
          </w:tcPr>
          <w:p w14:paraId="23EC24ED" w14:textId="77777777" w:rsidR="00D749ED" w:rsidRPr="00A41B49" w:rsidRDefault="00D749ED" w:rsidP="00D749ED">
            <w:pPr>
              <w:rPr>
                <w:lang w:eastAsia="de-DE"/>
              </w:rPr>
            </w:pPr>
            <w:r w:rsidRPr="00A41B49">
              <w:rPr>
                <w:lang w:eastAsia="de-DE"/>
              </w:rPr>
              <w:t>Waived on the basis of the classification (see justification and manual classification according to annex I of CLP in sections 12 and 13). See details in confidential part.</w:t>
            </w:r>
          </w:p>
        </w:tc>
        <w:tc>
          <w:tcPr>
            <w:tcW w:w="713" w:type="dxa"/>
            <w:vAlign w:val="center"/>
          </w:tcPr>
          <w:p w14:paraId="3551552A" w14:textId="77777777" w:rsidR="00D749ED" w:rsidRPr="00A41B49" w:rsidRDefault="00D749ED" w:rsidP="00D749ED">
            <w:pPr>
              <w:jc w:val="center"/>
              <w:rPr>
                <w:lang w:eastAsia="de-DE"/>
              </w:rPr>
            </w:pPr>
          </w:p>
        </w:tc>
        <w:tc>
          <w:tcPr>
            <w:tcW w:w="1275" w:type="dxa"/>
          </w:tcPr>
          <w:p w14:paraId="0C3D0786" w14:textId="77777777" w:rsidR="00D749ED" w:rsidRPr="00A41B49" w:rsidRDefault="00D749ED" w:rsidP="00D749ED">
            <w:pPr>
              <w:rPr>
                <w:lang w:eastAsia="de-DE"/>
              </w:rPr>
            </w:pPr>
          </w:p>
        </w:tc>
        <w:tc>
          <w:tcPr>
            <w:tcW w:w="2127" w:type="dxa"/>
          </w:tcPr>
          <w:p w14:paraId="1C565C4D" w14:textId="77777777" w:rsidR="00D749ED" w:rsidRPr="00A41B49" w:rsidRDefault="00D749ED" w:rsidP="00D749ED">
            <w:pPr>
              <w:rPr>
                <w:lang w:eastAsia="de-DE"/>
              </w:rPr>
            </w:pPr>
            <w:r w:rsidRPr="00A41B49">
              <w:rPr>
                <w:lang w:eastAsia="de-DE"/>
              </w:rPr>
              <w:t>Acceptable</w:t>
            </w:r>
          </w:p>
        </w:tc>
      </w:tr>
      <w:tr w:rsidR="00D749ED" w:rsidRPr="00A41B49" w14:paraId="351C2135" w14:textId="77777777" w:rsidTr="00D749ED">
        <w:trPr>
          <w:trHeight w:val="367"/>
        </w:trPr>
        <w:tc>
          <w:tcPr>
            <w:tcW w:w="2622" w:type="dxa"/>
          </w:tcPr>
          <w:p w14:paraId="3166D5F1" w14:textId="77777777" w:rsidR="00D749ED" w:rsidRPr="00A41B49" w:rsidRDefault="00D749ED" w:rsidP="00D749ED">
            <w:pPr>
              <w:rPr>
                <w:lang w:eastAsia="de-DE"/>
              </w:rPr>
            </w:pPr>
            <w:r w:rsidRPr="00A41B49">
              <w:rPr>
                <w:lang w:eastAsia="de-DE"/>
              </w:rPr>
              <w:t>Relative self-ignition temperature for solids</w:t>
            </w:r>
          </w:p>
        </w:tc>
        <w:tc>
          <w:tcPr>
            <w:tcW w:w="1418" w:type="dxa"/>
          </w:tcPr>
          <w:p w14:paraId="512A541E" w14:textId="77777777" w:rsidR="00D749ED" w:rsidRPr="00A41B49" w:rsidRDefault="00D749ED" w:rsidP="00D749ED">
            <w:pPr>
              <w:rPr>
                <w:lang w:eastAsia="de-DE"/>
              </w:rPr>
            </w:pPr>
          </w:p>
        </w:tc>
        <w:tc>
          <w:tcPr>
            <w:tcW w:w="1417" w:type="dxa"/>
          </w:tcPr>
          <w:p w14:paraId="5FE9ED5F" w14:textId="77777777" w:rsidR="00D749ED" w:rsidRPr="00A41B49" w:rsidRDefault="00D749ED" w:rsidP="00D749ED">
            <w:pPr>
              <w:rPr>
                <w:lang w:eastAsia="de-DE"/>
              </w:rPr>
            </w:pPr>
          </w:p>
        </w:tc>
        <w:tc>
          <w:tcPr>
            <w:tcW w:w="4390" w:type="dxa"/>
          </w:tcPr>
          <w:p w14:paraId="2C4433A0"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4F7D39FF" w14:textId="77777777" w:rsidR="00D749ED" w:rsidRPr="00A41B49" w:rsidRDefault="00D749ED" w:rsidP="00D749ED">
            <w:pPr>
              <w:jc w:val="center"/>
              <w:rPr>
                <w:lang w:eastAsia="de-DE"/>
              </w:rPr>
            </w:pPr>
          </w:p>
        </w:tc>
        <w:tc>
          <w:tcPr>
            <w:tcW w:w="1275" w:type="dxa"/>
          </w:tcPr>
          <w:p w14:paraId="1226C04F" w14:textId="77777777" w:rsidR="00D749ED" w:rsidRPr="00A41B49" w:rsidRDefault="00D749ED" w:rsidP="00D749ED">
            <w:pPr>
              <w:rPr>
                <w:lang w:eastAsia="de-DE"/>
              </w:rPr>
            </w:pPr>
          </w:p>
        </w:tc>
        <w:tc>
          <w:tcPr>
            <w:tcW w:w="2127" w:type="dxa"/>
          </w:tcPr>
          <w:p w14:paraId="73AC53EA" w14:textId="77777777" w:rsidR="00D749ED" w:rsidRPr="00A41B49" w:rsidRDefault="00D749ED" w:rsidP="00D749ED">
            <w:pPr>
              <w:rPr>
                <w:lang w:eastAsia="de-DE"/>
              </w:rPr>
            </w:pPr>
          </w:p>
        </w:tc>
      </w:tr>
      <w:tr w:rsidR="00D749ED" w:rsidRPr="00A41B49" w14:paraId="01961A88" w14:textId="77777777" w:rsidTr="00D749ED">
        <w:trPr>
          <w:trHeight w:val="66"/>
        </w:trPr>
        <w:tc>
          <w:tcPr>
            <w:tcW w:w="2622" w:type="dxa"/>
          </w:tcPr>
          <w:p w14:paraId="1332C8FF" w14:textId="77777777" w:rsidR="00D749ED" w:rsidRPr="00A41B49" w:rsidRDefault="00D749ED" w:rsidP="00D749ED">
            <w:pPr>
              <w:rPr>
                <w:lang w:eastAsia="de-DE"/>
              </w:rPr>
            </w:pPr>
            <w:r w:rsidRPr="00A41B49">
              <w:rPr>
                <w:lang w:eastAsia="de-DE"/>
              </w:rPr>
              <w:t>Dust explosion hazard</w:t>
            </w:r>
          </w:p>
        </w:tc>
        <w:tc>
          <w:tcPr>
            <w:tcW w:w="1418" w:type="dxa"/>
          </w:tcPr>
          <w:p w14:paraId="1E5590D7" w14:textId="77777777" w:rsidR="00D749ED" w:rsidRPr="00A41B49" w:rsidRDefault="00D749ED" w:rsidP="00D749ED">
            <w:pPr>
              <w:rPr>
                <w:lang w:eastAsia="de-DE"/>
              </w:rPr>
            </w:pPr>
          </w:p>
        </w:tc>
        <w:tc>
          <w:tcPr>
            <w:tcW w:w="1417" w:type="dxa"/>
          </w:tcPr>
          <w:p w14:paraId="53A25668" w14:textId="77777777" w:rsidR="00D749ED" w:rsidRPr="00A41B49" w:rsidRDefault="00D749ED" w:rsidP="00D749ED">
            <w:pPr>
              <w:rPr>
                <w:lang w:eastAsia="de-DE"/>
              </w:rPr>
            </w:pPr>
          </w:p>
        </w:tc>
        <w:tc>
          <w:tcPr>
            <w:tcW w:w="4390" w:type="dxa"/>
          </w:tcPr>
          <w:p w14:paraId="15D9A681" w14:textId="77777777" w:rsidR="00D749ED" w:rsidRPr="00A41B49" w:rsidRDefault="00D749ED" w:rsidP="00D749ED">
            <w:pPr>
              <w:rPr>
                <w:lang w:eastAsia="de-DE"/>
              </w:rPr>
            </w:pPr>
            <w:r w:rsidRPr="00A41B49">
              <w:rPr>
                <w:rFonts w:cs="Arial"/>
                <w:lang w:eastAsia="de-DE"/>
              </w:rPr>
              <w:t>Not relevant</w:t>
            </w:r>
          </w:p>
        </w:tc>
        <w:tc>
          <w:tcPr>
            <w:tcW w:w="713" w:type="dxa"/>
            <w:vAlign w:val="center"/>
          </w:tcPr>
          <w:p w14:paraId="59D56AB8" w14:textId="77777777" w:rsidR="00D749ED" w:rsidRPr="00A41B49" w:rsidRDefault="00D749ED" w:rsidP="00D749ED">
            <w:pPr>
              <w:jc w:val="center"/>
              <w:rPr>
                <w:lang w:eastAsia="de-DE"/>
              </w:rPr>
            </w:pPr>
          </w:p>
        </w:tc>
        <w:tc>
          <w:tcPr>
            <w:tcW w:w="1275" w:type="dxa"/>
          </w:tcPr>
          <w:p w14:paraId="6B6BF619" w14:textId="77777777" w:rsidR="00D749ED" w:rsidRPr="00A41B49" w:rsidRDefault="00D749ED" w:rsidP="00D749ED">
            <w:pPr>
              <w:rPr>
                <w:lang w:eastAsia="de-DE"/>
              </w:rPr>
            </w:pPr>
          </w:p>
        </w:tc>
        <w:tc>
          <w:tcPr>
            <w:tcW w:w="2127" w:type="dxa"/>
          </w:tcPr>
          <w:p w14:paraId="27CD1472" w14:textId="77777777" w:rsidR="00D749ED" w:rsidRPr="00A41B49" w:rsidRDefault="00D749ED" w:rsidP="00D749ED">
            <w:pPr>
              <w:rPr>
                <w:lang w:eastAsia="de-DE"/>
              </w:rPr>
            </w:pPr>
          </w:p>
        </w:tc>
      </w:tr>
    </w:tbl>
    <w:p w14:paraId="768480F6" w14:textId="77777777" w:rsidR="00D749ED" w:rsidRDefault="00D749ED">
      <w:pPr>
        <w:pStyle w:val="Titre1"/>
        <w:numPr>
          <w:ilvl w:val="0"/>
          <w:numId w:val="0"/>
        </w:numPr>
        <w:ind w:left="432"/>
        <w:rPr>
          <w:rFonts w:eastAsia="Calibri"/>
          <w:u w:val="single"/>
          <w:lang w:eastAsia="en-US"/>
        </w:rPr>
        <w:sectPr w:rsidR="00D749ED" w:rsidSect="00170391">
          <w:pgSz w:w="16838" w:h="11906" w:orient="landscape"/>
          <w:pgMar w:top="1446" w:right="1474" w:bottom="1247" w:left="2013" w:header="850" w:footer="850" w:gutter="0"/>
          <w:cols w:space="720"/>
          <w:docGrid w:linePitch="272"/>
        </w:sectPr>
      </w:pPr>
    </w:p>
    <w:tbl>
      <w:tblPr>
        <w:tblW w:w="9445" w:type="dxa"/>
        <w:tblInd w:w="-5" w:type="dxa"/>
        <w:tblLayout w:type="fixed"/>
        <w:tblLook w:val="0000" w:firstRow="0" w:lastRow="0" w:firstColumn="0" w:lastColumn="0" w:noHBand="0" w:noVBand="0"/>
      </w:tblPr>
      <w:tblGrid>
        <w:gridCol w:w="9445"/>
      </w:tblGrid>
      <w:tr w:rsidR="009D0C0B" w14:paraId="405AAC92" w14:textId="77777777" w:rsidTr="00D749ED">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545447FE" w14:textId="77777777" w:rsidR="009D0C0B" w:rsidRDefault="00FA480B">
            <w:pPr>
              <w:spacing w:line="260" w:lineRule="atLeast"/>
            </w:pPr>
            <w:r>
              <w:rPr>
                <w:rFonts w:eastAsia="Calibri"/>
                <w:b/>
                <w:bCs/>
                <w:lang w:eastAsia="en-US"/>
              </w:rPr>
              <w:lastRenderedPageBreak/>
              <w:t>Conclusion on the physical hazards and respective characteristics of the product</w:t>
            </w:r>
          </w:p>
        </w:tc>
      </w:tr>
      <w:tr w:rsidR="009D0C0B" w14:paraId="588E4712" w14:textId="77777777" w:rsidTr="00D749ED">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719B39F3" w14:textId="77777777" w:rsidR="00A24F4B" w:rsidRDefault="00D749ED" w:rsidP="00D749ED">
            <w:pPr>
              <w:jc w:val="both"/>
              <w:rPr>
                <w:rFonts w:cs="Arial"/>
                <w:b/>
                <w:lang w:val="en-US" w:eastAsia="en-US"/>
              </w:rPr>
            </w:pPr>
            <w:r w:rsidRPr="00D749ED">
              <w:rPr>
                <w:rFonts w:cs="Arial"/>
                <w:lang w:eastAsia="en-US"/>
              </w:rPr>
              <w:t xml:space="preserve">The formulation IODIGUARD is an Another Liquid (AL) formulation, ready-to-use preparation. </w:t>
            </w:r>
            <w:r w:rsidRPr="00D749ED">
              <w:rPr>
                <w:rFonts w:cs="Arial"/>
                <w:lang w:val="en-US" w:eastAsia="en-US"/>
              </w:rPr>
              <w:t>All studies have been performed in accordance with the current requirements and the results are deemed to be acceptable. The appearance of the product is that of brown liquid. It is not explosive and has no oxidizing properties. The product is not considered as flammable.</w:t>
            </w:r>
            <w:r w:rsidRPr="00D749ED">
              <w:rPr>
                <w:rFonts w:cs="Arial"/>
                <w:b/>
                <w:lang w:val="en-US" w:eastAsia="en-US"/>
              </w:rPr>
              <w:t xml:space="preserve"> </w:t>
            </w:r>
          </w:p>
          <w:p w14:paraId="6B0B021B" w14:textId="77777777" w:rsidR="00A24F4B" w:rsidRDefault="00A24F4B" w:rsidP="00D749ED">
            <w:pPr>
              <w:jc w:val="both"/>
              <w:rPr>
                <w:rFonts w:cs="Arial"/>
                <w:b/>
                <w:lang w:val="en-US" w:eastAsia="en-US"/>
              </w:rPr>
            </w:pPr>
          </w:p>
          <w:p w14:paraId="205CB621" w14:textId="77777777" w:rsidR="00A24F4B" w:rsidRPr="009109EB" w:rsidRDefault="00A24F4B" w:rsidP="00A24F4B">
            <w:pPr>
              <w:jc w:val="both"/>
              <w:rPr>
                <w:rFonts w:cs="Arial"/>
                <w:lang w:eastAsia="de-DE"/>
              </w:rPr>
            </w:pPr>
            <w:r w:rsidRPr="009109EB">
              <w:rPr>
                <w:rFonts w:cs="Arial"/>
                <w:lang w:eastAsia="de-DE"/>
              </w:rPr>
              <w:t xml:space="preserve">The stability of </w:t>
            </w:r>
            <w:r w:rsidR="000A3D3D" w:rsidRPr="009109EB">
              <w:rPr>
                <w:rFonts w:cs="Arial"/>
                <w:lang w:eastAsia="de-DE"/>
              </w:rPr>
              <w:t xml:space="preserve">IODIGUARD </w:t>
            </w:r>
            <w:r w:rsidRPr="009109EB">
              <w:rPr>
                <w:rFonts w:cs="Arial"/>
                <w:lang w:eastAsia="de-DE"/>
              </w:rPr>
              <w:t>was not demonstrated after 8 weeks at 40°C. However, a mitigation measure is proposed by applicant: do not store above 2</w:t>
            </w:r>
            <w:r w:rsidR="00174AD5" w:rsidRPr="009109EB">
              <w:rPr>
                <w:rFonts w:cs="Arial"/>
                <w:lang w:eastAsia="de-DE"/>
              </w:rPr>
              <w:t>5</w:t>
            </w:r>
            <w:r w:rsidRPr="009109EB">
              <w:rPr>
                <w:rFonts w:cs="Arial"/>
                <w:lang w:eastAsia="de-DE"/>
              </w:rPr>
              <w:t>°C.</w:t>
            </w:r>
          </w:p>
          <w:p w14:paraId="1FC3CE42" w14:textId="77777777" w:rsidR="00A24F4B" w:rsidRPr="000E7568" w:rsidRDefault="00A24F4B" w:rsidP="00D749ED">
            <w:pPr>
              <w:jc w:val="both"/>
              <w:rPr>
                <w:rFonts w:cs="Arial"/>
                <w:b/>
                <w:lang w:eastAsia="en-US"/>
              </w:rPr>
            </w:pPr>
          </w:p>
          <w:p w14:paraId="35CC6B48" w14:textId="77777777" w:rsidR="00A24F4B" w:rsidRPr="009109EB" w:rsidRDefault="00A24F4B" w:rsidP="00A24F4B">
            <w:pPr>
              <w:jc w:val="both"/>
              <w:rPr>
                <w:rFonts w:cs="Arial"/>
                <w:lang w:eastAsia="de-DE"/>
              </w:rPr>
            </w:pPr>
            <w:r w:rsidRPr="009109EB">
              <w:rPr>
                <w:rFonts w:cs="Arial"/>
                <w:lang w:eastAsia="de-DE"/>
              </w:rPr>
              <w:t>A shelf life study of 1 year is proposed by the applicant. However, The total iodine content decreased strongly after 1 year (-34%). Therefore, to set a shelf life, data on efficacy and degradation substance must be available.</w:t>
            </w:r>
          </w:p>
          <w:p w14:paraId="7E3C708F" w14:textId="77777777" w:rsidR="00A24F4B" w:rsidRPr="009109EB" w:rsidRDefault="00A24F4B" w:rsidP="00A24F4B">
            <w:pPr>
              <w:rPr>
                <w:rFonts w:cs="Arial"/>
                <w:lang w:eastAsia="de-DE"/>
              </w:rPr>
            </w:pPr>
            <w:r w:rsidRPr="009109EB">
              <w:rPr>
                <w:rFonts w:cs="Arial"/>
                <w:lang w:eastAsia="de-DE"/>
              </w:rPr>
              <w:t>Efficacy is</w:t>
            </w:r>
            <w:r w:rsidRPr="009109EB">
              <w:rPr>
                <w:rFonts w:cs="Arial"/>
                <w:b/>
                <w:lang w:eastAsia="de-DE"/>
              </w:rPr>
              <w:t xml:space="preserve"> </w:t>
            </w:r>
            <w:r w:rsidRPr="009109EB">
              <w:rPr>
                <w:rFonts w:cs="Arial"/>
                <w:lang w:eastAsia="de-DE"/>
              </w:rPr>
              <w:t>demonstrated at 0.075% (</w:t>
            </w:r>
            <w:r w:rsidR="00174AD5" w:rsidRPr="009109EB">
              <w:rPr>
                <w:rFonts w:cs="Arial"/>
                <w:lang w:eastAsia="de-DE"/>
              </w:rPr>
              <w:t>equivalent to a degradation of 50% of AS</w:t>
            </w:r>
            <w:r w:rsidRPr="009109EB">
              <w:rPr>
                <w:rFonts w:cs="Arial"/>
                <w:lang w:eastAsia="de-DE"/>
              </w:rPr>
              <w:t>), however explanations on the fate of iodine over time in the biocidal product are not available.</w:t>
            </w:r>
          </w:p>
          <w:p w14:paraId="548AF0C6" w14:textId="77777777" w:rsidR="00A24F4B" w:rsidRDefault="00A24F4B" w:rsidP="00D749ED">
            <w:pPr>
              <w:jc w:val="both"/>
              <w:rPr>
                <w:rFonts w:cs="Arial"/>
                <w:lang w:val="en-US" w:eastAsia="en-US"/>
              </w:rPr>
            </w:pPr>
          </w:p>
          <w:p w14:paraId="7143C4FA" w14:textId="77777777" w:rsidR="00D749ED" w:rsidRDefault="00D749ED" w:rsidP="00D749ED">
            <w:pPr>
              <w:jc w:val="both"/>
              <w:rPr>
                <w:rFonts w:cs="Arial"/>
                <w:lang w:val="en-US" w:eastAsia="en-US"/>
              </w:rPr>
            </w:pPr>
            <w:r w:rsidRPr="00D749ED">
              <w:rPr>
                <w:rFonts w:cs="Arial"/>
                <w:lang w:val="en-US" w:eastAsia="en-US"/>
              </w:rPr>
              <w:t>Its technical characteristics are acceptable for an AL formulation.</w:t>
            </w:r>
          </w:p>
          <w:p w14:paraId="4FE89DFC" w14:textId="77777777" w:rsidR="00D749ED" w:rsidRPr="00D749ED" w:rsidRDefault="00D749ED" w:rsidP="00D749ED">
            <w:pPr>
              <w:jc w:val="both"/>
              <w:rPr>
                <w:rFonts w:cs="Arial"/>
                <w:lang w:val="en-US" w:eastAsia="en-US"/>
              </w:rPr>
            </w:pPr>
          </w:p>
          <w:p w14:paraId="2A01AD6E" w14:textId="77777777" w:rsidR="00D749ED" w:rsidRPr="00D749ED" w:rsidRDefault="00D749ED" w:rsidP="00D749ED">
            <w:pPr>
              <w:pStyle w:val="Default"/>
              <w:jc w:val="both"/>
              <w:rPr>
                <w:rFonts w:ascii="Verdana" w:hAnsi="Verdana" w:cs="Arial"/>
                <w:b/>
                <w:sz w:val="20"/>
                <w:szCs w:val="20"/>
                <w:u w:val="single"/>
                <w:lang w:val="en-US"/>
              </w:rPr>
            </w:pPr>
            <w:r w:rsidRPr="00D749ED">
              <w:rPr>
                <w:rFonts w:ascii="Verdana" w:hAnsi="Verdana" w:cs="Arial"/>
                <w:b/>
                <w:sz w:val="20"/>
                <w:szCs w:val="20"/>
                <w:u w:val="single"/>
                <w:lang w:val="en-US"/>
              </w:rPr>
              <w:t>Implication concerning labelling for the product:</w:t>
            </w:r>
          </w:p>
          <w:p w14:paraId="1D67297C" w14:textId="77777777" w:rsidR="00D749ED" w:rsidRPr="000A3D3D" w:rsidRDefault="00D749ED" w:rsidP="00D749ED">
            <w:pPr>
              <w:jc w:val="both"/>
              <w:rPr>
                <w:rFonts w:cs="Arial"/>
                <w:lang w:eastAsia="de-DE"/>
              </w:rPr>
            </w:pPr>
            <w:r w:rsidRPr="000A3D3D">
              <w:rPr>
                <w:rFonts w:cs="Arial"/>
                <w:lang w:eastAsia="de-DE"/>
              </w:rPr>
              <w:t>Protect from frost</w:t>
            </w:r>
            <w:r w:rsidR="000A47D3">
              <w:rPr>
                <w:rFonts w:cs="Arial"/>
                <w:lang w:eastAsia="de-DE"/>
              </w:rPr>
              <w:t>.</w:t>
            </w:r>
          </w:p>
          <w:p w14:paraId="19AF2954" w14:textId="77777777" w:rsidR="00D749ED" w:rsidRPr="000A3D3D" w:rsidRDefault="0001138E" w:rsidP="00D749ED">
            <w:pPr>
              <w:jc w:val="both"/>
              <w:rPr>
                <w:rFonts w:cs="Arial"/>
                <w:lang w:eastAsia="de-DE"/>
              </w:rPr>
            </w:pPr>
            <w:r w:rsidRPr="000A3D3D">
              <w:t xml:space="preserve">Do not store at a temperature above </w:t>
            </w:r>
            <w:r w:rsidR="00A24F4B" w:rsidRPr="000A3D3D">
              <w:t>2</w:t>
            </w:r>
            <w:r w:rsidR="00174AD5" w:rsidRPr="000A3D3D">
              <w:t>5</w:t>
            </w:r>
            <w:r w:rsidRPr="000A3D3D">
              <w:t>°C</w:t>
            </w:r>
            <w:r w:rsidR="00D749ED" w:rsidRPr="000A3D3D">
              <w:rPr>
                <w:rFonts w:cs="Arial"/>
                <w:lang w:eastAsia="de-DE"/>
              </w:rPr>
              <w:t>.</w:t>
            </w:r>
          </w:p>
          <w:p w14:paraId="6FD14697" w14:textId="77777777" w:rsidR="00A441FF" w:rsidRPr="000A3D3D" w:rsidRDefault="00A441FF" w:rsidP="00D749ED">
            <w:pPr>
              <w:jc w:val="both"/>
              <w:rPr>
                <w:rFonts w:cs="Arial"/>
                <w:lang w:eastAsia="de-DE"/>
              </w:rPr>
            </w:pPr>
            <w:r w:rsidRPr="000A3D3D">
              <w:t>Store in a dry, cool and ventilated place.</w:t>
            </w:r>
          </w:p>
          <w:p w14:paraId="4A8E0F35" w14:textId="77777777" w:rsidR="009D0C0B" w:rsidRDefault="003402E7" w:rsidP="000A3D3D">
            <w:pPr>
              <w:snapToGrid w:val="0"/>
              <w:rPr>
                <w:rFonts w:cs="Arial"/>
                <w:lang w:val="en-US" w:eastAsia="en-US"/>
              </w:rPr>
            </w:pPr>
            <w:r>
              <w:rPr>
                <w:rFonts w:cs="Arial"/>
                <w:lang w:val="en-US" w:eastAsia="en-US"/>
              </w:rPr>
              <w:t>Do not store more than 12 months</w:t>
            </w:r>
            <w:r w:rsidR="002929F9">
              <w:rPr>
                <w:rFonts w:cs="Arial"/>
                <w:lang w:val="en-US" w:eastAsia="en-US"/>
              </w:rPr>
              <w:t>.</w:t>
            </w:r>
          </w:p>
          <w:p w14:paraId="46EA43F0" w14:textId="77777777" w:rsidR="00730670" w:rsidRDefault="00730670" w:rsidP="000A3D3D">
            <w:pPr>
              <w:snapToGrid w:val="0"/>
            </w:pPr>
            <w:r w:rsidRPr="005A3B7C">
              <w:t>Protect from direct sunlight</w:t>
            </w:r>
            <w:r w:rsidR="000A47D3">
              <w:t>.</w:t>
            </w:r>
          </w:p>
          <w:p w14:paraId="243D264E" w14:textId="77777777" w:rsidR="0054586B" w:rsidRDefault="0054586B" w:rsidP="000A3D3D">
            <w:pPr>
              <w:snapToGrid w:val="0"/>
            </w:pPr>
          </w:p>
          <w:p w14:paraId="58F34930" w14:textId="51D332F1" w:rsidR="0054586B" w:rsidRPr="0054586B" w:rsidRDefault="0054586B" w:rsidP="0054586B">
            <w:pPr>
              <w:shd w:val="clear" w:color="auto" w:fill="D9D9D9" w:themeFill="background1" w:themeFillShade="D9"/>
              <w:jc w:val="both"/>
              <w:rPr>
                <w:rFonts w:cs="Arial"/>
                <w:b/>
                <w:iCs/>
                <w:lang w:eastAsia="en-US"/>
              </w:rPr>
            </w:pPr>
            <w:r w:rsidRPr="0054586B">
              <w:rPr>
                <w:rFonts w:cs="Arial"/>
                <w:b/>
                <w:iCs/>
                <w:lang w:eastAsia="en-US"/>
              </w:rPr>
              <w:t>Post authorisation request 2020</w:t>
            </w:r>
            <w:r w:rsidR="007961F3">
              <w:rPr>
                <w:rFonts w:cs="Arial"/>
                <w:b/>
                <w:iCs/>
                <w:lang w:eastAsia="en-US"/>
              </w:rPr>
              <w:t>:</w:t>
            </w:r>
          </w:p>
          <w:p w14:paraId="21F07CD7" w14:textId="77777777" w:rsidR="0054586B" w:rsidRDefault="00F241B5" w:rsidP="00DC29E4">
            <w:pPr>
              <w:jc w:val="both"/>
              <w:rPr>
                <w:rFonts w:cs="Arial"/>
                <w:lang w:eastAsia="de-DE"/>
              </w:rPr>
            </w:pPr>
            <w:r>
              <w:rPr>
                <w:rFonts w:cs="Arial"/>
                <w:highlight w:val="lightGray"/>
                <w:lang w:eastAsia="de-DE"/>
              </w:rPr>
              <w:t xml:space="preserve">Analysis demonstrated that the observed decrease in iodine content during storage is essentially due to the formation of iodide. </w:t>
            </w:r>
            <w:r w:rsidR="0032159E" w:rsidRPr="005F5210">
              <w:rPr>
                <w:rFonts w:cs="Arial"/>
                <w:highlight w:val="lightGray"/>
                <w:lang w:eastAsia="de-DE"/>
              </w:rPr>
              <w:t xml:space="preserve">As efficacy of the product is demonstrated after </w:t>
            </w:r>
            <w:r w:rsidR="00745215">
              <w:rPr>
                <w:rFonts w:cs="Arial"/>
                <w:highlight w:val="lightGray"/>
                <w:lang w:eastAsia="de-DE"/>
              </w:rPr>
              <w:t xml:space="preserve">12 months </w:t>
            </w:r>
            <w:r w:rsidR="0032159E" w:rsidRPr="005F5210">
              <w:rPr>
                <w:rFonts w:cs="Arial"/>
                <w:highlight w:val="lightGray"/>
                <w:lang w:eastAsia="de-DE"/>
              </w:rPr>
              <w:t>storage</w:t>
            </w:r>
            <w:r w:rsidR="00745215">
              <w:rPr>
                <w:rFonts w:cs="Arial"/>
                <w:highlight w:val="lightGray"/>
                <w:lang w:eastAsia="de-DE"/>
              </w:rPr>
              <w:t xml:space="preserve"> at ambient temperature</w:t>
            </w:r>
            <w:r w:rsidR="0032159E" w:rsidRPr="005F5210">
              <w:rPr>
                <w:rFonts w:cs="Arial"/>
                <w:highlight w:val="lightGray"/>
                <w:lang w:eastAsia="de-DE"/>
              </w:rPr>
              <w:t>, no other data is required.</w:t>
            </w:r>
          </w:p>
          <w:p w14:paraId="7187031F" w14:textId="77777777" w:rsidR="0011017B" w:rsidRDefault="0011017B" w:rsidP="00DC29E4">
            <w:pPr>
              <w:jc w:val="both"/>
              <w:rPr>
                <w:rFonts w:cs="Arial"/>
                <w:lang w:eastAsia="de-DE"/>
              </w:rPr>
            </w:pPr>
          </w:p>
          <w:p w14:paraId="084BA1E3" w14:textId="594F825B" w:rsidR="0011017B" w:rsidRPr="00DC29E4" w:rsidRDefault="0011017B" w:rsidP="00DC29E4">
            <w:pPr>
              <w:jc w:val="both"/>
              <w:rPr>
                <w:rFonts w:cs="Arial"/>
                <w:b/>
                <w:lang w:eastAsia="en-US"/>
              </w:rPr>
            </w:pPr>
            <w:r>
              <w:rPr>
                <w:rFonts w:cs="Arial"/>
                <w:lang w:eastAsia="de-DE"/>
              </w:rPr>
              <w:t xml:space="preserve">2023 remark: </w:t>
            </w:r>
            <w:r w:rsidRPr="0011017B">
              <w:rPr>
                <w:rFonts w:cs="Arial"/>
                <w:lang w:eastAsia="de-DE"/>
              </w:rPr>
              <w:t>The whole physical hazard section needs to be revised for the renewal according to the latest version of the TAB.</w:t>
            </w:r>
          </w:p>
        </w:tc>
      </w:tr>
    </w:tbl>
    <w:p w14:paraId="654973EC" w14:textId="77777777" w:rsidR="009D0C0B" w:rsidRDefault="009D0C0B">
      <w:pPr>
        <w:pStyle w:val="Absatz"/>
        <w:rPr>
          <w:rFonts w:eastAsia="Calibri"/>
          <w:lang w:eastAsia="en-US"/>
        </w:rPr>
      </w:pPr>
    </w:p>
    <w:p w14:paraId="166615C0" w14:textId="77777777" w:rsidR="00A24F4B" w:rsidRDefault="00A24F4B">
      <w:pPr>
        <w:pStyle w:val="Absatz"/>
        <w:rPr>
          <w:rFonts w:eastAsia="Calibri"/>
          <w:lang w:eastAsia="en-US"/>
        </w:rPr>
      </w:pPr>
    </w:p>
    <w:p w14:paraId="655D337A" w14:textId="77777777" w:rsidR="00A24F4B" w:rsidRDefault="00A24F4B">
      <w:pPr>
        <w:pStyle w:val="Absatz"/>
        <w:rPr>
          <w:rFonts w:eastAsia="Calibri"/>
          <w:lang w:eastAsia="en-US"/>
        </w:rPr>
      </w:pPr>
    </w:p>
    <w:p w14:paraId="438CA929" w14:textId="77777777" w:rsidR="009D0C0B" w:rsidRDefault="00FA480B">
      <w:pPr>
        <w:pStyle w:val="Titre3"/>
      </w:pPr>
      <w:bookmarkStart w:id="55" w:name="_Toc516669774"/>
      <w:r>
        <w:t>Methods for detection and identification</w:t>
      </w:r>
      <w:bookmarkEnd w:id="55"/>
    </w:p>
    <w:p w14:paraId="06425B92" w14:textId="77777777" w:rsidR="00D749ED" w:rsidRPr="00A41B49" w:rsidRDefault="00D749ED" w:rsidP="00D749ED">
      <w:pPr>
        <w:keepNext/>
        <w:tabs>
          <w:tab w:val="left" w:pos="0"/>
        </w:tabs>
        <w:spacing w:before="240" w:after="60" w:line="240" w:lineRule="atLeast"/>
        <w:jc w:val="both"/>
        <w:outlineLvl w:val="3"/>
        <w:rPr>
          <w:rFonts w:cs="Arial"/>
          <w:b/>
          <w:bCs/>
          <w:szCs w:val="28"/>
        </w:rPr>
      </w:pPr>
      <w:r w:rsidRPr="00A41B49">
        <w:rPr>
          <w:rFonts w:cs="Arial"/>
          <w:b/>
          <w:bCs/>
          <w:szCs w:val="28"/>
        </w:rPr>
        <w:t>Physico-chemical properties and Analytical method for determination of active ingredient and impurities in the technical active ingredient</w:t>
      </w:r>
    </w:p>
    <w:p w14:paraId="3ABFA311" w14:textId="5CBC6559" w:rsidR="00D749ED" w:rsidRDefault="00D749ED" w:rsidP="00DC29E4">
      <w:pPr>
        <w:tabs>
          <w:tab w:val="left" w:pos="1304"/>
        </w:tabs>
        <w:spacing w:before="240" w:after="60" w:line="240" w:lineRule="atLeast"/>
        <w:jc w:val="both"/>
        <w:outlineLvl w:val="3"/>
        <w:rPr>
          <w:rFonts w:cs="Arial"/>
          <w:bCs/>
          <w:szCs w:val="28"/>
        </w:rPr>
      </w:pPr>
      <w:r w:rsidRPr="00A41B49">
        <w:rPr>
          <w:rFonts w:cs="Arial"/>
          <w:szCs w:val="22"/>
        </w:rPr>
        <w:t xml:space="preserve">Physical and chemical properties of the active substance and analytical methods for determination of active ingredient in the technical active ingredient have already been evaluated at EU level and are presented in the CAR of the active substance iodine (2013). The </w:t>
      </w:r>
      <w:r w:rsidR="00A023E2">
        <w:rPr>
          <w:rFonts w:cs="Arial"/>
          <w:szCs w:val="22"/>
        </w:rPr>
        <w:t>applicant</w:t>
      </w:r>
      <w:r w:rsidR="00A023E2" w:rsidRPr="00A41B49">
        <w:rPr>
          <w:rFonts w:cs="Arial"/>
          <w:szCs w:val="22"/>
        </w:rPr>
        <w:t xml:space="preserve"> </w:t>
      </w:r>
      <w:r w:rsidRPr="00A41B49">
        <w:rPr>
          <w:rFonts w:cs="Arial"/>
          <w:szCs w:val="22"/>
        </w:rPr>
        <w:t xml:space="preserve">Centre Technique d’Hygiène of the biocidal product </w:t>
      </w:r>
      <w:r w:rsidRPr="00A41B49">
        <w:rPr>
          <w:rFonts w:cs="Arial"/>
          <w:lang w:val="en-US"/>
        </w:rPr>
        <w:t xml:space="preserve">IODIGUARD </w:t>
      </w:r>
      <w:r w:rsidRPr="00A41B49">
        <w:rPr>
          <w:rFonts w:cs="Arial"/>
          <w:szCs w:val="22"/>
        </w:rPr>
        <w:t>is not the applicant of the active substance and that</w:t>
      </w:r>
      <w:r w:rsidR="00DC29E4">
        <w:rPr>
          <w:rFonts w:cs="Arial"/>
          <w:szCs w:val="22"/>
        </w:rPr>
        <w:t xml:space="preserve"> </w:t>
      </w:r>
      <w:r w:rsidRPr="00A41B49">
        <w:rPr>
          <w:rFonts w:cs="Arial"/>
          <w:szCs w:val="22"/>
        </w:rPr>
        <w:t xml:space="preserve">supported the annex I inclusion dossier of the active substance but </w:t>
      </w:r>
      <w:r w:rsidRPr="00A41B49">
        <w:rPr>
          <w:rFonts w:cs="Arial"/>
          <w:bCs/>
          <w:szCs w:val="28"/>
        </w:rPr>
        <w:t>has a letter of access to these data.</w:t>
      </w:r>
    </w:p>
    <w:p w14:paraId="6FD9E82B" w14:textId="49636FA2" w:rsidR="000A3D3D" w:rsidRDefault="00D6244F" w:rsidP="00DC29E4">
      <w:pPr>
        <w:spacing w:before="240" w:after="60" w:line="240" w:lineRule="atLeast"/>
        <w:jc w:val="both"/>
        <w:outlineLvl w:val="3"/>
        <w:rPr>
          <w:rFonts w:ascii="Arial" w:hAnsi="Arial"/>
          <w:b/>
          <w:bCs/>
          <w:szCs w:val="28"/>
        </w:rPr>
      </w:pPr>
      <w:r w:rsidRPr="000A3D3D">
        <w:rPr>
          <w:b/>
          <w:bCs/>
          <w:szCs w:val="28"/>
        </w:rPr>
        <w:lastRenderedPageBreak/>
        <w:t>This analytical method is based on European Pharmacopoeia and provided in the CAR of the active substance for determining the active substance (</w:t>
      </w:r>
      <w:r w:rsidR="004E1D0A" w:rsidRPr="000A3D3D">
        <w:rPr>
          <w:b/>
          <w:bCs/>
          <w:szCs w:val="28"/>
        </w:rPr>
        <w:t xml:space="preserve">total </w:t>
      </w:r>
      <w:r w:rsidRPr="000A3D3D">
        <w:rPr>
          <w:b/>
          <w:bCs/>
          <w:szCs w:val="28"/>
        </w:rPr>
        <w:t>available Iodine) and relevant component in the biocidal product</w:t>
      </w:r>
      <w:r w:rsidR="000A3D3D">
        <w:rPr>
          <w:b/>
          <w:bCs/>
          <w:szCs w:val="28"/>
        </w:rPr>
        <w:t>.</w:t>
      </w:r>
    </w:p>
    <w:tbl>
      <w:tblPr>
        <w:tblW w:w="9781"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981"/>
      </w:tblGrid>
      <w:tr w:rsidR="00D749ED" w:rsidRPr="00A41B49" w14:paraId="72337482" w14:textId="77777777" w:rsidTr="00D749ED">
        <w:tc>
          <w:tcPr>
            <w:tcW w:w="1800" w:type="dxa"/>
            <w:tcBorders>
              <w:right w:val="single" w:sz="4" w:space="0" w:color="auto"/>
            </w:tcBorders>
            <w:shd w:val="clear" w:color="auto" w:fill="auto"/>
          </w:tcPr>
          <w:p w14:paraId="15ACABF7" w14:textId="77777777" w:rsidR="00D749ED" w:rsidRPr="00A41B49" w:rsidRDefault="00D749ED" w:rsidP="00D749ED">
            <w:pPr>
              <w:pStyle w:val="OECD-table"/>
              <w:rPr>
                <w:rFonts w:ascii="Verdana" w:hAnsi="Verdana"/>
                <w:b/>
                <w:sz w:val="20"/>
                <w:szCs w:val="20"/>
              </w:rPr>
            </w:pPr>
            <w:r w:rsidRPr="00A41B49">
              <w:rPr>
                <w:rFonts w:ascii="Verdana" w:hAnsi="Verdana"/>
                <w:b/>
                <w:sz w:val="20"/>
                <w:szCs w:val="20"/>
              </w:rPr>
              <w:t>Report:</w:t>
            </w:r>
          </w:p>
        </w:tc>
        <w:tc>
          <w:tcPr>
            <w:tcW w:w="7981" w:type="dxa"/>
            <w:tcBorders>
              <w:left w:val="single" w:sz="4" w:space="0" w:color="auto"/>
            </w:tcBorders>
            <w:shd w:val="clear" w:color="auto" w:fill="auto"/>
          </w:tcPr>
          <w:p w14:paraId="1C4DDD67" w14:textId="00F0FAF4" w:rsidR="0032159E" w:rsidRPr="00DC29E4" w:rsidRDefault="00D749ED" w:rsidP="00D749ED">
            <w:pPr>
              <w:jc w:val="both"/>
              <w:rPr>
                <w:highlight w:val="lightGray"/>
                <w:lang w:val="fr-FR" w:eastAsia="de-DE"/>
              </w:rPr>
            </w:pPr>
            <w:r w:rsidRPr="0072604A">
              <w:rPr>
                <w:highlight w:val="yellow"/>
                <w:lang w:val="fr-FR" w:eastAsia="de-DE"/>
              </w:rPr>
              <w:t>Morel A.,</w:t>
            </w:r>
            <w:r w:rsidRPr="00444E55">
              <w:rPr>
                <w:lang w:val="fr-FR" w:eastAsia="de-DE"/>
              </w:rPr>
              <w:t xml:space="preserve"> 2015</w:t>
            </w:r>
          </w:p>
        </w:tc>
      </w:tr>
      <w:tr w:rsidR="00D749ED" w:rsidRPr="00A41B49" w14:paraId="62832643" w14:textId="77777777" w:rsidTr="00D749ED">
        <w:tc>
          <w:tcPr>
            <w:tcW w:w="1800" w:type="dxa"/>
            <w:tcBorders>
              <w:right w:val="single" w:sz="4" w:space="0" w:color="auto"/>
            </w:tcBorders>
            <w:shd w:val="clear" w:color="auto" w:fill="auto"/>
          </w:tcPr>
          <w:p w14:paraId="3B0992FE" w14:textId="77777777" w:rsidR="00D749ED" w:rsidRPr="00A41B49" w:rsidRDefault="00D749ED" w:rsidP="00D749ED">
            <w:pPr>
              <w:pStyle w:val="OECD-table"/>
              <w:jc w:val="both"/>
              <w:rPr>
                <w:rFonts w:ascii="Verdana" w:hAnsi="Verdana"/>
                <w:sz w:val="20"/>
                <w:szCs w:val="20"/>
                <w:lang w:val="fr-FR"/>
              </w:rPr>
            </w:pPr>
            <w:r w:rsidRPr="00A41B49">
              <w:rPr>
                <w:rFonts w:ascii="Verdana" w:hAnsi="Verdana"/>
                <w:sz w:val="20"/>
                <w:szCs w:val="20"/>
                <w:lang w:val="fr-FR"/>
              </w:rPr>
              <w:t>Title:</w:t>
            </w:r>
          </w:p>
        </w:tc>
        <w:tc>
          <w:tcPr>
            <w:tcW w:w="7981" w:type="dxa"/>
            <w:tcBorders>
              <w:left w:val="single" w:sz="4" w:space="0" w:color="auto"/>
            </w:tcBorders>
            <w:shd w:val="clear" w:color="auto" w:fill="auto"/>
          </w:tcPr>
          <w:p w14:paraId="7958E62C" w14:textId="5BC1E286" w:rsidR="0032159E" w:rsidRPr="00DC29E4" w:rsidRDefault="00D749ED" w:rsidP="0032159E">
            <w:pPr>
              <w:autoSpaceDE w:val="0"/>
              <w:autoSpaceDN w:val="0"/>
              <w:adjustRightInd w:val="0"/>
              <w:jc w:val="both"/>
              <w:rPr>
                <w:bCs/>
                <w:lang w:val="en-US" w:eastAsia="de-DE"/>
              </w:rPr>
            </w:pPr>
            <w:r w:rsidRPr="00971744">
              <w:rPr>
                <w:color w:val="000000"/>
              </w:rPr>
              <w:t>Dosage de l’iode actif</w:t>
            </w:r>
          </w:p>
        </w:tc>
      </w:tr>
      <w:tr w:rsidR="00D749ED" w:rsidRPr="00A41B49" w14:paraId="756ECABD" w14:textId="77777777" w:rsidTr="00D749ED">
        <w:tc>
          <w:tcPr>
            <w:tcW w:w="1800" w:type="dxa"/>
            <w:tcBorders>
              <w:right w:val="single" w:sz="4" w:space="0" w:color="auto"/>
            </w:tcBorders>
            <w:shd w:val="clear" w:color="auto" w:fill="auto"/>
          </w:tcPr>
          <w:p w14:paraId="5C5FB0FB" w14:textId="77777777" w:rsidR="00D749ED" w:rsidRPr="00A41B49" w:rsidRDefault="00D749ED" w:rsidP="00D749ED">
            <w:pPr>
              <w:pStyle w:val="OECD-table"/>
              <w:rPr>
                <w:rFonts w:ascii="Verdana" w:hAnsi="Verdana"/>
                <w:sz w:val="20"/>
                <w:szCs w:val="20"/>
                <w:lang w:val="fr-FR"/>
              </w:rPr>
            </w:pPr>
            <w:r w:rsidRPr="00A41B49">
              <w:rPr>
                <w:rFonts w:ascii="Verdana" w:hAnsi="Verdana"/>
                <w:sz w:val="20"/>
                <w:szCs w:val="20"/>
                <w:lang w:val="fr-FR"/>
              </w:rPr>
              <w:t>Document No</w:t>
            </w:r>
          </w:p>
        </w:tc>
        <w:tc>
          <w:tcPr>
            <w:tcW w:w="7981" w:type="dxa"/>
            <w:tcBorders>
              <w:left w:val="single" w:sz="4" w:space="0" w:color="auto"/>
            </w:tcBorders>
            <w:shd w:val="clear" w:color="auto" w:fill="auto"/>
          </w:tcPr>
          <w:p w14:paraId="5E156273" w14:textId="3B76A241" w:rsidR="0032159E" w:rsidRPr="00971744" w:rsidRDefault="00D749ED" w:rsidP="00D749ED">
            <w:pPr>
              <w:pStyle w:val="OECD-table"/>
              <w:rPr>
                <w:rFonts w:ascii="Verdana" w:hAnsi="Verdana"/>
                <w:sz w:val="20"/>
                <w:szCs w:val="20"/>
                <w:lang w:val="fr-FR"/>
              </w:rPr>
            </w:pPr>
            <w:r w:rsidRPr="00971744">
              <w:rPr>
                <w:rFonts w:ascii="Verdana" w:hAnsi="Verdana"/>
                <w:sz w:val="20"/>
                <w:szCs w:val="20"/>
                <w:lang w:val="fr-FR"/>
              </w:rPr>
              <w:t>-</w:t>
            </w:r>
          </w:p>
        </w:tc>
      </w:tr>
      <w:tr w:rsidR="00D749ED" w:rsidRPr="00FA101C" w14:paraId="7A8ACC43" w14:textId="77777777" w:rsidTr="00D749ED">
        <w:tc>
          <w:tcPr>
            <w:tcW w:w="1800" w:type="dxa"/>
            <w:tcBorders>
              <w:right w:val="single" w:sz="4" w:space="0" w:color="auto"/>
            </w:tcBorders>
            <w:shd w:val="clear" w:color="auto" w:fill="auto"/>
          </w:tcPr>
          <w:p w14:paraId="3664A341" w14:textId="77777777" w:rsidR="00D749ED" w:rsidRPr="00A41B49" w:rsidRDefault="00D749ED" w:rsidP="00D749ED">
            <w:pPr>
              <w:pStyle w:val="OECD-table"/>
              <w:rPr>
                <w:rFonts w:ascii="Verdana" w:hAnsi="Verdana"/>
                <w:sz w:val="20"/>
                <w:szCs w:val="20"/>
                <w:lang w:val="fr-FR"/>
              </w:rPr>
            </w:pPr>
            <w:r w:rsidRPr="00A41B49">
              <w:rPr>
                <w:rFonts w:ascii="Verdana" w:hAnsi="Verdana"/>
                <w:sz w:val="20"/>
                <w:szCs w:val="20"/>
                <w:lang w:val="fr-FR"/>
              </w:rPr>
              <w:t>Test facility</w:t>
            </w:r>
          </w:p>
        </w:tc>
        <w:tc>
          <w:tcPr>
            <w:tcW w:w="7981" w:type="dxa"/>
            <w:tcBorders>
              <w:left w:val="single" w:sz="4" w:space="0" w:color="auto"/>
            </w:tcBorders>
            <w:shd w:val="clear" w:color="auto" w:fill="auto"/>
          </w:tcPr>
          <w:p w14:paraId="4DD7D259" w14:textId="68D86815" w:rsidR="00D749ED" w:rsidRPr="00DC29E4" w:rsidRDefault="00D749ED" w:rsidP="00D749ED">
            <w:pPr>
              <w:pStyle w:val="OECD-table"/>
              <w:rPr>
                <w:rFonts w:ascii="Verdana" w:hAnsi="Verdana"/>
                <w:sz w:val="18"/>
                <w:szCs w:val="20"/>
                <w:lang w:val="fr-FR"/>
              </w:rPr>
            </w:pPr>
            <w:r w:rsidRPr="0072604A">
              <w:rPr>
                <w:rFonts w:ascii="Verdana" w:hAnsi="Verdana"/>
                <w:sz w:val="20"/>
                <w:highlight w:val="yellow"/>
                <w:lang w:val="fr-FR"/>
              </w:rPr>
              <w:t>Laboratoire Solutio</w:t>
            </w:r>
          </w:p>
          <w:p w14:paraId="6BAD8316" w14:textId="58CAA8CC" w:rsidR="0032159E" w:rsidRPr="00971744" w:rsidRDefault="00D749ED" w:rsidP="0032159E">
            <w:pPr>
              <w:pStyle w:val="OECD-table"/>
              <w:rPr>
                <w:rFonts w:ascii="Verdana" w:hAnsi="Verdana"/>
                <w:sz w:val="20"/>
                <w:szCs w:val="20"/>
                <w:lang w:val="fr-FR"/>
              </w:rPr>
            </w:pPr>
            <w:r w:rsidRPr="00971744">
              <w:rPr>
                <w:rFonts w:ascii="Verdana" w:hAnsi="Verdana"/>
                <w:sz w:val="20"/>
                <w:szCs w:val="20"/>
                <w:lang w:val="fr-FR"/>
              </w:rPr>
              <w:t>BP 147 – Les Chasses – 26104 Romans - FRANCE</w:t>
            </w:r>
          </w:p>
        </w:tc>
      </w:tr>
      <w:tr w:rsidR="00D749ED" w:rsidRPr="00A41B49" w14:paraId="53AA274A" w14:textId="77777777" w:rsidTr="00D749ED">
        <w:tc>
          <w:tcPr>
            <w:tcW w:w="1800" w:type="dxa"/>
            <w:tcBorders>
              <w:right w:val="single" w:sz="4" w:space="0" w:color="auto"/>
            </w:tcBorders>
            <w:shd w:val="clear" w:color="auto" w:fill="auto"/>
          </w:tcPr>
          <w:p w14:paraId="39CB2E7C" w14:textId="77777777" w:rsidR="00D749ED" w:rsidRPr="00A41B49" w:rsidRDefault="00D749ED" w:rsidP="00D749ED">
            <w:pPr>
              <w:pStyle w:val="OECD-table"/>
              <w:rPr>
                <w:rFonts w:ascii="Verdana" w:hAnsi="Verdana"/>
                <w:sz w:val="20"/>
                <w:szCs w:val="20"/>
              </w:rPr>
            </w:pPr>
            <w:r w:rsidRPr="00A41B49">
              <w:rPr>
                <w:rFonts w:ascii="Verdana" w:hAnsi="Verdana"/>
                <w:sz w:val="20"/>
                <w:szCs w:val="20"/>
              </w:rPr>
              <w:t>Guidelines:</w:t>
            </w:r>
          </w:p>
        </w:tc>
        <w:tc>
          <w:tcPr>
            <w:tcW w:w="7981" w:type="dxa"/>
            <w:tcBorders>
              <w:left w:val="single" w:sz="4" w:space="0" w:color="auto"/>
            </w:tcBorders>
            <w:shd w:val="clear" w:color="auto" w:fill="auto"/>
          </w:tcPr>
          <w:p w14:paraId="42C32689" w14:textId="77777777" w:rsidR="00D749ED" w:rsidRPr="00971744" w:rsidRDefault="00D749ED" w:rsidP="00D749ED">
            <w:pPr>
              <w:pStyle w:val="OECD-table"/>
              <w:rPr>
                <w:rFonts w:ascii="Verdana" w:hAnsi="Verdana"/>
                <w:sz w:val="20"/>
                <w:szCs w:val="20"/>
              </w:rPr>
            </w:pPr>
            <w:r w:rsidRPr="00971744">
              <w:rPr>
                <w:rFonts w:ascii="Verdana" w:hAnsi="Verdana"/>
                <w:sz w:val="20"/>
                <w:szCs w:val="20"/>
              </w:rPr>
              <w:t>-</w:t>
            </w:r>
          </w:p>
        </w:tc>
      </w:tr>
      <w:tr w:rsidR="00D749ED" w:rsidRPr="00A41B49" w14:paraId="0D2F4325" w14:textId="77777777" w:rsidTr="00D749ED">
        <w:tc>
          <w:tcPr>
            <w:tcW w:w="1800" w:type="dxa"/>
            <w:tcBorders>
              <w:right w:val="single" w:sz="4" w:space="0" w:color="auto"/>
            </w:tcBorders>
            <w:shd w:val="clear" w:color="auto" w:fill="auto"/>
          </w:tcPr>
          <w:p w14:paraId="41B233B3" w14:textId="77777777" w:rsidR="00D749ED" w:rsidRPr="00A41B49" w:rsidRDefault="00D749ED" w:rsidP="00D749ED">
            <w:pPr>
              <w:pStyle w:val="OECD-table"/>
              <w:rPr>
                <w:rFonts w:ascii="Verdana" w:hAnsi="Verdana"/>
                <w:sz w:val="20"/>
                <w:szCs w:val="20"/>
              </w:rPr>
            </w:pPr>
            <w:r w:rsidRPr="00A41B49">
              <w:rPr>
                <w:rFonts w:ascii="Verdana" w:hAnsi="Verdana"/>
                <w:sz w:val="20"/>
                <w:szCs w:val="20"/>
              </w:rPr>
              <w:t>GLP</w:t>
            </w:r>
          </w:p>
        </w:tc>
        <w:tc>
          <w:tcPr>
            <w:tcW w:w="7981" w:type="dxa"/>
            <w:tcBorders>
              <w:left w:val="single" w:sz="4" w:space="0" w:color="auto"/>
            </w:tcBorders>
            <w:shd w:val="clear" w:color="auto" w:fill="auto"/>
          </w:tcPr>
          <w:p w14:paraId="6C76307E" w14:textId="0020A0BB" w:rsidR="00D749ED" w:rsidRPr="00971744" w:rsidRDefault="00D749ED" w:rsidP="00D749ED">
            <w:pPr>
              <w:pStyle w:val="OECD-table"/>
              <w:rPr>
                <w:rFonts w:ascii="Verdana" w:hAnsi="Verdana"/>
                <w:sz w:val="20"/>
                <w:szCs w:val="20"/>
              </w:rPr>
            </w:pPr>
            <w:r w:rsidRPr="00971744">
              <w:rPr>
                <w:rFonts w:ascii="Verdana" w:hAnsi="Verdana"/>
                <w:sz w:val="20"/>
                <w:szCs w:val="20"/>
              </w:rPr>
              <w:t>No</w:t>
            </w:r>
          </w:p>
        </w:tc>
      </w:tr>
    </w:tbl>
    <w:p w14:paraId="692F8F2C" w14:textId="45CAD518" w:rsidR="00D749ED" w:rsidRPr="00A41B49" w:rsidRDefault="00D749ED" w:rsidP="00D749ED">
      <w:pPr>
        <w:keepNext/>
        <w:tabs>
          <w:tab w:val="left" w:pos="0"/>
        </w:tabs>
        <w:spacing w:before="240" w:after="60" w:line="240" w:lineRule="atLeast"/>
        <w:jc w:val="both"/>
        <w:outlineLvl w:val="3"/>
        <w:rPr>
          <w:b/>
          <w:bCs/>
          <w:szCs w:val="28"/>
        </w:rPr>
      </w:pPr>
      <w:r w:rsidRPr="00A41B49">
        <w:rPr>
          <w:b/>
          <w:bCs/>
          <w:szCs w:val="28"/>
        </w:rPr>
        <w:t>According to European Pharmacopoeia, the active iodine is defined as the total of iodine substance (I</w:t>
      </w:r>
      <w:r w:rsidRPr="00A41B49">
        <w:rPr>
          <w:b/>
          <w:bCs/>
          <w:szCs w:val="28"/>
          <w:vertAlign w:val="subscript"/>
        </w:rPr>
        <w:t>2</w:t>
      </w:r>
      <w:r w:rsidRPr="00A41B49">
        <w:rPr>
          <w:b/>
          <w:bCs/>
          <w:szCs w:val="28"/>
        </w:rPr>
        <w:t>), free and complexed with the PVP.</w:t>
      </w:r>
    </w:p>
    <w:p w14:paraId="609475AE" w14:textId="77777777" w:rsidR="00D749ED" w:rsidRPr="00A41B49" w:rsidRDefault="00D749ED" w:rsidP="00D749ED">
      <w:pPr>
        <w:keepNext/>
        <w:tabs>
          <w:tab w:val="left" w:pos="0"/>
        </w:tabs>
        <w:spacing w:before="240" w:after="60" w:line="240" w:lineRule="atLeast"/>
        <w:jc w:val="both"/>
        <w:outlineLvl w:val="3"/>
        <w:rPr>
          <w:b/>
          <w:bCs/>
          <w:szCs w:val="28"/>
        </w:rPr>
      </w:pPr>
      <w:r w:rsidRPr="00A41B49">
        <w:rPr>
          <w:b/>
          <w:bCs/>
          <w:szCs w:val="28"/>
        </w:rPr>
        <w:t>Preparation of accuracy samples:</w:t>
      </w:r>
    </w:p>
    <w:p w14:paraId="3A73873A" w14:textId="77777777" w:rsidR="00D749ED" w:rsidRPr="00A41B49" w:rsidRDefault="00D749ED" w:rsidP="00D749ED">
      <w:pPr>
        <w:keepNext/>
        <w:tabs>
          <w:tab w:val="left" w:pos="142"/>
        </w:tabs>
        <w:spacing w:before="240" w:after="60" w:line="240" w:lineRule="atLeast"/>
        <w:jc w:val="both"/>
        <w:outlineLvl w:val="3"/>
        <w:rPr>
          <w:bCs/>
          <w:szCs w:val="28"/>
        </w:rPr>
      </w:pPr>
      <w:r w:rsidRPr="00A41B49">
        <w:rPr>
          <w:bCs/>
          <w:szCs w:val="28"/>
        </w:rPr>
        <w:t>Weight 10g of IODIGUARD solution in a beaker. Added 100mL of distilled water and a magnet bar.</w:t>
      </w:r>
    </w:p>
    <w:p w14:paraId="7D178EF0" w14:textId="77777777" w:rsidR="00D749ED" w:rsidRPr="00A41B49" w:rsidRDefault="00D749ED" w:rsidP="00D749ED">
      <w:pPr>
        <w:keepNext/>
        <w:tabs>
          <w:tab w:val="left" w:pos="142"/>
        </w:tabs>
        <w:spacing w:before="240" w:after="60" w:line="240" w:lineRule="atLeast"/>
        <w:jc w:val="both"/>
        <w:outlineLvl w:val="3"/>
        <w:rPr>
          <w:bCs/>
          <w:szCs w:val="28"/>
        </w:rPr>
      </w:pPr>
      <w:r w:rsidRPr="00A41B49">
        <w:rPr>
          <w:bCs/>
          <w:szCs w:val="28"/>
        </w:rPr>
        <w:t>The determination of iodine is performed by a redox titration with sodium thiosulfate. The equation is:</w:t>
      </w:r>
    </w:p>
    <w:p w14:paraId="0BD38959" w14:textId="0AE1A638" w:rsidR="00D749ED" w:rsidRDefault="00D749ED" w:rsidP="00D749ED">
      <w:pPr>
        <w:keepNext/>
        <w:tabs>
          <w:tab w:val="left" w:pos="142"/>
        </w:tabs>
        <w:spacing w:before="240" w:after="60" w:line="240" w:lineRule="atLeast"/>
        <w:ind w:left="1276"/>
        <w:jc w:val="center"/>
        <w:outlineLvl w:val="3"/>
        <w:rPr>
          <w:b/>
          <w:bCs/>
          <w:szCs w:val="28"/>
          <w:vertAlign w:val="subscript"/>
        </w:rPr>
      </w:pPr>
      <w:r w:rsidRPr="00A41B49">
        <w:rPr>
          <w:b/>
          <w:bCs/>
          <w:szCs w:val="28"/>
        </w:rPr>
        <w:t>I</w:t>
      </w:r>
      <w:r w:rsidRPr="00A41B49">
        <w:rPr>
          <w:b/>
          <w:bCs/>
          <w:szCs w:val="28"/>
          <w:vertAlign w:val="subscript"/>
        </w:rPr>
        <w:t>2</w:t>
      </w:r>
      <w:r w:rsidRPr="00A41B49">
        <w:rPr>
          <w:b/>
          <w:bCs/>
          <w:szCs w:val="28"/>
        </w:rPr>
        <w:t xml:space="preserve"> </w:t>
      </w:r>
      <w:r w:rsidRPr="00A41B49">
        <w:rPr>
          <w:b/>
          <w:bCs/>
          <w:szCs w:val="28"/>
          <w:vertAlign w:val="subscript"/>
        </w:rPr>
        <w:t xml:space="preserve">(aq) </w:t>
      </w:r>
      <w:r w:rsidRPr="00A41B49">
        <w:rPr>
          <w:b/>
          <w:bCs/>
          <w:szCs w:val="28"/>
        </w:rPr>
        <w:t>+ 2 S</w:t>
      </w:r>
      <w:r w:rsidRPr="00A41B49">
        <w:rPr>
          <w:b/>
          <w:bCs/>
          <w:szCs w:val="28"/>
          <w:vertAlign w:val="subscript"/>
        </w:rPr>
        <w:t>2</w:t>
      </w:r>
      <w:r w:rsidRPr="00A41B49">
        <w:rPr>
          <w:b/>
          <w:bCs/>
          <w:szCs w:val="28"/>
        </w:rPr>
        <w:t>O</w:t>
      </w:r>
      <w:r w:rsidRPr="00A41B49">
        <w:rPr>
          <w:b/>
          <w:bCs/>
          <w:szCs w:val="28"/>
          <w:vertAlign w:val="subscript"/>
        </w:rPr>
        <w:t>3</w:t>
      </w:r>
      <w:r w:rsidRPr="00A41B49">
        <w:rPr>
          <w:b/>
          <w:bCs/>
          <w:szCs w:val="28"/>
          <w:vertAlign w:val="superscript"/>
        </w:rPr>
        <w:t xml:space="preserve">2- </w:t>
      </w:r>
      <w:r w:rsidRPr="00A41B49">
        <w:rPr>
          <w:b/>
          <w:bCs/>
          <w:szCs w:val="28"/>
          <w:vertAlign w:val="subscript"/>
        </w:rPr>
        <w:t xml:space="preserve">(aq) </w:t>
      </w:r>
      <w:r w:rsidRPr="00A41B49">
        <w:rPr>
          <w:b/>
          <w:bCs/>
          <w:szCs w:val="28"/>
        </w:rPr>
        <w:t>= S</w:t>
      </w:r>
      <w:r w:rsidRPr="00A41B49">
        <w:rPr>
          <w:b/>
          <w:bCs/>
          <w:szCs w:val="28"/>
          <w:vertAlign w:val="subscript"/>
        </w:rPr>
        <w:t>4</w:t>
      </w:r>
      <w:r w:rsidRPr="00A41B49">
        <w:rPr>
          <w:b/>
          <w:bCs/>
          <w:szCs w:val="28"/>
        </w:rPr>
        <w:t>O</w:t>
      </w:r>
      <w:r w:rsidRPr="00A41B49">
        <w:rPr>
          <w:b/>
          <w:bCs/>
          <w:szCs w:val="28"/>
          <w:vertAlign w:val="subscript"/>
        </w:rPr>
        <w:t>6</w:t>
      </w:r>
      <w:r w:rsidRPr="00A41B49">
        <w:rPr>
          <w:b/>
          <w:bCs/>
          <w:szCs w:val="28"/>
          <w:vertAlign w:val="superscript"/>
        </w:rPr>
        <w:t xml:space="preserve">2- </w:t>
      </w:r>
      <w:r w:rsidRPr="00A41B49">
        <w:rPr>
          <w:b/>
          <w:bCs/>
          <w:szCs w:val="28"/>
          <w:vertAlign w:val="subscript"/>
        </w:rPr>
        <w:t xml:space="preserve">(aq) </w:t>
      </w:r>
      <w:r w:rsidRPr="00A41B49">
        <w:rPr>
          <w:b/>
          <w:bCs/>
          <w:szCs w:val="28"/>
        </w:rPr>
        <w:t>+ 2 I</w:t>
      </w:r>
      <w:r w:rsidRPr="00A41B49">
        <w:rPr>
          <w:b/>
          <w:bCs/>
          <w:szCs w:val="28"/>
          <w:vertAlign w:val="superscript"/>
        </w:rPr>
        <w:t xml:space="preserve">- </w:t>
      </w:r>
      <w:r w:rsidRPr="00A41B49">
        <w:rPr>
          <w:b/>
          <w:bCs/>
          <w:szCs w:val="28"/>
          <w:vertAlign w:val="subscript"/>
        </w:rPr>
        <w:t>(aq)</w:t>
      </w:r>
    </w:p>
    <w:p w14:paraId="49DB4764" w14:textId="77777777" w:rsidR="007961F3" w:rsidRDefault="007961F3" w:rsidP="007961F3">
      <w:pPr>
        <w:keepNext/>
        <w:tabs>
          <w:tab w:val="left" w:pos="142"/>
        </w:tabs>
        <w:spacing w:before="240" w:after="60" w:line="240" w:lineRule="atLeast"/>
        <w:jc w:val="both"/>
        <w:outlineLvl w:val="3"/>
        <w:rPr>
          <w:b/>
          <w:bCs/>
          <w:szCs w:val="28"/>
        </w:rPr>
      </w:pPr>
      <w:r w:rsidRPr="00A41B49">
        <w:rPr>
          <w:b/>
          <w:bCs/>
          <w:szCs w:val="28"/>
        </w:rPr>
        <w:t>Validation of the analytical method:</w:t>
      </w:r>
    </w:p>
    <w:tbl>
      <w:tblPr>
        <w:tblStyle w:val="TableNormal"/>
        <w:tblW w:w="9795" w:type="dxa"/>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1290"/>
        <w:gridCol w:w="1701"/>
        <w:gridCol w:w="6804"/>
      </w:tblGrid>
      <w:tr w:rsidR="007961F3" w:rsidRPr="00A41B49" w14:paraId="5CA9E69A" w14:textId="77777777" w:rsidTr="00971744">
        <w:trPr>
          <w:cantSplit/>
          <w:trHeight w:val="941"/>
        </w:trPr>
        <w:tc>
          <w:tcPr>
            <w:tcW w:w="1290" w:type="dxa"/>
            <w:tcBorders>
              <w:top w:val="single" w:sz="6" w:space="0" w:color="auto"/>
              <w:left w:val="single" w:sz="6" w:space="0" w:color="auto"/>
              <w:bottom w:val="single" w:sz="6" w:space="0" w:color="auto"/>
              <w:right w:val="double" w:sz="4" w:space="0" w:color="auto"/>
            </w:tcBorders>
          </w:tcPr>
          <w:p w14:paraId="7C4E9A45" w14:textId="77777777" w:rsidR="007961F3" w:rsidRPr="00A41B49" w:rsidRDefault="007961F3" w:rsidP="0062271D">
            <w:pPr>
              <w:spacing w:line="288" w:lineRule="auto"/>
            </w:pPr>
            <w:r w:rsidRPr="00A41B49">
              <w:t>Specificity</w:t>
            </w:r>
          </w:p>
        </w:tc>
        <w:tc>
          <w:tcPr>
            <w:tcW w:w="8505" w:type="dxa"/>
            <w:gridSpan w:val="2"/>
            <w:tcBorders>
              <w:top w:val="single" w:sz="6" w:space="0" w:color="auto"/>
              <w:left w:val="double" w:sz="4" w:space="0" w:color="auto"/>
              <w:bottom w:val="single" w:sz="4" w:space="0" w:color="auto"/>
              <w:right w:val="single" w:sz="6" w:space="0" w:color="auto"/>
            </w:tcBorders>
          </w:tcPr>
          <w:p w14:paraId="6E814C30" w14:textId="77777777" w:rsidR="007961F3" w:rsidRPr="00A41B49" w:rsidRDefault="007961F3" w:rsidP="0062271D">
            <w:pPr>
              <w:spacing w:line="288" w:lineRule="auto"/>
              <w:jc w:val="both"/>
              <w:rPr>
                <w:lang w:val="en-US"/>
              </w:rPr>
            </w:pPr>
            <w:r w:rsidRPr="00A41B49">
              <w:rPr>
                <w:lang w:val="en-US"/>
              </w:rPr>
              <w:t>To demonstrate that the quantification of iodine is not affect</w:t>
            </w:r>
            <w:r>
              <w:rPr>
                <w:lang w:val="en-US"/>
              </w:rPr>
              <w:t>ed</w:t>
            </w:r>
            <w:r w:rsidRPr="00A41B49">
              <w:rPr>
                <w:lang w:val="en-US"/>
              </w:rPr>
              <w:t xml:space="preserve"> by other co-formulants present in the biocidal product, a blank (product without iodine) was quantify.</w:t>
            </w:r>
          </w:p>
          <w:p w14:paraId="7154C8D7" w14:textId="77777777" w:rsidR="007961F3" w:rsidRPr="00A41B49" w:rsidRDefault="007961F3" w:rsidP="0062271D">
            <w:pPr>
              <w:spacing w:line="288" w:lineRule="auto"/>
              <w:jc w:val="both"/>
              <w:rPr>
                <w:lang w:val="en-US"/>
              </w:rPr>
            </w:pPr>
            <w:r w:rsidRPr="00A41B49">
              <w:rPr>
                <w:lang w:val="en-US"/>
              </w:rPr>
              <w:t>No interference was found in the blank sample.</w:t>
            </w:r>
          </w:p>
        </w:tc>
      </w:tr>
      <w:tr w:rsidR="007961F3" w:rsidRPr="00A41B49" w14:paraId="69BCF322" w14:textId="77777777" w:rsidTr="00971744">
        <w:trPr>
          <w:cantSplit/>
          <w:trHeight w:val="288"/>
        </w:trPr>
        <w:tc>
          <w:tcPr>
            <w:tcW w:w="1290" w:type="dxa"/>
            <w:tcBorders>
              <w:top w:val="single" w:sz="6" w:space="0" w:color="auto"/>
              <w:left w:val="single" w:sz="6" w:space="0" w:color="auto"/>
              <w:right w:val="double" w:sz="4" w:space="0" w:color="auto"/>
            </w:tcBorders>
            <w:hideMark/>
          </w:tcPr>
          <w:p w14:paraId="7D007D94" w14:textId="77777777" w:rsidR="007961F3" w:rsidRPr="00A41B49" w:rsidRDefault="007961F3" w:rsidP="0062271D">
            <w:pPr>
              <w:spacing w:line="288" w:lineRule="auto"/>
            </w:pPr>
            <w:r w:rsidRPr="00A41B49">
              <w:t>Linearity</w:t>
            </w:r>
          </w:p>
        </w:tc>
        <w:tc>
          <w:tcPr>
            <w:tcW w:w="8505" w:type="dxa"/>
            <w:gridSpan w:val="2"/>
            <w:tcBorders>
              <w:top w:val="single" w:sz="6" w:space="0" w:color="auto"/>
              <w:left w:val="double" w:sz="4" w:space="0" w:color="auto"/>
              <w:bottom w:val="single" w:sz="4" w:space="0" w:color="auto"/>
              <w:right w:val="single" w:sz="6" w:space="0" w:color="auto"/>
            </w:tcBorders>
            <w:hideMark/>
          </w:tcPr>
          <w:p w14:paraId="16DE9C97" w14:textId="77777777" w:rsidR="007961F3" w:rsidRPr="00A41B49" w:rsidRDefault="007961F3" w:rsidP="0062271D">
            <w:pPr>
              <w:spacing w:line="288" w:lineRule="auto"/>
              <w:jc w:val="both"/>
              <w:rPr>
                <w:lang w:val="en-US"/>
              </w:rPr>
            </w:pPr>
            <w:r w:rsidRPr="00A41B49">
              <w:rPr>
                <w:lang w:val="en-US"/>
              </w:rPr>
              <w:t>11 samples were injected, covered the range from 0.00 to 20.0 g/L of PVPi (corresponding to 0.00 to 2020 ppm of active iodine)</w:t>
            </w:r>
          </w:p>
          <w:p w14:paraId="752A1037" w14:textId="77777777" w:rsidR="007961F3" w:rsidRPr="00A41B49" w:rsidRDefault="007961F3" w:rsidP="0062271D">
            <w:pPr>
              <w:spacing w:line="288" w:lineRule="auto"/>
              <w:jc w:val="both"/>
              <w:rPr>
                <w:lang w:val="en-US"/>
              </w:rPr>
            </w:pPr>
            <w:r w:rsidRPr="00A41B49">
              <w:rPr>
                <w:lang w:val="en-US"/>
              </w:rPr>
              <w:t>R²=0.9959, Y=104.32X-41.136</w:t>
            </w:r>
          </w:p>
        </w:tc>
      </w:tr>
      <w:tr w:rsidR="007961F3" w:rsidRPr="00A41B49" w14:paraId="349FF51A" w14:textId="77777777" w:rsidTr="00971744">
        <w:trPr>
          <w:cantSplit/>
          <w:trHeight w:val="68"/>
        </w:trPr>
        <w:tc>
          <w:tcPr>
            <w:tcW w:w="1290" w:type="dxa"/>
            <w:vMerge w:val="restart"/>
            <w:tcBorders>
              <w:top w:val="single" w:sz="6" w:space="0" w:color="auto"/>
              <w:left w:val="single" w:sz="6" w:space="0" w:color="auto"/>
              <w:bottom w:val="single" w:sz="6" w:space="0" w:color="auto"/>
              <w:right w:val="double" w:sz="4" w:space="0" w:color="auto"/>
            </w:tcBorders>
            <w:hideMark/>
          </w:tcPr>
          <w:p w14:paraId="10C84196" w14:textId="77777777" w:rsidR="007961F3" w:rsidRPr="00A41B49" w:rsidRDefault="007961F3" w:rsidP="0062271D">
            <w:pPr>
              <w:spacing w:line="288" w:lineRule="auto"/>
            </w:pPr>
            <w:r w:rsidRPr="00A41B49">
              <w:t>Precision</w:t>
            </w:r>
          </w:p>
        </w:tc>
        <w:tc>
          <w:tcPr>
            <w:tcW w:w="8505" w:type="dxa"/>
            <w:gridSpan w:val="2"/>
            <w:tcBorders>
              <w:top w:val="single" w:sz="6" w:space="0" w:color="auto"/>
              <w:left w:val="double" w:sz="4" w:space="0" w:color="auto"/>
              <w:bottom w:val="single" w:sz="4" w:space="0" w:color="auto"/>
              <w:right w:val="single" w:sz="6" w:space="0" w:color="auto"/>
            </w:tcBorders>
            <w:hideMark/>
          </w:tcPr>
          <w:p w14:paraId="6D88CFFC" w14:textId="77777777" w:rsidR="007961F3" w:rsidRPr="00A41B49" w:rsidRDefault="007961F3" w:rsidP="0062271D">
            <w:pPr>
              <w:spacing w:line="288" w:lineRule="auto"/>
              <w:jc w:val="both"/>
              <w:rPr>
                <w:lang w:val="en-US"/>
              </w:rPr>
            </w:pPr>
            <w:r w:rsidRPr="00A41B49">
              <w:rPr>
                <w:lang w:val="en-US"/>
              </w:rPr>
              <w:t>Repeatability was evaluated with 10 independent determinations of the formulated product, no outlier.</w:t>
            </w:r>
          </w:p>
        </w:tc>
      </w:tr>
      <w:tr w:rsidR="007961F3" w:rsidRPr="00A41B49" w14:paraId="1CADCF89" w14:textId="77777777" w:rsidTr="00971744">
        <w:trPr>
          <w:cantSplit/>
          <w:trHeight w:val="330"/>
        </w:trPr>
        <w:tc>
          <w:tcPr>
            <w:tcW w:w="1290" w:type="dxa"/>
            <w:vMerge/>
            <w:tcBorders>
              <w:top w:val="single" w:sz="6" w:space="0" w:color="auto"/>
              <w:left w:val="single" w:sz="6" w:space="0" w:color="auto"/>
              <w:bottom w:val="single" w:sz="6" w:space="0" w:color="auto"/>
              <w:right w:val="double" w:sz="4" w:space="0" w:color="auto"/>
            </w:tcBorders>
            <w:vAlign w:val="center"/>
            <w:hideMark/>
          </w:tcPr>
          <w:p w14:paraId="778AB857" w14:textId="77777777" w:rsidR="007961F3" w:rsidRPr="00A41B49" w:rsidRDefault="007961F3" w:rsidP="0062271D">
            <w:pPr>
              <w:rPr>
                <w:lang w:val="en-US"/>
              </w:rPr>
            </w:pPr>
          </w:p>
        </w:tc>
        <w:tc>
          <w:tcPr>
            <w:tcW w:w="1701" w:type="dxa"/>
            <w:tcBorders>
              <w:top w:val="single" w:sz="4" w:space="0" w:color="auto"/>
              <w:left w:val="double" w:sz="4" w:space="0" w:color="auto"/>
              <w:bottom w:val="single" w:sz="4" w:space="0" w:color="auto"/>
              <w:right w:val="single" w:sz="4" w:space="0" w:color="auto"/>
            </w:tcBorders>
            <w:hideMark/>
          </w:tcPr>
          <w:p w14:paraId="1FCECFE7" w14:textId="77777777" w:rsidR="007961F3" w:rsidRPr="00A41B49" w:rsidRDefault="007961F3" w:rsidP="0062271D">
            <w:pPr>
              <w:widowControl w:val="0"/>
              <w:spacing w:before="40" w:after="40"/>
            </w:pPr>
            <w:r w:rsidRPr="00A41B49">
              <w:t>Compound</w:t>
            </w:r>
          </w:p>
        </w:tc>
        <w:tc>
          <w:tcPr>
            <w:tcW w:w="6804" w:type="dxa"/>
            <w:tcBorders>
              <w:top w:val="single" w:sz="4" w:space="0" w:color="auto"/>
              <w:left w:val="single" w:sz="4" w:space="0" w:color="auto"/>
              <w:bottom w:val="single" w:sz="4" w:space="0" w:color="auto"/>
              <w:right w:val="single" w:sz="6" w:space="0" w:color="auto"/>
            </w:tcBorders>
            <w:hideMark/>
          </w:tcPr>
          <w:p w14:paraId="5C0A92C7" w14:textId="77777777" w:rsidR="007961F3" w:rsidRPr="00A41B49" w:rsidRDefault="007961F3" w:rsidP="0062271D">
            <w:pPr>
              <w:spacing w:before="40" w:after="40" w:line="288" w:lineRule="auto"/>
            </w:pPr>
            <w:r w:rsidRPr="00A41B49">
              <w:t>Repeatability (RSD)</w:t>
            </w:r>
          </w:p>
        </w:tc>
      </w:tr>
      <w:tr w:rsidR="007961F3" w:rsidRPr="00A41B49" w14:paraId="3AAAE08C" w14:textId="77777777" w:rsidTr="00971744">
        <w:trPr>
          <w:cantSplit/>
          <w:trHeight w:val="373"/>
        </w:trPr>
        <w:tc>
          <w:tcPr>
            <w:tcW w:w="1290" w:type="dxa"/>
            <w:vMerge/>
            <w:tcBorders>
              <w:top w:val="single" w:sz="6" w:space="0" w:color="auto"/>
              <w:left w:val="single" w:sz="6" w:space="0" w:color="auto"/>
              <w:bottom w:val="single" w:sz="6" w:space="0" w:color="auto"/>
              <w:right w:val="double" w:sz="4" w:space="0" w:color="auto"/>
            </w:tcBorders>
            <w:vAlign w:val="center"/>
            <w:hideMark/>
          </w:tcPr>
          <w:p w14:paraId="52FF7C2E" w14:textId="77777777" w:rsidR="007961F3" w:rsidRPr="00A41B49" w:rsidRDefault="007961F3" w:rsidP="0062271D"/>
        </w:tc>
        <w:tc>
          <w:tcPr>
            <w:tcW w:w="1701" w:type="dxa"/>
            <w:tcBorders>
              <w:top w:val="single" w:sz="4" w:space="0" w:color="auto"/>
              <w:left w:val="double" w:sz="4" w:space="0" w:color="auto"/>
              <w:bottom w:val="single" w:sz="6" w:space="0" w:color="auto"/>
              <w:right w:val="single" w:sz="4" w:space="0" w:color="auto"/>
            </w:tcBorders>
            <w:hideMark/>
          </w:tcPr>
          <w:p w14:paraId="2E4BE081" w14:textId="77777777" w:rsidR="007961F3" w:rsidRPr="00A41B49" w:rsidRDefault="007961F3" w:rsidP="0062271D">
            <w:pPr>
              <w:widowControl w:val="0"/>
              <w:spacing w:before="96" w:after="96"/>
              <w:rPr>
                <w:lang w:val="fr-FR"/>
              </w:rPr>
            </w:pPr>
            <w:r w:rsidRPr="00A41B49">
              <w:rPr>
                <w:lang w:val="fr-FR"/>
              </w:rPr>
              <w:t>Iodine</w:t>
            </w:r>
          </w:p>
        </w:tc>
        <w:tc>
          <w:tcPr>
            <w:tcW w:w="6804" w:type="dxa"/>
            <w:tcBorders>
              <w:top w:val="single" w:sz="4" w:space="0" w:color="auto"/>
              <w:left w:val="single" w:sz="4" w:space="0" w:color="auto"/>
              <w:bottom w:val="single" w:sz="6" w:space="0" w:color="auto"/>
              <w:right w:val="single" w:sz="6" w:space="0" w:color="auto"/>
            </w:tcBorders>
            <w:hideMark/>
          </w:tcPr>
          <w:p w14:paraId="2FF08F01" w14:textId="77777777" w:rsidR="007961F3" w:rsidRPr="00A41B49" w:rsidRDefault="007961F3" w:rsidP="0062271D">
            <w:pPr>
              <w:spacing w:before="40" w:after="40" w:line="288" w:lineRule="auto"/>
              <w:rPr>
                <w:color w:val="000000"/>
              </w:rPr>
            </w:pPr>
            <w:r w:rsidRPr="00A41B49">
              <w:t>RSD = 0.6% &lt; 3.63% (RSD calculated with modified equation of Horwitz)</w:t>
            </w:r>
          </w:p>
        </w:tc>
      </w:tr>
      <w:tr w:rsidR="007961F3" w:rsidRPr="00A41B49" w14:paraId="38269921" w14:textId="77777777" w:rsidTr="00971744">
        <w:trPr>
          <w:cantSplit/>
          <w:trHeight w:val="644"/>
        </w:trPr>
        <w:tc>
          <w:tcPr>
            <w:tcW w:w="1290" w:type="dxa"/>
            <w:vMerge w:val="restart"/>
            <w:tcBorders>
              <w:top w:val="single" w:sz="6" w:space="0" w:color="auto"/>
              <w:left w:val="single" w:sz="6" w:space="0" w:color="auto"/>
              <w:bottom w:val="single" w:sz="6" w:space="0" w:color="auto"/>
              <w:right w:val="double" w:sz="4" w:space="0" w:color="auto"/>
            </w:tcBorders>
            <w:hideMark/>
          </w:tcPr>
          <w:p w14:paraId="487523C4" w14:textId="77777777" w:rsidR="007961F3" w:rsidRPr="00A41B49" w:rsidRDefault="007961F3" w:rsidP="0062271D">
            <w:pPr>
              <w:spacing w:line="288" w:lineRule="auto"/>
            </w:pPr>
            <w:r w:rsidRPr="00A41B49">
              <w:t>Accuracy</w:t>
            </w:r>
          </w:p>
        </w:tc>
        <w:tc>
          <w:tcPr>
            <w:tcW w:w="8505" w:type="dxa"/>
            <w:gridSpan w:val="2"/>
            <w:tcBorders>
              <w:top w:val="single" w:sz="6" w:space="0" w:color="auto"/>
              <w:left w:val="double" w:sz="4" w:space="0" w:color="auto"/>
              <w:bottom w:val="single" w:sz="4" w:space="0" w:color="auto"/>
              <w:right w:val="single" w:sz="6" w:space="0" w:color="auto"/>
            </w:tcBorders>
            <w:hideMark/>
          </w:tcPr>
          <w:p w14:paraId="50E9E5ED" w14:textId="77777777" w:rsidR="007961F3" w:rsidRPr="00A41B49" w:rsidRDefault="007961F3" w:rsidP="0062271D">
            <w:pPr>
              <w:spacing w:line="288" w:lineRule="auto"/>
              <w:jc w:val="both"/>
              <w:rPr>
                <w:lang w:val="en-US"/>
              </w:rPr>
            </w:pPr>
            <w:r w:rsidRPr="00A41B49">
              <w:rPr>
                <w:lang w:val="en-US"/>
              </w:rPr>
              <w:t xml:space="preserve">Accuracy was determined by analysis of 10 independent determinations in which known amounts of the reference substance were added to a blank formulation. The accuracy results are expressed as the recovery rate. </w:t>
            </w:r>
          </w:p>
        </w:tc>
      </w:tr>
      <w:tr w:rsidR="007961F3" w:rsidRPr="00A41B49" w14:paraId="56C3FAD1" w14:textId="77777777" w:rsidTr="00971744">
        <w:trPr>
          <w:cantSplit/>
          <w:trHeight w:val="210"/>
        </w:trPr>
        <w:tc>
          <w:tcPr>
            <w:tcW w:w="1290" w:type="dxa"/>
            <w:vMerge/>
            <w:tcBorders>
              <w:top w:val="single" w:sz="6" w:space="0" w:color="auto"/>
              <w:left w:val="single" w:sz="6" w:space="0" w:color="auto"/>
              <w:bottom w:val="single" w:sz="6" w:space="0" w:color="auto"/>
              <w:right w:val="double" w:sz="4" w:space="0" w:color="auto"/>
            </w:tcBorders>
            <w:vAlign w:val="center"/>
            <w:hideMark/>
          </w:tcPr>
          <w:p w14:paraId="3BCD4D46" w14:textId="77777777" w:rsidR="007961F3" w:rsidRPr="00A41B49" w:rsidRDefault="007961F3" w:rsidP="0062271D">
            <w:pPr>
              <w:rPr>
                <w:lang w:val="en-US"/>
              </w:rPr>
            </w:pPr>
          </w:p>
        </w:tc>
        <w:tc>
          <w:tcPr>
            <w:tcW w:w="1701" w:type="dxa"/>
            <w:tcBorders>
              <w:top w:val="single" w:sz="4" w:space="0" w:color="auto"/>
              <w:left w:val="double" w:sz="4" w:space="0" w:color="auto"/>
              <w:bottom w:val="single" w:sz="4" w:space="0" w:color="auto"/>
              <w:right w:val="single" w:sz="4" w:space="0" w:color="auto"/>
            </w:tcBorders>
            <w:hideMark/>
          </w:tcPr>
          <w:p w14:paraId="4E1A3871" w14:textId="77777777" w:rsidR="007961F3" w:rsidRPr="00A41B49" w:rsidRDefault="007961F3" w:rsidP="0062271D">
            <w:pPr>
              <w:widowControl w:val="0"/>
            </w:pPr>
            <w:r w:rsidRPr="00A41B49">
              <w:t>Compound</w:t>
            </w:r>
          </w:p>
        </w:tc>
        <w:tc>
          <w:tcPr>
            <w:tcW w:w="6804" w:type="dxa"/>
            <w:tcBorders>
              <w:top w:val="single" w:sz="4" w:space="0" w:color="auto"/>
              <w:left w:val="single" w:sz="4" w:space="0" w:color="auto"/>
              <w:bottom w:val="single" w:sz="4" w:space="0" w:color="auto"/>
              <w:right w:val="single" w:sz="6" w:space="0" w:color="auto"/>
            </w:tcBorders>
            <w:hideMark/>
          </w:tcPr>
          <w:p w14:paraId="5EF421DD" w14:textId="77777777" w:rsidR="007961F3" w:rsidRPr="00A41B49" w:rsidRDefault="007961F3" w:rsidP="0062271D">
            <w:pPr>
              <w:spacing w:line="288" w:lineRule="auto"/>
            </w:pPr>
            <w:r w:rsidRPr="00A41B49">
              <w:t>Accuracy (recovery )</w:t>
            </w:r>
          </w:p>
        </w:tc>
      </w:tr>
      <w:tr w:rsidR="007961F3" w:rsidRPr="00A41B49" w14:paraId="79AF3DDD" w14:textId="77777777" w:rsidTr="00971744">
        <w:trPr>
          <w:cantSplit/>
          <w:trHeight w:val="105"/>
        </w:trPr>
        <w:tc>
          <w:tcPr>
            <w:tcW w:w="1290" w:type="dxa"/>
            <w:vMerge/>
            <w:tcBorders>
              <w:top w:val="single" w:sz="6" w:space="0" w:color="auto"/>
              <w:left w:val="single" w:sz="6" w:space="0" w:color="auto"/>
              <w:bottom w:val="single" w:sz="6" w:space="0" w:color="auto"/>
              <w:right w:val="double" w:sz="4" w:space="0" w:color="auto"/>
            </w:tcBorders>
            <w:vAlign w:val="center"/>
            <w:hideMark/>
          </w:tcPr>
          <w:p w14:paraId="377A1478" w14:textId="77777777" w:rsidR="007961F3" w:rsidRPr="00A41B49" w:rsidRDefault="007961F3" w:rsidP="0062271D"/>
        </w:tc>
        <w:tc>
          <w:tcPr>
            <w:tcW w:w="1701" w:type="dxa"/>
            <w:tcBorders>
              <w:top w:val="single" w:sz="4" w:space="0" w:color="auto"/>
              <w:left w:val="double" w:sz="4" w:space="0" w:color="auto"/>
              <w:bottom w:val="single" w:sz="6" w:space="0" w:color="auto"/>
              <w:right w:val="single" w:sz="4" w:space="0" w:color="auto"/>
            </w:tcBorders>
            <w:hideMark/>
          </w:tcPr>
          <w:p w14:paraId="617012B0" w14:textId="77777777" w:rsidR="007961F3" w:rsidRPr="00A41B49" w:rsidRDefault="007961F3" w:rsidP="0062271D">
            <w:pPr>
              <w:widowControl w:val="0"/>
              <w:rPr>
                <w:lang w:val="fr-FR"/>
              </w:rPr>
            </w:pPr>
            <w:r w:rsidRPr="00A41B49">
              <w:rPr>
                <w:lang w:val="fr-FR"/>
              </w:rPr>
              <w:t>Iodine</w:t>
            </w:r>
          </w:p>
        </w:tc>
        <w:tc>
          <w:tcPr>
            <w:tcW w:w="6804" w:type="dxa"/>
            <w:tcBorders>
              <w:top w:val="single" w:sz="4" w:space="0" w:color="auto"/>
              <w:left w:val="single" w:sz="4" w:space="0" w:color="auto"/>
              <w:bottom w:val="single" w:sz="6" w:space="0" w:color="auto"/>
              <w:right w:val="single" w:sz="6" w:space="0" w:color="auto"/>
            </w:tcBorders>
            <w:hideMark/>
          </w:tcPr>
          <w:p w14:paraId="2389D4A3" w14:textId="77777777" w:rsidR="007961F3" w:rsidRPr="00A41B49" w:rsidRDefault="007961F3" w:rsidP="0062271D">
            <w:pPr>
              <w:spacing w:line="288" w:lineRule="auto"/>
              <w:rPr>
                <w:lang w:val="en-US"/>
              </w:rPr>
            </w:pPr>
            <w:r w:rsidRPr="00A41B49">
              <w:rPr>
                <w:spacing w:val="-2"/>
              </w:rPr>
              <w:t>100.0%</w:t>
            </w:r>
          </w:p>
        </w:tc>
      </w:tr>
    </w:tbl>
    <w:p w14:paraId="3A9F078F" w14:textId="77777777" w:rsidR="00971744" w:rsidRPr="0054586B" w:rsidRDefault="00971744" w:rsidP="00971744">
      <w:pPr>
        <w:keepNext/>
        <w:widowControl w:val="0"/>
        <w:shd w:val="clear" w:color="auto" w:fill="D9D9D9" w:themeFill="background1" w:themeFillShade="D9"/>
        <w:suppressAutoHyphens w:val="0"/>
        <w:jc w:val="both"/>
        <w:rPr>
          <w:rFonts w:cs="Arial"/>
          <w:b/>
          <w:iCs/>
          <w:lang w:eastAsia="en-US"/>
        </w:rPr>
      </w:pPr>
      <w:r w:rsidRPr="0054586B">
        <w:rPr>
          <w:rFonts w:cs="Arial"/>
          <w:b/>
          <w:iCs/>
          <w:lang w:eastAsia="en-US"/>
        </w:rPr>
        <w:lastRenderedPageBreak/>
        <w:t>Post authorisation request 2020</w:t>
      </w:r>
      <w:r>
        <w:rPr>
          <w:rFonts w:cs="Arial"/>
          <w:b/>
          <w:iCs/>
          <w:lang w:eastAsia="en-US"/>
        </w:rPr>
        <w:t>:</w:t>
      </w:r>
    </w:p>
    <w:p w14:paraId="01F1DF01" w14:textId="77777777" w:rsidR="00971744" w:rsidRDefault="00971744" w:rsidP="00971744">
      <w:pPr>
        <w:keepNext/>
        <w:tabs>
          <w:tab w:val="left" w:pos="0"/>
        </w:tabs>
        <w:spacing w:before="240" w:after="60" w:line="240" w:lineRule="atLeast"/>
        <w:jc w:val="both"/>
        <w:outlineLvl w:val="3"/>
        <w:rPr>
          <w:b/>
          <w:bCs/>
          <w:szCs w:val="28"/>
        </w:rPr>
      </w:pPr>
    </w:p>
    <w:tbl>
      <w:tblPr>
        <w:tblW w:w="9781" w:type="dxa"/>
        <w:tblInd w:w="71" w:type="dxa"/>
        <w:tblBorders>
          <w:top w:val="single" w:sz="4" w:space="0" w:color="auto"/>
          <w:left w:val="single" w:sz="4" w:space="0" w:color="auto"/>
          <w:bottom w:val="single" w:sz="4" w:space="0" w:color="auto"/>
          <w:right w:val="single" w:sz="4" w:space="0" w:color="auto"/>
          <w:insideH w:val="single" w:sz="4" w:space="0" w:color="auto"/>
        </w:tblBorders>
        <w:shd w:val="clear" w:color="auto" w:fill="D9D9D9" w:themeFill="background1" w:themeFillShade="D9"/>
        <w:tblLayout w:type="fixed"/>
        <w:tblCellMar>
          <w:left w:w="71" w:type="dxa"/>
          <w:right w:w="71" w:type="dxa"/>
        </w:tblCellMar>
        <w:tblLook w:val="0000" w:firstRow="0" w:lastRow="0" w:firstColumn="0" w:lastColumn="0" w:noHBand="0" w:noVBand="0"/>
      </w:tblPr>
      <w:tblGrid>
        <w:gridCol w:w="1800"/>
        <w:gridCol w:w="7981"/>
      </w:tblGrid>
      <w:tr w:rsidR="00971744" w:rsidRPr="00444E55" w14:paraId="1AA9519A" w14:textId="77777777" w:rsidTr="00DC29E4">
        <w:tc>
          <w:tcPr>
            <w:tcW w:w="1800" w:type="dxa"/>
            <w:tcBorders>
              <w:right w:val="single" w:sz="4" w:space="0" w:color="auto"/>
            </w:tcBorders>
            <w:shd w:val="clear" w:color="auto" w:fill="D9D9D9" w:themeFill="background1" w:themeFillShade="D9"/>
          </w:tcPr>
          <w:p w14:paraId="3704EBFA" w14:textId="77777777" w:rsidR="00971744" w:rsidRPr="00444E55" w:rsidRDefault="00971744" w:rsidP="0062271D">
            <w:pPr>
              <w:pStyle w:val="OECD-table"/>
              <w:rPr>
                <w:rFonts w:ascii="Verdana" w:hAnsi="Verdana"/>
                <w:b/>
                <w:sz w:val="20"/>
                <w:szCs w:val="20"/>
              </w:rPr>
            </w:pPr>
            <w:r w:rsidRPr="00444E55">
              <w:rPr>
                <w:rFonts w:ascii="Verdana" w:hAnsi="Verdana"/>
                <w:b/>
                <w:sz w:val="20"/>
                <w:szCs w:val="20"/>
              </w:rPr>
              <w:t>Report:</w:t>
            </w:r>
          </w:p>
        </w:tc>
        <w:tc>
          <w:tcPr>
            <w:tcW w:w="7981" w:type="dxa"/>
            <w:tcBorders>
              <w:left w:val="single" w:sz="4" w:space="0" w:color="auto"/>
            </w:tcBorders>
            <w:shd w:val="clear" w:color="auto" w:fill="D9D9D9" w:themeFill="background1" w:themeFillShade="D9"/>
          </w:tcPr>
          <w:p w14:paraId="52DD9BA8" w14:textId="591CF73E" w:rsidR="00971744" w:rsidRPr="00DC29E4" w:rsidRDefault="00971744" w:rsidP="0062271D">
            <w:pPr>
              <w:jc w:val="both"/>
              <w:rPr>
                <w:lang w:val="en-US" w:eastAsia="de-DE"/>
              </w:rPr>
            </w:pPr>
            <w:r w:rsidRPr="0072604A">
              <w:rPr>
                <w:highlight w:val="yellow"/>
                <w:lang w:val="en-US" w:eastAsia="de-DE"/>
              </w:rPr>
              <w:t>Morel A.</w:t>
            </w:r>
            <w:r w:rsidRPr="00DC29E4">
              <w:rPr>
                <w:lang w:val="en-US" w:eastAsia="de-DE"/>
              </w:rPr>
              <w:t>, 2020</w:t>
            </w:r>
            <w:r w:rsidR="009A4C47" w:rsidRPr="00DC29E4">
              <w:rPr>
                <w:lang w:val="en-US" w:eastAsia="de-DE"/>
              </w:rPr>
              <w:t xml:space="preserve"> (amendment of the previous study report dated of 2015)</w:t>
            </w:r>
          </w:p>
        </w:tc>
      </w:tr>
      <w:tr w:rsidR="00971744" w:rsidRPr="00444E55" w14:paraId="44FD52C9" w14:textId="77777777" w:rsidTr="00DC29E4">
        <w:tc>
          <w:tcPr>
            <w:tcW w:w="1800" w:type="dxa"/>
            <w:tcBorders>
              <w:right w:val="single" w:sz="4" w:space="0" w:color="auto"/>
            </w:tcBorders>
            <w:shd w:val="clear" w:color="auto" w:fill="D9D9D9" w:themeFill="background1" w:themeFillShade="D9"/>
          </w:tcPr>
          <w:p w14:paraId="6CAC450D" w14:textId="77777777" w:rsidR="00971744" w:rsidRPr="00444E55" w:rsidRDefault="00971744" w:rsidP="0062271D">
            <w:pPr>
              <w:pStyle w:val="OECD-table"/>
              <w:jc w:val="both"/>
              <w:rPr>
                <w:rFonts w:ascii="Verdana" w:hAnsi="Verdana"/>
                <w:sz w:val="20"/>
                <w:szCs w:val="20"/>
                <w:lang w:val="fr-FR"/>
              </w:rPr>
            </w:pPr>
            <w:r w:rsidRPr="00444E55">
              <w:rPr>
                <w:rFonts w:ascii="Verdana" w:hAnsi="Verdana"/>
                <w:sz w:val="20"/>
                <w:szCs w:val="20"/>
                <w:lang w:val="fr-FR"/>
              </w:rPr>
              <w:t>Title:</w:t>
            </w:r>
          </w:p>
        </w:tc>
        <w:tc>
          <w:tcPr>
            <w:tcW w:w="7981" w:type="dxa"/>
            <w:tcBorders>
              <w:left w:val="single" w:sz="4" w:space="0" w:color="auto"/>
            </w:tcBorders>
            <w:shd w:val="clear" w:color="auto" w:fill="D9D9D9" w:themeFill="background1" w:themeFillShade="D9"/>
          </w:tcPr>
          <w:p w14:paraId="27E20833" w14:textId="77777777" w:rsidR="00971744" w:rsidRPr="00DC29E4" w:rsidRDefault="00971744" w:rsidP="0062271D">
            <w:pPr>
              <w:autoSpaceDE w:val="0"/>
              <w:autoSpaceDN w:val="0"/>
              <w:adjustRightInd w:val="0"/>
              <w:jc w:val="both"/>
              <w:rPr>
                <w:bCs/>
                <w:lang w:val="en-US" w:eastAsia="de-DE"/>
              </w:rPr>
            </w:pPr>
            <w:r w:rsidRPr="00DC29E4">
              <w:rPr>
                <w:bCs/>
                <w:lang w:val="en-US" w:eastAsia="de-DE"/>
              </w:rPr>
              <w:t>Validation of the analytical method for the determination of iodide in IODIGUARD</w:t>
            </w:r>
          </w:p>
          <w:p w14:paraId="25614566" w14:textId="77777777" w:rsidR="00971744" w:rsidRPr="00DC29E4" w:rsidRDefault="00971744" w:rsidP="0062271D">
            <w:pPr>
              <w:autoSpaceDE w:val="0"/>
              <w:autoSpaceDN w:val="0"/>
              <w:adjustRightInd w:val="0"/>
              <w:jc w:val="both"/>
              <w:rPr>
                <w:bCs/>
                <w:lang w:val="en-US" w:eastAsia="de-DE"/>
              </w:rPr>
            </w:pPr>
            <w:r w:rsidRPr="00DC29E4">
              <w:rPr>
                <w:bCs/>
                <w:lang w:val="en-US" w:eastAsia="de-DE"/>
              </w:rPr>
              <w:t>Validation of the analytical method for the determination of diiode in IODIGUARD</w:t>
            </w:r>
          </w:p>
          <w:p w14:paraId="1FB02EBA" w14:textId="77777777" w:rsidR="00971744" w:rsidRPr="00DC29E4" w:rsidRDefault="00971744" w:rsidP="0062271D">
            <w:pPr>
              <w:autoSpaceDE w:val="0"/>
              <w:autoSpaceDN w:val="0"/>
              <w:adjustRightInd w:val="0"/>
              <w:jc w:val="both"/>
              <w:rPr>
                <w:bCs/>
                <w:lang w:val="en-US" w:eastAsia="de-DE"/>
              </w:rPr>
            </w:pPr>
            <w:r w:rsidRPr="00DC29E4">
              <w:rPr>
                <w:bCs/>
                <w:lang w:val="en-US" w:eastAsia="de-DE"/>
              </w:rPr>
              <w:t>Validation of the analytical method for the determination of iodate in IODIGUARD</w:t>
            </w:r>
          </w:p>
        </w:tc>
      </w:tr>
      <w:tr w:rsidR="00971744" w:rsidRPr="00444E55" w14:paraId="33935EF4" w14:textId="77777777" w:rsidTr="00DC29E4">
        <w:tc>
          <w:tcPr>
            <w:tcW w:w="1800" w:type="dxa"/>
            <w:tcBorders>
              <w:right w:val="single" w:sz="4" w:space="0" w:color="auto"/>
            </w:tcBorders>
            <w:shd w:val="clear" w:color="auto" w:fill="D9D9D9" w:themeFill="background1" w:themeFillShade="D9"/>
          </w:tcPr>
          <w:p w14:paraId="455DD238" w14:textId="77777777" w:rsidR="00971744" w:rsidRPr="00444E55" w:rsidRDefault="00971744" w:rsidP="0062271D">
            <w:pPr>
              <w:pStyle w:val="OECD-table"/>
              <w:rPr>
                <w:rFonts w:ascii="Verdana" w:hAnsi="Verdana"/>
                <w:sz w:val="20"/>
                <w:szCs w:val="20"/>
                <w:lang w:val="fr-FR"/>
              </w:rPr>
            </w:pPr>
            <w:r w:rsidRPr="00444E55">
              <w:rPr>
                <w:rFonts w:ascii="Verdana" w:hAnsi="Verdana"/>
                <w:sz w:val="20"/>
                <w:szCs w:val="20"/>
                <w:lang w:val="fr-FR"/>
              </w:rPr>
              <w:t>Document No</w:t>
            </w:r>
          </w:p>
        </w:tc>
        <w:tc>
          <w:tcPr>
            <w:tcW w:w="7981" w:type="dxa"/>
            <w:tcBorders>
              <w:left w:val="single" w:sz="4" w:space="0" w:color="auto"/>
            </w:tcBorders>
            <w:shd w:val="clear" w:color="auto" w:fill="D9D9D9" w:themeFill="background1" w:themeFillShade="D9"/>
          </w:tcPr>
          <w:p w14:paraId="3B568915" w14:textId="77777777" w:rsidR="00971744" w:rsidRPr="00DC29E4" w:rsidRDefault="00971744" w:rsidP="0062271D">
            <w:pPr>
              <w:pStyle w:val="OECD-table"/>
              <w:rPr>
                <w:rFonts w:ascii="Verdana" w:hAnsi="Verdana"/>
                <w:sz w:val="20"/>
                <w:szCs w:val="20"/>
                <w:lang w:val="fr-FR"/>
              </w:rPr>
            </w:pPr>
            <w:r w:rsidRPr="00DC29E4">
              <w:rPr>
                <w:rFonts w:ascii="Verdana" w:hAnsi="Verdana"/>
                <w:sz w:val="20"/>
                <w:szCs w:val="20"/>
                <w:lang w:val="fr-FR"/>
              </w:rPr>
              <w:t>No. 20-912017-001</w:t>
            </w:r>
          </w:p>
          <w:p w14:paraId="01D5C333" w14:textId="77777777" w:rsidR="00971744" w:rsidRPr="00DC29E4" w:rsidRDefault="00971744" w:rsidP="0062271D">
            <w:pPr>
              <w:pStyle w:val="OECD-table"/>
              <w:rPr>
                <w:rFonts w:ascii="Verdana" w:hAnsi="Verdana"/>
                <w:sz w:val="20"/>
                <w:szCs w:val="20"/>
                <w:lang w:val="fr-FR"/>
              </w:rPr>
            </w:pPr>
            <w:r w:rsidRPr="00DC29E4">
              <w:rPr>
                <w:rFonts w:ascii="Verdana" w:hAnsi="Verdana"/>
                <w:sz w:val="20"/>
                <w:szCs w:val="20"/>
                <w:lang w:val="fr-FR"/>
              </w:rPr>
              <w:t>No. 20-912017-002</w:t>
            </w:r>
          </w:p>
          <w:p w14:paraId="00AE2378" w14:textId="77777777" w:rsidR="00971744" w:rsidRPr="00DC29E4" w:rsidRDefault="00971744" w:rsidP="0062271D">
            <w:pPr>
              <w:pStyle w:val="OECD-table"/>
              <w:rPr>
                <w:rFonts w:ascii="Verdana" w:hAnsi="Verdana"/>
                <w:sz w:val="20"/>
                <w:szCs w:val="20"/>
                <w:lang w:val="fr-FR"/>
              </w:rPr>
            </w:pPr>
            <w:r w:rsidRPr="00DC29E4">
              <w:rPr>
                <w:rFonts w:ascii="Verdana" w:hAnsi="Verdana"/>
                <w:sz w:val="20"/>
                <w:szCs w:val="20"/>
                <w:lang w:val="fr-FR"/>
              </w:rPr>
              <w:t>No. 20-912017-003</w:t>
            </w:r>
          </w:p>
        </w:tc>
      </w:tr>
      <w:tr w:rsidR="00971744" w:rsidRPr="00444E55" w14:paraId="5C9695AC" w14:textId="77777777" w:rsidTr="00DC29E4">
        <w:tc>
          <w:tcPr>
            <w:tcW w:w="1800" w:type="dxa"/>
            <w:tcBorders>
              <w:right w:val="single" w:sz="4" w:space="0" w:color="auto"/>
            </w:tcBorders>
            <w:shd w:val="clear" w:color="auto" w:fill="D9D9D9" w:themeFill="background1" w:themeFillShade="D9"/>
          </w:tcPr>
          <w:p w14:paraId="37AE957F" w14:textId="77777777" w:rsidR="00971744" w:rsidRPr="00444E55" w:rsidRDefault="00971744" w:rsidP="0062271D">
            <w:pPr>
              <w:pStyle w:val="OECD-table"/>
              <w:rPr>
                <w:rFonts w:ascii="Verdana" w:hAnsi="Verdana"/>
                <w:sz w:val="20"/>
                <w:szCs w:val="20"/>
                <w:lang w:val="fr-FR"/>
              </w:rPr>
            </w:pPr>
            <w:r w:rsidRPr="00444E55">
              <w:rPr>
                <w:rFonts w:ascii="Verdana" w:hAnsi="Verdana"/>
                <w:sz w:val="20"/>
                <w:szCs w:val="20"/>
                <w:lang w:val="fr-FR"/>
              </w:rPr>
              <w:t>Test facility</w:t>
            </w:r>
          </w:p>
        </w:tc>
        <w:tc>
          <w:tcPr>
            <w:tcW w:w="7981" w:type="dxa"/>
            <w:tcBorders>
              <w:left w:val="single" w:sz="4" w:space="0" w:color="auto"/>
            </w:tcBorders>
            <w:shd w:val="clear" w:color="auto" w:fill="D9D9D9" w:themeFill="background1" w:themeFillShade="D9"/>
          </w:tcPr>
          <w:p w14:paraId="3FA9EE2F" w14:textId="77777777" w:rsidR="00971744" w:rsidRPr="00DC29E4" w:rsidRDefault="00971744" w:rsidP="0062271D">
            <w:pPr>
              <w:pStyle w:val="OECD-table"/>
              <w:rPr>
                <w:rFonts w:ascii="Verdana" w:hAnsi="Verdana"/>
                <w:sz w:val="20"/>
                <w:szCs w:val="20"/>
                <w:lang w:val="fr-FR"/>
              </w:rPr>
            </w:pPr>
            <w:r w:rsidRPr="00DC29E4">
              <w:rPr>
                <w:rFonts w:ascii="Verdana" w:hAnsi="Verdana"/>
                <w:sz w:val="20"/>
                <w:szCs w:val="20"/>
                <w:lang w:val="fr-FR"/>
              </w:rPr>
              <w:t>Z.A. des Andrés</w:t>
            </w:r>
          </w:p>
          <w:p w14:paraId="75235657" w14:textId="77777777" w:rsidR="00971744" w:rsidRPr="00DC29E4" w:rsidRDefault="00971744" w:rsidP="0062271D">
            <w:pPr>
              <w:pStyle w:val="OECD-table"/>
              <w:rPr>
                <w:rFonts w:ascii="Verdana" w:hAnsi="Verdana"/>
                <w:sz w:val="20"/>
                <w:szCs w:val="20"/>
                <w:lang w:val="fr-FR"/>
              </w:rPr>
            </w:pPr>
            <w:r w:rsidRPr="00DC29E4">
              <w:rPr>
                <w:rFonts w:ascii="Verdana" w:hAnsi="Verdana"/>
                <w:sz w:val="20"/>
                <w:szCs w:val="20"/>
                <w:lang w:val="fr-FR"/>
              </w:rPr>
              <w:t>150, rue Pré-Magne</w:t>
            </w:r>
          </w:p>
          <w:p w14:paraId="67B43C91" w14:textId="77777777" w:rsidR="00971744" w:rsidRPr="00DC29E4" w:rsidRDefault="00971744" w:rsidP="0062271D">
            <w:pPr>
              <w:pStyle w:val="OECD-table"/>
              <w:rPr>
                <w:rFonts w:ascii="Verdana" w:hAnsi="Verdana"/>
                <w:sz w:val="20"/>
                <w:szCs w:val="20"/>
                <w:lang w:val="fr-FR"/>
              </w:rPr>
            </w:pPr>
            <w:r w:rsidRPr="00DC29E4">
              <w:rPr>
                <w:rFonts w:ascii="Verdana" w:hAnsi="Verdana"/>
                <w:sz w:val="20"/>
                <w:szCs w:val="20"/>
                <w:lang w:val="fr-FR"/>
              </w:rPr>
              <w:t>69126 BRINDAS</w:t>
            </w:r>
          </w:p>
          <w:p w14:paraId="08847559" w14:textId="77777777" w:rsidR="00971744" w:rsidRPr="00DC29E4" w:rsidRDefault="00971744" w:rsidP="0062271D">
            <w:pPr>
              <w:pStyle w:val="OECD-table"/>
              <w:rPr>
                <w:rFonts w:ascii="Verdana" w:hAnsi="Verdana"/>
                <w:sz w:val="20"/>
                <w:szCs w:val="20"/>
                <w:lang w:val="fr-FR"/>
              </w:rPr>
            </w:pPr>
            <w:r w:rsidRPr="00DC29E4">
              <w:rPr>
                <w:rFonts w:ascii="Verdana" w:hAnsi="Verdana"/>
                <w:sz w:val="20"/>
                <w:szCs w:val="20"/>
                <w:lang w:val="fr-FR"/>
              </w:rPr>
              <w:t>FRANCE</w:t>
            </w:r>
          </w:p>
        </w:tc>
      </w:tr>
      <w:tr w:rsidR="00971744" w:rsidRPr="00444E55" w14:paraId="3C66170B" w14:textId="77777777" w:rsidTr="00DC29E4">
        <w:tc>
          <w:tcPr>
            <w:tcW w:w="1800" w:type="dxa"/>
            <w:tcBorders>
              <w:right w:val="single" w:sz="4" w:space="0" w:color="auto"/>
            </w:tcBorders>
            <w:shd w:val="clear" w:color="auto" w:fill="D9D9D9" w:themeFill="background1" w:themeFillShade="D9"/>
          </w:tcPr>
          <w:p w14:paraId="17F8C61F" w14:textId="77777777" w:rsidR="00971744" w:rsidRPr="00444E55" w:rsidRDefault="00971744" w:rsidP="0062271D">
            <w:pPr>
              <w:pStyle w:val="OECD-table"/>
              <w:rPr>
                <w:rFonts w:ascii="Verdana" w:hAnsi="Verdana"/>
                <w:sz w:val="20"/>
                <w:szCs w:val="20"/>
              </w:rPr>
            </w:pPr>
            <w:r w:rsidRPr="00444E55">
              <w:rPr>
                <w:rFonts w:ascii="Verdana" w:hAnsi="Verdana"/>
                <w:sz w:val="20"/>
                <w:szCs w:val="20"/>
              </w:rPr>
              <w:t>Guidelines:</w:t>
            </w:r>
          </w:p>
        </w:tc>
        <w:tc>
          <w:tcPr>
            <w:tcW w:w="7981" w:type="dxa"/>
            <w:tcBorders>
              <w:left w:val="single" w:sz="4" w:space="0" w:color="auto"/>
            </w:tcBorders>
            <w:shd w:val="clear" w:color="auto" w:fill="D9D9D9" w:themeFill="background1" w:themeFillShade="D9"/>
          </w:tcPr>
          <w:p w14:paraId="3DD5568C" w14:textId="77777777" w:rsidR="00971744" w:rsidRPr="00DC29E4" w:rsidRDefault="00971744" w:rsidP="0062271D">
            <w:pPr>
              <w:pStyle w:val="OECD-table"/>
              <w:rPr>
                <w:rFonts w:ascii="Verdana" w:hAnsi="Verdana"/>
                <w:sz w:val="20"/>
                <w:szCs w:val="20"/>
              </w:rPr>
            </w:pPr>
            <w:r w:rsidRPr="00DC29E4">
              <w:rPr>
                <w:rFonts w:ascii="Verdana" w:hAnsi="Verdana"/>
                <w:sz w:val="20"/>
                <w:szCs w:val="20"/>
              </w:rPr>
              <w:t>-</w:t>
            </w:r>
          </w:p>
        </w:tc>
      </w:tr>
      <w:tr w:rsidR="00971744" w:rsidRPr="00A41B49" w14:paraId="4F9A9CDB" w14:textId="77777777" w:rsidTr="00DC29E4">
        <w:tc>
          <w:tcPr>
            <w:tcW w:w="1800" w:type="dxa"/>
            <w:tcBorders>
              <w:right w:val="single" w:sz="4" w:space="0" w:color="auto"/>
            </w:tcBorders>
            <w:shd w:val="clear" w:color="auto" w:fill="D9D9D9" w:themeFill="background1" w:themeFillShade="D9"/>
          </w:tcPr>
          <w:p w14:paraId="338EE733" w14:textId="77777777" w:rsidR="00971744" w:rsidRPr="00444E55" w:rsidRDefault="00971744" w:rsidP="0062271D">
            <w:pPr>
              <w:pStyle w:val="OECD-table"/>
              <w:rPr>
                <w:rFonts w:ascii="Verdana" w:hAnsi="Verdana"/>
                <w:sz w:val="20"/>
                <w:szCs w:val="20"/>
              </w:rPr>
            </w:pPr>
            <w:r w:rsidRPr="00444E55">
              <w:rPr>
                <w:rFonts w:ascii="Verdana" w:hAnsi="Verdana"/>
                <w:sz w:val="20"/>
                <w:szCs w:val="20"/>
              </w:rPr>
              <w:t>GLP</w:t>
            </w:r>
          </w:p>
        </w:tc>
        <w:tc>
          <w:tcPr>
            <w:tcW w:w="7981" w:type="dxa"/>
            <w:tcBorders>
              <w:left w:val="single" w:sz="4" w:space="0" w:color="auto"/>
            </w:tcBorders>
            <w:shd w:val="clear" w:color="auto" w:fill="D9D9D9" w:themeFill="background1" w:themeFillShade="D9"/>
          </w:tcPr>
          <w:p w14:paraId="0C486014" w14:textId="77777777" w:rsidR="00971744" w:rsidRPr="00DC29E4" w:rsidRDefault="00971744" w:rsidP="0062271D">
            <w:pPr>
              <w:pStyle w:val="OECD-table"/>
              <w:rPr>
                <w:rFonts w:ascii="Verdana" w:hAnsi="Verdana"/>
                <w:sz w:val="20"/>
                <w:szCs w:val="20"/>
              </w:rPr>
            </w:pPr>
            <w:r w:rsidRPr="00DC29E4">
              <w:rPr>
                <w:rFonts w:ascii="Verdana" w:hAnsi="Verdana"/>
                <w:sz w:val="20"/>
                <w:szCs w:val="20"/>
              </w:rPr>
              <w:t>Yes</w:t>
            </w:r>
          </w:p>
        </w:tc>
      </w:tr>
    </w:tbl>
    <w:p w14:paraId="38388112" w14:textId="77777777" w:rsidR="00971744" w:rsidRPr="00DC29E4" w:rsidRDefault="00971744" w:rsidP="00971744">
      <w:pPr>
        <w:keepNext/>
        <w:tabs>
          <w:tab w:val="left" w:pos="0"/>
        </w:tabs>
        <w:spacing w:before="240" w:after="60" w:line="240" w:lineRule="atLeast"/>
        <w:jc w:val="both"/>
        <w:outlineLvl w:val="3"/>
        <w:rPr>
          <w:b/>
          <w:bCs/>
          <w:szCs w:val="28"/>
          <w:highlight w:val="lightGray"/>
        </w:rPr>
      </w:pPr>
      <w:r w:rsidRPr="00DC29E4">
        <w:rPr>
          <w:b/>
          <w:bCs/>
          <w:szCs w:val="28"/>
          <w:highlight w:val="lightGray"/>
        </w:rPr>
        <w:t>According to European Pharmacopoeia, the active iodine is defined as the total of iodine substance (I</w:t>
      </w:r>
      <w:r w:rsidRPr="00DC29E4">
        <w:rPr>
          <w:b/>
          <w:bCs/>
          <w:szCs w:val="28"/>
          <w:highlight w:val="lightGray"/>
          <w:vertAlign w:val="subscript"/>
        </w:rPr>
        <w:t>2</w:t>
      </w:r>
      <w:r w:rsidRPr="00DC29E4">
        <w:rPr>
          <w:b/>
          <w:bCs/>
          <w:szCs w:val="28"/>
          <w:highlight w:val="lightGray"/>
        </w:rPr>
        <w:t>), free and complexed with the PVP.</w:t>
      </w:r>
    </w:p>
    <w:p w14:paraId="6ABC5E83" w14:textId="77777777" w:rsidR="00971744" w:rsidRPr="00DC29E4" w:rsidRDefault="00971744" w:rsidP="00971744">
      <w:pPr>
        <w:keepNext/>
        <w:tabs>
          <w:tab w:val="left" w:pos="0"/>
        </w:tabs>
        <w:spacing w:before="240" w:after="60" w:line="240" w:lineRule="atLeast"/>
        <w:jc w:val="both"/>
        <w:outlineLvl w:val="3"/>
        <w:rPr>
          <w:b/>
          <w:bCs/>
          <w:szCs w:val="28"/>
          <w:highlight w:val="lightGray"/>
        </w:rPr>
      </w:pPr>
      <w:r w:rsidRPr="00DC29E4">
        <w:rPr>
          <w:b/>
          <w:bCs/>
          <w:szCs w:val="28"/>
          <w:highlight w:val="lightGray"/>
        </w:rPr>
        <w:t>Preparation of accuracy samples:</w:t>
      </w:r>
    </w:p>
    <w:p w14:paraId="5782B2A9" w14:textId="77777777" w:rsidR="00971744" w:rsidRPr="00DC29E4" w:rsidRDefault="00971744" w:rsidP="00971744">
      <w:pPr>
        <w:keepNext/>
        <w:tabs>
          <w:tab w:val="left" w:pos="142"/>
        </w:tabs>
        <w:spacing w:before="240" w:after="60" w:line="240" w:lineRule="atLeast"/>
        <w:jc w:val="both"/>
        <w:outlineLvl w:val="3"/>
        <w:rPr>
          <w:bCs/>
          <w:szCs w:val="28"/>
          <w:highlight w:val="lightGray"/>
        </w:rPr>
      </w:pPr>
      <w:r w:rsidRPr="00DC29E4">
        <w:rPr>
          <w:bCs/>
          <w:szCs w:val="28"/>
          <w:highlight w:val="lightGray"/>
        </w:rPr>
        <w:t>Weight 10g of IODIGUARD solution in a beaker. Added 100mL of distilled water and a magnet bar.</w:t>
      </w:r>
    </w:p>
    <w:p w14:paraId="4C0CECE3" w14:textId="77777777" w:rsidR="00971744" w:rsidRPr="00DC29E4" w:rsidRDefault="00971744" w:rsidP="00971744">
      <w:pPr>
        <w:keepNext/>
        <w:tabs>
          <w:tab w:val="left" w:pos="142"/>
        </w:tabs>
        <w:spacing w:before="240" w:after="60" w:line="240" w:lineRule="atLeast"/>
        <w:jc w:val="both"/>
        <w:outlineLvl w:val="3"/>
        <w:rPr>
          <w:bCs/>
          <w:szCs w:val="28"/>
          <w:highlight w:val="lightGray"/>
        </w:rPr>
      </w:pPr>
      <w:r w:rsidRPr="00DC29E4">
        <w:rPr>
          <w:bCs/>
          <w:szCs w:val="28"/>
          <w:highlight w:val="lightGray"/>
        </w:rPr>
        <w:t>The determination of iodine is performed by a redox titration with sodium thiosulfate. The equation is:</w:t>
      </w:r>
    </w:p>
    <w:p w14:paraId="26E8A518" w14:textId="77777777" w:rsidR="00971744" w:rsidRPr="00DC29E4" w:rsidRDefault="00971744" w:rsidP="00971744">
      <w:pPr>
        <w:keepNext/>
        <w:tabs>
          <w:tab w:val="left" w:pos="142"/>
        </w:tabs>
        <w:spacing w:before="240" w:after="60" w:line="240" w:lineRule="atLeast"/>
        <w:ind w:left="1276"/>
        <w:jc w:val="center"/>
        <w:outlineLvl w:val="3"/>
        <w:rPr>
          <w:b/>
          <w:bCs/>
          <w:szCs w:val="28"/>
          <w:highlight w:val="lightGray"/>
          <w:vertAlign w:val="subscript"/>
        </w:rPr>
      </w:pPr>
      <w:r w:rsidRPr="00DC29E4">
        <w:rPr>
          <w:b/>
          <w:bCs/>
          <w:szCs w:val="28"/>
          <w:highlight w:val="lightGray"/>
        </w:rPr>
        <w:t>I</w:t>
      </w:r>
      <w:r w:rsidRPr="00DC29E4">
        <w:rPr>
          <w:b/>
          <w:bCs/>
          <w:szCs w:val="28"/>
          <w:highlight w:val="lightGray"/>
          <w:vertAlign w:val="subscript"/>
        </w:rPr>
        <w:t>2</w:t>
      </w:r>
      <w:r w:rsidRPr="00DC29E4">
        <w:rPr>
          <w:b/>
          <w:bCs/>
          <w:szCs w:val="28"/>
          <w:highlight w:val="lightGray"/>
        </w:rPr>
        <w:t xml:space="preserve"> </w:t>
      </w:r>
      <w:r w:rsidRPr="00DC29E4">
        <w:rPr>
          <w:b/>
          <w:bCs/>
          <w:szCs w:val="28"/>
          <w:highlight w:val="lightGray"/>
          <w:vertAlign w:val="subscript"/>
        </w:rPr>
        <w:t xml:space="preserve">(aq) </w:t>
      </w:r>
      <w:r w:rsidRPr="00DC29E4">
        <w:rPr>
          <w:b/>
          <w:bCs/>
          <w:szCs w:val="28"/>
          <w:highlight w:val="lightGray"/>
        </w:rPr>
        <w:t>+ 2 S</w:t>
      </w:r>
      <w:r w:rsidRPr="00DC29E4">
        <w:rPr>
          <w:b/>
          <w:bCs/>
          <w:szCs w:val="28"/>
          <w:highlight w:val="lightGray"/>
          <w:vertAlign w:val="subscript"/>
        </w:rPr>
        <w:t>2</w:t>
      </w:r>
      <w:r w:rsidRPr="00DC29E4">
        <w:rPr>
          <w:b/>
          <w:bCs/>
          <w:szCs w:val="28"/>
          <w:highlight w:val="lightGray"/>
        </w:rPr>
        <w:t>O</w:t>
      </w:r>
      <w:r w:rsidRPr="00DC29E4">
        <w:rPr>
          <w:b/>
          <w:bCs/>
          <w:szCs w:val="28"/>
          <w:highlight w:val="lightGray"/>
          <w:vertAlign w:val="subscript"/>
        </w:rPr>
        <w:t>3</w:t>
      </w:r>
      <w:r w:rsidRPr="00DC29E4">
        <w:rPr>
          <w:b/>
          <w:bCs/>
          <w:szCs w:val="28"/>
          <w:highlight w:val="lightGray"/>
          <w:vertAlign w:val="superscript"/>
        </w:rPr>
        <w:t xml:space="preserve">2- </w:t>
      </w:r>
      <w:r w:rsidRPr="00DC29E4">
        <w:rPr>
          <w:b/>
          <w:bCs/>
          <w:szCs w:val="28"/>
          <w:highlight w:val="lightGray"/>
          <w:vertAlign w:val="subscript"/>
        </w:rPr>
        <w:t xml:space="preserve">(aq) </w:t>
      </w:r>
      <w:r w:rsidRPr="00DC29E4">
        <w:rPr>
          <w:b/>
          <w:bCs/>
          <w:szCs w:val="28"/>
          <w:highlight w:val="lightGray"/>
        </w:rPr>
        <w:t>= S</w:t>
      </w:r>
      <w:r w:rsidRPr="00DC29E4">
        <w:rPr>
          <w:b/>
          <w:bCs/>
          <w:szCs w:val="28"/>
          <w:highlight w:val="lightGray"/>
          <w:vertAlign w:val="subscript"/>
        </w:rPr>
        <w:t>4</w:t>
      </w:r>
      <w:r w:rsidRPr="00DC29E4">
        <w:rPr>
          <w:b/>
          <w:bCs/>
          <w:szCs w:val="28"/>
          <w:highlight w:val="lightGray"/>
        </w:rPr>
        <w:t>O</w:t>
      </w:r>
      <w:r w:rsidRPr="00DC29E4">
        <w:rPr>
          <w:b/>
          <w:bCs/>
          <w:szCs w:val="28"/>
          <w:highlight w:val="lightGray"/>
          <w:vertAlign w:val="subscript"/>
        </w:rPr>
        <w:t>6</w:t>
      </w:r>
      <w:r w:rsidRPr="00DC29E4">
        <w:rPr>
          <w:b/>
          <w:bCs/>
          <w:szCs w:val="28"/>
          <w:highlight w:val="lightGray"/>
          <w:vertAlign w:val="superscript"/>
        </w:rPr>
        <w:t xml:space="preserve">2- </w:t>
      </w:r>
      <w:r w:rsidRPr="00DC29E4">
        <w:rPr>
          <w:b/>
          <w:bCs/>
          <w:szCs w:val="28"/>
          <w:highlight w:val="lightGray"/>
          <w:vertAlign w:val="subscript"/>
        </w:rPr>
        <w:t xml:space="preserve">(aq) </w:t>
      </w:r>
      <w:r w:rsidRPr="00DC29E4">
        <w:rPr>
          <w:b/>
          <w:bCs/>
          <w:szCs w:val="28"/>
          <w:highlight w:val="lightGray"/>
        </w:rPr>
        <w:t>+ 2 I</w:t>
      </w:r>
      <w:r w:rsidRPr="00DC29E4">
        <w:rPr>
          <w:b/>
          <w:bCs/>
          <w:szCs w:val="28"/>
          <w:highlight w:val="lightGray"/>
          <w:vertAlign w:val="superscript"/>
        </w:rPr>
        <w:t xml:space="preserve">- </w:t>
      </w:r>
      <w:r w:rsidRPr="00DC29E4">
        <w:rPr>
          <w:b/>
          <w:bCs/>
          <w:szCs w:val="28"/>
          <w:highlight w:val="lightGray"/>
          <w:vertAlign w:val="subscript"/>
        </w:rPr>
        <w:t>(aq)</w:t>
      </w:r>
    </w:p>
    <w:p w14:paraId="71439A44" w14:textId="77777777" w:rsidR="00971744" w:rsidRPr="009A4C47" w:rsidRDefault="00971744" w:rsidP="00DC29E4">
      <w:pPr>
        <w:keepNext/>
        <w:tabs>
          <w:tab w:val="left" w:pos="142"/>
        </w:tabs>
        <w:spacing w:before="240" w:after="60" w:line="240" w:lineRule="atLeast"/>
        <w:jc w:val="both"/>
        <w:outlineLvl w:val="3"/>
        <w:rPr>
          <w:bCs/>
          <w:szCs w:val="28"/>
          <w:highlight w:val="lightGray"/>
        </w:rPr>
      </w:pPr>
    </w:p>
    <w:p w14:paraId="55C60B33" w14:textId="4DC3F2BA" w:rsidR="00F96066" w:rsidRPr="00DC29E4" w:rsidRDefault="0032159E" w:rsidP="00DC29E4">
      <w:pPr>
        <w:keepNext/>
        <w:tabs>
          <w:tab w:val="left" w:pos="142"/>
        </w:tabs>
        <w:spacing w:before="240" w:after="60" w:line="240" w:lineRule="atLeast"/>
        <w:jc w:val="both"/>
        <w:outlineLvl w:val="3"/>
        <w:rPr>
          <w:bCs/>
          <w:szCs w:val="28"/>
          <w:highlight w:val="lightGray"/>
        </w:rPr>
      </w:pPr>
      <w:r w:rsidRPr="00DC29E4">
        <w:rPr>
          <w:bCs/>
          <w:szCs w:val="28"/>
          <w:highlight w:val="lightGray"/>
        </w:rPr>
        <w:t>Iodide content in the test item is calculated by subtracting iodine content (issued from study No. 20-912017-002) from the total iodide determined.</w:t>
      </w:r>
    </w:p>
    <w:p w14:paraId="7ED94BF6" w14:textId="2EF05A54" w:rsidR="00F96066" w:rsidRPr="00DC29E4" w:rsidRDefault="00F96066" w:rsidP="00DC29E4">
      <w:pPr>
        <w:keepNext/>
        <w:tabs>
          <w:tab w:val="left" w:pos="142"/>
        </w:tabs>
        <w:spacing w:before="240" w:after="60" w:line="240" w:lineRule="atLeast"/>
        <w:jc w:val="both"/>
        <w:outlineLvl w:val="3"/>
        <w:rPr>
          <w:bCs/>
          <w:szCs w:val="28"/>
          <w:highlight w:val="lightGray"/>
        </w:rPr>
      </w:pPr>
      <w:r w:rsidRPr="00DC29E4">
        <w:rPr>
          <w:bCs/>
          <w:szCs w:val="28"/>
          <w:highlight w:val="lightGray"/>
        </w:rPr>
        <w:t>Iodate will be directly analysed and quantified</w:t>
      </w:r>
      <w:r w:rsidRPr="00DC29E4">
        <w:rPr>
          <w:highlight w:val="lightGray"/>
        </w:rPr>
        <w:t xml:space="preserve"> </w:t>
      </w:r>
      <w:r w:rsidRPr="00DC29E4">
        <w:rPr>
          <w:bCs/>
          <w:szCs w:val="28"/>
          <w:highlight w:val="lightGray"/>
        </w:rPr>
        <w:t>by ionic chromatography using conductimetric detection.</w:t>
      </w:r>
    </w:p>
    <w:p w14:paraId="616ED968" w14:textId="55D790CF" w:rsidR="007961F3" w:rsidRPr="00A41B49" w:rsidRDefault="00D749ED" w:rsidP="00D749ED">
      <w:pPr>
        <w:keepNext/>
        <w:tabs>
          <w:tab w:val="left" w:pos="142"/>
        </w:tabs>
        <w:spacing w:before="240" w:after="60" w:line="240" w:lineRule="atLeast"/>
        <w:jc w:val="both"/>
        <w:outlineLvl w:val="3"/>
        <w:rPr>
          <w:b/>
          <w:bCs/>
          <w:szCs w:val="28"/>
        </w:rPr>
      </w:pPr>
      <w:r w:rsidRPr="00DC29E4">
        <w:rPr>
          <w:b/>
          <w:bCs/>
          <w:szCs w:val="28"/>
          <w:highlight w:val="lightGray"/>
        </w:rPr>
        <w:t>Validation of the analytical method:</w:t>
      </w:r>
    </w:p>
    <w:tbl>
      <w:tblPr>
        <w:tblStyle w:val="TableNormal"/>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shd w:val="clear" w:color="auto" w:fill="D9D9D9" w:themeFill="background1" w:themeFillShade="D9"/>
        <w:tblLayout w:type="fixed"/>
        <w:tblCellMar>
          <w:left w:w="71" w:type="dxa"/>
          <w:right w:w="71" w:type="dxa"/>
        </w:tblCellMar>
        <w:tblLook w:val="04A0" w:firstRow="1" w:lastRow="0" w:firstColumn="1" w:lastColumn="0" w:noHBand="0" w:noVBand="1"/>
      </w:tblPr>
      <w:tblGrid>
        <w:gridCol w:w="1290"/>
        <w:gridCol w:w="1701"/>
        <w:gridCol w:w="6804"/>
      </w:tblGrid>
      <w:tr w:rsidR="00D749ED" w:rsidRPr="00444E55" w14:paraId="6B14E4DF" w14:textId="77777777" w:rsidTr="00DC29E4">
        <w:trPr>
          <w:cantSplit/>
          <w:trHeight w:val="941"/>
        </w:trPr>
        <w:tc>
          <w:tcPr>
            <w:tcW w:w="1290"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14:paraId="7D15EE29" w14:textId="77777777" w:rsidR="00D749ED" w:rsidRPr="00444E55" w:rsidRDefault="00D749ED" w:rsidP="00D749ED">
            <w:pPr>
              <w:spacing w:line="288" w:lineRule="auto"/>
            </w:pPr>
            <w:r w:rsidRPr="00444E55">
              <w:t>Specificity</w:t>
            </w:r>
          </w:p>
        </w:tc>
        <w:tc>
          <w:tcPr>
            <w:tcW w:w="8505" w:type="dxa"/>
            <w:gridSpan w:val="2"/>
            <w:tcBorders>
              <w:top w:val="single" w:sz="6" w:space="0" w:color="auto"/>
              <w:left w:val="double" w:sz="4" w:space="0" w:color="auto"/>
              <w:bottom w:val="single" w:sz="4" w:space="0" w:color="auto"/>
              <w:right w:val="single" w:sz="6" w:space="0" w:color="auto"/>
            </w:tcBorders>
            <w:shd w:val="clear" w:color="auto" w:fill="D9D9D9" w:themeFill="background1" w:themeFillShade="D9"/>
          </w:tcPr>
          <w:p w14:paraId="4D5E9D7E" w14:textId="77777777" w:rsidR="00D749ED" w:rsidRPr="00444E55" w:rsidRDefault="00D749ED" w:rsidP="00D749ED">
            <w:pPr>
              <w:spacing w:line="288" w:lineRule="auto"/>
              <w:jc w:val="both"/>
              <w:rPr>
                <w:lang w:val="en-US"/>
              </w:rPr>
            </w:pPr>
            <w:r w:rsidRPr="00444E55">
              <w:rPr>
                <w:lang w:val="en-US"/>
              </w:rPr>
              <w:t>To demonstrate that the quantification of iodine is not affect</w:t>
            </w:r>
            <w:r w:rsidR="00A023E2" w:rsidRPr="00444E55">
              <w:rPr>
                <w:lang w:val="en-US"/>
              </w:rPr>
              <w:t>ed</w:t>
            </w:r>
            <w:r w:rsidRPr="00444E55">
              <w:rPr>
                <w:lang w:val="en-US"/>
              </w:rPr>
              <w:t xml:space="preserve"> by other co-formulants present in the biocidal product, a blank (product without iodine) was quantify.</w:t>
            </w:r>
          </w:p>
          <w:p w14:paraId="1E97570F" w14:textId="77777777" w:rsidR="00D749ED" w:rsidRPr="00444E55" w:rsidRDefault="00D749ED" w:rsidP="00D749ED">
            <w:pPr>
              <w:spacing w:line="288" w:lineRule="auto"/>
              <w:jc w:val="both"/>
              <w:rPr>
                <w:lang w:val="en-US"/>
              </w:rPr>
            </w:pPr>
            <w:r w:rsidRPr="00444E55">
              <w:rPr>
                <w:lang w:val="en-US"/>
              </w:rPr>
              <w:t>No interference was found in the blank sample.</w:t>
            </w:r>
          </w:p>
          <w:p w14:paraId="41CCDBB1" w14:textId="27D52A1D" w:rsidR="008036C5" w:rsidRPr="00444E55" w:rsidRDefault="008036C5" w:rsidP="00D749ED">
            <w:pPr>
              <w:spacing w:line="288" w:lineRule="auto"/>
              <w:jc w:val="both"/>
              <w:rPr>
                <w:lang w:val="en-US"/>
              </w:rPr>
            </w:pPr>
            <w:r w:rsidRPr="00444E55">
              <w:rPr>
                <w:lang w:val="en-US"/>
              </w:rPr>
              <w:t>For iodide and iodate, chromatograms were provided.</w:t>
            </w:r>
          </w:p>
        </w:tc>
      </w:tr>
      <w:tr w:rsidR="00D749ED" w:rsidRPr="00444E55" w14:paraId="31562F6E" w14:textId="77777777" w:rsidTr="00DC29E4">
        <w:trPr>
          <w:cantSplit/>
          <w:trHeight w:val="288"/>
        </w:trPr>
        <w:tc>
          <w:tcPr>
            <w:tcW w:w="1290" w:type="dxa"/>
            <w:tcBorders>
              <w:top w:val="single" w:sz="6" w:space="0" w:color="auto"/>
              <w:left w:val="single" w:sz="6" w:space="0" w:color="auto"/>
              <w:right w:val="double" w:sz="4" w:space="0" w:color="auto"/>
            </w:tcBorders>
            <w:shd w:val="clear" w:color="auto" w:fill="D9D9D9" w:themeFill="background1" w:themeFillShade="D9"/>
            <w:hideMark/>
          </w:tcPr>
          <w:p w14:paraId="1B9D3B78" w14:textId="77777777" w:rsidR="00D749ED" w:rsidRPr="00444E55" w:rsidRDefault="00D749ED" w:rsidP="00D749ED">
            <w:pPr>
              <w:spacing w:line="288" w:lineRule="auto"/>
            </w:pPr>
            <w:r w:rsidRPr="00444E55">
              <w:t>Linearity</w:t>
            </w:r>
          </w:p>
        </w:tc>
        <w:tc>
          <w:tcPr>
            <w:tcW w:w="8505" w:type="dxa"/>
            <w:gridSpan w:val="2"/>
            <w:tcBorders>
              <w:top w:val="single" w:sz="6" w:space="0" w:color="auto"/>
              <w:left w:val="double" w:sz="4" w:space="0" w:color="auto"/>
              <w:bottom w:val="single" w:sz="4" w:space="0" w:color="auto"/>
              <w:right w:val="single" w:sz="6" w:space="0" w:color="auto"/>
            </w:tcBorders>
            <w:shd w:val="clear" w:color="auto" w:fill="D9D9D9" w:themeFill="background1" w:themeFillShade="D9"/>
            <w:hideMark/>
          </w:tcPr>
          <w:p w14:paraId="1298693C" w14:textId="284485D1" w:rsidR="00F96066" w:rsidRPr="00444E55" w:rsidRDefault="00F96066" w:rsidP="00D749ED">
            <w:pPr>
              <w:spacing w:line="288" w:lineRule="auto"/>
              <w:jc w:val="both"/>
              <w:rPr>
                <w:lang w:val="en-US"/>
              </w:rPr>
            </w:pPr>
          </w:p>
          <w:p w14:paraId="7C8313BF" w14:textId="0E5FF721" w:rsidR="00D749ED" w:rsidRPr="00444E55" w:rsidRDefault="00F96066" w:rsidP="00D749ED">
            <w:pPr>
              <w:spacing w:line="288" w:lineRule="auto"/>
              <w:jc w:val="both"/>
              <w:rPr>
                <w:lang w:val="en-US"/>
              </w:rPr>
            </w:pPr>
            <w:r w:rsidRPr="00444E55">
              <w:rPr>
                <w:lang w:val="en-US"/>
              </w:rPr>
              <w:lastRenderedPageBreak/>
              <w:t>Iodide:</w:t>
            </w:r>
          </w:p>
          <w:p w14:paraId="266682FD" w14:textId="5823E719" w:rsidR="00F96066" w:rsidRPr="00444E55" w:rsidRDefault="00F96066" w:rsidP="00D749ED">
            <w:pPr>
              <w:spacing w:line="288" w:lineRule="auto"/>
              <w:jc w:val="both"/>
              <w:rPr>
                <w:lang w:val="en-US"/>
              </w:rPr>
            </w:pPr>
            <w:r w:rsidRPr="00444E55">
              <w:rPr>
                <w:lang w:val="en-US"/>
              </w:rPr>
              <w:t>From 6.76 to 69.85 mg/l, n=5 (double injections), r²=0.999</w:t>
            </w:r>
          </w:p>
          <w:p w14:paraId="74658378" w14:textId="7C13588E" w:rsidR="00F96066" w:rsidRPr="00444E55" w:rsidRDefault="00F96066" w:rsidP="00D749ED">
            <w:pPr>
              <w:spacing w:line="288" w:lineRule="auto"/>
              <w:jc w:val="both"/>
              <w:rPr>
                <w:lang w:val="en-US"/>
              </w:rPr>
            </w:pPr>
            <w:r w:rsidRPr="00444E55">
              <w:rPr>
                <w:lang w:val="en-US"/>
              </w:rPr>
              <w:t>Y=2.43.10</w:t>
            </w:r>
            <w:r w:rsidRPr="00DC29E4">
              <w:rPr>
                <w:vertAlign w:val="superscript"/>
                <w:lang w:val="en-US"/>
              </w:rPr>
              <w:t>5</w:t>
            </w:r>
            <w:r w:rsidRPr="00444E55">
              <w:rPr>
                <w:lang w:val="en-US"/>
              </w:rPr>
              <w:t>x – 1.38.10</w:t>
            </w:r>
            <w:r w:rsidRPr="00DC29E4">
              <w:rPr>
                <w:vertAlign w:val="superscript"/>
                <w:lang w:val="en-US"/>
              </w:rPr>
              <w:t>4</w:t>
            </w:r>
          </w:p>
          <w:p w14:paraId="204CF40F" w14:textId="77777777" w:rsidR="00F96066" w:rsidRPr="00444E55" w:rsidRDefault="00F96066" w:rsidP="00D749ED">
            <w:pPr>
              <w:spacing w:line="288" w:lineRule="auto"/>
              <w:jc w:val="both"/>
              <w:rPr>
                <w:lang w:val="en-US"/>
              </w:rPr>
            </w:pPr>
            <w:r w:rsidRPr="00444E55">
              <w:rPr>
                <w:lang w:val="en-US"/>
              </w:rPr>
              <w:t>Iodine:</w:t>
            </w:r>
          </w:p>
          <w:p w14:paraId="3E14262F" w14:textId="773EFB62" w:rsidR="00F96066" w:rsidRPr="00444E55" w:rsidRDefault="00F96066" w:rsidP="00F96066">
            <w:pPr>
              <w:spacing w:line="288" w:lineRule="auto"/>
              <w:jc w:val="both"/>
              <w:rPr>
                <w:lang w:val="en-US"/>
              </w:rPr>
            </w:pPr>
            <w:r w:rsidRPr="00444E55">
              <w:rPr>
                <w:lang w:val="en-US"/>
              </w:rPr>
              <w:t>From 20 to 30.6 mg of test item, n=5, r²=0.999</w:t>
            </w:r>
          </w:p>
          <w:p w14:paraId="2609B277" w14:textId="4EB68207" w:rsidR="00F96066" w:rsidRPr="00444E55" w:rsidRDefault="00F96066" w:rsidP="00F96066">
            <w:pPr>
              <w:spacing w:line="288" w:lineRule="auto"/>
              <w:jc w:val="both"/>
              <w:rPr>
                <w:lang w:val="en-US"/>
              </w:rPr>
            </w:pPr>
            <w:r w:rsidRPr="00444E55">
              <w:rPr>
                <w:lang w:val="en-US"/>
              </w:rPr>
              <w:t>V</w:t>
            </w:r>
            <w:r w:rsidRPr="00DC29E4">
              <w:rPr>
                <w:vertAlign w:val="subscript"/>
                <w:lang w:val="en-US"/>
              </w:rPr>
              <w:t>eq</w:t>
            </w:r>
            <w:r w:rsidRPr="00444E55">
              <w:rPr>
                <w:lang w:val="en-US"/>
              </w:rPr>
              <w:t>=1.578x + 0.0473</w:t>
            </w:r>
          </w:p>
          <w:p w14:paraId="235B9ED1" w14:textId="77777777" w:rsidR="00F96066" w:rsidRPr="00444E55" w:rsidRDefault="00F96066" w:rsidP="00D749ED">
            <w:pPr>
              <w:spacing w:line="288" w:lineRule="auto"/>
              <w:jc w:val="both"/>
              <w:rPr>
                <w:lang w:val="en-US"/>
              </w:rPr>
            </w:pPr>
            <w:r w:rsidRPr="00444E55">
              <w:rPr>
                <w:lang w:val="en-US"/>
              </w:rPr>
              <w:t>Iodate:</w:t>
            </w:r>
          </w:p>
          <w:p w14:paraId="3125C182" w14:textId="15ADC146" w:rsidR="00F96066" w:rsidRPr="00444E55" w:rsidRDefault="00F96066" w:rsidP="00F96066">
            <w:pPr>
              <w:spacing w:line="288" w:lineRule="auto"/>
              <w:jc w:val="both"/>
              <w:rPr>
                <w:lang w:val="en-US"/>
              </w:rPr>
            </w:pPr>
            <w:r w:rsidRPr="00444E55">
              <w:rPr>
                <w:lang w:val="en-US"/>
              </w:rPr>
              <w:t>From 0.3 to 3.7 mg/l, n=5 (double injections), r²=0.999</w:t>
            </w:r>
          </w:p>
          <w:p w14:paraId="4F41FB65" w14:textId="70EDD5C9" w:rsidR="00F96066" w:rsidRPr="00444E55" w:rsidRDefault="00F96066" w:rsidP="00F96066">
            <w:pPr>
              <w:spacing w:line="288" w:lineRule="auto"/>
              <w:jc w:val="both"/>
              <w:rPr>
                <w:lang w:val="en-US"/>
              </w:rPr>
            </w:pPr>
            <w:r w:rsidRPr="00444E55">
              <w:rPr>
                <w:lang w:val="en-US"/>
              </w:rPr>
              <w:t>Y=0.185x – 7.36.10</w:t>
            </w:r>
            <w:r w:rsidRPr="00444E55">
              <w:rPr>
                <w:vertAlign w:val="superscript"/>
                <w:lang w:val="en-US"/>
              </w:rPr>
              <w:t>3</w:t>
            </w:r>
          </w:p>
        </w:tc>
      </w:tr>
      <w:tr w:rsidR="00F96066" w:rsidRPr="00444E55" w14:paraId="0B769FCE" w14:textId="77777777" w:rsidTr="00DC29E4">
        <w:trPr>
          <w:cantSplit/>
          <w:trHeight w:val="68"/>
        </w:trPr>
        <w:tc>
          <w:tcPr>
            <w:tcW w:w="1290" w:type="dxa"/>
            <w:vMerge w:val="restart"/>
            <w:tcBorders>
              <w:top w:val="single" w:sz="6" w:space="0" w:color="auto"/>
              <w:left w:val="single" w:sz="6" w:space="0" w:color="auto"/>
              <w:right w:val="double" w:sz="4" w:space="0" w:color="auto"/>
            </w:tcBorders>
            <w:shd w:val="clear" w:color="auto" w:fill="D9D9D9" w:themeFill="background1" w:themeFillShade="D9"/>
            <w:hideMark/>
          </w:tcPr>
          <w:p w14:paraId="52664B5A" w14:textId="77777777" w:rsidR="00F96066" w:rsidRPr="00444E55" w:rsidRDefault="00F96066" w:rsidP="00D749ED">
            <w:pPr>
              <w:spacing w:line="288" w:lineRule="auto"/>
            </w:pPr>
            <w:r w:rsidRPr="00444E55">
              <w:lastRenderedPageBreak/>
              <w:t>Precision</w:t>
            </w:r>
          </w:p>
        </w:tc>
        <w:tc>
          <w:tcPr>
            <w:tcW w:w="8505" w:type="dxa"/>
            <w:gridSpan w:val="2"/>
            <w:tcBorders>
              <w:top w:val="single" w:sz="6" w:space="0" w:color="auto"/>
              <w:left w:val="double" w:sz="4" w:space="0" w:color="auto"/>
              <w:bottom w:val="single" w:sz="4" w:space="0" w:color="auto"/>
              <w:right w:val="single" w:sz="6" w:space="0" w:color="auto"/>
            </w:tcBorders>
            <w:shd w:val="clear" w:color="auto" w:fill="D9D9D9" w:themeFill="background1" w:themeFillShade="D9"/>
            <w:hideMark/>
          </w:tcPr>
          <w:p w14:paraId="3965A4F8" w14:textId="77A39C3A" w:rsidR="00F96066" w:rsidRPr="00444E55" w:rsidRDefault="00F96066" w:rsidP="00D749ED">
            <w:pPr>
              <w:spacing w:line="288" w:lineRule="auto"/>
              <w:jc w:val="both"/>
              <w:rPr>
                <w:lang w:val="en-US"/>
              </w:rPr>
            </w:pPr>
          </w:p>
        </w:tc>
      </w:tr>
      <w:tr w:rsidR="00F96066" w:rsidRPr="00444E55" w14:paraId="489FD790" w14:textId="77777777" w:rsidTr="00DC29E4">
        <w:trPr>
          <w:cantSplit/>
          <w:trHeight w:val="330"/>
        </w:trPr>
        <w:tc>
          <w:tcPr>
            <w:tcW w:w="1290" w:type="dxa"/>
            <w:vMerge/>
            <w:tcBorders>
              <w:left w:val="single" w:sz="6" w:space="0" w:color="auto"/>
              <w:right w:val="double" w:sz="4" w:space="0" w:color="auto"/>
            </w:tcBorders>
            <w:shd w:val="clear" w:color="auto" w:fill="D9D9D9" w:themeFill="background1" w:themeFillShade="D9"/>
            <w:vAlign w:val="center"/>
            <w:hideMark/>
          </w:tcPr>
          <w:p w14:paraId="60DD4FEA" w14:textId="77777777" w:rsidR="00F96066" w:rsidRPr="00444E55" w:rsidRDefault="00F96066" w:rsidP="00D749ED">
            <w:pPr>
              <w:rPr>
                <w:lang w:val="en-US"/>
              </w:rPr>
            </w:pPr>
          </w:p>
        </w:tc>
        <w:tc>
          <w:tcPr>
            <w:tcW w:w="1701"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54FB90C" w14:textId="77777777" w:rsidR="00F96066" w:rsidRPr="00444E55" w:rsidRDefault="00F96066" w:rsidP="00D749ED">
            <w:pPr>
              <w:widowControl w:val="0"/>
              <w:spacing w:before="40" w:after="40"/>
            </w:pPr>
            <w:r w:rsidRPr="00444E55">
              <w:t>Compound</w:t>
            </w:r>
          </w:p>
        </w:tc>
        <w:tc>
          <w:tcPr>
            <w:tcW w:w="6804"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7E7AD08E" w14:textId="77777777" w:rsidR="00F96066" w:rsidRPr="00444E55" w:rsidRDefault="00F96066" w:rsidP="00D749ED">
            <w:pPr>
              <w:spacing w:before="40" w:after="40" w:line="288" w:lineRule="auto"/>
            </w:pPr>
            <w:r w:rsidRPr="00444E55">
              <w:t>Repeatability (RSD)</w:t>
            </w:r>
          </w:p>
        </w:tc>
      </w:tr>
      <w:tr w:rsidR="00F96066" w:rsidRPr="00444E55" w14:paraId="75033A81" w14:textId="77777777" w:rsidTr="00DC29E4">
        <w:trPr>
          <w:cantSplit/>
          <w:trHeight w:val="373"/>
        </w:trPr>
        <w:tc>
          <w:tcPr>
            <w:tcW w:w="1290" w:type="dxa"/>
            <w:vMerge/>
            <w:tcBorders>
              <w:left w:val="single" w:sz="6" w:space="0" w:color="auto"/>
              <w:right w:val="double" w:sz="4" w:space="0" w:color="auto"/>
            </w:tcBorders>
            <w:shd w:val="clear" w:color="auto" w:fill="D9D9D9" w:themeFill="background1" w:themeFillShade="D9"/>
            <w:vAlign w:val="center"/>
            <w:hideMark/>
          </w:tcPr>
          <w:p w14:paraId="371D9272" w14:textId="77777777" w:rsidR="00F96066" w:rsidRPr="00444E55" w:rsidRDefault="00F96066" w:rsidP="00D749ED"/>
        </w:tc>
        <w:tc>
          <w:tcPr>
            <w:tcW w:w="1701" w:type="dxa"/>
            <w:tcBorders>
              <w:top w:val="single" w:sz="4" w:space="0" w:color="auto"/>
              <w:left w:val="double" w:sz="4" w:space="0" w:color="auto"/>
              <w:bottom w:val="single" w:sz="6" w:space="0" w:color="auto"/>
              <w:right w:val="single" w:sz="4" w:space="0" w:color="auto"/>
            </w:tcBorders>
            <w:shd w:val="clear" w:color="auto" w:fill="D9D9D9" w:themeFill="background1" w:themeFillShade="D9"/>
            <w:hideMark/>
          </w:tcPr>
          <w:p w14:paraId="0487DECF" w14:textId="5AAD4837" w:rsidR="00F96066" w:rsidRPr="00444E55" w:rsidRDefault="00F96066" w:rsidP="00D749ED">
            <w:pPr>
              <w:widowControl w:val="0"/>
              <w:spacing w:before="96" w:after="96"/>
              <w:rPr>
                <w:lang w:val="fr-FR"/>
              </w:rPr>
            </w:pPr>
            <w:r w:rsidRPr="00444E55">
              <w:rPr>
                <w:lang w:val="fr-FR"/>
              </w:rPr>
              <w:t>Iodide</w:t>
            </w:r>
          </w:p>
        </w:tc>
        <w:tc>
          <w:tcPr>
            <w:tcW w:w="6804"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14:paraId="6B7B51EF" w14:textId="72E988C5" w:rsidR="00F96066" w:rsidRPr="00444E55" w:rsidRDefault="00F96066" w:rsidP="00A32CCF">
            <w:pPr>
              <w:spacing w:before="40" w:after="40" w:line="288" w:lineRule="auto"/>
              <w:rPr>
                <w:color w:val="000000"/>
              </w:rPr>
            </w:pPr>
            <w:r w:rsidRPr="00444E55">
              <w:t xml:space="preserve">At </w:t>
            </w:r>
            <w:r w:rsidR="00A32CCF" w:rsidRPr="00DC29E4">
              <w:t>0.16</w:t>
            </w:r>
            <w:r w:rsidR="00C17B17" w:rsidRPr="00444E55">
              <w:t xml:space="preserve">% w/w (n=10), </w:t>
            </w:r>
            <w:r w:rsidRPr="00444E55">
              <w:t>RSD = 0.</w:t>
            </w:r>
            <w:r w:rsidR="00A32CCF" w:rsidRPr="00DC29E4">
              <w:t>92</w:t>
            </w:r>
            <w:r w:rsidRPr="00444E55">
              <w:t>% &lt; 3.</w:t>
            </w:r>
            <w:r w:rsidR="00A32CCF" w:rsidRPr="00DC29E4">
              <w:t>54</w:t>
            </w:r>
            <w:r w:rsidRPr="00444E55">
              <w:t>% (RSD calculated with modified equation of Horwitz)</w:t>
            </w:r>
          </w:p>
        </w:tc>
      </w:tr>
      <w:tr w:rsidR="00F96066" w:rsidRPr="00444E55" w14:paraId="57E5E2E8" w14:textId="77777777" w:rsidTr="00DC29E4">
        <w:trPr>
          <w:cantSplit/>
          <w:trHeight w:val="373"/>
        </w:trPr>
        <w:tc>
          <w:tcPr>
            <w:tcW w:w="1290" w:type="dxa"/>
            <w:vMerge/>
            <w:tcBorders>
              <w:left w:val="single" w:sz="6" w:space="0" w:color="auto"/>
              <w:right w:val="double" w:sz="4" w:space="0" w:color="auto"/>
            </w:tcBorders>
            <w:shd w:val="clear" w:color="auto" w:fill="D9D9D9" w:themeFill="background1" w:themeFillShade="D9"/>
            <w:vAlign w:val="center"/>
          </w:tcPr>
          <w:p w14:paraId="65F766EB" w14:textId="77777777" w:rsidR="00F96066" w:rsidRPr="00444E55" w:rsidRDefault="00F96066" w:rsidP="00D749ED"/>
        </w:tc>
        <w:tc>
          <w:tcPr>
            <w:tcW w:w="1701" w:type="dxa"/>
            <w:tcBorders>
              <w:top w:val="single" w:sz="4" w:space="0" w:color="auto"/>
              <w:left w:val="double" w:sz="4" w:space="0" w:color="auto"/>
              <w:bottom w:val="single" w:sz="6" w:space="0" w:color="auto"/>
              <w:right w:val="single" w:sz="4" w:space="0" w:color="auto"/>
            </w:tcBorders>
            <w:shd w:val="clear" w:color="auto" w:fill="D9D9D9" w:themeFill="background1" w:themeFillShade="D9"/>
          </w:tcPr>
          <w:p w14:paraId="5F343098" w14:textId="35E7AF82" w:rsidR="00F96066" w:rsidRPr="00DC29E4" w:rsidRDefault="00F96066" w:rsidP="00D749ED">
            <w:pPr>
              <w:widowControl w:val="0"/>
              <w:spacing w:before="96" w:after="96"/>
              <w:rPr>
                <w:lang w:val="en-US"/>
              </w:rPr>
            </w:pPr>
            <w:r w:rsidRPr="00DC29E4">
              <w:rPr>
                <w:lang w:val="en-US"/>
              </w:rPr>
              <w:t>Iodine</w:t>
            </w:r>
          </w:p>
        </w:tc>
        <w:tc>
          <w:tcPr>
            <w:tcW w:w="6804"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70390E48" w14:textId="4944A0F8" w:rsidR="00F96066" w:rsidRPr="00444E55" w:rsidRDefault="00C17B17" w:rsidP="00C17B17">
            <w:pPr>
              <w:spacing w:before="40" w:after="40" w:line="288" w:lineRule="auto"/>
            </w:pPr>
            <w:r w:rsidRPr="00444E55">
              <w:t>At 0.1% w/w (n=5), RSD = 0.66% &lt; 3.76% (RSD calculated with modified equation of Horwitz)</w:t>
            </w:r>
          </w:p>
        </w:tc>
      </w:tr>
      <w:tr w:rsidR="00F96066" w:rsidRPr="00444E55" w14:paraId="4A7CF5BE" w14:textId="77777777" w:rsidTr="00DC29E4">
        <w:trPr>
          <w:cantSplit/>
          <w:trHeight w:val="373"/>
        </w:trPr>
        <w:tc>
          <w:tcPr>
            <w:tcW w:w="1290" w:type="dxa"/>
            <w:vMerge/>
            <w:tcBorders>
              <w:left w:val="single" w:sz="6" w:space="0" w:color="auto"/>
              <w:bottom w:val="single" w:sz="6" w:space="0" w:color="auto"/>
              <w:right w:val="double" w:sz="4" w:space="0" w:color="auto"/>
            </w:tcBorders>
            <w:shd w:val="clear" w:color="auto" w:fill="D9D9D9" w:themeFill="background1" w:themeFillShade="D9"/>
            <w:vAlign w:val="center"/>
          </w:tcPr>
          <w:p w14:paraId="0AC98AD6" w14:textId="77777777" w:rsidR="00F96066" w:rsidRPr="00444E55" w:rsidRDefault="00F96066" w:rsidP="00D749ED"/>
        </w:tc>
        <w:tc>
          <w:tcPr>
            <w:tcW w:w="1701" w:type="dxa"/>
            <w:tcBorders>
              <w:top w:val="single" w:sz="4" w:space="0" w:color="auto"/>
              <w:left w:val="double" w:sz="4" w:space="0" w:color="auto"/>
              <w:bottom w:val="single" w:sz="6" w:space="0" w:color="auto"/>
              <w:right w:val="single" w:sz="4" w:space="0" w:color="auto"/>
            </w:tcBorders>
            <w:shd w:val="clear" w:color="auto" w:fill="D9D9D9" w:themeFill="background1" w:themeFillShade="D9"/>
          </w:tcPr>
          <w:p w14:paraId="70DFE498" w14:textId="15AA9D47" w:rsidR="00F96066" w:rsidRPr="00DC29E4" w:rsidRDefault="00F96066" w:rsidP="00D749ED">
            <w:pPr>
              <w:widowControl w:val="0"/>
              <w:spacing w:before="96" w:after="96"/>
              <w:rPr>
                <w:lang w:val="en-US"/>
              </w:rPr>
            </w:pPr>
            <w:r w:rsidRPr="00DC29E4">
              <w:rPr>
                <w:lang w:val="en-US"/>
              </w:rPr>
              <w:t>Iodate</w:t>
            </w:r>
          </w:p>
        </w:tc>
        <w:tc>
          <w:tcPr>
            <w:tcW w:w="6804"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5851858A" w14:textId="7435FB91" w:rsidR="00F96066" w:rsidRPr="00444E55" w:rsidRDefault="00C17B17" w:rsidP="00C17B17">
            <w:pPr>
              <w:spacing w:before="40" w:after="40" w:line="288" w:lineRule="auto"/>
            </w:pPr>
            <w:r w:rsidRPr="00444E55">
              <w:t>At 0.001% w/w (n=9), RSD = 4% &lt; 7.6% (RSD calculated with modified equation of Horwitz)</w:t>
            </w:r>
          </w:p>
        </w:tc>
      </w:tr>
      <w:tr w:rsidR="00C17B17" w:rsidRPr="00444E55" w14:paraId="00781015" w14:textId="77777777" w:rsidTr="00DC29E4">
        <w:trPr>
          <w:cantSplit/>
          <w:trHeight w:val="644"/>
        </w:trPr>
        <w:tc>
          <w:tcPr>
            <w:tcW w:w="1290" w:type="dxa"/>
            <w:vMerge w:val="restart"/>
            <w:tcBorders>
              <w:top w:val="single" w:sz="6" w:space="0" w:color="auto"/>
              <w:left w:val="single" w:sz="6" w:space="0" w:color="auto"/>
              <w:right w:val="double" w:sz="4" w:space="0" w:color="auto"/>
            </w:tcBorders>
            <w:shd w:val="clear" w:color="auto" w:fill="D9D9D9" w:themeFill="background1" w:themeFillShade="D9"/>
            <w:hideMark/>
          </w:tcPr>
          <w:p w14:paraId="17E84A4C" w14:textId="77777777" w:rsidR="00C17B17" w:rsidRPr="00444E55" w:rsidRDefault="00C17B17" w:rsidP="00D749ED">
            <w:pPr>
              <w:spacing w:line="288" w:lineRule="auto"/>
            </w:pPr>
            <w:r w:rsidRPr="00444E55">
              <w:t>Accuracy</w:t>
            </w:r>
          </w:p>
        </w:tc>
        <w:tc>
          <w:tcPr>
            <w:tcW w:w="8505" w:type="dxa"/>
            <w:gridSpan w:val="2"/>
            <w:tcBorders>
              <w:top w:val="single" w:sz="6" w:space="0" w:color="auto"/>
              <w:left w:val="double" w:sz="4" w:space="0" w:color="auto"/>
              <w:bottom w:val="single" w:sz="4" w:space="0" w:color="auto"/>
              <w:right w:val="single" w:sz="6" w:space="0" w:color="auto"/>
            </w:tcBorders>
            <w:shd w:val="clear" w:color="auto" w:fill="D9D9D9" w:themeFill="background1" w:themeFillShade="D9"/>
            <w:hideMark/>
          </w:tcPr>
          <w:p w14:paraId="4576FA95" w14:textId="60F3D4C8" w:rsidR="00C17B17" w:rsidRPr="00444E55" w:rsidRDefault="00C17B17" w:rsidP="00C17B17">
            <w:pPr>
              <w:spacing w:line="288" w:lineRule="auto"/>
              <w:jc w:val="both"/>
              <w:rPr>
                <w:lang w:val="en-US"/>
              </w:rPr>
            </w:pPr>
            <w:r w:rsidRPr="00444E55">
              <w:rPr>
                <w:lang w:val="en-US"/>
              </w:rPr>
              <w:t xml:space="preserve"> The accuracy results are expressed as the recovery rate. </w:t>
            </w:r>
          </w:p>
        </w:tc>
      </w:tr>
      <w:tr w:rsidR="00C17B17" w:rsidRPr="00444E55" w14:paraId="18172CB0" w14:textId="77777777" w:rsidTr="00DC29E4">
        <w:trPr>
          <w:cantSplit/>
          <w:trHeight w:val="210"/>
        </w:trPr>
        <w:tc>
          <w:tcPr>
            <w:tcW w:w="1290" w:type="dxa"/>
            <w:vMerge/>
            <w:tcBorders>
              <w:left w:val="single" w:sz="6" w:space="0" w:color="auto"/>
              <w:right w:val="double" w:sz="4" w:space="0" w:color="auto"/>
            </w:tcBorders>
            <w:shd w:val="clear" w:color="auto" w:fill="D9D9D9" w:themeFill="background1" w:themeFillShade="D9"/>
            <w:vAlign w:val="center"/>
            <w:hideMark/>
          </w:tcPr>
          <w:p w14:paraId="190DA2F7" w14:textId="77777777" w:rsidR="00C17B17" w:rsidRPr="00444E55" w:rsidRDefault="00C17B17" w:rsidP="00D749ED">
            <w:pPr>
              <w:rPr>
                <w:lang w:val="en-US"/>
              </w:rPr>
            </w:pPr>
          </w:p>
        </w:tc>
        <w:tc>
          <w:tcPr>
            <w:tcW w:w="1701"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B318D16" w14:textId="77777777" w:rsidR="00C17B17" w:rsidRPr="00444E55" w:rsidRDefault="00C17B17" w:rsidP="00D749ED">
            <w:pPr>
              <w:widowControl w:val="0"/>
            </w:pPr>
            <w:r w:rsidRPr="00444E55">
              <w:t>Compound</w:t>
            </w:r>
          </w:p>
        </w:tc>
        <w:tc>
          <w:tcPr>
            <w:tcW w:w="6804"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76FE628A" w14:textId="77777777" w:rsidR="00C17B17" w:rsidRPr="00444E55" w:rsidRDefault="00C17B17" w:rsidP="00D749ED">
            <w:pPr>
              <w:spacing w:line="288" w:lineRule="auto"/>
            </w:pPr>
            <w:r w:rsidRPr="00444E55">
              <w:t>Accuracy (recovery )</w:t>
            </w:r>
          </w:p>
        </w:tc>
      </w:tr>
      <w:tr w:rsidR="00C17B17" w:rsidRPr="00444E55" w14:paraId="67F32827" w14:textId="77777777" w:rsidTr="00DC29E4">
        <w:trPr>
          <w:cantSplit/>
          <w:trHeight w:val="105"/>
        </w:trPr>
        <w:tc>
          <w:tcPr>
            <w:tcW w:w="1290" w:type="dxa"/>
            <w:vMerge/>
            <w:tcBorders>
              <w:left w:val="single" w:sz="6" w:space="0" w:color="auto"/>
              <w:right w:val="double" w:sz="4" w:space="0" w:color="auto"/>
            </w:tcBorders>
            <w:shd w:val="clear" w:color="auto" w:fill="D9D9D9" w:themeFill="background1" w:themeFillShade="D9"/>
            <w:vAlign w:val="center"/>
            <w:hideMark/>
          </w:tcPr>
          <w:p w14:paraId="4C1A2CC9" w14:textId="77777777" w:rsidR="00C17B17" w:rsidRPr="00444E55" w:rsidRDefault="00C17B17" w:rsidP="00D749ED"/>
        </w:tc>
        <w:tc>
          <w:tcPr>
            <w:tcW w:w="1701"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334F47C" w14:textId="0536E842" w:rsidR="00C17B17" w:rsidRPr="00444E55" w:rsidRDefault="00C17B17" w:rsidP="00D749ED">
            <w:pPr>
              <w:widowControl w:val="0"/>
              <w:rPr>
                <w:lang w:val="fr-FR"/>
              </w:rPr>
            </w:pPr>
            <w:r w:rsidRPr="00444E55">
              <w:rPr>
                <w:lang w:val="fr-FR"/>
              </w:rPr>
              <w:t>Iodide</w:t>
            </w:r>
          </w:p>
        </w:tc>
        <w:tc>
          <w:tcPr>
            <w:tcW w:w="6804"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41940E3E" w14:textId="2678D929" w:rsidR="00C17B17" w:rsidRPr="00444E55" w:rsidRDefault="00C17B17" w:rsidP="00D749ED">
            <w:pPr>
              <w:spacing w:line="288" w:lineRule="auto"/>
              <w:rPr>
                <w:lang w:val="en-US"/>
              </w:rPr>
            </w:pPr>
            <w:r w:rsidRPr="00444E55">
              <w:rPr>
                <w:spacing w:val="-2"/>
              </w:rPr>
              <w:t>99.0%, n=4 at 33.17 and 34.56</w:t>
            </w:r>
            <w:r w:rsidR="009A4C47" w:rsidRPr="00DC29E4">
              <w:rPr>
                <w:spacing w:val="-2"/>
              </w:rPr>
              <w:t xml:space="preserve"> </w:t>
            </w:r>
            <w:r w:rsidRPr="00444E55">
              <w:rPr>
                <w:spacing w:val="-2"/>
              </w:rPr>
              <w:t>mg/l</w:t>
            </w:r>
          </w:p>
        </w:tc>
      </w:tr>
      <w:tr w:rsidR="00C17B17" w:rsidRPr="00444E55" w14:paraId="4DE8E16E" w14:textId="77777777" w:rsidTr="00DC29E4">
        <w:trPr>
          <w:cantSplit/>
          <w:trHeight w:val="105"/>
        </w:trPr>
        <w:tc>
          <w:tcPr>
            <w:tcW w:w="1290" w:type="dxa"/>
            <w:vMerge/>
            <w:tcBorders>
              <w:left w:val="single" w:sz="6" w:space="0" w:color="auto"/>
              <w:right w:val="double" w:sz="4" w:space="0" w:color="auto"/>
            </w:tcBorders>
            <w:shd w:val="clear" w:color="auto" w:fill="D9D9D9" w:themeFill="background1" w:themeFillShade="D9"/>
            <w:vAlign w:val="center"/>
          </w:tcPr>
          <w:p w14:paraId="4049847E" w14:textId="77777777" w:rsidR="00C17B17" w:rsidRPr="00444E55" w:rsidRDefault="00C17B17" w:rsidP="00D749ED"/>
        </w:tc>
        <w:tc>
          <w:tcPr>
            <w:tcW w:w="1701"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5F6CB6F4" w14:textId="71BE73B4" w:rsidR="00C17B17" w:rsidRPr="00444E55" w:rsidRDefault="00C17B17" w:rsidP="00D749ED">
            <w:pPr>
              <w:widowControl w:val="0"/>
              <w:rPr>
                <w:lang w:val="fr-FR"/>
              </w:rPr>
            </w:pPr>
            <w:r w:rsidRPr="00444E55">
              <w:rPr>
                <w:lang w:val="fr-FR"/>
              </w:rPr>
              <w:t>Iodine</w:t>
            </w:r>
          </w:p>
        </w:tc>
        <w:tc>
          <w:tcPr>
            <w:tcW w:w="6804"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68B39F08" w14:textId="3EF7717B" w:rsidR="00C17B17" w:rsidRPr="00444E55" w:rsidDel="00C17B17" w:rsidRDefault="00C17B17" w:rsidP="00D749ED">
            <w:pPr>
              <w:spacing w:line="288" w:lineRule="auto"/>
              <w:rPr>
                <w:spacing w:val="-2"/>
              </w:rPr>
            </w:pPr>
            <w:r w:rsidRPr="00444E55">
              <w:rPr>
                <w:spacing w:val="-2"/>
              </w:rPr>
              <w:t>100.8%, n=2 for 0.043</w:t>
            </w:r>
            <w:r w:rsidR="009A4C47" w:rsidRPr="00DC29E4">
              <w:rPr>
                <w:spacing w:val="-2"/>
              </w:rPr>
              <w:t xml:space="preserve"> </w:t>
            </w:r>
            <w:r w:rsidRPr="00444E55">
              <w:rPr>
                <w:spacing w:val="-2"/>
              </w:rPr>
              <w:t>g of test sample</w:t>
            </w:r>
          </w:p>
        </w:tc>
      </w:tr>
      <w:tr w:rsidR="008036C5" w:rsidRPr="00A41B49" w14:paraId="04140B88" w14:textId="77777777" w:rsidTr="00DC29E4">
        <w:trPr>
          <w:cantSplit/>
          <w:trHeight w:val="495"/>
        </w:trPr>
        <w:tc>
          <w:tcPr>
            <w:tcW w:w="1290" w:type="dxa"/>
            <w:vMerge/>
            <w:tcBorders>
              <w:left w:val="single" w:sz="6" w:space="0" w:color="auto"/>
              <w:bottom w:val="single" w:sz="6" w:space="0" w:color="auto"/>
              <w:right w:val="double" w:sz="4" w:space="0" w:color="auto"/>
            </w:tcBorders>
            <w:shd w:val="clear" w:color="auto" w:fill="D9D9D9" w:themeFill="background1" w:themeFillShade="D9"/>
            <w:vAlign w:val="center"/>
          </w:tcPr>
          <w:p w14:paraId="1FE7A88D" w14:textId="77777777" w:rsidR="008036C5" w:rsidRPr="00444E55" w:rsidRDefault="008036C5" w:rsidP="008036C5"/>
        </w:tc>
        <w:tc>
          <w:tcPr>
            <w:tcW w:w="1701" w:type="dxa"/>
            <w:tcBorders>
              <w:top w:val="single" w:sz="4" w:space="0" w:color="auto"/>
              <w:left w:val="double" w:sz="4" w:space="0" w:color="auto"/>
              <w:bottom w:val="single" w:sz="6" w:space="0" w:color="auto"/>
              <w:right w:val="single" w:sz="4" w:space="0" w:color="auto"/>
            </w:tcBorders>
            <w:shd w:val="clear" w:color="auto" w:fill="D9D9D9" w:themeFill="background1" w:themeFillShade="D9"/>
          </w:tcPr>
          <w:p w14:paraId="1539E16C" w14:textId="4D1F2D06" w:rsidR="008036C5" w:rsidRPr="00444E55" w:rsidRDefault="008036C5" w:rsidP="008036C5">
            <w:pPr>
              <w:widowControl w:val="0"/>
              <w:rPr>
                <w:lang w:val="fr-FR"/>
              </w:rPr>
            </w:pPr>
            <w:r w:rsidRPr="00444E55">
              <w:rPr>
                <w:lang w:val="fr-FR"/>
              </w:rPr>
              <w:t>Iodate</w:t>
            </w:r>
          </w:p>
        </w:tc>
        <w:tc>
          <w:tcPr>
            <w:tcW w:w="6804"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6584F1E3" w14:textId="43ADB60B" w:rsidR="008036C5" w:rsidRPr="00444E55" w:rsidRDefault="008036C5" w:rsidP="008036C5">
            <w:pPr>
              <w:spacing w:line="288" w:lineRule="auto"/>
              <w:rPr>
                <w:spacing w:val="-2"/>
              </w:rPr>
            </w:pPr>
            <w:r w:rsidRPr="00444E55">
              <w:rPr>
                <w:spacing w:val="-2"/>
              </w:rPr>
              <w:t>112.5% (n=9) at LOQ = 0.2745</w:t>
            </w:r>
            <w:r w:rsidR="009A4C47" w:rsidRPr="00DC29E4">
              <w:rPr>
                <w:spacing w:val="-2"/>
              </w:rPr>
              <w:t xml:space="preserve"> </w:t>
            </w:r>
            <w:r w:rsidRPr="00444E55">
              <w:rPr>
                <w:spacing w:val="-2"/>
              </w:rPr>
              <w:t>mg/l</w:t>
            </w:r>
          </w:p>
          <w:p w14:paraId="6889A88D" w14:textId="0193B11C" w:rsidR="008036C5" w:rsidRPr="00444E55" w:rsidDel="00C17B17" w:rsidRDefault="008036C5" w:rsidP="008036C5">
            <w:pPr>
              <w:spacing w:line="288" w:lineRule="auto"/>
              <w:rPr>
                <w:spacing w:val="-2"/>
              </w:rPr>
            </w:pPr>
            <w:r w:rsidRPr="00444E55">
              <w:rPr>
                <w:spacing w:val="-2"/>
              </w:rPr>
              <w:t>114.5% (n=4) at 10LOQ = 2.74</w:t>
            </w:r>
            <w:r w:rsidR="009A4C47" w:rsidRPr="00DC29E4">
              <w:rPr>
                <w:spacing w:val="-2"/>
              </w:rPr>
              <w:t xml:space="preserve"> </w:t>
            </w:r>
            <w:r w:rsidRPr="00444E55">
              <w:rPr>
                <w:spacing w:val="-2"/>
              </w:rPr>
              <w:t>mg/l</w:t>
            </w:r>
          </w:p>
        </w:tc>
      </w:tr>
    </w:tbl>
    <w:p w14:paraId="765852E1" w14:textId="77777777" w:rsidR="00D749ED" w:rsidRDefault="00D749ED" w:rsidP="00D749ED">
      <w:pPr>
        <w:pStyle w:val="Absatz"/>
        <w:rPr>
          <w:lang w:val="de-DE"/>
        </w:rPr>
      </w:pPr>
    </w:p>
    <w:p w14:paraId="35708577" w14:textId="77777777" w:rsidR="00D749ED" w:rsidRPr="008737AD" w:rsidRDefault="00D749ED" w:rsidP="00D749ED">
      <w:pPr>
        <w:spacing w:before="60" w:after="60"/>
        <w:rPr>
          <w:rFonts w:ascii="Arial" w:hAnsi="Arial" w:cs="Arial"/>
          <w:b/>
          <w:sz w:val="18"/>
          <w:lang w:eastAsia="de-DE"/>
        </w:rPr>
      </w:pPr>
    </w:p>
    <w:p w14:paraId="38BCE64C" w14:textId="77777777" w:rsidR="00D6244F" w:rsidRDefault="00D6244F" w:rsidP="00D6244F">
      <w:pPr>
        <w:jc w:val="both"/>
        <w:rPr>
          <w:b/>
          <w:lang w:val="en-US"/>
        </w:rPr>
      </w:pPr>
    </w:p>
    <w:p w14:paraId="41DBB0B3" w14:textId="77777777" w:rsidR="00D6244F" w:rsidRPr="00D6244F" w:rsidRDefault="00D6244F" w:rsidP="00D749ED">
      <w:pPr>
        <w:jc w:val="both"/>
        <w:rPr>
          <w:b/>
          <w:lang w:val="en-US"/>
        </w:rPr>
        <w:sectPr w:rsidR="00D6244F" w:rsidRPr="00D6244F" w:rsidSect="00170391">
          <w:pgSz w:w="11906" w:h="16838"/>
          <w:pgMar w:top="1021" w:right="709" w:bottom="1021" w:left="1418" w:header="709" w:footer="709" w:gutter="0"/>
          <w:cols w:space="708"/>
          <w:docGrid w:linePitch="360"/>
        </w:sectPr>
      </w:pPr>
    </w:p>
    <w:p w14:paraId="24169A9F" w14:textId="77777777" w:rsidR="00D749ED" w:rsidRPr="00A41B49" w:rsidRDefault="00D749ED" w:rsidP="00D749ED">
      <w:pPr>
        <w:keepNext/>
        <w:tabs>
          <w:tab w:val="left" w:pos="0"/>
        </w:tabs>
        <w:spacing w:after="60" w:line="240" w:lineRule="atLeast"/>
        <w:jc w:val="both"/>
        <w:outlineLvl w:val="3"/>
        <w:rPr>
          <w:b/>
          <w:bCs/>
          <w:szCs w:val="28"/>
        </w:rPr>
      </w:pPr>
      <w:r w:rsidRPr="00A41B49">
        <w:rPr>
          <w:b/>
          <w:bCs/>
          <w:szCs w:val="28"/>
        </w:rPr>
        <w:lastRenderedPageBreak/>
        <w:t>Analytical methods for determining relevant components and/or residues in different matrices</w:t>
      </w:r>
    </w:p>
    <w:p w14:paraId="12368634" w14:textId="77777777" w:rsidR="00D749ED" w:rsidRPr="00A41B49" w:rsidRDefault="00D749ED" w:rsidP="00D749ED"/>
    <w:tbl>
      <w:tblPr>
        <w:tblW w:w="15791" w:type="dxa"/>
        <w:tblInd w:w="-1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333"/>
        <w:gridCol w:w="1080"/>
        <w:gridCol w:w="1421"/>
        <w:gridCol w:w="994"/>
        <w:gridCol w:w="995"/>
        <w:gridCol w:w="981"/>
        <w:gridCol w:w="13"/>
        <w:gridCol w:w="838"/>
        <w:gridCol w:w="992"/>
        <w:gridCol w:w="1276"/>
        <w:gridCol w:w="1134"/>
        <w:gridCol w:w="2466"/>
        <w:gridCol w:w="1417"/>
      </w:tblGrid>
      <w:tr w:rsidR="00D749ED" w:rsidRPr="00A41B49" w14:paraId="033F7C93" w14:textId="77777777" w:rsidTr="005E1E28">
        <w:trPr>
          <w:tblHeader/>
        </w:trPr>
        <w:tc>
          <w:tcPr>
            <w:tcW w:w="851" w:type="dxa"/>
            <w:vMerge w:val="restart"/>
            <w:vAlign w:val="center"/>
          </w:tcPr>
          <w:p w14:paraId="50C73475" w14:textId="77777777" w:rsidR="00D749ED" w:rsidRPr="00A41B49" w:rsidRDefault="00D749ED" w:rsidP="0019006A">
            <w:pPr>
              <w:jc w:val="center"/>
              <w:rPr>
                <w:b/>
                <w:sz w:val="18"/>
                <w:szCs w:val="18"/>
              </w:rPr>
            </w:pPr>
            <w:r w:rsidRPr="00A41B49">
              <w:rPr>
                <w:b/>
                <w:sz w:val="18"/>
                <w:szCs w:val="18"/>
              </w:rPr>
              <w:t>Matrix</w:t>
            </w:r>
          </w:p>
        </w:tc>
        <w:tc>
          <w:tcPr>
            <w:tcW w:w="1333" w:type="dxa"/>
            <w:vMerge w:val="restart"/>
            <w:vAlign w:val="center"/>
          </w:tcPr>
          <w:p w14:paraId="053455DB" w14:textId="77777777" w:rsidR="00D749ED" w:rsidRPr="002A7269" w:rsidRDefault="00D749ED" w:rsidP="000A3D3D">
            <w:pPr>
              <w:pStyle w:val="En-tte"/>
              <w:tabs>
                <w:tab w:val="clear" w:pos="9072"/>
              </w:tabs>
              <w:ind w:right="-70"/>
              <w:jc w:val="center"/>
              <w:rPr>
                <w:rFonts w:ascii="Verdana" w:hAnsi="Verdana"/>
                <w:b/>
                <w:sz w:val="18"/>
                <w:szCs w:val="18"/>
                <w:lang w:val="en-GB"/>
              </w:rPr>
            </w:pPr>
            <w:r w:rsidRPr="002A7269">
              <w:rPr>
                <w:rFonts w:ascii="Verdana" w:hAnsi="Verdana"/>
                <w:b/>
                <w:sz w:val="18"/>
                <w:szCs w:val="18"/>
                <w:lang w:val="en-GB"/>
              </w:rPr>
              <w:t>Test substance</w:t>
            </w:r>
          </w:p>
        </w:tc>
        <w:tc>
          <w:tcPr>
            <w:tcW w:w="1080" w:type="dxa"/>
            <w:vMerge w:val="restart"/>
            <w:vAlign w:val="center"/>
          </w:tcPr>
          <w:p w14:paraId="43CE74DF" w14:textId="77777777" w:rsidR="00D749ED" w:rsidRPr="00A41B49" w:rsidRDefault="00D749ED" w:rsidP="000A3D3D">
            <w:pPr>
              <w:pStyle w:val="Pieddepage"/>
              <w:ind w:right="-70"/>
              <w:jc w:val="center"/>
              <w:rPr>
                <w:rFonts w:ascii="Verdana" w:hAnsi="Verdana"/>
                <w:b/>
                <w:i/>
                <w:sz w:val="18"/>
                <w:szCs w:val="18"/>
              </w:rPr>
            </w:pPr>
            <w:r w:rsidRPr="00A41B49">
              <w:rPr>
                <w:rFonts w:ascii="Verdana" w:hAnsi="Verdana"/>
                <w:b/>
                <w:sz w:val="18"/>
                <w:szCs w:val="18"/>
              </w:rPr>
              <w:t>Analytical method</w:t>
            </w:r>
          </w:p>
        </w:tc>
        <w:tc>
          <w:tcPr>
            <w:tcW w:w="1421" w:type="dxa"/>
            <w:vMerge w:val="restart"/>
            <w:vAlign w:val="center"/>
          </w:tcPr>
          <w:p w14:paraId="62665F55" w14:textId="77777777" w:rsidR="00D749ED" w:rsidRPr="00A41B49" w:rsidRDefault="00D749ED" w:rsidP="0019006A">
            <w:pPr>
              <w:pStyle w:val="En-tte"/>
              <w:tabs>
                <w:tab w:val="clear" w:pos="9072"/>
              </w:tabs>
              <w:jc w:val="center"/>
              <w:rPr>
                <w:rFonts w:ascii="Verdana" w:hAnsi="Verdana"/>
                <w:b/>
                <w:sz w:val="18"/>
                <w:szCs w:val="18"/>
                <w:lang w:val="en-GB"/>
              </w:rPr>
            </w:pPr>
            <w:r w:rsidRPr="00A41B49">
              <w:rPr>
                <w:rFonts w:ascii="Verdana" w:hAnsi="Verdana"/>
                <w:b/>
                <w:sz w:val="18"/>
                <w:szCs w:val="18"/>
                <w:lang w:val="en-GB"/>
              </w:rPr>
              <w:t>Fortification range / Number of measurements</w:t>
            </w:r>
          </w:p>
        </w:tc>
        <w:tc>
          <w:tcPr>
            <w:tcW w:w="994" w:type="dxa"/>
            <w:vMerge w:val="restart"/>
            <w:vAlign w:val="center"/>
          </w:tcPr>
          <w:p w14:paraId="0C64354C" w14:textId="77777777" w:rsidR="00D749ED" w:rsidRPr="00A41B49" w:rsidRDefault="00D749ED" w:rsidP="0019006A">
            <w:pPr>
              <w:pStyle w:val="En-tte"/>
              <w:tabs>
                <w:tab w:val="clear" w:pos="9072"/>
              </w:tabs>
              <w:jc w:val="center"/>
              <w:rPr>
                <w:rFonts w:ascii="Verdana" w:hAnsi="Verdana"/>
                <w:b/>
                <w:sz w:val="18"/>
                <w:szCs w:val="18"/>
                <w:lang w:val="en-GB"/>
              </w:rPr>
            </w:pPr>
            <w:r w:rsidRPr="00A41B49">
              <w:rPr>
                <w:rFonts w:ascii="Verdana" w:hAnsi="Verdana"/>
                <w:b/>
                <w:sz w:val="18"/>
                <w:szCs w:val="18"/>
                <w:lang w:val="en-GB"/>
              </w:rPr>
              <w:t>Linearity</w:t>
            </w:r>
          </w:p>
        </w:tc>
        <w:tc>
          <w:tcPr>
            <w:tcW w:w="995" w:type="dxa"/>
            <w:vMerge w:val="restart"/>
            <w:vAlign w:val="center"/>
          </w:tcPr>
          <w:p w14:paraId="7B5D49EC" w14:textId="77777777" w:rsidR="00D749ED" w:rsidRPr="00A41B49" w:rsidRDefault="00D749ED" w:rsidP="0019006A">
            <w:pPr>
              <w:pStyle w:val="En-tte"/>
              <w:tabs>
                <w:tab w:val="clear" w:pos="9072"/>
              </w:tabs>
              <w:jc w:val="center"/>
              <w:rPr>
                <w:rFonts w:ascii="Verdana" w:hAnsi="Verdana"/>
                <w:b/>
                <w:sz w:val="18"/>
                <w:szCs w:val="18"/>
                <w:lang w:val="en-GB"/>
              </w:rPr>
            </w:pPr>
            <w:r w:rsidRPr="00A41B49">
              <w:rPr>
                <w:rFonts w:ascii="Verdana" w:hAnsi="Verdana"/>
                <w:b/>
                <w:sz w:val="18"/>
                <w:szCs w:val="18"/>
                <w:lang w:val="en-GB"/>
              </w:rPr>
              <w:t>Specificity</w:t>
            </w:r>
          </w:p>
        </w:tc>
        <w:tc>
          <w:tcPr>
            <w:tcW w:w="2824" w:type="dxa"/>
            <w:gridSpan w:val="4"/>
            <w:vAlign w:val="center"/>
          </w:tcPr>
          <w:p w14:paraId="44E9CE1B" w14:textId="77777777" w:rsidR="00D749ED" w:rsidRPr="00A41B49" w:rsidRDefault="00D749ED" w:rsidP="0019006A">
            <w:pPr>
              <w:pStyle w:val="Tabellenformat"/>
              <w:spacing w:before="0" w:after="0"/>
              <w:jc w:val="center"/>
              <w:rPr>
                <w:b/>
                <w:sz w:val="18"/>
                <w:szCs w:val="18"/>
              </w:rPr>
            </w:pPr>
            <w:r w:rsidRPr="00A41B49">
              <w:rPr>
                <w:b/>
                <w:sz w:val="18"/>
                <w:szCs w:val="18"/>
              </w:rPr>
              <w:t>Recovery rate (%)</w:t>
            </w:r>
          </w:p>
        </w:tc>
        <w:tc>
          <w:tcPr>
            <w:tcW w:w="1276" w:type="dxa"/>
            <w:vMerge w:val="restart"/>
            <w:vAlign w:val="center"/>
          </w:tcPr>
          <w:p w14:paraId="5894C6E3" w14:textId="77777777" w:rsidR="00D749ED" w:rsidRPr="00A41B49" w:rsidRDefault="00D749ED" w:rsidP="0019006A">
            <w:pPr>
              <w:pStyle w:val="Tabellenformat"/>
              <w:spacing w:before="0" w:after="0"/>
              <w:jc w:val="center"/>
              <w:rPr>
                <w:b/>
                <w:sz w:val="18"/>
                <w:szCs w:val="18"/>
              </w:rPr>
            </w:pPr>
            <w:r w:rsidRPr="00A41B49">
              <w:rPr>
                <w:b/>
                <w:sz w:val="18"/>
                <w:szCs w:val="18"/>
              </w:rPr>
              <w:t>Limit of quantification / detection (LOQ / LOD)</w:t>
            </w:r>
          </w:p>
        </w:tc>
        <w:tc>
          <w:tcPr>
            <w:tcW w:w="1134" w:type="dxa"/>
            <w:vMerge w:val="restart"/>
            <w:vAlign w:val="center"/>
          </w:tcPr>
          <w:p w14:paraId="5E9ECD93" w14:textId="77777777" w:rsidR="00D749ED" w:rsidRPr="00A41B49" w:rsidRDefault="00D749ED" w:rsidP="0019006A">
            <w:pPr>
              <w:pStyle w:val="Tabellenformat"/>
              <w:spacing w:before="0" w:after="0"/>
              <w:jc w:val="center"/>
              <w:rPr>
                <w:b/>
                <w:sz w:val="18"/>
                <w:szCs w:val="18"/>
              </w:rPr>
            </w:pPr>
            <w:r w:rsidRPr="00A41B49">
              <w:rPr>
                <w:b/>
                <w:sz w:val="18"/>
                <w:szCs w:val="18"/>
              </w:rPr>
              <w:t>LOQ required</w:t>
            </w:r>
          </w:p>
        </w:tc>
        <w:tc>
          <w:tcPr>
            <w:tcW w:w="2466" w:type="dxa"/>
            <w:vMerge w:val="restart"/>
            <w:vAlign w:val="center"/>
          </w:tcPr>
          <w:p w14:paraId="0D417BD0" w14:textId="77777777" w:rsidR="00D749ED" w:rsidRPr="00A41B49" w:rsidRDefault="00D749ED" w:rsidP="004B63DB">
            <w:pPr>
              <w:pStyle w:val="Tabellenformat"/>
              <w:spacing w:before="0" w:after="0"/>
              <w:jc w:val="center"/>
              <w:rPr>
                <w:b/>
                <w:sz w:val="18"/>
                <w:szCs w:val="18"/>
              </w:rPr>
            </w:pPr>
            <w:r w:rsidRPr="00A41B49">
              <w:rPr>
                <w:b/>
                <w:sz w:val="18"/>
                <w:szCs w:val="18"/>
              </w:rPr>
              <w:t>Acceptance</w:t>
            </w:r>
          </w:p>
        </w:tc>
        <w:tc>
          <w:tcPr>
            <w:tcW w:w="1417" w:type="dxa"/>
            <w:vMerge w:val="restart"/>
            <w:vAlign w:val="center"/>
          </w:tcPr>
          <w:p w14:paraId="24379442" w14:textId="77777777" w:rsidR="00D749ED" w:rsidRPr="00A41B49" w:rsidRDefault="00D749ED" w:rsidP="0019006A">
            <w:pPr>
              <w:pStyle w:val="Tabellenformat"/>
              <w:spacing w:before="0" w:after="0"/>
              <w:jc w:val="center"/>
              <w:rPr>
                <w:b/>
                <w:sz w:val="18"/>
                <w:szCs w:val="18"/>
              </w:rPr>
            </w:pPr>
            <w:r w:rsidRPr="00A41B49">
              <w:rPr>
                <w:b/>
                <w:sz w:val="18"/>
                <w:szCs w:val="18"/>
              </w:rPr>
              <w:t>Reference</w:t>
            </w:r>
          </w:p>
        </w:tc>
      </w:tr>
      <w:tr w:rsidR="00D749ED" w:rsidRPr="00A41B49" w14:paraId="68E24AAC" w14:textId="77777777" w:rsidTr="005E1E28">
        <w:trPr>
          <w:tblHeader/>
        </w:trPr>
        <w:tc>
          <w:tcPr>
            <w:tcW w:w="851" w:type="dxa"/>
            <w:vMerge/>
            <w:vAlign w:val="center"/>
          </w:tcPr>
          <w:p w14:paraId="359AC9A7" w14:textId="77777777" w:rsidR="00D749ED" w:rsidRPr="00A41B49" w:rsidRDefault="00D749ED" w:rsidP="00D749ED">
            <w:pPr>
              <w:spacing w:before="60" w:after="60"/>
              <w:jc w:val="center"/>
              <w:rPr>
                <w:i/>
                <w:sz w:val="18"/>
                <w:szCs w:val="18"/>
              </w:rPr>
            </w:pPr>
          </w:p>
        </w:tc>
        <w:tc>
          <w:tcPr>
            <w:tcW w:w="1333" w:type="dxa"/>
            <w:vMerge/>
            <w:vAlign w:val="center"/>
          </w:tcPr>
          <w:p w14:paraId="0E36D2A1" w14:textId="77777777" w:rsidR="00D749ED" w:rsidRPr="00A41B49" w:rsidRDefault="00D749ED" w:rsidP="00D749ED">
            <w:pPr>
              <w:spacing w:before="60" w:after="60"/>
              <w:jc w:val="center"/>
              <w:rPr>
                <w:i/>
                <w:sz w:val="18"/>
                <w:szCs w:val="18"/>
              </w:rPr>
            </w:pPr>
          </w:p>
        </w:tc>
        <w:tc>
          <w:tcPr>
            <w:tcW w:w="1080" w:type="dxa"/>
            <w:vMerge/>
            <w:vAlign w:val="center"/>
          </w:tcPr>
          <w:p w14:paraId="683B357D" w14:textId="77777777" w:rsidR="00D749ED" w:rsidRPr="00A41B49" w:rsidRDefault="00D749ED" w:rsidP="00D749ED">
            <w:pPr>
              <w:pStyle w:val="Standard-italics"/>
              <w:keepNext w:val="0"/>
              <w:jc w:val="center"/>
              <w:rPr>
                <w:i w:val="0"/>
                <w:sz w:val="18"/>
                <w:szCs w:val="18"/>
              </w:rPr>
            </w:pPr>
          </w:p>
        </w:tc>
        <w:tc>
          <w:tcPr>
            <w:tcW w:w="1421" w:type="dxa"/>
            <w:vMerge/>
            <w:vAlign w:val="center"/>
          </w:tcPr>
          <w:p w14:paraId="427FF5CB" w14:textId="77777777" w:rsidR="00D749ED" w:rsidRPr="00A41B49" w:rsidRDefault="00D749ED" w:rsidP="00D749ED">
            <w:pPr>
              <w:spacing w:before="60" w:after="60"/>
              <w:jc w:val="center"/>
              <w:rPr>
                <w:sz w:val="18"/>
                <w:szCs w:val="18"/>
              </w:rPr>
            </w:pPr>
          </w:p>
        </w:tc>
        <w:tc>
          <w:tcPr>
            <w:tcW w:w="994" w:type="dxa"/>
            <w:vMerge/>
            <w:vAlign w:val="center"/>
          </w:tcPr>
          <w:p w14:paraId="4205507A" w14:textId="77777777" w:rsidR="00D749ED" w:rsidRPr="00A41B49" w:rsidRDefault="00D749ED" w:rsidP="00D749ED">
            <w:pPr>
              <w:spacing w:before="60" w:after="60"/>
              <w:jc w:val="center"/>
              <w:rPr>
                <w:sz w:val="18"/>
                <w:szCs w:val="18"/>
              </w:rPr>
            </w:pPr>
          </w:p>
        </w:tc>
        <w:tc>
          <w:tcPr>
            <w:tcW w:w="995" w:type="dxa"/>
            <w:vMerge/>
            <w:vAlign w:val="center"/>
          </w:tcPr>
          <w:p w14:paraId="60ED2917" w14:textId="77777777" w:rsidR="00D749ED" w:rsidRPr="00A41B49" w:rsidRDefault="00D749ED" w:rsidP="00D749ED">
            <w:pPr>
              <w:spacing w:before="60" w:after="60"/>
              <w:jc w:val="center"/>
              <w:rPr>
                <w:sz w:val="18"/>
                <w:szCs w:val="18"/>
              </w:rPr>
            </w:pPr>
          </w:p>
        </w:tc>
        <w:tc>
          <w:tcPr>
            <w:tcW w:w="981" w:type="dxa"/>
            <w:vAlign w:val="center"/>
          </w:tcPr>
          <w:p w14:paraId="054E5038" w14:textId="77777777" w:rsidR="00D749ED" w:rsidRPr="00A41B49" w:rsidRDefault="00D749ED" w:rsidP="00D749ED">
            <w:pPr>
              <w:spacing w:before="60" w:after="60"/>
              <w:jc w:val="center"/>
              <w:rPr>
                <w:sz w:val="18"/>
                <w:szCs w:val="18"/>
              </w:rPr>
            </w:pPr>
            <w:r w:rsidRPr="00A41B49">
              <w:rPr>
                <w:sz w:val="18"/>
                <w:szCs w:val="18"/>
              </w:rPr>
              <w:t>Range</w:t>
            </w:r>
          </w:p>
        </w:tc>
        <w:tc>
          <w:tcPr>
            <w:tcW w:w="851" w:type="dxa"/>
            <w:gridSpan w:val="2"/>
            <w:vAlign w:val="center"/>
          </w:tcPr>
          <w:p w14:paraId="2868274C" w14:textId="77777777" w:rsidR="00D749ED" w:rsidRPr="00A41B49" w:rsidRDefault="00D749ED" w:rsidP="00D749ED">
            <w:pPr>
              <w:spacing w:before="60" w:after="60"/>
              <w:jc w:val="center"/>
              <w:rPr>
                <w:sz w:val="18"/>
                <w:szCs w:val="18"/>
              </w:rPr>
            </w:pPr>
            <w:r w:rsidRPr="00A41B49">
              <w:rPr>
                <w:sz w:val="18"/>
                <w:szCs w:val="18"/>
              </w:rPr>
              <w:t>Mean</w:t>
            </w:r>
          </w:p>
        </w:tc>
        <w:tc>
          <w:tcPr>
            <w:tcW w:w="992" w:type="dxa"/>
            <w:vAlign w:val="center"/>
          </w:tcPr>
          <w:p w14:paraId="3EB855DE" w14:textId="77777777" w:rsidR="00D749ED" w:rsidRPr="00A41B49" w:rsidRDefault="00D749ED" w:rsidP="00D749ED">
            <w:pPr>
              <w:spacing w:before="60" w:after="60"/>
              <w:jc w:val="center"/>
              <w:rPr>
                <w:sz w:val="18"/>
                <w:szCs w:val="18"/>
              </w:rPr>
            </w:pPr>
            <w:r w:rsidRPr="00A41B49">
              <w:rPr>
                <w:sz w:val="18"/>
                <w:szCs w:val="18"/>
              </w:rPr>
              <w:t>St. dev.</w:t>
            </w:r>
          </w:p>
        </w:tc>
        <w:tc>
          <w:tcPr>
            <w:tcW w:w="1276" w:type="dxa"/>
            <w:vMerge/>
            <w:vAlign w:val="center"/>
          </w:tcPr>
          <w:p w14:paraId="40C2F586" w14:textId="77777777" w:rsidR="00D749ED" w:rsidRPr="00A41B49" w:rsidRDefault="00D749ED" w:rsidP="00D749ED">
            <w:pPr>
              <w:spacing w:before="60" w:after="60"/>
              <w:jc w:val="center"/>
              <w:rPr>
                <w:sz w:val="18"/>
                <w:szCs w:val="18"/>
              </w:rPr>
            </w:pPr>
          </w:p>
        </w:tc>
        <w:tc>
          <w:tcPr>
            <w:tcW w:w="1134" w:type="dxa"/>
            <w:vMerge/>
          </w:tcPr>
          <w:p w14:paraId="1251E149" w14:textId="77777777" w:rsidR="00D749ED" w:rsidRPr="00A41B49" w:rsidRDefault="00D749ED" w:rsidP="00D749ED">
            <w:pPr>
              <w:spacing w:before="60" w:after="60"/>
              <w:jc w:val="center"/>
              <w:rPr>
                <w:sz w:val="18"/>
                <w:szCs w:val="18"/>
              </w:rPr>
            </w:pPr>
          </w:p>
        </w:tc>
        <w:tc>
          <w:tcPr>
            <w:tcW w:w="2466" w:type="dxa"/>
            <w:vMerge/>
          </w:tcPr>
          <w:p w14:paraId="6A3C6B8F" w14:textId="77777777" w:rsidR="00D749ED" w:rsidRPr="00A41B49" w:rsidRDefault="00D749ED" w:rsidP="00D749ED">
            <w:pPr>
              <w:spacing w:before="60" w:after="60"/>
              <w:jc w:val="center"/>
              <w:rPr>
                <w:sz w:val="18"/>
                <w:szCs w:val="18"/>
              </w:rPr>
            </w:pPr>
          </w:p>
        </w:tc>
        <w:tc>
          <w:tcPr>
            <w:tcW w:w="1417" w:type="dxa"/>
            <w:vMerge/>
            <w:vAlign w:val="center"/>
          </w:tcPr>
          <w:p w14:paraId="2AF73613" w14:textId="77777777" w:rsidR="00D749ED" w:rsidRPr="00A41B49" w:rsidRDefault="00D749ED" w:rsidP="00D749ED">
            <w:pPr>
              <w:spacing w:before="60" w:after="60"/>
              <w:jc w:val="center"/>
              <w:rPr>
                <w:sz w:val="18"/>
                <w:szCs w:val="18"/>
              </w:rPr>
            </w:pPr>
          </w:p>
        </w:tc>
      </w:tr>
      <w:tr w:rsidR="00D749ED" w:rsidRPr="00A41B49" w14:paraId="3693E053" w14:textId="77777777" w:rsidTr="005E1E28">
        <w:tc>
          <w:tcPr>
            <w:tcW w:w="851" w:type="dxa"/>
            <w:vMerge w:val="restart"/>
            <w:vAlign w:val="center"/>
          </w:tcPr>
          <w:p w14:paraId="4C57852C" w14:textId="77777777" w:rsidR="00D749ED" w:rsidRPr="00A41B49" w:rsidRDefault="00D749ED" w:rsidP="00D749ED">
            <w:pPr>
              <w:spacing w:before="60" w:after="60"/>
              <w:jc w:val="center"/>
              <w:rPr>
                <w:sz w:val="18"/>
                <w:szCs w:val="18"/>
              </w:rPr>
            </w:pPr>
            <w:r w:rsidRPr="00A41B49">
              <w:rPr>
                <w:sz w:val="18"/>
                <w:szCs w:val="18"/>
              </w:rPr>
              <w:t>Soil</w:t>
            </w:r>
          </w:p>
        </w:tc>
        <w:tc>
          <w:tcPr>
            <w:tcW w:w="1333" w:type="dxa"/>
            <w:vAlign w:val="center"/>
          </w:tcPr>
          <w:p w14:paraId="549CB6E9" w14:textId="77777777" w:rsidR="00D749ED" w:rsidRPr="00A41B49" w:rsidRDefault="00D749ED" w:rsidP="000A3D3D">
            <w:pPr>
              <w:spacing w:before="60" w:after="60"/>
              <w:ind w:left="-70" w:right="-70"/>
              <w:jc w:val="center"/>
              <w:rPr>
                <w:sz w:val="18"/>
                <w:szCs w:val="18"/>
              </w:rPr>
            </w:pPr>
            <w:r w:rsidRPr="00A41B49">
              <w:rPr>
                <w:sz w:val="18"/>
                <w:szCs w:val="18"/>
              </w:rPr>
              <w:t>iodide and iodate are determined as a sum value, which is reported as iodine equivalents</w:t>
            </w:r>
          </w:p>
        </w:tc>
        <w:tc>
          <w:tcPr>
            <w:tcW w:w="1080" w:type="dxa"/>
            <w:vAlign w:val="center"/>
          </w:tcPr>
          <w:p w14:paraId="1B21DEE4" w14:textId="77777777" w:rsidR="00D749ED" w:rsidRPr="00A41B49" w:rsidRDefault="00D749ED" w:rsidP="00D749ED">
            <w:pPr>
              <w:pStyle w:val="Standard-italics"/>
              <w:keepNext w:val="0"/>
              <w:jc w:val="center"/>
              <w:rPr>
                <w:i w:val="0"/>
                <w:sz w:val="18"/>
                <w:szCs w:val="18"/>
              </w:rPr>
            </w:pPr>
            <w:r w:rsidRPr="00A41B49">
              <w:rPr>
                <w:i w:val="0"/>
                <w:sz w:val="18"/>
                <w:szCs w:val="18"/>
              </w:rPr>
              <w:t>ICP-MS</w:t>
            </w:r>
          </w:p>
        </w:tc>
        <w:tc>
          <w:tcPr>
            <w:tcW w:w="1421" w:type="dxa"/>
            <w:vAlign w:val="center"/>
          </w:tcPr>
          <w:p w14:paraId="7D7086EC" w14:textId="77777777" w:rsidR="00D749ED" w:rsidRPr="00A41B49" w:rsidRDefault="00D749ED" w:rsidP="00D749ED">
            <w:pPr>
              <w:spacing w:before="60" w:after="60"/>
              <w:jc w:val="center"/>
              <w:rPr>
                <w:sz w:val="18"/>
                <w:szCs w:val="18"/>
              </w:rPr>
            </w:pPr>
            <w:r w:rsidRPr="00A41B49">
              <w:rPr>
                <w:sz w:val="18"/>
                <w:szCs w:val="18"/>
              </w:rPr>
              <w:t>Not reported</w:t>
            </w:r>
          </w:p>
        </w:tc>
        <w:tc>
          <w:tcPr>
            <w:tcW w:w="994" w:type="dxa"/>
            <w:vAlign w:val="center"/>
          </w:tcPr>
          <w:p w14:paraId="60F5117B" w14:textId="77777777" w:rsidR="00D749ED" w:rsidRPr="00A41B49" w:rsidRDefault="00D749ED" w:rsidP="00D749ED">
            <w:pPr>
              <w:spacing w:before="60" w:after="60"/>
              <w:jc w:val="center"/>
              <w:rPr>
                <w:sz w:val="18"/>
                <w:szCs w:val="18"/>
              </w:rPr>
            </w:pPr>
            <w:r w:rsidRPr="00A41B49">
              <w:rPr>
                <w:sz w:val="18"/>
                <w:szCs w:val="18"/>
              </w:rPr>
              <w:t>200 – 500 µg/L</w:t>
            </w:r>
          </w:p>
        </w:tc>
        <w:tc>
          <w:tcPr>
            <w:tcW w:w="995" w:type="dxa"/>
            <w:vAlign w:val="center"/>
          </w:tcPr>
          <w:p w14:paraId="34AC7E5D" w14:textId="77777777" w:rsidR="00D749ED" w:rsidRPr="00A41B49" w:rsidRDefault="00D749ED" w:rsidP="00D749ED">
            <w:pPr>
              <w:spacing w:before="60" w:after="60"/>
              <w:jc w:val="center"/>
              <w:rPr>
                <w:sz w:val="18"/>
                <w:szCs w:val="18"/>
              </w:rPr>
            </w:pPr>
            <w:r w:rsidRPr="00A41B49">
              <w:rPr>
                <w:sz w:val="18"/>
                <w:szCs w:val="18"/>
              </w:rPr>
              <w:t>Yes</w:t>
            </w:r>
          </w:p>
        </w:tc>
        <w:tc>
          <w:tcPr>
            <w:tcW w:w="2824" w:type="dxa"/>
            <w:gridSpan w:val="4"/>
            <w:vAlign w:val="center"/>
          </w:tcPr>
          <w:p w14:paraId="58789817" w14:textId="77777777" w:rsidR="00D749ED" w:rsidRPr="00A41B49" w:rsidRDefault="00D749ED" w:rsidP="00D749ED">
            <w:pPr>
              <w:spacing w:before="60" w:after="60"/>
              <w:jc w:val="center"/>
              <w:rPr>
                <w:sz w:val="18"/>
                <w:szCs w:val="18"/>
              </w:rPr>
            </w:pPr>
            <w:r w:rsidRPr="00A41B49">
              <w:rPr>
                <w:sz w:val="18"/>
                <w:szCs w:val="18"/>
              </w:rPr>
              <w:t>Not reported</w:t>
            </w:r>
          </w:p>
        </w:tc>
        <w:tc>
          <w:tcPr>
            <w:tcW w:w="1276" w:type="dxa"/>
            <w:vAlign w:val="center"/>
          </w:tcPr>
          <w:p w14:paraId="256F902F" w14:textId="77777777" w:rsidR="00D749ED" w:rsidRPr="00A41B49" w:rsidRDefault="00D749ED" w:rsidP="00D749ED">
            <w:pPr>
              <w:spacing w:before="60" w:after="60"/>
              <w:jc w:val="center"/>
              <w:rPr>
                <w:sz w:val="18"/>
                <w:szCs w:val="18"/>
              </w:rPr>
            </w:pPr>
            <w:r w:rsidRPr="00A41B49">
              <w:rPr>
                <w:sz w:val="18"/>
                <w:szCs w:val="18"/>
              </w:rPr>
              <w:t xml:space="preserve">Quoted LOD = 0.01µg I /L (relates to the water extract of the soil) </w:t>
            </w:r>
          </w:p>
        </w:tc>
        <w:tc>
          <w:tcPr>
            <w:tcW w:w="1134" w:type="dxa"/>
          </w:tcPr>
          <w:p w14:paraId="43FB2F25" w14:textId="77777777" w:rsidR="00D749ED" w:rsidRPr="00A41B49" w:rsidRDefault="00D749ED" w:rsidP="00D749ED">
            <w:pPr>
              <w:spacing w:before="60" w:after="60"/>
              <w:jc w:val="center"/>
              <w:rPr>
                <w:sz w:val="18"/>
                <w:szCs w:val="18"/>
                <w:lang w:val="it-IT"/>
              </w:rPr>
            </w:pPr>
            <w:r w:rsidRPr="00A41B49">
              <w:rPr>
                <w:sz w:val="18"/>
                <w:szCs w:val="18"/>
                <w:lang w:val="it-IT"/>
              </w:rPr>
              <w:t>0.05 mg/kg*</w:t>
            </w:r>
          </w:p>
        </w:tc>
        <w:tc>
          <w:tcPr>
            <w:tcW w:w="2466" w:type="dxa"/>
          </w:tcPr>
          <w:p w14:paraId="164C70A4" w14:textId="77777777" w:rsidR="00D749ED" w:rsidRPr="00A41B49" w:rsidRDefault="00D749ED" w:rsidP="00D749ED">
            <w:pPr>
              <w:spacing w:before="60" w:after="60"/>
              <w:jc w:val="center"/>
              <w:rPr>
                <w:sz w:val="18"/>
                <w:szCs w:val="18"/>
                <w:lang w:val="it-IT"/>
              </w:rPr>
            </w:pPr>
            <w:r w:rsidRPr="00A41B49">
              <w:rPr>
                <w:sz w:val="18"/>
                <w:szCs w:val="18"/>
                <w:u w:val="single"/>
                <w:lang w:val="it-IT"/>
              </w:rPr>
              <w:t xml:space="preserve">Not acceptable as </w:t>
            </w:r>
            <w:r w:rsidRPr="00A41B49">
              <w:rPr>
                <w:sz w:val="18"/>
                <w:szCs w:val="18"/>
                <w:lang w:val="it-IT"/>
              </w:rPr>
              <w:t xml:space="preserve">no supporitng validation data is provided. No method required due to low PECs in comparison to </w:t>
            </w:r>
            <w:bookmarkStart w:id="56" w:name="_GoBack"/>
            <w:bookmarkEnd w:id="56"/>
            <w:r w:rsidRPr="00A41B49">
              <w:rPr>
                <w:sz w:val="18"/>
                <w:szCs w:val="18"/>
                <w:lang w:val="it-IT"/>
              </w:rPr>
              <w:t xml:space="preserve">natural background levels </w:t>
            </w:r>
          </w:p>
        </w:tc>
        <w:tc>
          <w:tcPr>
            <w:tcW w:w="1417" w:type="dxa"/>
            <w:vAlign w:val="center"/>
          </w:tcPr>
          <w:p w14:paraId="0D8A0106" w14:textId="77777777" w:rsidR="00D749ED" w:rsidRPr="00A41B49" w:rsidRDefault="00D749ED" w:rsidP="00D749ED">
            <w:pPr>
              <w:spacing w:before="60" w:after="60"/>
              <w:jc w:val="center"/>
              <w:rPr>
                <w:sz w:val="18"/>
                <w:szCs w:val="18"/>
                <w:lang w:val="it-IT"/>
              </w:rPr>
            </w:pPr>
            <w:r w:rsidRPr="00A41B49">
              <w:rPr>
                <w:sz w:val="18"/>
                <w:szCs w:val="18"/>
                <w:lang w:val="it-IT"/>
              </w:rPr>
              <w:t>J. Popke et al. (1997), Doc. No. 492-009; A4.2a/01</w:t>
            </w:r>
          </w:p>
          <w:p w14:paraId="0255F490" w14:textId="77777777" w:rsidR="00D749ED" w:rsidRPr="00A41B49" w:rsidRDefault="00D749ED" w:rsidP="00D749ED">
            <w:pPr>
              <w:spacing w:before="60" w:after="60"/>
              <w:jc w:val="center"/>
              <w:rPr>
                <w:sz w:val="18"/>
                <w:szCs w:val="18"/>
                <w:lang w:val="it-IT"/>
              </w:rPr>
            </w:pPr>
            <w:r w:rsidRPr="00A41B49">
              <w:rPr>
                <w:sz w:val="18"/>
                <w:szCs w:val="18"/>
                <w:lang w:val="it-IT"/>
              </w:rPr>
              <w:t>P. Schramel (1997), Doc. No. 492-008; A4.2a/02</w:t>
            </w:r>
          </w:p>
        </w:tc>
      </w:tr>
      <w:tr w:rsidR="00D749ED" w:rsidRPr="00A41B49" w14:paraId="1D77D2B7" w14:textId="77777777" w:rsidTr="005E1E28">
        <w:tc>
          <w:tcPr>
            <w:tcW w:w="851" w:type="dxa"/>
            <w:vMerge/>
            <w:vAlign w:val="center"/>
          </w:tcPr>
          <w:p w14:paraId="6211A9D8" w14:textId="77777777" w:rsidR="00D749ED" w:rsidRPr="00A41B49" w:rsidRDefault="00D749ED" w:rsidP="00D749ED">
            <w:pPr>
              <w:spacing w:before="60" w:after="60"/>
              <w:jc w:val="center"/>
              <w:rPr>
                <w:sz w:val="18"/>
                <w:szCs w:val="18"/>
              </w:rPr>
            </w:pPr>
          </w:p>
        </w:tc>
        <w:tc>
          <w:tcPr>
            <w:tcW w:w="1333" w:type="dxa"/>
            <w:vAlign w:val="center"/>
          </w:tcPr>
          <w:p w14:paraId="5AAD9E35" w14:textId="77777777" w:rsidR="00D749ED" w:rsidRPr="00A41B49" w:rsidRDefault="00D749ED" w:rsidP="00D749ED">
            <w:pPr>
              <w:spacing w:before="60" w:after="60"/>
              <w:jc w:val="center"/>
              <w:rPr>
                <w:sz w:val="18"/>
                <w:szCs w:val="18"/>
              </w:rPr>
            </w:pPr>
            <w:r w:rsidRPr="00A41B49">
              <w:rPr>
                <w:sz w:val="18"/>
                <w:szCs w:val="18"/>
              </w:rPr>
              <w:t>iodine</w:t>
            </w:r>
          </w:p>
        </w:tc>
        <w:tc>
          <w:tcPr>
            <w:tcW w:w="1080" w:type="dxa"/>
            <w:vAlign w:val="center"/>
          </w:tcPr>
          <w:p w14:paraId="519B2FD2" w14:textId="77777777" w:rsidR="00D749ED" w:rsidRPr="00A41B49" w:rsidRDefault="00D749ED" w:rsidP="00D749ED">
            <w:pPr>
              <w:pStyle w:val="Standard-italics"/>
              <w:keepNext w:val="0"/>
              <w:jc w:val="center"/>
              <w:rPr>
                <w:i w:val="0"/>
                <w:sz w:val="18"/>
                <w:szCs w:val="18"/>
              </w:rPr>
            </w:pPr>
            <w:r w:rsidRPr="00A41B49">
              <w:rPr>
                <w:i w:val="0"/>
                <w:sz w:val="18"/>
                <w:szCs w:val="18"/>
              </w:rPr>
              <w:t>Sandel-Kolthoff methodology</w:t>
            </w:r>
          </w:p>
          <w:p w14:paraId="49865997" w14:textId="77777777" w:rsidR="00D749ED" w:rsidRPr="00A41B49" w:rsidRDefault="00D749ED" w:rsidP="00D749ED">
            <w:pPr>
              <w:pStyle w:val="Standard-italics"/>
              <w:keepNext w:val="0"/>
              <w:jc w:val="center"/>
              <w:rPr>
                <w:i w:val="0"/>
                <w:sz w:val="18"/>
                <w:szCs w:val="18"/>
              </w:rPr>
            </w:pPr>
            <w:r w:rsidRPr="00A41B49">
              <w:rPr>
                <w:i w:val="0"/>
                <w:sz w:val="18"/>
                <w:szCs w:val="18"/>
              </w:rPr>
              <w:t>Photometric determination</w:t>
            </w:r>
          </w:p>
        </w:tc>
        <w:tc>
          <w:tcPr>
            <w:tcW w:w="1421" w:type="dxa"/>
            <w:vAlign w:val="center"/>
          </w:tcPr>
          <w:p w14:paraId="4227C894" w14:textId="77777777" w:rsidR="00D749ED" w:rsidRPr="00A41B49" w:rsidRDefault="00D749ED" w:rsidP="00D749ED">
            <w:pPr>
              <w:spacing w:before="60" w:after="60"/>
              <w:jc w:val="center"/>
              <w:rPr>
                <w:sz w:val="18"/>
                <w:szCs w:val="18"/>
              </w:rPr>
            </w:pPr>
            <w:r w:rsidRPr="00A41B49">
              <w:rPr>
                <w:sz w:val="18"/>
                <w:szCs w:val="18"/>
              </w:rPr>
              <w:t>5 – 1000 mg/kg moist soil / 5 replicates for natural soil, 3 replicates for artifical soil</w:t>
            </w:r>
          </w:p>
        </w:tc>
        <w:tc>
          <w:tcPr>
            <w:tcW w:w="994" w:type="dxa"/>
            <w:vAlign w:val="center"/>
          </w:tcPr>
          <w:p w14:paraId="0B469DA0" w14:textId="77777777" w:rsidR="00D749ED" w:rsidRPr="00A41B49" w:rsidRDefault="00D749ED" w:rsidP="00D749ED">
            <w:pPr>
              <w:spacing w:before="60" w:after="60"/>
              <w:jc w:val="center"/>
              <w:rPr>
                <w:sz w:val="18"/>
                <w:szCs w:val="18"/>
              </w:rPr>
            </w:pPr>
            <w:r w:rsidRPr="00A41B49">
              <w:rPr>
                <w:sz w:val="18"/>
                <w:szCs w:val="18"/>
              </w:rPr>
              <w:t>0.1 – 0.5 µg iodine</w:t>
            </w:r>
          </w:p>
        </w:tc>
        <w:tc>
          <w:tcPr>
            <w:tcW w:w="995" w:type="dxa"/>
            <w:vAlign w:val="center"/>
          </w:tcPr>
          <w:p w14:paraId="2F19BE05"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099B96D1" w14:textId="77777777" w:rsidR="00D749ED" w:rsidRPr="00A41B49" w:rsidRDefault="00D749ED" w:rsidP="00D749ED">
            <w:pPr>
              <w:spacing w:before="60" w:after="60"/>
              <w:jc w:val="center"/>
              <w:rPr>
                <w:sz w:val="18"/>
                <w:szCs w:val="18"/>
                <w:u w:val="single"/>
              </w:rPr>
            </w:pPr>
            <w:r w:rsidRPr="00A41B49">
              <w:rPr>
                <w:sz w:val="18"/>
                <w:szCs w:val="18"/>
                <w:u w:val="single"/>
              </w:rPr>
              <w:t xml:space="preserve">Natural soil: </w:t>
            </w:r>
          </w:p>
          <w:p w14:paraId="30F590F7" w14:textId="77777777" w:rsidR="00D749ED" w:rsidRPr="00A41B49" w:rsidRDefault="00D749ED" w:rsidP="00D749ED">
            <w:pPr>
              <w:spacing w:before="60" w:after="60"/>
              <w:jc w:val="center"/>
              <w:rPr>
                <w:sz w:val="18"/>
                <w:szCs w:val="18"/>
              </w:rPr>
            </w:pPr>
            <w:r w:rsidRPr="00A41B49">
              <w:rPr>
                <w:sz w:val="18"/>
                <w:szCs w:val="18"/>
              </w:rPr>
              <w:t>72.9 – 100%</w:t>
            </w:r>
          </w:p>
          <w:p w14:paraId="57C720AE" w14:textId="77777777" w:rsidR="00D749ED" w:rsidRPr="00A41B49" w:rsidRDefault="00D749ED" w:rsidP="00D749ED">
            <w:pPr>
              <w:spacing w:before="60" w:after="60"/>
              <w:jc w:val="center"/>
              <w:rPr>
                <w:sz w:val="18"/>
                <w:szCs w:val="18"/>
                <w:u w:val="single"/>
              </w:rPr>
            </w:pPr>
            <w:r w:rsidRPr="00A41B49">
              <w:rPr>
                <w:sz w:val="18"/>
                <w:szCs w:val="18"/>
                <w:u w:val="single"/>
              </w:rPr>
              <w:t xml:space="preserve">Artificial soil: </w:t>
            </w:r>
          </w:p>
          <w:p w14:paraId="0D3DA1F5" w14:textId="77777777" w:rsidR="00D749ED" w:rsidRPr="00A41B49" w:rsidRDefault="00D749ED" w:rsidP="00D749ED">
            <w:pPr>
              <w:spacing w:before="60" w:after="60"/>
              <w:jc w:val="center"/>
              <w:rPr>
                <w:sz w:val="18"/>
                <w:szCs w:val="18"/>
              </w:rPr>
            </w:pPr>
            <w:r w:rsidRPr="00A41B49">
              <w:rPr>
                <w:sz w:val="18"/>
                <w:szCs w:val="18"/>
              </w:rPr>
              <w:t>74.5 – 93%</w:t>
            </w:r>
          </w:p>
        </w:tc>
        <w:tc>
          <w:tcPr>
            <w:tcW w:w="838" w:type="dxa"/>
            <w:vAlign w:val="center"/>
          </w:tcPr>
          <w:p w14:paraId="107AF951" w14:textId="77777777" w:rsidR="00D749ED" w:rsidRPr="00A41B49" w:rsidRDefault="00D749ED" w:rsidP="00D749ED">
            <w:pPr>
              <w:spacing w:before="60" w:after="60"/>
              <w:jc w:val="center"/>
              <w:rPr>
                <w:sz w:val="18"/>
                <w:szCs w:val="18"/>
              </w:rPr>
            </w:pPr>
            <w:r w:rsidRPr="00A41B49">
              <w:rPr>
                <w:sz w:val="18"/>
                <w:szCs w:val="18"/>
                <w:u w:val="single"/>
              </w:rPr>
              <w:t>Natural soil:</w:t>
            </w:r>
            <w:r w:rsidRPr="00A41B49">
              <w:rPr>
                <w:sz w:val="18"/>
                <w:szCs w:val="18"/>
              </w:rPr>
              <w:t xml:space="preserve"> 86.3%</w:t>
            </w:r>
          </w:p>
          <w:p w14:paraId="58BB4C93" w14:textId="77777777" w:rsidR="00D749ED" w:rsidRPr="00A41B49" w:rsidRDefault="00D749ED" w:rsidP="00D749ED">
            <w:pPr>
              <w:spacing w:before="60" w:after="60"/>
              <w:jc w:val="center"/>
              <w:rPr>
                <w:sz w:val="18"/>
                <w:szCs w:val="18"/>
              </w:rPr>
            </w:pPr>
            <w:r w:rsidRPr="00A41B49">
              <w:rPr>
                <w:sz w:val="18"/>
                <w:szCs w:val="18"/>
                <w:u w:val="single"/>
              </w:rPr>
              <w:t>Artificial soil:</w:t>
            </w:r>
            <w:r w:rsidRPr="00A41B49">
              <w:rPr>
                <w:sz w:val="18"/>
                <w:szCs w:val="18"/>
              </w:rPr>
              <w:t xml:space="preserve"> 86.2%</w:t>
            </w:r>
          </w:p>
        </w:tc>
        <w:tc>
          <w:tcPr>
            <w:tcW w:w="992" w:type="dxa"/>
            <w:vAlign w:val="center"/>
          </w:tcPr>
          <w:p w14:paraId="24758D6E" w14:textId="77777777" w:rsidR="00D749ED" w:rsidRPr="00A41B49" w:rsidRDefault="00D749ED" w:rsidP="00D749ED">
            <w:pPr>
              <w:spacing w:before="60" w:after="60"/>
              <w:jc w:val="center"/>
              <w:rPr>
                <w:sz w:val="18"/>
                <w:szCs w:val="18"/>
                <w:u w:val="single"/>
              </w:rPr>
            </w:pPr>
            <w:r w:rsidRPr="00A41B49">
              <w:rPr>
                <w:sz w:val="18"/>
                <w:szCs w:val="18"/>
                <w:u w:val="single"/>
              </w:rPr>
              <w:t>Natural soil:</w:t>
            </w:r>
          </w:p>
          <w:p w14:paraId="4CBF6943" w14:textId="77777777" w:rsidR="00D749ED" w:rsidRPr="00A41B49" w:rsidRDefault="00D749ED" w:rsidP="00D749ED">
            <w:pPr>
              <w:spacing w:before="60" w:after="60"/>
              <w:jc w:val="center"/>
              <w:rPr>
                <w:sz w:val="18"/>
                <w:szCs w:val="18"/>
              </w:rPr>
            </w:pPr>
            <w:r w:rsidRPr="00A41B49">
              <w:rPr>
                <w:sz w:val="18"/>
                <w:szCs w:val="18"/>
              </w:rPr>
              <w:t>5.9 - 10.0%</w:t>
            </w:r>
          </w:p>
          <w:p w14:paraId="663600EF" w14:textId="77777777" w:rsidR="00D749ED" w:rsidRPr="00A41B49" w:rsidRDefault="00D749ED" w:rsidP="00D749ED">
            <w:pPr>
              <w:spacing w:before="60" w:after="60"/>
              <w:jc w:val="center"/>
              <w:rPr>
                <w:sz w:val="18"/>
                <w:szCs w:val="18"/>
                <w:u w:val="single"/>
              </w:rPr>
            </w:pPr>
            <w:r w:rsidRPr="00A41B49">
              <w:rPr>
                <w:sz w:val="18"/>
                <w:szCs w:val="18"/>
                <w:u w:val="single"/>
              </w:rPr>
              <w:t xml:space="preserve">Artificial soil: </w:t>
            </w:r>
          </w:p>
          <w:p w14:paraId="40CEC99C" w14:textId="77777777" w:rsidR="00D749ED" w:rsidRPr="00A41B49" w:rsidRDefault="00D749ED" w:rsidP="00D749ED">
            <w:pPr>
              <w:spacing w:before="60" w:after="60"/>
              <w:jc w:val="center"/>
              <w:rPr>
                <w:sz w:val="18"/>
                <w:szCs w:val="18"/>
              </w:rPr>
            </w:pPr>
            <w:r w:rsidRPr="00A41B49">
              <w:rPr>
                <w:sz w:val="18"/>
                <w:szCs w:val="18"/>
              </w:rPr>
              <w:t xml:space="preserve">3.1 and 7.5% </w:t>
            </w:r>
          </w:p>
        </w:tc>
        <w:tc>
          <w:tcPr>
            <w:tcW w:w="1276" w:type="dxa"/>
          </w:tcPr>
          <w:p w14:paraId="58193804" w14:textId="77777777" w:rsidR="00D749ED" w:rsidRPr="00A41B49" w:rsidRDefault="00D749ED" w:rsidP="00D749ED">
            <w:pPr>
              <w:spacing w:before="60" w:after="60"/>
              <w:jc w:val="center"/>
              <w:rPr>
                <w:sz w:val="18"/>
                <w:szCs w:val="18"/>
              </w:rPr>
            </w:pPr>
            <w:r w:rsidRPr="00A41B49">
              <w:rPr>
                <w:sz w:val="18"/>
                <w:szCs w:val="18"/>
              </w:rPr>
              <w:t>LOD = 5 mg /kg dry soil</w:t>
            </w:r>
          </w:p>
        </w:tc>
        <w:tc>
          <w:tcPr>
            <w:tcW w:w="1134" w:type="dxa"/>
          </w:tcPr>
          <w:p w14:paraId="5A86E331" w14:textId="77777777" w:rsidR="00D749ED" w:rsidRPr="00A41B49" w:rsidRDefault="00D749ED" w:rsidP="00D749ED">
            <w:pPr>
              <w:spacing w:before="60" w:after="60"/>
              <w:jc w:val="center"/>
              <w:rPr>
                <w:sz w:val="18"/>
                <w:szCs w:val="18"/>
              </w:rPr>
            </w:pPr>
            <w:r w:rsidRPr="00A41B49">
              <w:rPr>
                <w:sz w:val="18"/>
                <w:szCs w:val="18"/>
                <w:lang w:val="it-IT"/>
              </w:rPr>
              <w:t>0.05 mg/kg*</w:t>
            </w:r>
          </w:p>
        </w:tc>
        <w:tc>
          <w:tcPr>
            <w:tcW w:w="2466" w:type="dxa"/>
          </w:tcPr>
          <w:p w14:paraId="03C6C4AB" w14:textId="77777777" w:rsidR="00D749ED" w:rsidRPr="00A41B49" w:rsidRDefault="00D749ED" w:rsidP="00D749ED">
            <w:pPr>
              <w:spacing w:before="60" w:after="60"/>
              <w:jc w:val="center"/>
              <w:rPr>
                <w:sz w:val="18"/>
                <w:szCs w:val="18"/>
              </w:rPr>
            </w:pPr>
            <w:r w:rsidRPr="00A41B49">
              <w:rPr>
                <w:sz w:val="18"/>
                <w:szCs w:val="18"/>
                <w:u w:val="single"/>
              </w:rPr>
              <w:t>Not acceptable</w:t>
            </w:r>
            <w:r w:rsidRPr="00A41B49">
              <w:rPr>
                <w:sz w:val="18"/>
                <w:szCs w:val="18"/>
              </w:rPr>
              <w:t xml:space="preserve"> for monitoring due to the use of carcinogenic substance (As</w:t>
            </w:r>
            <w:r w:rsidRPr="00A41B49">
              <w:rPr>
                <w:sz w:val="18"/>
                <w:szCs w:val="18"/>
                <w:vertAlign w:val="subscript"/>
              </w:rPr>
              <w:t>2</w:t>
            </w:r>
            <w:r w:rsidRPr="00A41B49">
              <w:rPr>
                <w:sz w:val="18"/>
                <w:szCs w:val="18"/>
              </w:rPr>
              <w:t>O</w:t>
            </w:r>
            <w:r w:rsidRPr="00A41B49">
              <w:rPr>
                <w:sz w:val="18"/>
                <w:szCs w:val="18"/>
                <w:vertAlign w:val="subscript"/>
              </w:rPr>
              <w:t>3</w:t>
            </w:r>
            <w:r w:rsidRPr="00A41B49">
              <w:rPr>
                <w:sz w:val="18"/>
                <w:szCs w:val="18"/>
              </w:rPr>
              <w:t>)</w:t>
            </w:r>
          </w:p>
          <w:p w14:paraId="7B737CE1" w14:textId="77777777" w:rsidR="00D749ED" w:rsidRPr="00A41B49" w:rsidRDefault="00D749ED" w:rsidP="00D749ED">
            <w:pPr>
              <w:spacing w:before="60" w:after="60"/>
              <w:jc w:val="center"/>
              <w:rPr>
                <w:sz w:val="18"/>
                <w:szCs w:val="18"/>
              </w:rPr>
            </w:pPr>
            <w:r w:rsidRPr="00A41B49">
              <w:rPr>
                <w:sz w:val="18"/>
                <w:szCs w:val="18"/>
                <w:lang w:val="it-IT"/>
              </w:rPr>
              <w:t>No method required due to low PECs in comparison to natural background levels</w:t>
            </w:r>
          </w:p>
        </w:tc>
        <w:tc>
          <w:tcPr>
            <w:tcW w:w="1417" w:type="dxa"/>
            <w:vAlign w:val="center"/>
          </w:tcPr>
          <w:p w14:paraId="188ABCC0" w14:textId="77777777" w:rsidR="00D749ED" w:rsidRPr="00A41B49" w:rsidRDefault="00D749ED" w:rsidP="00D749ED">
            <w:pPr>
              <w:spacing w:before="60" w:after="60"/>
              <w:jc w:val="center"/>
              <w:rPr>
                <w:sz w:val="18"/>
                <w:szCs w:val="18"/>
              </w:rPr>
            </w:pPr>
            <w:r w:rsidRPr="00A41B49">
              <w:rPr>
                <w:sz w:val="18"/>
                <w:szCs w:val="18"/>
              </w:rPr>
              <w:t>Knoch, E. (2009), Doc. No. 434-001, A4.2a/03</w:t>
            </w:r>
          </w:p>
        </w:tc>
      </w:tr>
      <w:tr w:rsidR="00D749ED" w:rsidRPr="00A41B49" w14:paraId="29F812DB" w14:textId="77777777" w:rsidTr="005E1E28">
        <w:tc>
          <w:tcPr>
            <w:tcW w:w="851" w:type="dxa"/>
            <w:vMerge/>
            <w:vAlign w:val="center"/>
          </w:tcPr>
          <w:p w14:paraId="18DB7C77" w14:textId="77777777" w:rsidR="00D749ED" w:rsidRPr="00A41B49" w:rsidRDefault="00D749ED" w:rsidP="00D749ED">
            <w:pPr>
              <w:spacing w:before="60" w:after="60"/>
              <w:jc w:val="center"/>
              <w:rPr>
                <w:sz w:val="18"/>
                <w:szCs w:val="18"/>
              </w:rPr>
            </w:pPr>
          </w:p>
        </w:tc>
        <w:tc>
          <w:tcPr>
            <w:tcW w:w="1333" w:type="dxa"/>
            <w:vAlign w:val="center"/>
          </w:tcPr>
          <w:p w14:paraId="3742ADBC" w14:textId="77777777" w:rsidR="00D749ED" w:rsidRPr="00A41B49" w:rsidRDefault="00D749ED" w:rsidP="00D749ED">
            <w:pPr>
              <w:spacing w:before="60" w:after="60"/>
              <w:jc w:val="center"/>
              <w:rPr>
                <w:sz w:val="18"/>
                <w:szCs w:val="18"/>
              </w:rPr>
            </w:pPr>
            <w:r w:rsidRPr="00A41B49">
              <w:rPr>
                <w:sz w:val="18"/>
                <w:szCs w:val="18"/>
              </w:rPr>
              <w:t>iodide and iodate are determined as a sum value, which is reported as iodine</w:t>
            </w:r>
          </w:p>
        </w:tc>
        <w:tc>
          <w:tcPr>
            <w:tcW w:w="1080" w:type="dxa"/>
            <w:vAlign w:val="center"/>
          </w:tcPr>
          <w:p w14:paraId="140FCA3C" w14:textId="77777777" w:rsidR="00D749ED" w:rsidRPr="00A41B49" w:rsidRDefault="00D749ED" w:rsidP="00D749ED">
            <w:pPr>
              <w:pStyle w:val="Standard-italics"/>
              <w:keepNext w:val="0"/>
              <w:jc w:val="center"/>
              <w:rPr>
                <w:i w:val="0"/>
                <w:sz w:val="18"/>
                <w:szCs w:val="18"/>
              </w:rPr>
            </w:pPr>
            <w:r w:rsidRPr="00A41B49">
              <w:rPr>
                <w:i w:val="0"/>
                <w:sz w:val="18"/>
                <w:szCs w:val="18"/>
              </w:rPr>
              <w:t>ICP-MS</w:t>
            </w:r>
          </w:p>
        </w:tc>
        <w:tc>
          <w:tcPr>
            <w:tcW w:w="1421" w:type="dxa"/>
            <w:vAlign w:val="center"/>
          </w:tcPr>
          <w:p w14:paraId="3CCE1778" w14:textId="77777777" w:rsidR="00D749ED" w:rsidRPr="00A41B49" w:rsidRDefault="00D749ED" w:rsidP="00D749ED">
            <w:pPr>
              <w:spacing w:before="60" w:after="60"/>
              <w:jc w:val="center"/>
              <w:rPr>
                <w:sz w:val="18"/>
                <w:szCs w:val="18"/>
              </w:rPr>
            </w:pPr>
            <w:r w:rsidRPr="00A41B49">
              <w:rPr>
                <w:sz w:val="18"/>
                <w:szCs w:val="18"/>
              </w:rPr>
              <w:t>22.4-36.2 mg/kg of iodine, 2 soils 2 replicates</w:t>
            </w:r>
          </w:p>
          <w:p w14:paraId="49672EDC" w14:textId="77777777" w:rsidR="00D749ED" w:rsidRPr="00A41B49" w:rsidRDefault="00D749ED" w:rsidP="00D749ED">
            <w:pPr>
              <w:spacing w:before="60" w:after="60"/>
              <w:jc w:val="center"/>
              <w:rPr>
                <w:sz w:val="18"/>
                <w:szCs w:val="18"/>
              </w:rPr>
            </w:pPr>
            <w:r w:rsidRPr="00A41B49">
              <w:rPr>
                <w:sz w:val="18"/>
                <w:szCs w:val="18"/>
              </w:rPr>
              <w:t xml:space="preserve">5 replicate analyses of 4 soils with certified iodine content (1.9-19.3 mg/kg) </w:t>
            </w:r>
          </w:p>
        </w:tc>
        <w:tc>
          <w:tcPr>
            <w:tcW w:w="994" w:type="dxa"/>
            <w:vAlign w:val="center"/>
          </w:tcPr>
          <w:p w14:paraId="167D86B7" w14:textId="77777777" w:rsidR="00D749ED" w:rsidRPr="00A41B49" w:rsidRDefault="00D749ED" w:rsidP="00D749ED">
            <w:pPr>
              <w:spacing w:before="60" w:after="60"/>
              <w:jc w:val="center"/>
              <w:rPr>
                <w:sz w:val="18"/>
                <w:szCs w:val="18"/>
              </w:rPr>
            </w:pPr>
            <w:r w:rsidRPr="00A41B49">
              <w:rPr>
                <w:sz w:val="18"/>
                <w:szCs w:val="18"/>
              </w:rPr>
              <w:t>5-50 µg iodine/L (iodine/indium ratio of 0.05-0.5)</w:t>
            </w:r>
          </w:p>
        </w:tc>
        <w:tc>
          <w:tcPr>
            <w:tcW w:w="995" w:type="dxa"/>
            <w:vAlign w:val="center"/>
          </w:tcPr>
          <w:p w14:paraId="68A5D752"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3D425183" w14:textId="77777777" w:rsidR="00D749ED" w:rsidRPr="00A41B49" w:rsidRDefault="00D749ED" w:rsidP="00D749ED">
            <w:pPr>
              <w:spacing w:before="60" w:after="60"/>
              <w:jc w:val="center"/>
              <w:rPr>
                <w:sz w:val="18"/>
                <w:szCs w:val="18"/>
                <w:u w:val="single"/>
              </w:rPr>
            </w:pPr>
            <w:r w:rsidRPr="00A41B49">
              <w:rPr>
                <w:sz w:val="18"/>
                <w:szCs w:val="18"/>
                <w:u w:val="single"/>
              </w:rPr>
              <w:t>92-105% for fortified samples. Good agreement with certified levels</w:t>
            </w:r>
          </w:p>
        </w:tc>
        <w:tc>
          <w:tcPr>
            <w:tcW w:w="838" w:type="dxa"/>
            <w:vAlign w:val="center"/>
          </w:tcPr>
          <w:p w14:paraId="343DD792" w14:textId="77777777" w:rsidR="00D749ED" w:rsidRPr="00A41B49" w:rsidRDefault="00D749ED" w:rsidP="00D749ED">
            <w:pPr>
              <w:spacing w:before="60" w:after="60"/>
              <w:jc w:val="center"/>
              <w:rPr>
                <w:sz w:val="18"/>
                <w:szCs w:val="18"/>
                <w:u w:val="single"/>
              </w:rPr>
            </w:pPr>
            <w:r w:rsidRPr="00A41B49">
              <w:rPr>
                <w:sz w:val="18"/>
                <w:szCs w:val="18"/>
                <w:u w:val="single"/>
              </w:rPr>
              <w:t>-</w:t>
            </w:r>
          </w:p>
        </w:tc>
        <w:tc>
          <w:tcPr>
            <w:tcW w:w="992" w:type="dxa"/>
            <w:vAlign w:val="center"/>
          </w:tcPr>
          <w:p w14:paraId="4383D2BB" w14:textId="77777777" w:rsidR="00D749ED" w:rsidRPr="00A41B49" w:rsidRDefault="00D749ED" w:rsidP="00D749ED">
            <w:pPr>
              <w:spacing w:before="60" w:after="60"/>
              <w:jc w:val="center"/>
              <w:rPr>
                <w:sz w:val="18"/>
                <w:szCs w:val="18"/>
                <w:u w:val="single"/>
              </w:rPr>
            </w:pPr>
            <w:r w:rsidRPr="00A41B49">
              <w:rPr>
                <w:sz w:val="18"/>
                <w:szCs w:val="18"/>
                <w:u w:val="single"/>
              </w:rPr>
              <w:t>0-2.7%</w:t>
            </w:r>
          </w:p>
        </w:tc>
        <w:tc>
          <w:tcPr>
            <w:tcW w:w="1276" w:type="dxa"/>
          </w:tcPr>
          <w:p w14:paraId="33382FD8" w14:textId="77777777" w:rsidR="00D749ED" w:rsidRPr="00A41B49" w:rsidRDefault="00D749ED" w:rsidP="00D749ED">
            <w:pPr>
              <w:spacing w:before="60" w:after="60"/>
              <w:jc w:val="center"/>
              <w:rPr>
                <w:sz w:val="18"/>
                <w:szCs w:val="18"/>
                <w:lang w:val="en-US"/>
              </w:rPr>
            </w:pPr>
            <w:r w:rsidRPr="00A41B49">
              <w:rPr>
                <w:sz w:val="18"/>
                <w:szCs w:val="18"/>
                <w:lang w:val="en-US"/>
              </w:rPr>
              <w:t>LOD = 0.02 µg/L (refers to the water extract)</w:t>
            </w:r>
          </w:p>
          <w:p w14:paraId="0D903821" w14:textId="77777777" w:rsidR="00D749ED" w:rsidRPr="00A41B49" w:rsidRDefault="00D749ED" w:rsidP="00D749ED">
            <w:pPr>
              <w:spacing w:before="60" w:after="60"/>
              <w:jc w:val="center"/>
              <w:rPr>
                <w:sz w:val="18"/>
                <w:szCs w:val="18"/>
                <w:lang w:val="en-US"/>
              </w:rPr>
            </w:pPr>
            <w:r w:rsidRPr="00A41B49">
              <w:rPr>
                <w:sz w:val="18"/>
                <w:szCs w:val="18"/>
                <w:lang w:val="en-US"/>
              </w:rPr>
              <w:t>LOQ at least 0.7 mg/kg</w:t>
            </w:r>
          </w:p>
        </w:tc>
        <w:tc>
          <w:tcPr>
            <w:tcW w:w="1134" w:type="dxa"/>
          </w:tcPr>
          <w:p w14:paraId="70C6087A" w14:textId="77777777" w:rsidR="00D749ED" w:rsidRPr="00A41B49" w:rsidRDefault="00D749ED" w:rsidP="00D749ED">
            <w:pPr>
              <w:spacing w:before="60" w:after="60"/>
              <w:jc w:val="center"/>
              <w:rPr>
                <w:sz w:val="18"/>
                <w:szCs w:val="18"/>
                <w:lang w:val="it-IT"/>
              </w:rPr>
            </w:pPr>
            <w:r w:rsidRPr="00A41B49">
              <w:rPr>
                <w:sz w:val="18"/>
                <w:szCs w:val="18"/>
                <w:lang w:val="it-IT"/>
              </w:rPr>
              <w:t>0.05 mg/kg*</w:t>
            </w:r>
          </w:p>
        </w:tc>
        <w:tc>
          <w:tcPr>
            <w:tcW w:w="2466" w:type="dxa"/>
          </w:tcPr>
          <w:p w14:paraId="78401CE3" w14:textId="77777777" w:rsidR="00D749ED" w:rsidRPr="00A41B49" w:rsidRDefault="00D749ED" w:rsidP="00D749ED">
            <w:pPr>
              <w:spacing w:before="60" w:after="60"/>
              <w:jc w:val="center"/>
              <w:rPr>
                <w:sz w:val="18"/>
                <w:szCs w:val="18"/>
                <w:u w:val="single"/>
              </w:rPr>
            </w:pPr>
            <w:r w:rsidRPr="00A41B49">
              <w:rPr>
                <w:sz w:val="18"/>
                <w:szCs w:val="18"/>
                <w:u w:val="single"/>
              </w:rPr>
              <w:t>Not fully acceptable (some missing information)</w:t>
            </w:r>
          </w:p>
          <w:p w14:paraId="4EA1384F" w14:textId="77777777" w:rsidR="00D749ED" w:rsidRPr="00A41B49" w:rsidRDefault="00D749ED" w:rsidP="00D749ED">
            <w:pPr>
              <w:spacing w:before="60" w:after="60"/>
              <w:jc w:val="center"/>
              <w:rPr>
                <w:sz w:val="18"/>
                <w:szCs w:val="18"/>
                <w:u w:val="single"/>
              </w:rPr>
            </w:pPr>
            <w:r w:rsidRPr="00A41B49">
              <w:rPr>
                <w:sz w:val="18"/>
                <w:szCs w:val="18"/>
                <w:lang w:val="it-IT"/>
              </w:rPr>
              <w:t>No method required due to low PECs in comparison to natural background levels</w:t>
            </w:r>
          </w:p>
        </w:tc>
        <w:tc>
          <w:tcPr>
            <w:tcW w:w="1417" w:type="dxa"/>
            <w:vAlign w:val="center"/>
          </w:tcPr>
          <w:p w14:paraId="19FA14AE" w14:textId="77777777" w:rsidR="00D749ED" w:rsidRPr="00A41B49" w:rsidRDefault="00D749ED" w:rsidP="00D749ED">
            <w:pPr>
              <w:spacing w:before="60" w:after="60"/>
              <w:jc w:val="center"/>
              <w:rPr>
                <w:sz w:val="18"/>
                <w:szCs w:val="18"/>
              </w:rPr>
            </w:pPr>
            <w:r w:rsidRPr="00A41B49">
              <w:rPr>
                <w:sz w:val="18"/>
                <w:szCs w:val="18"/>
              </w:rPr>
              <w:t>H. Yamada et al (1996), Doc. No. 492-017, A4.2a/04</w:t>
            </w:r>
          </w:p>
        </w:tc>
      </w:tr>
      <w:tr w:rsidR="00D749ED" w:rsidRPr="00A41B49" w14:paraId="6B9F6B9F" w14:textId="77777777" w:rsidTr="005E1E28">
        <w:tc>
          <w:tcPr>
            <w:tcW w:w="851" w:type="dxa"/>
            <w:vMerge w:val="restart"/>
            <w:vAlign w:val="center"/>
          </w:tcPr>
          <w:p w14:paraId="2CF82584" w14:textId="77777777" w:rsidR="00D749ED" w:rsidRPr="00A41B49" w:rsidRDefault="00D749ED" w:rsidP="00D749ED">
            <w:pPr>
              <w:spacing w:before="60" w:after="60"/>
              <w:jc w:val="center"/>
              <w:rPr>
                <w:sz w:val="18"/>
                <w:szCs w:val="18"/>
              </w:rPr>
            </w:pPr>
            <w:r w:rsidRPr="00A41B49">
              <w:rPr>
                <w:sz w:val="18"/>
                <w:szCs w:val="18"/>
              </w:rPr>
              <w:t>Air</w:t>
            </w:r>
          </w:p>
        </w:tc>
        <w:tc>
          <w:tcPr>
            <w:tcW w:w="1333" w:type="dxa"/>
            <w:vMerge w:val="restart"/>
            <w:vAlign w:val="center"/>
          </w:tcPr>
          <w:p w14:paraId="46C3F725" w14:textId="77777777" w:rsidR="00D749ED" w:rsidRPr="00A41B49" w:rsidRDefault="00D749ED" w:rsidP="00D749ED">
            <w:pPr>
              <w:spacing w:before="60" w:after="60"/>
              <w:jc w:val="center"/>
              <w:rPr>
                <w:i/>
                <w:sz w:val="18"/>
                <w:szCs w:val="18"/>
              </w:rPr>
            </w:pPr>
            <w:r w:rsidRPr="00A41B49">
              <w:rPr>
                <w:sz w:val="18"/>
                <w:szCs w:val="18"/>
              </w:rPr>
              <w:t>iodine</w:t>
            </w:r>
          </w:p>
        </w:tc>
        <w:tc>
          <w:tcPr>
            <w:tcW w:w="1080" w:type="dxa"/>
            <w:vAlign w:val="center"/>
          </w:tcPr>
          <w:p w14:paraId="66ED1723" w14:textId="77777777" w:rsidR="00D749ED" w:rsidRPr="00A41B49" w:rsidRDefault="00D749ED" w:rsidP="00D749ED">
            <w:pPr>
              <w:pStyle w:val="Standard-italics"/>
              <w:keepNext w:val="0"/>
              <w:jc w:val="center"/>
              <w:rPr>
                <w:i w:val="0"/>
                <w:sz w:val="18"/>
                <w:szCs w:val="18"/>
              </w:rPr>
            </w:pPr>
            <w:r w:rsidRPr="00A41B49">
              <w:rPr>
                <w:i w:val="0"/>
                <w:sz w:val="18"/>
                <w:szCs w:val="18"/>
              </w:rPr>
              <w:t>In air sampling tubes, I</w:t>
            </w:r>
            <w:r w:rsidRPr="00A41B49">
              <w:rPr>
                <w:i w:val="0"/>
                <w:sz w:val="18"/>
                <w:szCs w:val="18"/>
                <w:vertAlign w:val="subscript"/>
              </w:rPr>
              <w:t>2</w:t>
            </w:r>
            <w:r w:rsidRPr="00A41B49">
              <w:rPr>
                <w:i w:val="0"/>
                <w:sz w:val="18"/>
                <w:szCs w:val="18"/>
              </w:rPr>
              <w:t xml:space="preserve"> is partially but stoichiometrically converted to iodide. Iodide is determined by IC-PED.</w:t>
            </w:r>
          </w:p>
        </w:tc>
        <w:tc>
          <w:tcPr>
            <w:tcW w:w="1421" w:type="dxa"/>
          </w:tcPr>
          <w:p w14:paraId="309D8B9B" w14:textId="77777777" w:rsidR="00D749ED" w:rsidRPr="00A41B49" w:rsidRDefault="00D749ED" w:rsidP="00D749ED">
            <w:pPr>
              <w:pStyle w:val="Standard-italics"/>
              <w:rPr>
                <w:i w:val="0"/>
                <w:sz w:val="18"/>
                <w:szCs w:val="18"/>
              </w:rPr>
            </w:pPr>
            <w:r w:rsidRPr="00A41B49">
              <w:rPr>
                <w:i w:val="0"/>
                <w:sz w:val="18"/>
                <w:szCs w:val="18"/>
              </w:rPr>
              <w:t xml:space="preserve">Air at concentration of 0.05, 0.1 and 0.2 ppm </w:t>
            </w:r>
            <w:proofErr w:type="gramStart"/>
            <w:r w:rsidRPr="00A41B49">
              <w:rPr>
                <w:i w:val="0"/>
                <w:sz w:val="18"/>
                <w:szCs w:val="18"/>
              </w:rPr>
              <w:t>and  relative</w:t>
            </w:r>
            <w:proofErr w:type="gramEnd"/>
            <w:r w:rsidRPr="00A41B49">
              <w:rPr>
                <w:i w:val="0"/>
                <w:sz w:val="18"/>
                <w:szCs w:val="18"/>
              </w:rPr>
              <w:t xml:space="preserve"> humidities of 25%, 50%, and 80% were sampled.</w:t>
            </w:r>
          </w:p>
          <w:p w14:paraId="270196BF" w14:textId="77777777" w:rsidR="00D749ED" w:rsidRPr="00A41B49" w:rsidRDefault="00D749ED" w:rsidP="00D749ED">
            <w:pPr>
              <w:pStyle w:val="Standard-italics"/>
              <w:rPr>
                <w:i w:val="0"/>
                <w:sz w:val="18"/>
                <w:szCs w:val="18"/>
                <w:highlight w:val="yellow"/>
              </w:rPr>
            </w:pPr>
            <w:r w:rsidRPr="00A41B49">
              <w:rPr>
                <w:i w:val="0"/>
                <w:sz w:val="18"/>
                <w:szCs w:val="18"/>
              </w:rPr>
              <w:t>6 measurements per concentration / relative humidity combination (only 5 in one case).</w:t>
            </w:r>
          </w:p>
        </w:tc>
        <w:tc>
          <w:tcPr>
            <w:tcW w:w="994" w:type="dxa"/>
          </w:tcPr>
          <w:p w14:paraId="0300E446" w14:textId="77777777" w:rsidR="00D749ED" w:rsidRPr="00A41B49" w:rsidRDefault="00D749ED" w:rsidP="00D749ED">
            <w:pPr>
              <w:spacing w:before="60" w:after="60"/>
              <w:jc w:val="center"/>
              <w:rPr>
                <w:sz w:val="18"/>
                <w:szCs w:val="18"/>
              </w:rPr>
            </w:pPr>
            <w:r w:rsidRPr="00A41B49">
              <w:rPr>
                <w:sz w:val="18"/>
                <w:szCs w:val="18"/>
              </w:rPr>
              <w:t>Calibration range: 0.1 – 5.0 µg iodide/mL</w:t>
            </w:r>
          </w:p>
        </w:tc>
        <w:tc>
          <w:tcPr>
            <w:tcW w:w="995" w:type="dxa"/>
            <w:vAlign w:val="center"/>
          </w:tcPr>
          <w:p w14:paraId="5441FE76"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tcPr>
          <w:p w14:paraId="02CBD515" w14:textId="77777777" w:rsidR="00D749ED" w:rsidRPr="00A41B49" w:rsidRDefault="00D749ED" w:rsidP="00D749ED">
            <w:pPr>
              <w:rPr>
                <w:sz w:val="18"/>
                <w:szCs w:val="18"/>
              </w:rPr>
            </w:pPr>
            <w:r w:rsidRPr="00A41B49">
              <w:rPr>
                <w:sz w:val="18"/>
                <w:szCs w:val="18"/>
              </w:rPr>
              <w:t>Overall</w:t>
            </w:r>
          </w:p>
          <w:p w14:paraId="60BA336F" w14:textId="77777777" w:rsidR="00D749ED" w:rsidRPr="00A41B49" w:rsidRDefault="00D749ED" w:rsidP="00D749ED">
            <w:pPr>
              <w:rPr>
                <w:sz w:val="18"/>
                <w:szCs w:val="18"/>
              </w:rPr>
            </w:pPr>
            <w:r w:rsidRPr="00A41B49">
              <w:rPr>
                <w:sz w:val="18"/>
                <w:szCs w:val="18"/>
              </w:rPr>
              <w:t>62.7 – 103%</w:t>
            </w:r>
          </w:p>
          <w:p w14:paraId="62541AFE" w14:textId="77777777" w:rsidR="00D749ED" w:rsidRPr="00A41B49" w:rsidRDefault="00D749ED" w:rsidP="00D749ED">
            <w:pPr>
              <w:rPr>
                <w:sz w:val="18"/>
                <w:szCs w:val="18"/>
              </w:rPr>
            </w:pPr>
          </w:p>
          <w:p w14:paraId="4F9C61CE" w14:textId="77777777" w:rsidR="00D749ED" w:rsidRPr="00A41B49" w:rsidRDefault="00D749ED" w:rsidP="00D749ED">
            <w:pPr>
              <w:rPr>
                <w:sz w:val="18"/>
                <w:szCs w:val="18"/>
              </w:rPr>
            </w:pPr>
            <w:r w:rsidRPr="00A41B49">
              <w:rPr>
                <w:sz w:val="18"/>
                <w:szCs w:val="18"/>
              </w:rPr>
              <w:t>25% r.H:</w:t>
            </w:r>
          </w:p>
          <w:p w14:paraId="3D610C61" w14:textId="77777777" w:rsidR="00D749ED" w:rsidRPr="00A41B49" w:rsidRDefault="00D749ED" w:rsidP="00D749ED">
            <w:pPr>
              <w:rPr>
                <w:sz w:val="18"/>
                <w:szCs w:val="18"/>
              </w:rPr>
            </w:pPr>
            <w:r w:rsidRPr="00A41B49">
              <w:rPr>
                <w:sz w:val="18"/>
                <w:szCs w:val="18"/>
              </w:rPr>
              <w:t>95 – 103</w:t>
            </w:r>
          </w:p>
          <w:p w14:paraId="4F24B855" w14:textId="77777777" w:rsidR="00D749ED" w:rsidRPr="00A41B49" w:rsidRDefault="00D749ED" w:rsidP="00D749ED">
            <w:pPr>
              <w:rPr>
                <w:sz w:val="18"/>
                <w:szCs w:val="18"/>
              </w:rPr>
            </w:pPr>
          </w:p>
          <w:p w14:paraId="4EC07F94" w14:textId="77777777" w:rsidR="00D749ED" w:rsidRPr="00A41B49" w:rsidRDefault="00D749ED" w:rsidP="00D749ED">
            <w:pPr>
              <w:rPr>
                <w:sz w:val="18"/>
                <w:szCs w:val="18"/>
              </w:rPr>
            </w:pPr>
            <w:r w:rsidRPr="00A41B49">
              <w:rPr>
                <w:sz w:val="18"/>
                <w:szCs w:val="18"/>
              </w:rPr>
              <w:t>50% r.H:</w:t>
            </w:r>
          </w:p>
          <w:p w14:paraId="49EB1D6B" w14:textId="77777777" w:rsidR="00D749ED" w:rsidRPr="00A41B49" w:rsidRDefault="00D749ED" w:rsidP="00D749ED">
            <w:pPr>
              <w:rPr>
                <w:sz w:val="18"/>
                <w:szCs w:val="18"/>
              </w:rPr>
            </w:pPr>
            <w:r w:rsidRPr="00A41B49">
              <w:rPr>
                <w:sz w:val="18"/>
                <w:szCs w:val="18"/>
              </w:rPr>
              <w:t>94.2 – 99.4</w:t>
            </w:r>
          </w:p>
          <w:p w14:paraId="5BD464BE" w14:textId="77777777" w:rsidR="00D749ED" w:rsidRPr="00A41B49" w:rsidRDefault="00D749ED" w:rsidP="00D749ED">
            <w:pPr>
              <w:rPr>
                <w:sz w:val="18"/>
                <w:szCs w:val="18"/>
              </w:rPr>
            </w:pPr>
          </w:p>
          <w:p w14:paraId="7E29A2D0" w14:textId="77777777" w:rsidR="00D749ED" w:rsidRPr="00A41B49" w:rsidRDefault="00D749ED" w:rsidP="00D749ED">
            <w:pPr>
              <w:rPr>
                <w:sz w:val="18"/>
                <w:szCs w:val="18"/>
              </w:rPr>
            </w:pPr>
            <w:r w:rsidRPr="00A41B49">
              <w:rPr>
                <w:sz w:val="18"/>
                <w:szCs w:val="18"/>
              </w:rPr>
              <w:t>80% r.H.:</w:t>
            </w:r>
          </w:p>
          <w:p w14:paraId="1E5804F1" w14:textId="77777777" w:rsidR="00D749ED" w:rsidRPr="00A41B49" w:rsidRDefault="00D749ED" w:rsidP="00D749ED">
            <w:pPr>
              <w:rPr>
                <w:sz w:val="18"/>
                <w:szCs w:val="18"/>
              </w:rPr>
            </w:pPr>
            <w:r w:rsidRPr="00A41B49">
              <w:rPr>
                <w:sz w:val="18"/>
                <w:szCs w:val="18"/>
              </w:rPr>
              <w:t>62.7 – 86.8</w:t>
            </w:r>
          </w:p>
        </w:tc>
        <w:tc>
          <w:tcPr>
            <w:tcW w:w="838" w:type="dxa"/>
          </w:tcPr>
          <w:p w14:paraId="31C2634C" w14:textId="77777777" w:rsidR="00D749ED" w:rsidRPr="00A41B49" w:rsidRDefault="00D749ED" w:rsidP="00D749ED">
            <w:pPr>
              <w:rPr>
                <w:sz w:val="18"/>
                <w:szCs w:val="18"/>
              </w:rPr>
            </w:pPr>
          </w:p>
          <w:p w14:paraId="09683AF9" w14:textId="77777777" w:rsidR="00D749ED" w:rsidRPr="00A41B49" w:rsidRDefault="00D749ED" w:rsidP="00D749ED">
            <w:pPr>
              <w:rPr>
                <w:sz w:val="18"/>
                <w:szCs w:val="18"/>
              </w:rPr>
            </w:pPr>
            <w:r w:rsidRPr="00A41B49">
              <w:rPr>
                <w:sz w:val="18"/>
                <w:szCs w:val="18"/>
              </w:rPr>
              <w:t>90.7</w:t>
            </w:r>
            <w:r w:rsidRPr="00A41B49">
              <w:rPr>
                <w:sz w:val="18"/>
                <w:szCs w:val="18"/>
              </w:rPr>
              <w:br/>
            </w:r>
          </w:p>
          <w:p w14:paraId="7EAB0632" w14:textId="77777777" w:rsidR="00D749ED" w:rsidRPr="00A41B49" w:rsidRDefault="00D749ED" w:rsidP="00D749ED">
            <w:pPr>
              <w:rPr>
                <w:sz w:val="18"/>
                <w:szCs w:val="18"/>
              </w:rPr>
            </w:pPr>
          </w:p>
          <w:p w14:paraId="02199EA9" w14:textId="77777777" w:rsidR="00D749ED" w:rsidRPr="00A41B49" w:rsidRDefault="00D749ED" w:rsidP="00D749ED">
            <w:pPr>
              <w:rPr>
                <w:sz w:val="18"/>
                <w:szCs w:val="18"/>
              </w:rPr>
            </w:pPr>
          </w:p>
          <w:p w14:paraId="2BE85B7D" w14:textId="77777777" w:rsidR="00D749ED" w:rsidRPr="00A41B49" w:rsidRDefault="00D749ED" w:rsidP="00D749ED">
            <w:pPr>
              <w:rPr>
                <w:sz w:val="18"/>
                <w:szCs w:val="18"/>
              </w:rPr>
            </w:pPr>
            <w:r w:rsidRPr="00A41B49">
              <w:rPr>
                <w:sz w:val="18"/>
                <w:szCs w:val="18"/>
              </w:rPr>
              <w:t>98.2</w:t>
            </w:r>
          </w:p>
          <w:p w14:paraId="0C0A96B1" w14:textId="77777777" w:rsidR="00D749ED" w:rsidRPr="00A41B49" w:rsidRDefault="00D749ED" w:rsidP="00D749ED">
            <w:pPr>
              <w:rPr>
                <w:sz w:val="18"/>
                <w:szCs w:val="18"/>
              </w:rPr>
            </w:pPr>
          </w:p>
          <w:p w14:paraId="0D43CB56" w14:textId="77777777" w:rsidR="00D749ED" w:rsidRPr="00A41B49" w:rsidRDefault="00D749ED" w:rsidP="00D749ED">
            <w:pPr>
              <w:rPr>
                <w:sz w:val="18"/>
                <w:szCs w:val="18"/>
              </w:rPr>
            </w:pPr>
          </w:p>
          <w:p w14:paraId="7CDC5D35" w14:textId="77777777" w:rsidR="00D749ED" w:rsidRPr="00A41B49" w:rsidRDefault="00D749ED" w:rsidP="00D749ED">
            <w:pPr>
              <w:rPr>
                <w:sz w:val="18"/>
                <w:szCs w:val="18"/>
              </w:rPr>
            </w:pPr>
            <w:r w:rsidRPr="00A41B49">
              <w:rPr>
                <w:sz w:val="18"/>
                <w:szCs w:val="18"/>
              </w:rPr>
              <w:t>97.2</w:t>
            </w:r>
            <w:r w:rsidRPr="00A41B49">
              <w:rPr>
                <w:sz w:val="18"/>
                <w:szCs w:val="18"/>
              </w:rPr>
              <w:br/>
            </w:r>
            <w:r w:rsidRPr="00A41B49">
              <w:rPr>
                <w:sz w:val="18"/>
                <w:szCs w:val="18"/>
              </w:rPr>
              <w:br/>
            </w:r>
            <w:r w:rsidRPr="00A41B49">
              <w:rPr>
                <w:sz w:val="18"/>
                <w:szCs w:val="18"/>
              </w:rPr>
              <w:br/>
              <w:t>76.5</w:t>
            </w:r>
          </w:p>
        </w:tc>
        <w:tc>
          <w:tcPr>
            <w:tcW w:w="992" w:type="dxa"/>
          </w:tcPr>
          <w:p w14:paraId="2CF0B896" w14:textId="77777777" w:rsidR="00D749ED" w:rsidRPr="00A41B49" w:rsidRDefault="00D749ED" w:rsidP="00D749ED">
            <w:pPr>
              <w:rPr>
                <w:sz w:val="18"/>
                <w:szCs w:val="18"/>
              </w:rPr>
            </w:pPr>
          </w:p>
          <w:p w14:paraId="29E60F8F" w14:textId="77777777" w:rsidR="00D749ED" w:rsidRPr="00A41B49" w:rsidRDefault="00D749ED" w:rsidP="00D749ED">
            <w:pPr>
              <w:rPr>
                <w:sz w:val="18"/>
                <w:szCs w:val="18"/>
              </w:rPr>
            </w:pPr>
            <w:r w:rsidRPr="00A41B49">
              <w:rPr>
                <w:sz w:val="18"/>
                <w:szCs w:val="18"/>
              </w:rPr>
              <w:t>12.6</w:t>
            </w:r>
            <w:r w:rsidRPr="00A41B49">
              <w:rPr>
                <w:sz w:val="18"/>
                <w:szCs w:val="18"/>
              </w:rPr>
              <w:br/>
            </w:r>
          </w:p>
          <w:p w14:paraId="79EFBC35" w14:textId="77777777" w:rsidR="00D749ED" w:rsidRPr="00A41B49" w:rsidRDefault="00D749ED" w:rsidP="00D749ED">
            <w:pPr>
              <w:rPr>
                <w:sz w:val="18"/>
                <w:szCs w:val="18"/>
              </w:rPr>
            </w:pPr>
          </w:p>
          <w:p w14:paraId="7D144698" w14:textId="77777777" w:rsidR="00D749ED" w:rsidRPr="00A41B49" w:rsidRDefault="00D749ED" w:rsidP="00D749ED">
            <w:pPr>
              <w:rPr>
                <w:sz w:val="18"/>
                <w:szCs w:val="18"/>
              </w:rPr>
            </w:pPr>
          </w:p>
          <w:p w14:paraId="0DE5337A" w14:textId="77777777" w:rsidR="00D749ED" w:rsidRPr="00A41B49" w:rsidRDefault="00D749ED" w:rsidP="00D749ED">
            <w:pPr>
              <w:rPr>
                <w:sz w:val="18"/>
                <w:szCs w:val="18"/>
              </w:rPr>
            </w:pPr>
            <w:r w:rsidRPr="00A41B49">
              <w:rPr>
                <w:sz w:val="18"/>
                <w:szCs w:val="18"/>
              </w:rPr>
              <w:t>4.2</w:t>
            </w:r>
          </w:p>
          <w:p w14:paraId="2CF48558" w14:textId="77777777" w:rsidR="00D749ED" w:rsidRPr="00A41B49" w:rsidRDefault="00D749ED" w:rsidP="00D749ED">
            <w:pPr>
              <w:rPr>
                <w:sz w:val="18"/>
                <w:szCs w:val="18"/>
              </w:rPr>
            </w:pPr>
          </w:p>
          <w:p w14:paraId="3BAC5962" w14:textId="77777777" w:rsidR="00D749ED" w:rsidRPr="00A41B49" w:rsidRDefault="00D749ED" w:rsidP="00D749ED">
            <w:pPr>
              <w:rPr>
                <w:sz w:val="18"/>
                <w:szCs w:val="18"/>
              </w:rPr>
            </w:pPr>
          </w:p>
          <w:p w14:paraId="5DEDEB54" w14:textId="77777777" w:rsidR="00D749ED" w:rsidRPr="00A41B49" w:rsidRDefault="00D749ED" w:rsidP="00D749ED">
            <w:pPr>
              <w:rPr>
                <w:sz w:val="18"/>
                <w:szCs w:val="18"/>
              </w:rPr>
            </w:pPr>
            <w:r w:rsidRPr="00A41B49">
              <w:rPr>
                <w:sz w:val="18"/>
                <w:szCs w:val="18"/>
              </w:rPr>
              <w:t>2.7</w:t>
            </w:r>
          </w:p>
          <w:p w14:paraId="0B69D07B" w14:textId="77777777" w:rsidR="00D749ED" w:rsidRPr="00A41B49" w:rsidRDefault="00D749ED" w:rsidP="00D749ED">
            <w:pPr>
              <w:rPr>
                <w:sz w:val="18"/>
                <w:szCs w:val="18"/>
              </w:rPr>
            </w:pPr>
          </w:p>
          <w:p w14:paraId="756FC5CA" w14:textId="77777777" w:rsidR="00D749ED" w:rsidRPr="00A41B49" w:rsidRDefault="00D749ED" w:rsidP="00D749ED">
            <w:pPr>
              <w:rPr>
                <w:sz w:val="18"/>
                <w:szCs w:val="18"/>
              </w:rPr>
            </w:pPr>
          </w:p>
          <w:p w14:paraId="5C03BEAE" w14:textId="77777777" w:rsidR="00D749ED" w:rsidRPr="00A41B49" w:rsidRDefault="00D749ED" w:rsidP="00D749ED">
            <w:pPr>
              <w:rPr>
                <w:sz w:val="18"/>
                <w:szCs w:val="18"/>
              </w:rPr>
            </w:pPr>
            <w:r w:rsidRPr="00A41B49">
              <w:rPr>
                <w:sz w:val="18"/>
                <w:szCs w:val="18"/>
              </w:rPr>
              <w:t>12.4</w:t>
            </w:r>
          </w:p>
        </w:tc>
        <w:tc>
          <w:tcPr>
            <w:tcW w:w="1276" w:type="dxa"/>
            <w:vAlign w:val="center"/>
          </w:tcPr>
          <w:p w14:paraId="16B7136C" w14:textId="77777777" w:rsidR="00D749ED" w:rsidRPr="00A41B49" w:rsidRDefault="00D749ED" w:rsidP="00D749ED">
            <w:pPr>
              <w:pStyle w:val="Standard-italics"/>
              <w:jc w:val="center"/>
              <w:rPr>
                <w:i w:val="0"/>
                <w:sz w:val="18"/>
                <w:szCs w:val="18"/>
              </w:rPr>
            </w:pPr>
            <w:r w:rsidRPr="00A41B49">
              <w:rPr>
                <w:i w:val="0"/>
                <w:sz w:val="18"/>
                <w:szCs w:val="18"/>
              </w:rPr>
              <w:t>LOD = 0.0004 ppm (2.5 L air sample)</w:t>
            </w:r>
          </w:p>
          <w:p w14:paraId="0870D388" w14:textId="77777777" w:rsidR="00D749ED" w:rsidRPr="00A41B49" w:rsidRDefault="00D749ED" w:rsidP="00D749ED">
            <w:pPr>
              <w:spacing w:before="60" w:after="60"/>
              <w:jc w:val="center"/>
              <w:rPr>
                <w:sz w:val="18"/>
                <w:szCs w:val="18"/>
              </w:rPr>
            </w:pPr>
            <w:r w:rsidRPr="00A41B49">
              <w:rPr>
                <w:sz w:val="18"/>
                <w:szCs w:val="18"/>
              </w:rPr>
              <w:t>LOQ = 0.001 ppm (2.5 L air sample)</w:t>
            </w:r>
          </w:p>
        </w:tc>
        <w:tc>
          <w:tcPr>
            <w:tcW w:w="1134" w:type="dxa"/>
          </w:tcPr>
          <w:p w14:paraId="6B6FABD8" w14:textId="77777777" w:rsidR="00D749ED" w:rsidRPr="00A41B49" w:rsidRDefault="00D749ED" w:rsidP="00D749ED">
            <w:pPr>
              <w:spacing w:before="60" w:after="60"/>
              <w:jc w:val="center"/>
              <w:rPr>
                <w:sz w:val="18"/>
                <w:szCs w:val="18"/>
                <w:lang w:val="it-IT"/>
              </w:rPr>
            </w:pPr>
            <w:r w:rsidRPr="00A41B49">
              <w:rPr>
                <w:sz w:val="18"/>
                <w:szCs w:val="18"/>
                <w:lang w:val="it-IT"/>
              </w:rPr>
              <w:t>0.1 mg/m</w:t>
            </w:r>
            <w:r w:rsidRPr="00A41B49">
              <w:rPr>
                <w:sz w:val="18"/>
                <w:szCs w:val="18"/>
                <w:vertAlign w:val="superscript"/>
                <w:lang w:val="it-IT"/>
              </w:rPr>
              <w:t>3</w:t>
            </w:r>
            <w:r w:rsidRPr="00A41B49">
              <w:rPr>
                <w:sz w:val="18"/>
                <w:szCs w:val="18"/>
                <w:lang w:val="it-IT"/>
              </w:rPr>
              <w:t>**</w:t>
            </w:r>
          </w:p>
        </w:tc>
        <w:tc>
          <w:tcPr>
            <w:tcW w:w="2466" w:type="dxa"/>
            <w:vMerge w:val="restart"/>
          </w:tcPr>
          <w:p w14:paraId="36207A73" w14:textId="77777777" w:rsidR="00D749ED" w:rsidRPr="00A41B49" w:rsidRDefault="00D749ED" w:rsidP="00D749ED">
            <w:pPr>
              <w:spacing w:before="60" w:after="60"/>
              <w:jc w:val="center"/>
              <w:rPr>
                <w:sz w:val="18"/>
                <w:szCs w:val="18"/>
                <w:u w:val="single"/>
                <w:lang w:val="it-IT"/>
              </w:rPr>
            </w:pPr>
            <w:r w:rsidRPr="00A41B49">
              <w:rPr>
                <w:sz w:val="18"/>
                <w:szCs w:val="18"/>
                <w:u w:val="single"/>
                <w:lang w:val="it-IT"/>
              </w:rPr>
              <w:t>Acceptable</w:t>
            </w:r>
          </w:p>
        </w:tc>
        <w:tc>
          <w:tcPr>
            <w:tcW w:w="1417" w:type="dxa"/>
            <w:vMerge w:val="restart"/>
            <w:vAlign w:val="center"/>
          </w:tcPr>
          <w:p w14:paraId="170666B8" w14:textId="77777777" w:rsidR="00D749ED" w:rsidRPr="00A41B49" w:rsidRDefault="00D749ED" w:rsidP="00D749ED">
            <w:pPr>
              <w:spacing w:before="60" w:after="60"/>
              <w:jc w:val="center"/>
              <w:rPr>
                <w:sz w:val="18"/>
                <w:szCs w:val="18"/>
                <w:lang w:val="it-IT"/>
              </w:rPr>
            </w:pPr>
            <w:r w:rsidRPr="00A41B49">
              <w:rPr>
                <w:sz w:val="18"/>
                <w:szCs w:val="18"/>
                <w:lang w:val="it-IT"/>
              </w:rPr>
              <w:t>OSHA, (1994), Doc. No. 592-036; A4.2b/01</w:t>
            </w:r>
          </w:p>
        </w:tc>
      </w:tr>
      <w:tr w:rsidR="00D749ED" w:rsidRPr="00A41B49" w14:paraId="1BF641A0" w14:textId="77777777" w:rsidTr="005E1E28">
        <w:tc>
          <w:tcPr>
            <w:tcW w:w="851" w:type="dxa"/>
            <w:vMerge/>
            <w:vAlign w:val="center"/>
          </w:tcPr>
          <w:p w14:paraId="5DF0973D" w14:textId="77777777" w:rsidR="00D749ED" w:rsidRPr="00A41B49" w:rsidRDefault="00D749ED" w:rsidP="00D749ED">
            <w:pPr>
              <w:spacing w:before="60" w:after="60"/>
              <w:jc w:val="center"/>
              <w:rPr>
                <w:sz w:val="18"/>
                <w:szCs w:val="18"/>
              </w:rPr>
            </w:pPr>
          </w:p>
        </w:tc>
        <w:tc>
          <w:tcPr>
            <w:tcW w:w="1333" w:type="dxa"/>
            <w:vMerge/>
            <w:vAlign w:val="center"/>
          </w:tcPr>
          <w:p w14:paraId="71E6EF53" w14:textId="77777777" w:rsidR="00D749ED" w:rsidRPr="00A41B49" w:rsidRDefault="00D749ED" w:rsidP="00D749ED">
            <w:pPr>
              <w:spacing w:before="60" w:after="60"/>
              <w:jc w:val="center"/>
              <w:rPr>
                <w:sz w:val="18"/>
                <w:szCs w:val="18"/>
              </w:rPr>
            </w:pPr>
          </w:p>
        </w:tc>
        <w:tc>
          <w:tcPr>
            <w:tcW w:w="1080" w:type="dxa"/>
            <w:vAlign w:val="center"/>
          </w:tcPr>
          <w:p w14:paraId="43784022" w14:textId="77777777" w:rsidR="00D749ED" w:rsidRPr="00A41B49" w:rsidRDefault="00D749ED" w:rsidP="00D749ED">
            <w:pPr>
              <w:pStyle w:val="Standard-italics"/>
              <w:keepNext w:val="0"/>
              <w:jc w:val="center"/>
              <w:rPr>
                <w:i w:val="0"/>
                <w:sz w:val="18"/>
                <w:szCs w:val="18"/>
              </w:rPr>
            </w:pPr>
            <w:r w:rsidRPr="00A41B49">
              <w:rPr>
                <w:i w:val="0"/>
                <w:sz w:val="18"/>
                <w:szCs w:val="18"/>
              </w:rPr>
              <w:t>In case of high air humidity, air sampled using impingers containing an alkaline collection solution and iodide is determined by IC-PED. The use of bubblers is expected to enhance the recovery due to increased dispersion.</w:t>
            </w:r>
          </w:p>
        </w:tc>
        <w:tc>
          <w:tcPr>
            <w:tcW w:w="1421" w:type="dxa"/>
          </w:tcPr>
          <w:p w14:paraId="7741314A" w14:textId="77777777" w:rsidR="00D749ED" w:rsidRPr="00A41B49" w:rsidRDefault="00D749ED" w:rsidP="00D749ED">
            <w:pPr>
              <w:pStyle w:val="Standard-italics"/>
              <w:rPr>
                <w:i w:val="0"/>
                <w:sz w:val="18"/>
                <w:szCs w:val="18"/>
              </w:rPr>
            </w:pPr>
            <w:r w:rsidRPr="00A41B49">
              <w:rPr>
                <w:i w:val="0"/>
                <w:sz w:val="18"/>
                <w:szCs w:val="18"/>
              </w:rPr>
              <w:t xml:space="preserve">Air at concentration of 0.05, 0.1 and 0.2 ppm </w:t>
            </w:r>
            <w:proofErr w:type="gramStart"/>
            <w:r w:rsidRPr="00A41B49">
              <w:rPr>
                <w:i w:val="0"/>
                <w:sz w:val="18"/>
                <w:szCs w:val="18"/>
              </w:rPr>
              <w:t>and  relative</w:t>
            </w:r>
            <w:proofErr w:type="gramEnd"/>
            <w:r w:rsidRPr="00A41B49">
              <w:rPr>
                <w:i w:val="0"/>
                <w:sz w:val="18"/>
                <w:szCs w:val="18"/>
              </w:rPr>
              <w:t xml:space="preserve"> humidities of 80% were sampled.</w:t>
            </w:r>
          </w:p>
          <w:p w14:paraId="1B0CD507" w14:textId="77777777" w:rsidR="00D749ED" w:rsidRPr="00A41B49" w:rsidRDefault="00D749ED" w:rsidP="00D749ED">
            <w:pPr>
              <w:pStyle w:val="Standard-italics"/>
              <w:rPr>
                <w:i w:val="0"/>
                <w:sz w:val="18"/>
                <w:szCs w:val="18"/>
              </w:rPr>
            </w:pPr>
            <w:r w:rsidRPr="00A41B49">
              <w:rPr>
                <w:i w:val="0"/>
                <w:sz w:val="18"/>
                <w:szCs w:val="18"/>
              </w:rPr>
              <w:t xml:space="preserve">3 measurements per concentration </w:t>
            </w:r>
          </w:p>
        </w:tc>
        <w:tc>
          <w:tcPr>
            <w:tcW w:w="994" w:type="dxa"/>
          </w:tcPr>
          <w:p w14:paraId="56552BCF" w14:textId="77777777" w:rsidR="00D749ED" w:rsidRPr="00A41B49" w:rsidRDefault="00D749ED" w:rsidP="00D749ED">
            <w:pPr>
              <w:spacing w:before="60" w:after="60"/>
              <w:jc w:val="center"/>
              <w:rPr>
                <w:sz w:val="18"/>
                <w:szCs w:val="18"/>
              </w:rPr>
            </w:pPr>
            <w:r w:rsidRPr="00A41B49">
              <w:rPr>
                <w:sz w:val="18"/>
                <w:szCs w:val="18"/>
              </w:rPr>
              <w:t>See above</w:t>
            </w:r>
          </w:p>
        </w:tc>
        <w:tc>
          <w:tcPr>
            <w:tcW w:w="995" w:type="dxa"/>
          </w:tcPr>
          <w:p w14:paraId="1C7E7BDE" w14:textId="77777777" w:rsidR="00D749ED" w:rsidRPr="00A41B49" w:rsidRDefault="00D749ED" w:rsidP="00D749ED">
            <w:pPr>
              <w:spacing w:before="60" w:after="60"/>
              <w:rPr>
                <w:sz w:val="18"/>
                <w:szCs w:val="18"/>
              </w:rPr>
            </w:pPr>
            <w:r w:rsidRPr="00A41B49">
              <w:rPr>
                <w:sz w:val="18"/>
                <w:szCs w:val="18"/>
              </w:rPr>
              <w:t>See above</w:t>
            </w:r>
          </w:p>
        </w:tc>
        <w:tc>
          <w:tcPr>
            <w:tcW w:w="994" w:type="dxa"/>
            <w:gridSpan w:val="2"/>
          </w:tcPr>
          <w:p w14:paraId="3B62BB0E" w14:textId="77777777" w:rsidR="00D749ED" w:rsidRPr="00A41B49" w:rsidRDefault="00D749ED" w:rsidP="00D749ED">
            <w:pPr>
              <w:rPr>
                <w:sz w:val="18"/>
                <w:szCs w:val="18"/>
              </w:rPr>
            </w:pPr>
            <w:r w:rsidRPr="00A41B49">
              <w:rPr>
                <w:sz w:val="18"/>
                <w:szCs w:val="18"/>
              </w:rPr>
              <w:t>Overall range:</w:t>
            </w:r>
          </w:p>
          <w:p w14:paraId="55AEE5E5" w14:textId="77777777" w:rsidR="00D749ED" w:rsidRPr="00A41B49" w:rsidRDefault="00D749ED" w:rsidP="00D749ED">
            <w:pPr>
              <w:rPr>
                <w:sz w:val="18"/>
                <w:szCs w:val="18"/>
              </w:rPr>
            </w:pPr>
            <w:r w:rsidRPr="00A41B49">
              <w:rPr>
                <w:sz w:val="18"/>
                <w:szCs w:val="18"/>
              </w:rPr>
              <w:t>86.3 – 95.1%</w:t>
            </w:r>
          </w:p>
        </w:tc>
        <w:tc>
          <w:tcPr>
            <w:tcW w:w="838" w:type="dxa"/>
          </w:tcPr>
          <w:p w14:paraId="31B66BEB" w14:textId="77777777" w:rsidR="00D749ED" w:rsidRPr="00A41B49" w:rsidRDefault="00D749ED" w:rsidP="00D749ED">
            <w:pPr>
              <w:rPr>
                <w:sz w:val="18"/>
                <w:szCs w:val="18"/>
                <w:lang w:val="da-DK"/>
              </w:rPr>
            </w:pPr>
            <w:r w:rsidRPr="00A41B49">
              <w:rPr>
                <w:sz w:val="18"/>
                <w:szCs w:val="18"/>
                <w:lang w:val="da-DK"/>
              </w:rPr>
              <w:t>95.1 at 0.05 ppm</w:t>
            </w:r>
          </w:p>
          <w:p w14:paraId="3E56D529" w14:textId="77777777" w:rsidR="00D749ED" w:rsidRPr="00A41B49" w:rsidRDefault="00D749ED" w:rsidP="00D749ED">
            <w:pPr>
              <w:rPr>
                <w:sz w:val="18"/>
                <w:szCs w:val="18"/>
                <w:lang w:val="da-DK"/>
              </w:rPr>
            </w:pPr>
          </w:p>
          <w:p w14:paraId="243C67FA" w14:textId="77777777" w:rsidR="00D749ED" w:rsidRPr="00A41B49" w:rsidRDefault="00D749ED" w:rsidP="00D749ED">
            <w:pPr>
              <w:rPr>
                <w:sz w:val="18"/>
                <w:szCs w:val="18"/>
              </w:rPr>
            </w:pPr>
            <w:r w:rsidRPr="00A41B49">
              <w:rPr>
                <w:sz w:val="18"/>
                <w:szCs w:val="18"/>
              </w:rPr>
              <w:t>94.8 at 0.1 ppm</w:t>
            </w:r>
          </w:p>
          <w:p w14:paraId="3C6DB2BE" w14:textId="77777777" w:rsidR="00D749ED" w:rsidRPr="00A41B49" w:rsidRDefault="00D749ED" w:rsidP="00D749ED">
            <w:pPr>
              <w:rPr>
                <w:sz w:val="18"/>
                <w:szCs w:val="18"/>
              </w:rPr>
            </w:pPr>
          </w:p>
          <w:p w14:paraId="576F0374" w14:textId="77777777" w:rsidR="00D749ED" w:rsidRPr="00A41B49" w:rsidRDefault="00D749ED" w:rsidP="00D749ED">
            <w:pPr>
              <w:rPr>
                <w:sz w:val="18"/>
                <w:szCs w:val="18"/>
              </w:rPr>
            </w:pPr>
            <w:r w:rsidRPr="00A41B49">
              <w:rPr>
                <w:sz w:val="18"/>
                <w:szCs w:val="18"/>
              </w:rPr>
              <w:t>86.3 at 0.2 ppm</w:t>
            </w:r>
          </w:p>
          <w:p w14:paraId="58E47093" w14:textId="77777777" w:rsidR="00D749ED" w:rsidRPr="00A41B49" w:rsidRDefault="00D749ED" w:rsidP="00D749ED">
            <w:pPr>
              <w:rPr>
                <w:sz w:val="18"/>
                <w:szCs w:val="18"/>
              </w:rPr>
            </w:pPr>
          </w:p>
        </w:tc>
        <w:tc>
          <w:tcPr>
            <w:tcW w:w="992" w:type="dxa"/>
          </w:tcPr>
          <w:p w14:paraId="4EBFA5C5" w14:textId="77777777" w:rsidR="00D749ED" w:rsidRPr="00A41B49" w:rsidRDefault="00D749ED" w:rsidP="00D749ED">
            <w:pPr>
              <w:rPr>
                <w:sz w:val="18"/>
                <w:szCs w:val="18"/>
              </w:rPr>
            </w:pPr>
            <w:r w:rsidRPr="00A41B49">
              <w:rPr>
                <w:sz w:val="18"/>
                <w:szCs w:val="18"/>
              </w:rPr>
              <w:t>Range:</w:t>
            </w:r>
          </w:p>
          <w:p w14:paraId="294765C3" w14:textId="77777777" w:rsidR="00D749ED" w:rsidRPr="00A41B49" w:rsidRDefault="00D749ED" w:rsidP="00D749ED">
            <w:pPr>
              <w:rPr>
                <w:sz w:val="18"/>
                <w:szCs w:val="18"/>
              </w:rPr>
            </w:pPr>
            <w:r w:rsidRPr="00A41B49">
              <w:rPr>
                <w:sz w:val="18"/>
                <w:szCs w:val="18"/>
              </w:rPr>
              <w:t>0.002 – 0.005</w:t>
            </w:r>
          </w:p>
        </w:tc>
        <w:tc>
          <w:tcPr>
            <w:tcW w:w="1276" w:type="dxa"/>
            <w:vAlign w:val="center"/>
          </w:tcPr>
          <w:p w14:paraId="3317B299" w14:textId="77777777" w:rsidR="00D749ED" w:rsidRPr="00A41B49" w:rsidRDefault="00D749ED" w:rsidP="00D749ED">
            <w:pPr>
              <w:pStyle w:val="Standard-italics"/>
              <w:jc w:val="center"/>
              <w:rPr>
                <w:i w:val="0"/>
                <w:sz w:val="18"/>
                <w:szCs w:val="18"/>
              </w:rPr>
            </w:pPr>
            <w:r w:rsidRPr="00A41B49">
              <w:rPr>
                <w:i w:val="0"/>
                <w:sz w:val="18"/>
                <w:szCs w:val="18"/>
              </w:rPr>
              <w:t>See above</w:t>
            </w:r>
          </w:p>
        </w:tc>
        <w:tc>
          <w:tcPr>
            <w:tcW w:w="1134" w:type="dxa"/>
          </w:tcPr>
          <w:p w14:paraId="2F2B595F" w14:textId="77777777" w:rsidR="00D749ED" w:rsidRPr="00A41B49" w:rsidRDefault="00D749ED" w:rsidP="00D749ED">
            <w:pPr>
              <w:spacing w:before="60" w:after="60"/>
              <w:jc w:val="center"/>
              <w:rPr>
                <w:sz w:val="18"/>
                <w:szCs w:val="18"/>
              </w:rPr>
            </w:pPr>
          </w:p>
        </w:tc>
        <w:tc>
          <w:tcPr>
            <w:tcW w:w="2466" w:type="dxa"/>
            <w:vMerge/>
          </w:tcPr>
          <w:p w14:paraId="2D10576C" w14:textId="77777777" w:rsidR="00D749ED" w:rsidRPr="00A41B49" w:rsidRDefault="00D749ED" w:rsidP="00D749ED">
            <w:pPr>
              <w:spacing w:before="60" w:after="60"/>
              <w:jc w:val="center"/>
              <w:rPr>
                <w:sz w:val="18"/>
                <w:szCs w:val="18"/>
              </w:rPr>
            </w:pPr>
          </w:p>
        </w:tc>
        <w:tc>
          <w:tcPr>
            <w:tcW w:w="1417" w:type="dxa"/>
            <w:vMerge/>
            <w:vAlign w:val="center"/>
          </w:tcPr>
          <w:p w14:paraId="66F68FC4" w14:textId="77777777" w:rsidR="00D749ED" w:rsidRPr="00A41B49" w:rsidRDefault="00D749ED" w:rsidP="00D749ED">
            <w:pPr>
              <w:spacing w:before="60" w:after="60"/>
              <w:jc w:val="center"/>
              <w:rPr>
                <w:sz w:val="18"/>
                <w:szCs w:val="18"/>
              </w:rPr>
            </w:pPr>
          </w:p>
        </w:tc>
      </w:tr>
      <w:tr w:rsidR="00D749ED" w:rsidRPr="00A41B49" w14:paraId="603DF970" w14:textId="77777777" w:rsidTr="005E1E28">
        <w:tc>
          <w:tcPr>
            <w:tcW w:w="851" w:type="dxa"/>
            <w:vAlign w:val="center"/>
          </w:tcPr>
          <w:p w14:paraId="51404E6C" w14:textId="77777777" w:rsidR="00D749ED" w:rsidRPr="00A41B49" w:rsidRDefault="00D749ED" w:rsidP="00D749ED">
            <w:pPr>
              <w:keepNext/>
              <w:spacing w:before="60" w:after="60"/>
              <w:jc w:val="center"/>
              <w:rPr>
                <w:sz w:val="18"/>
                <w:szCs w:val="18"/>
              </w:rPr>
            </w:pPr>
            <w:r w:rsidRPr="00A41B49">
              <w:rPr>
                <w:sz w:val="18"/>
                <w:szCs w:val="18"/>
              </w:rPr>
              <w:t>Water</w:t>
            </w:r>
          </w:p>
          <w:p w14:paraId="2B0D6106" w14:textId="77777777" w:rsidR="00D749ED" w:rsidRPr="00A41B49" w:rsidRDefault="00D749ED" w:rsidP="00D749ED">
            <w:pPr>
              <w:keepNext/>
              <w:spacing w:before="60" w:after="60"/>
              <w:jc w:val="center"/>
              <w:rPr>
                <w:sz w:val="18"/>
                <w:szCs w:val="18"/>
              </w:rPr>
            </w:pPr>
            <w:r w:rsidRPr="00A41B49">
              <w:rPr>
                <w:sz w:val="18"/>
                <w:szCs w:val="18"/>
              </w:rPr>
              <w:t>(synthetic drinking water, industrial and domestic sewage)</w:t>
            </w:r>
          </w:p>
        </w:tc>
        <w:tc>
          <w:tcPr>
            <w:tcW w:w="1333" w:type="dxa"/>
            <w:vAlign w:val="center"/>
          </w:tcPr>
          <w:p w14:paraId="3B4FEA36" w14:textId="77777777" w:rsidR="00D749ED" w:rsidRPr="00A41B49" w:rsidRDefault="00D749ED" w:rsidP="00D749ED">
            <w:pPr>
              <w:keepNext/>
              <w:spacing w:before="60" w:after="60"/>
              <w:jc w:val="center"/>
              <w:rPr>
                <w:sz w:val="18"/>
                <w:szCs w:val="18"/>
              </w:rPr>
            </w:pPr>
            <w:r w:rsidRPr="00A41B49">
              <w:rPr>
                <w:sz w:val="18"/>
                <w:szCs w:val="18"/>
              </w:rPr>
              <w:t>iodide</w:t>
            </w:r>
          </w:p>
        </w:tc>
        <w:tc>
          <w:tcPr>
            <w:tcW w:w="1080" w:type="dxa"/>
            <w:vAlign w:val="center"/>
          </w:tcPr>
          <w:p w14:paraId="03D8FAF4" w14:textId="77777777" w:rsidR="00D749ED" w:rsidRPr="00A41B49" w:rsidRDefault="00D749ED" w:rsidP="00D749ED">
            <w:pPr>
              <w:pStyle w:val="Standard-italics"/>
              <w:jc w:val="center"/>
              <w:rPr>
                <w:i w:val="0"/>
                <w:sz w:val="18"/>
                <w:szCs w:val="18"/>
              </w:rPr>
            </w:pPr>
            <w:r w:rsidRPr="00A41B49">
              <w:rPr>
                <w:i w:val="0"/>
                <w:sz w:val="18"/>
                <w:szCs w:val="18"/>
              </w:rPr>
              <w:t>Ion chromatographic separation (IC) and conductivity or UV detection</w:t>
            </w:r>
          </w:p>
        </w:tc>
        <w:tc>
          <w:tcPr>
            <w:tcW w:w="1421" w:type="dxa"/>
            <w:vAlign w:val="center"/>
          </w:tcPr>
          <w:p w14:paraId="3620143E" w14:textId="77777777" w:rsidR="00D749ED" w:rsidRPr="00A41B49" w:rsidRDefault="00D749ED" w:rsidP="00D749ED">
            <w:pPr>
              <w:keepNext/>
              <w:spacing w:before="60" w:after="60"/>
              <w:jc w:val="center"/>
              <w:rPr>
                <w:sz w:val="18"/>
                <w:szCs w:val="18"/>
              </w:rPr>
            </w:pPr>
            <w:r w:rsidRPr="00A41B49">
              <w:rPr>
                <w:sz w:val="18"/>
                <w:szCs w:val="18"/>
              </w:rPr>
              <w:t>No fortification and determination of recovery rates performed.</w:t>
            </w:r>
          </w:p>
        </w:tc>
        <w:tc>
          <w:tcPr>
            <w:tcW w:w="994" w:type="dxa"/>
            <w:vAlign w:val="center"/>
          </w:tcPr>
          <w:p w14:paraId="07B571CF" w14:textId="77777777" w:rsidR="00D749ED" w:rsidRPr="00A41B49" w:rsidRDefault="00D749ED" w:rsidP="00D749ED">
            <w:pPr>
              <w:keepNext/>
              <w:spacing w:before="60" w:after="60"/>
              <w:jc w:val="center"/>
              <w:rPr>
                <w:sz w:val="18"/>
                <w:szCs w:val="18"/>
              </w:rPr>
            </w:pPr>
            <w:r w:rsidRPr="00A41B49">
              <w:rPr>
                <w:sz w:val="18"/>
                <w:szCs w:val="18"/>
              </w:rPr>
              <w:t>Working range: 0.1 – 50 mg I/L</w:t>
            </w:r>
          </w:p>
        </w:tc>
        <w:tc>
          <w:tcPr>
            <w:tcW w:w="995" w:type="dxa"/>
            <w:vAlign w:val="center"/>
          </w:tcPr>
          <w:p w14:paraId="56DBB929" w14:textId="77777777" w:rsidR="00D749ED" w:rsidRPr="00A41B49" w:rsidRDefault="00D749ED" w:rsidP="00D749ED">
            <w:pPr>
              <w:pStyle w:val="Standard-italics"/>
              <w:rPr>
                <w:i w:val="0"/>
                <w:sz w:val="18"/>
                <w:szCs w:val="18"/>
              </w:rPr>
            </w:pPr>
            <w:r w:rsidRPr="00A41B49">
              <w:rPr>
                <w:i w:val="0"/>
                <w:sz w:val="18"/>
                <w:szCs w:val="18"/>
              </w:rPr>
              <w:t>Organic acids, such as mono- and dicarboxylic acids, can interfere as well as sulphate</w:t>
            </w:r>
            <w:r w:rsidRPr="00A41B49">
              <w:rPr>
                <w:i w:val="0"/>
                <w:sz w:val="18"/>
                <w:szCs w:val="18"/>
              </w:rPr>
              <w:br/>
              <w:t>In case of UV-detection, organic agents may interfere.</w:t>
            </w:r>
          </w:p>
        </w:tc>
        <w:tc>
          <w:tcPr>
            <w:tcW w:w="2824" w:type="dxa"/>
            <w:gridSpan w:val="4"/>
            <w:vAlign w:val="center"/>
          </w:tcPr>
          <w:p w14:paraId="465B451E" w14:textId="77777777" w:rsidR="00D749ED" w:rsidRPr="00A41B49" w:rsidRDefault="00D749ED" w:rsidP="00D749ED">
            <w:pPr>
              <w:keepNext/>
              <w:spacing w:before="60" w:after="60"/>
              <w:jc w:val="center"/>
              <w:rPr>
                <w:sz w:val="18"/>
                <w:szCs w:val="18"/>
              </w:rPr>
            </w:pPr>
            <w:r w:rsidRPr="00A41B49">
              <w:rPr>
                <w:sz w:val="18"/>
                <w:szCs w:val="18"/>
              </w:rPr>
              <w:t xml:space="preserve">Not reported. An interlaboratory trial was performed which proved the validity of the method (not generally required as no work up except filtering is performed) </w:t>
            </w:r>
          </w:p>
        </w:tc>
        <w:tc>
          <w:tcPr>
            <w:tcW w:w="1276" w:type="dxa"/>
          </w:tcPr>
          <w:p w14:paraId="367766F7" w14:textId="77777777" w:rsidR="00D749ED" w:rsidRPr="00A41B49" w:rsidRDefault="00D749ED" w:rsidP="00D749ED">
            <w:pPr>
              <w:keepNext/>
              <w:spacing w:before="60" w:after="60"/>
              <w:jc w:val="center"/>
              <w:rPr>
                <w:sz w:val="18"/>
                <w:szCs w:val="18"/>
              </w:rPr>
            </w:pPr>
            <w:r w:rsidRPr="00A41B49">
              <w:rPr>
                <w:sz w:val="18"/>
                <w:szCs w:val="18"/>
              </w:rPr>
              <w:t>LOQ = 0.1 mg/L</w:t>
            </w:r>
          </w:p>
        </w:tc>
        <w:tc>
          <w:tcPr>
            <w:tcW w:w="1134" w:type="dxa"/>
          </w:tcPr>
          <w:p w14:paraId="1DB5EE1F" w14:textId="77777777" w:rsidR="00D749ED" w:rsidRPr="00A41B49" w:rsidRDefault="00D749ED" w:rsidP="00D749ED">
            <w:pPr>
              <w:keepNext/>
              <w:spacing w:before="60" w:after="60"/>
              <w:jc w:val="center"/>
              <w:rPr>
                <w:sz w:val="18"/>
                <w:szCs w:val="18"/>
                <w:lang w:val="it-IT"/>
              </w:rPr>
            </w:pPr>
            <w:r w:rsidRPr="00A41B49">
              <w:rPr>
                <w:sz w:val="18"/>
                <w:szCs w:val="18"/>
                <w:lang w:val="it-IT"/>
              </w:rPr>
              <w:t>0.59 mg/L***</w:t>
            </w:r>
          </w:p>
        </w:tc>
        <w:tc>
          <w:tcPr>
            <w:tcW w:w="2466" w:type="dxa"/>
          </w:tcPr>
          <w:p w14:paraId="677CCD50" w14:textId="77777777" w:rsidR="00D749ED" w:rsidRPr="00A41B49" w:rsidRDefault="00D749ED" w:rsidP="00D749ED">
            <w:pPr>
              <w:keepNext/>
              <w:spacing w:before="60" w:after="60"/>
              <w:jc w:val="center"/>
              <w:rPr>
                <w:sz w:val="18"/>
                <w:szCs w:val="18"/>
                <w:u w:val="single"/>
                <w:lang w:val="it-IT"/>
              </w:rPr>
            </w:pPr>
            <w:r w:rsidRPr="00A41B49">
              <w:rPr>
                <w:sz w:val="18"/>
                <w:szCs w:val="18"/>
                <w:u w:val="single"/>
                <w:lang w:val="it-IT"/>
              </w:rPr>
              <w:t>Acceptable</w:t>
            </w:r>
          </w:p>
          <w:p w14:paraId="39DD5CCA" w14:textId="77777777" w:rsidR="00D749ED" w:rsidRPr="00A41B49" w:rsidRDefault="00D749ED" w:rsidP="00D749ED">
            <w:pPr>
              <w:keepNext/>
              <w:spacing w:before="60" w:after="60"/>
              <w:jc w:val="center"/>
              <w:rPr>
                <w:sz w:val="18"/>
                <w:szCs w:val="18"/>
                <w:u w:val="single"/>
                <w:lang w:val="it-IT"/>
              </w:rPr>
            </w:pPr>
            <w:r w:rsidRPr="00A41B49">
              <w:rPr>
                <w:sz w:val="18"/>
                <w:szCs w:val="18"/>
                <w:lang w:val="it-IT"/>
              </w:rPr>
              <w:t>No method required due to low PECs in comparison to natural background levels</w:t>
            </w:r>
          </w:p>
        </w:tc>
        <w:tc>
          <w:tcPr>
            <w:tcW w:w="1417" w:type="dxa"/>
            <w:vAlign w:val="center"/>
          </w:tcPr>
          <w:p w14:paraId="7C3D8C58" w14:textId="77777777" w:rsidR="00D749ED" w:rsidRPr="00A41B49" w:rsidRDefault="00D749ED" w:rsidP="00D749ED">
            <w:pPr>
              <w:keepNext/>
              <w:spacing w:before="60" w:after="60"/>
              <w:jc w:val="center"/>
              <w:rPr>
                <w:sz w:val="18"/>
                <w:szCs w:val="18"/>
                <w:lang w:val="it-IT"/>
              </w:rPr>
            </w:pPr>
            <w:r w:rsidRPr="00A41B49">
              <w:rPr>
                <w:sz w:val="18"/>
                <w:szCs w:val="18"/>
                <w:lang w:val="it-IT"/>
              </w:rPr>
              <w:t>DIN-ISO 10304</w:t>
            </w:r>
            <w:r w:rsidRPr="00A41B49">
              <w:rPr>
                <w:sz w:val="18"/>
                <w:szCs w:val="18"/>
                <w:lang w:val="it-IT"/>
              </w:rPr>
              <w:noBreakHyphen/>
              <w:t>3, Doc. No. 492-004; A4.2c/01</w:t>
            </w:r>
          </w:p>
        </w:tc>
      </w:tr>
      <w:tr w:rsidR="00D749ED" w:rsidRPr="00A41B49" w14:paraId="26243C5C" w14:textId="77777777" w:rsidTr="005E1E28">
        <w:tc>
          <w:tcPr>
            <w:tcW w:w="851" w:type="dxa"/>
          </w:tcPr>
          <w:p w14:paraId="44972610" w14:textId="77777777" w:rsidR="00D749ED" w:rsidRPr="00A41B49" w:rsidRDefault="00D749ED" w:rsidP="00D749ED">
            <w:pPr>
              <w:spacing w:before="60" w:after="60"/>
              <w:jc w:val="center"/>
              <w:rPr>
                <w:sz w:val="18"/>
                <w:szCs w:val="18"/>
              </w:rPr>
            </w:pPr>
            <w:r w:rsidRPr="00A41B49">
              <w:rPr>
                <w:sz w:val="18"/>
                <w:szCs w:val="18"/>
              </w:rPr>
              <w:t>Water</w:t>
            </w:r>
          </w:p>
        </w:tc>
        <w:tc>
          <w:tcPr>
            <w:tcW w:w="9923" w:type="dxa"/>
            <w:gridSpan w:val="10"/>
          </w:tcPr>
          <w:p w14:paraId="759C0E9F" w14:textId="77777777" w:rsidR="00D749ED" w:rsidRPr="00A41B49" w:rsidRDefault="00D749ED" w:rsidP="00D749ED">
            <w:pPr>
              <w:spacing w:before="60" w:after="60"/>
              <w:rPr>
                <w:sz w:val="18"/>
                <w:szCs w:val="18"/>
              </w:rPr>
            </w:pPr>
            <w:r w:rsidRPr="00A41B49">
              <w:rPr>
                <w:sz w:val="18"/>
                <w:szCs w:val="18"/>
              </w:rPr>
              <w:t>Reference is made to the method described for the determination of iodide in soil. This method is also applicable for the determination of iodide in water. The digestion step of the soil sample can be omitted (see above).</w:t>
            </w:r>
          </w:p>
        </w:tc>
        <w:tc>
          <w:tcPr>
            <w:tcW w:w="1134" w:type="dxa"/>
          </w:tcPr>
          <w:p w14:paraId="7EE9EFA8" w14:textId="77777777" w:rsidR="00D749ED" w:rsidRPr="00A41B49" w:rsidRDefault="00D749ED" w:rsidP="00D749ED">
            <w:pPr>
              <w:spacing w:before="60" w:after="60"/>
              <w:jc w:val="center"/>
              <w:rPr>
                <w:sz w:val="18"/>
                <w:szCs w:val="18"/>
              </w:rPr>
            </w:pPr>
            <w:r w:rsidRPr="00A41B49">
              <w:rPr>
                <w:sz w:val="18"/>
                <w:szCs w:val="18"/>
              </w:rPr>
              <w:t>-</w:t>
            </w:r>
          </w:p>
        </w:tc>
        <w:tc>
          <w:tcPr>
            <w:tcW w:w="2466" w:type="dxa"/>
          </w:tcPr>
          <w:p w14:paraId="6F9BF0A5" w14:textId="77777777" w:rsidR="00D749ED" w:rsidRPr="00A41B49" w:rsidRDefault="00D749ED" w:rsidP="00D749ED">
            <w:pPr>
              <w:spacing w:before="60" w:after="60"/>
              <w:jc w:val="center"/>
              <w:rPr>
                <w:sz w:val="18"/>
                <w:szCs w:val="18"/>
              </w:rPr>
            </w:pPr>
            <w:r w:rsidRPr="00A41B49">
              <w:rPr>
                <w:sz w:val="18"/>
                <w:szCs w:val="18"/>
              </w:rPr>
              <w:t>Not acceptable due to missing supporting data</w:t>
            </w:r>
          </w:p>
          <w:p w14:paraId="4C6BEA71" w14:textId="77777777" w:rsidR="00D749ED" w:rsidRPr="00A41B49" w:rsidRDefault="00D749ED" w:rsidP="00D749ED">
            <w:pPr>
              <w:spacing w:before="60" w:after="60"/>
              <w:jc w:val="center"/>
              <w:rPr>
                <w:sz w:val="18"/>
                <w:szCs w:val="18"/>
              </w:rPr>
            </w:pPr>
            <w:r w:rsidRPr="00A41B49">
              <w:rPr>
                <w:sz w:val="18"/>
                <w:szCs w:val="18"/>
                <w:lang w:val="it-IT"/>
              </w:rPr>
              <w:t>No method required due to low PECs in comparison to natural background levels</w:t>
            </w:r>
          </w:p>
        </w:tc>
        <w:tc>
          <w:tcPr>
            <w:tcW w:w="1417" w:type="dxa"/>
          </w:tcPr>
          <w:p w14:paraId="630DDEAB" w14:textId="77777777" w:rsidR="00D749ED" w:rsidRPr="00A41B49" w:rsidRDefault="00D749ED" w:rsidP="00D749ED">
            <w:pPr>
              <w:spacing w:before="60" w:after="60"/>
              <w:jc w:val="center"/>
              <w:rPr>
                <w:sz w:val="18"/>
                <w:szCs w:val="18"/>
              </w:rPr>
            </w:pPr>
            <w:r w:rsidRPr="00A41B49">
              <w:rPr>
                <w:sz w:val="18"/>
                <w:szCs w:val="18"/>
              </w:rPr>
              <w:t>--</w:t>
            </w:r>
          </w:p>
        </w:tc>
      </w:tr>
      <w:tr w:rsidR="00D749ED" w:rsidRPr="00A41B49" w14:paraId="10EFBED1" w14:textId="77777777" w:rsidTr="005E1E28">
        <w:tc>
          <w:tcPr>
            <w:tcW w:w="851" w:type="dxa"/>
            <w:vAlign w:val="center"/>
          </w:tcPr>
          <w:p w14:paraId="572C6106" w14:textId="77777777" w:rsidR="00D749ED" w:rsidRPr="00A41B49" w:rsidRDefault="00D749ED" w:rsidP="00D749ED">
            <w:pPr>
              <w:spacing w:before="60" w:after="60"/>
              <w:jc w:val="center"/>
              <w:rPr>
                <w:i/>
                <w:sz w:val="18"/>
                <w:szCs w:val="18"/>
              </w:rPr>
            </w:pPr>
            <w:r w:rsidRPr="00A41B49">
              <w:rPr>
                <w:sz w:val="18"/>
                <w:szCs w:val="18"/>
              </w:rPr>
              <w:t>Water</w:t>
            </w:r>
          </w:p>
        </w:tc>
        <w:tc>
          <w:tcPr>
            <w:tcW w:w="1333" w:type="dxa"/>
            <w:vAlign w:val="center"/>
          </w:tcPr>
          <w:p w14:paraId="5C930795" w14:textId="77777777" w:rsidR="00D749ED" w:rsidRPr="00A41B49" w:rsidRDefault="00D749ED" w:rsidP="00D749ED">
            <w:pPr>
              <w:spacing w:before="60" w:after="60"/>
              <w:jc w:val="center"/>
              <w:rPr>
                <w:i/>
                <w:sz w:val="18"/>
                <w:szCs w:val="18"/>
              </w:rPr>
            </w:pPr>
            <w:r w:rsidRPr="00A41B49">
              <w:rPr>
                <w:sz w:val="18"/>
                <w:szCs w:val="18"/>
              </w:rPr>
              <w:t>iodide</w:t>
            </w:r>
          </w:p>
        </w:tc>
        <w:tc>
          <w:tcPr>
            <w:tcW w:w="1080" w:type="dxa"/>
            <w:vAlign w:val="center"/>
          </w:tcPr>
          <w:p w14:paraId="0F96C842" w14:textId="77777777" w:rsidR="00D749ED" w:rsidRPr="00A41B49" w:rsidRDefault="00D749ED" w:rsidP="00D749ED">
            <w:pPr>
              <w:pStyle w:val="Standard-italics"/>
              <w:keepNext w:val="0"/>
              <w:jc w:val="center"/>
              <w:rPr>
                <w:i w:val="0"/>
                <w:sz w:val="18"/>
                <w:szCs w:val="18"/>
              </w:rPr>
            </w:pPr>
            <w:r w:rsidRPr="00A41B49">
              <w:rPr>
                <w:i w:val="0"/>
                <w:sz w:val="18"/>
                <w:szCs w:val="18"/>
              </w:rPr>
              <w:t>GC-ECD</w:t>
            </w:r>
          </w:p>
        </w:tc>
        <w:tc>
          <w:tcPr>
            <w:tcW w:w="1421" w:type="dxa"/>
            <w:vAlign w:val="center"/>
          </w:tcPr>
          <w:p w14:paraId="268D3963" w14:textId="77777777" w:rsidR="00D749ED" w:rsidRPr="00A41B49" w:rsidRDefault="00D749ED" w:rsidP="00D749ED">
            <w:pPr>
              <w:spacing w:before="60" w:after="60"/>
              <w:jc w:val="center"/>
              <w:rPr>
                <w:sz w:val="18"/>
                <w:szCs w:val="18"/>
              </w:rPr>
            </w:pPr>
            <w:r w:rsidRPr="00A41B49">
              <w:rPr>
                <w:sz w:val="18"/>
                <w:szCs w:val="18"/>
              </w:rPr>
              <w:t>For the determination of the recovery, mineral waters were fortified with with KI solutions.</w:t>
            </w:r>
          </w:p>
        </w:tc>
        <w:tc>
          <w:tcPr>
            <w:tcW w:w="994" w:type="dxa"/>
            <w:vAlign w:val="center"/>
          </w:tcPr>
          <w:p w14:paraId="12DF414A" w14:textId="77777777" w:rsidR="00D749ED" w:rsidRPr="00A41B49" w:rsidRDefault="00D749ED" w:rsidP="00D749ED">
            <w:pPr>
              <w:spacing w:before="60" w:after="60"/>
              <w:jc w:val="center"/>
              <w:rPr>
                <w:sz w:val="18"/>
                <w:szCs w:val="18"/>
              </w:rPr>
            </w:pPr>
            <w:r w:rsidRPr="00A41B49">
              <w:rPr>
                <w:sz w:val="18"/>
                <w:szCs w:val="18"/>
              </w:rPr>
              <w:t>Not reported</w:t>
            </w:r>
          </w:p>
        </w:tc>
        <w:tc>
          <w:tcPr>
            <w:tcW w:w="995" w:type="dxa"/>
            <w:vAlign w:val="center"/>
          </w:tcPr>
          <w:p w14:paraId="19D881D0"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21F8B872" w14:textId="77777777" w:rsidR="00D749ED" w:rsidRPr="00A41B49" w:rsidRDefault="00D749ED" w:rsidP="00D749ED">
            <w:pPr>
              <w:pStyle w:val="Standard-italics"/>
              <w:keepNext w:val="0"/>
              <w:jc w:val="center"/>
              <w:rPr>
                <w:sz w:val="18"/>
                <w:szCs w:val="18"/>
              </w:rPr>
            </w:pPr>
            <w:r w:rsidRPr="00A41B49">
              <w:rPr>
                <w:i w:val="0"/>
                <w:sz w:val="18"/>
                <w:szCs w:val="18"/>
              </w:rPr>
              <w:t>80 – 110%</w:t>
            </w:r>
          </w:p>
        </w:tc>
        <w:tc>
          <w:tcPr>
            <w:tcW w:w="838" w:type="dxa"/>
            <w:vAlign w:val="center"/>
          </w:tcPr>
          <w:p w14:paraId="5DC8A383" w14:textId="77777777" w:rsidR="00D749ED" w:rsidRPr="00A41B49" w:rsidRDefault="00D749ED" w:rsidP="00D749ED">
            <w:pPr>
              <w:pStyle w:val="Standard-italics"/>
              <w:keepNext w:val="0"/>
              <w:jc w:val="center"/>
              <w:rPr>
                <w:i w:val="0"/>
                <w:sz w:val="18"/>
                <w:szCs w:val="18"/>
              </w:rPr>
            </w:pPr>
            <w:r w:rsidRPr="00A41B49">
              <w:rPr>
                <w:i w:val="0"/>
                <w:sz w:val="18"/>
                <w:szCs w:val="18"/>
              </w:rPr>
              <w:t>92%</w:t>
            </w:r>
          </w:p>
        </w:tc>
        <w:tc>
          <w:tcPr>
            <w:tcW w:w="992" w:type="dxa"/>
            <w:vAlign w:val="center"/>
          </w:tcPr>
          <w:p w14:paraId="7535B7F8" w14:textId="77777777" w:rsidR="00D749ED" w:rsidRPr="00A41B49" w:rsidRDefault="00D749ED" w:rsidP="00D749ED">
            <w:pPr>
              <w:pStyle w:val="Standard-italics"/>
              <w:keepNext w:val="0"/>
              <w:jc w:val="center"/>
              <w:rPr>
                <w:i w:val="0"/>
                <w:sz w:val="18"/>
                <w:szCs w:val="18"/>
              </w:rPr>
            </w:pPr>
            <w:r w:rsidRPr="00A41B49">
              <w:rPr>
                <w:i w:val="0"/>
                <w:sz w:val="18"/>
                <w:szCs w:val="18"/>
              </w:rPr>
              <w:t>Not reported</w:t>
            </w:r>
          </w:p>
        </w:tc>
        <w:tc>
          <w:tcPr>
            <w:tcW w:w="1276" w:type="dxa"/>
            <w:vAlign w:val="center"/>
          </w:tcPr>
          <w:p w14:paraId="28DFAE10" w14:textId="77777777" w:rsidR="00D749ED" w:rsidRPr="00A41B49" w:rsidRDefault="00D749ED" w:rsidP="00D749ED">
            <w:pPr>
              <w:pStyle w:val="Standard-italics"/>
              <w:keepNext w:val="0"/>
              <w:rPr>
                <w:i w:val="0"/>
                <w:sz w:val="18"/>
                <w:szCs w:val="18"/>
              </w:rPr>
            </w:pPr>
            <w:r w:rsidRPr="00A41B49">
              <w:rPr>
                <w:i w:val="0"/>
                <w:sz w:val="18"/>
                <w:szCs w:val="18"/>
              </w:rPr>
              <w:t>LOQ: 2.9 µg/L to  3,6 µg/L</w:t>
            </w:r>
          </w:p>
          <w:p w14:paraId="28257727" w14:textId="77777777" w:rsidR="00D749ED" w:rsidRPr="00A41B49" w:rsidRDefault="00D749ED" w:rsidP="00D749ED">
            <w:pPr>
              <w:pStyle w:val="Standard-italics"/>
              <w:keepNext w:val="0"/>
              <w:jc w:val="center"/>
              <w:rPr>
                <w:sz w:val="18"/>
                <w:szCs w:val="18"/>
              </w:rPr>
            </w:pPr>
            <w:r w:rsidRPr="00A41B49">
              <w:rPr>
                <w:i w:val="0"/>
                <w:sz w:val="18"/>
                <w:szCs w:val="18"/>
              </w:rPr>
              <w:t>LOD: 1,7 µg/L to 1,1 µg/L</w:t>
            </w:r>
          </w:p>
        </w:tc>
        <w:tc>
          <w:tcPr>
            <w:tcW w:w="1134" w:type="dxa"/>
          </w:tcPr>
          <w:p w14:paraId="4058D6C1" w14:textId="77777777" w:rsidR="00D749ED" w:rsidRPr="00A41B49" w:rsidRDefault="00D749ED" w:rsidP="00D749ED">
            <w:pPr>
              <w:pStyle w:val="Standard-italics"/>
              <w:keepNext w:val="0"/>
              <w:jc w:val="center"/>
              <w:rPr>
                <w:i w:val="0"/>
                <w:sz w:val="18"/>
                <w:szCs w:val="18"/>
              </w:rPr>
            </w:pPr>
            <w:r w:rsidRPr="00A41B49">
              <w:rPr>
                <w:i w:val="0"/>
                <w:sz w:val="18"/>
                <w:szCs w:val="18"/>
                <w:lang w:val="it-IT"/>
              </w:rPr>
              <w:t>0.59 mg/L***</w:t>
            </w:r>
          </w:p>
        </w:tc>
        <w:tc>
          <w:tcPr>
            <w:tcW w:w="2466" w:type="dxa"/>
          </w:tcPr>
          <w:p w14:paraId="2B337DCF" w14:textId="77777777" w:rsidR="00D749ED" w:rsidRPr="00A41B49" w:rsidRDefault="00D749ED" w:rsidP="00D749ED">
            <w:pPr>
              <w:spacing w:before="60" w:after="60"/>
              <w:jc w:val="center"/>
              <w:rPr>
                <w:sz w:val="18"/>
                <w:szCs w:val="18"/>
              </w:rPr>
            </w:pPr>
            <w:r w:rsidRPr="00A41B49">
              <w:rPr>
                <w:sz w:val="18"/>
                <w:szCs w:val="18"/>
                <w:u w:val="single"/>
              </w:rPr>
              <w:t>Not acceptable</w:t>
            </w:r>
            <w:r w:rsidRPr="00A41B49">
              <w:rPr>
                <w:sz w:val="18"/>
                <w:szCs w:val="18"/>
              </w:rPr>
              <w:t xml:space="preserve"> for monitoring due to the use of carcinogenic substance (ethylene oxide)</w:t>
            </w:r>
          </w:p>
          <w:p w14:paraId="716E43EA" w14:textId="77777777" w:rsidR="00D749ED" w:rsidRPr="00A41B49" w:rsidRDefault="00D749ED" w:rsidP="00D749ED">
            <w:pPr>
              <w:pStyle w:val="Standard-italics"/>
              <w:keepNext w:val="0"/>
              <w:jc w:val="center"/>
              <w:rPr>
                <w:i w:val="0"/>
                <w:sz w:val="18"/>
                <w:szCs w:val="18"/>
              </w:rPr>
            </w:pPr>
            <w:r w:rsidRPr="00A41B49">
              <w:rPr>
                <w:i w:val="0"/>
                <w:sz w:val="18"/>
                <w:szCs w:val="18"/>
                <w:lang w:val="it-IT"/>
              </w:rPr>
              <w:t>No method required due to low PECs in comparison to natural background levels</w:t>
            </w:r>
          </w:p>
        </w:tc>
        <w:tc>
          <w:tcPr>
            <w:tcW w:w="1417" w:type="dxa"/>
            <w:vAlign w:val="center"/>
          </w:tcPr>
          <w:p w14:paraId="2E30606B" w14:textId="77777777" w:rsidR="00D749ED" w:rsidRPr="00A41B49" w:rsidRDefault="00D749ED" w:rsidP="00D749ED">
            <w:pPr>
              <w:pStyle w:val="Standard-italics"/>
              <w:keepNext w:val="0"/>
              <w:jc w:val="center"/>
              <w:rPr>
                <w:i w:val="0"/>
                <w:sz w:val="18"/>
                <w:szCs w:val="18"/>
              </w:rPr>
            </w:pPr>
            <w:r w:rsidRPr="00A41B49">
              <w:rPr>
                <w:i w:val="0"/>
                <w:sz w:val="18"/>
                <w:szCs w:val="18"/>
              </w:rPr>
              <w:t>S. Kirchner et al. (1996); Doc. No. 492-006; A4.2c/04</w:t>
            </w:r>
          </w:p>
        </w:tc>
      </w:tr>
      <w:tr w:rsidR="00D749ED" w:rsidRPr="00FA101C" w14:paraId="3CA134B6" w14:textId="77777777" w:rsidTr="005E1E28">
        <w:tc>
          <w:tcPr>
            <w:tcW w:w="851" w:type="dxa"/>
            <w:vAlign w:val="center"/>
          </w:tcPr>
          <w:p w14:paraId="58781883" w14:textId="77777777" w:rsidR="00D749ED" w:rsidRPr="00A41B49" w:rsidRDefault="00D749ED" w:rsidP="00D749ED">
            <w:pPr>
              <w:spacing w:before="60" w:after="60"/>
              <w:jc w:val="center"/>
              <w:rPr>
                <w:sz w:val="18"/>
                <w:szCs w:val="18"/>
              </w:rPr>
            </w:pPr>
            <w:r w:rsidRPr="00A41B49">
              <w:rPr>
                <w:sz w:val="18"/>
                <w:szCs w:val="18"/>
              </w:rPr>
              <w:t>Water (rain water, brine solution, soil solution)</w:t>
            </w:r>
          </w:p>
        </w:tc>
        <w:tc>
          <w:tcPr>
            <w:tcW w:w="1333" w:type="dxa"/>
            <w:vAlign w:val="center"/>
          </w:tcPr>
          <w:p w14:paraId="12514976" w14:textId="77777777" w:rsidR="00D749ED" w:rsidRPr="00A41B49" w:rsidRDefault="00D749ED" w:rsidP="00D749ED">
            <w:pPr>
              <w:spacing w:before="60" w:after="60"/>
              <w:jc w:val="center"/>
              <w:rPr>
                <w:sz w:val="18"/>
                <w:szCs w:val="18"/>
              </w:rPr>
            </w:pPr>
            <w:r w:rsidRPr="00A41B49">
              <w:rPr>
                <w:sz w:val="18"/>
                <w:szCs w:val="18"/>
              </w:rPr>
              <w:t>Total iodine, iodide and iodate (separately)</w:t>
            </w:r>
          </w:p>
        </w:tc>
        <w:tc>
          <w:tcPr>
            <w:tcW w:w="1080" w:type="dxa"/>
            <w:vAlign w:val="center"/>
          </w:tcPr>
          <w:p w14:paraId="537BEE9C" w14:textId="77777777" w:rsidR="00D749ED" w:rsidRPr="00A41B49" w:rsidRDefault="00D749ED" w:rsidP="00D749ED">
            <w:pPr>
              <w:pStyle w:val="Standard-italics"/>
              <w:keepNext w:val="0"/>
              <w:jc w:val="center"/>
              <w:rPr>
                <w:i w:val="0"/>
                <w:sz w:val="18"/>
                <w:szCs w:val="18"/>
              </w:rPr>
            </w:pPr>
            <w:r w:rsidRPr="00A41B49">
              <w:rPr>
                <w:i w:val="0"/>
                <w:sz w:val="18"/>
                <w:szCs w:val="18"/>
              </w:rPr>
              <w:t>IC-ICP-MS</w:t>
            </w:r>
          </w:p>
        </w:tc>
        <w:tc>
          <w:tcPr>
            <w:tcW w:w="1421" w:type="dxa"/>
            <w:vAlign w:val="center"/>
          </w:tcPr>
          <w:p w14:paraId="547DC018" w14:textId="77777777" w:rsidR="00D749ED" w:rsidRPr="00A41B49" w:rsidRDefault="00D749ED" w:rsidP="00D749ED">
            <w:pPr>
              <w:spacing w:before="60" w:after="60"/>
              <w:jc w:val="center"/>
              <w:rPr>
                <w:sz w:val="18"/>
                <w:szCs w:val="18"/>
              </w:rPr>
            </w:pPr>
            <w:r w:rsidRPr="00A41B49">
              <w:rPr>
                <w:sz w:val="18"/>
                <w:szCs w:val="18"/>
              </w:rPr>
              <w:t>Not tested</w:t>
            </w:r>
          </w:p>
        </w:tc>
        <w:tc>
          <w:tcPr>
            <w:tcW w:w="994" w:type="dxa"/>
            <w:vAlign w:val="center"/>
          </w:tcPr>
          <w:p w14:paraId="773F485C" w14:textId="77777777" w:rsidR="00D749ED" w:rsidRPr="00A41B49" w:rsidRDefault="00D749ED" w:rsidP="00D749ED">
            <w:pPr>
              <w:spacing w:before="60" w:after="60"/>
              <w:jc w:val="center"/>
              <w:rPr>
                <w:sz w:val="18"/>
                <w:szCs w:val="18"/>
              </w:rPr>
            </w:pPr>
            <w:r w:rsidRPr="00A41B49">
              <w:rPr>
                <w:sz w:val="18"/>
                <w:szCs w:val="18"/>
              </w:rPr>
              <w:t xml:space="preserve">Not reported </w:t>
            </w:r>
          </w:p>
        </w:tc>
        <w:tc>
          <w:tcPr>
            <w:tcW w:w="995" w:type="dxa"/>
            <w:vAlign w:val="center"/>
          </w:tcPr>
          <w:p w14:paraId="51C7E3FD"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7C823068" w14:textId="77777777" w:rsidR="00D749ED" w:rsidRPr="00A41B49" w:rsidRDefault="00D749ED" w:rsidP="00D749ED">
            <w:pPr>
              <w:pStyle w:val="Standard-italics"/>
              <w:keepNext w:val="0"/>
              <w:jc w:val="center"/>
              <w:rPr>
                <w:i w:val="0"/>
                <w:sz w:val="18"/>
                <w:szCs w:val="18"/>
              </w:rPr>
            </w:pPr>
            <w:r w:rsidRPr="00A41B49">
              <w:rPr>
                <w:i w:val="0"/>
                <w:sz w:val="18"/>
                <w:szCs w:val="18"/>
              </w:rPr>
              <w:t>-</w:t>
            </w:r>
          </w:p>
        </w:tc>
        <w:tc>
          <w:tcPr>
            <w:tcW w:w="838" w:type="dxa"/>
            <w:vAlign w:val="center"/>
          </w:tcPr>
          <w:p w14:paraId="2987FB45" w14:textId="77777777" w:rsidR="00D749ED" w:rsidRPr="00A41B49" w:rsidRDefault="00D749ED" w:rsidP="00D749ED">
            <w:pPr>
              <w:pStyle w:val="Standard-italics"/>
              <w:keepNext w:val="0"/>
              <w:jc w:val="center"/>
              <w:rPr>
                <w:i w:val="0"/>
                <w:sz w:val="18"/>
                <w:szCs w:val="18"/>
              </w:rPr>
            </w:pPr>
            <w:r w:rsidRPr="00A41B49">
              <w:rPr>
                <w:i w:val="0"/>
                <w:sz w:val="18"/>
                <w:szCs w:val="18"/>
              </w:rPr>
              <w:t>-</w:t>
            </w:r>
          </w:p>
        </w:tc>
        <w:tc>
          <w:tcPr>
            <w:tcW w:w="992" w:type="dxa"/>
            <w:vAlign w:val="center"/>
          </w:tcPr>
          <w:p w14:paraId="60BF58B6" w14:textId="77777777" w:rsidR="00D749ED" w:rsidRPr="00A41B49" w:rsidRDefault="00D749ED" w:rsidP="00D749ED">
            <w:pPr>
              <w:pStyle w:val="Standard-italics"/>
              <w:keepNext w:val="0"/>
              <w:jc w:val="center"/>
              <w:rPr>
                <w:i w:val="0"/>
                <w:sz w:val="18"/>
                <w:szCs w:val="18"/>
              </w:rPr>
            </w:pPr>
            <w:r w:rsidRPr="00A41B49">
              <w:rPr>
                <w:i w:val="0"/>
                <w:sz w:val="18"/>
                <w:szCs w:val="18"/>
              </w:rPr>
              <w:t>-</w:t>
            </w:r>
          </w:p>
        </w:tc>
        <w:tc>
          <w:tcPr>
            <w:tcW w:w="1276" w:type="dxa"/>
            <w:vAlign w:val="center"/>
          </w:tcPr>
          <w:p w14:paraId="27BB255F" w14:textId="77777777" w:rsidR="00D749ED" w:rsidRPr="00A41B49" w:rsidRDefault="00D749ED" w:rsidP="00D749ED">
            <w:pPr>
              <w:pStyle w:val="Standard-italics"/>
              <w:keepNext w:val="0"/>
              <w:rPr>
                <w:i w:val="0"/>
                <w:sz w:val="18"/>
                <w:szCs w:val="18"/>
              </w:rPr>
            </w:pPr>
            <w:r w:rsidRPr="00A41B49">
              <w:rPr>
                <w:i w:val="0"/>
                <w:sz w:val="18"/>
                <w:szCs w:val="18"/>
              </w:rPr>
              <w:t>Quoted LOD: 0.05 µg/L total iodine</w:t>
            </w:r>
          </w:p>
          <w:p w14:paraId="51956C87" w14:textId="77777777" w:rsidR="00D749ED" w:rsidRPr="00A41B49" w:rsidRDefault="00D749ED" w:rsidP="00D749ED">
            <w:pPr>
              <w:pStyle w:val="Standard-italics"/>
              <w:keepNext w:val="0"/>
              <w:rPr>
                <w:i w:val="0"/>
                <w:sz w:val="18"/>
                <w:szCs w:val="18"/>
              </w:rPr>
            </w:pPr>
            <w:r w:rsidRPr="00A41B49">
              <w:rPr>
                <w:i w:val="0"/>
                <w:sz w:val="18"/>
                <w:szCs w:val="18"/>
              </w:rPr>
              <w:t>LOD for iodide and iodate range from 0.1 to 1 µg/L.</w:t>
            </w:r>
          </w:p>
        </w:tc>
        <w:tc>
          <w:tcPr>
            <w:tcW w:w="1134" w:type="dxa"/>
          </w:tcPr>
          <w:p w14:paraId="6C7147AA" w14:textId="77777777" w:rsidR="00D749ED" w:rsidRPr="00A41B49" w:rsidRDefault="00D749ED" w:rsidP="00D749ED">
            <w:pPr>
              <w:pStyle w:val="Standard-italics"/>
              <w:keepNext w:val="0"/>
              <w:jc w:val="center"/>
              <w:rPr>
                <w:i w:val="0"/>
                <w:sz w:val="18"/>
                <w:szCs w:val="18"/>
                <w:lang w:val="it-IT"/>
              </w:rPr>
            </w:pPr>
            <w:r w:rsidRPr="00A41B49">
              <w:rPr>
                <w:i w:val="0"/>
                <w:sz w:val="18"/>
                <w:szCs w:val="18"/>
                <w:lang w:val="it-IT"/>
              </w:rPr>
              <w:t>0.59 mg/L***</w:t>
            </w:r>
          </w:p>
        </w:tc>
        <w:tc>
          <w:tcPr>
            <w:tcW w:w="2466" w:type="dxa"/>
          </w:tcPr>
          <w:p w14:paraId="50D72FAE" w14:textId="77777777" w:rsidR="00D749ED" w:rsidRPr="00A41B49" w:rsidRDefault="00D749ED" w:rsidP="00D749ED">
            <w:pPr>
              <w:spacing w:before="60" w:after="60"/>
              <w:jc w:val="center"/>
              <w:rPr>
                <w:sz w:val="18"/>
                <w:szCs w:val="18"/>
              </w:rPr>
            </w:pPr>
            <w:r w:rsidRPr="00A41B49">
              <w:rPr>
                <w:sz w:val="18"/>
                <w:szCs w:val="18"/>
              </w:rPr>
              <w:t>Not acceptable due to missing supporting data</w:t>
            </w:r>
          </w:p>
          <w:p w14:paraId="6A4D07D7" w14:textId="77777777" w:rsidR="00D749ED" w:rsidRPr="00A41B49" w:rsidRDefault="00D749ED" w:rsidP="00D749ED">
            <w:pPr>
              <w:spacing w:before="60" w:after="60"/>
              <w:jc w:val="center"/>
              <w:rPr>
                <w:sz w:val="18"/>
                <w:szCs w:val="18"/>
                <w:u w:val="single"/>
              </w:rPr>
            </w:pPr>
            <w:r w:rsidRPr="00A41B49">
              <w:rPr>
                <w:sz w:val="18"/>
                <w:szCs w:val="18"/>
                <w:lang w:val="it-IT"/>
              </w:rPr>
              <w:t>No method required due to low PECs in comparison to natural background levels</w:t>
            </w:r>
          </w:p>
        </w:tc>
        <w:tc>
          <w:tcPr>
            <w:tcW w:w="1417" w:type="dxa"/>
            <w:vAlign w:val="center"/>
          </w:tcPr>
          <w:p w14:paraId="2832B6F2" w14:textId="77777777" w:rsidR="00D749ED" w:rsidRPr="00A41B49" w:rsidRDefault="00D749ED" w:rsidP="00D749ED">
            <w:pPr>
              <w:pStyle w:val="Standard-italics"/>
              <w:keepNext w:val="0"/>
              <w:jc w:val="center"/>
              <w:rPr>
                <w:i w:val="0"/>
                <w:sz w:val="18"/>
                <w:szCs w:val="18"/>
                <w:lang w:val="fr-FR"/>
              </w:rPr>
            </w:pPr>
            <w:r w:rsidRPr="00A41B49">
              <w:rPr>
                <w:i w:val="0"/>
                <w:sz w:val="18"/>
                <w:szCs w:val="18"/>
                <w:lang w:val="fr-FR"/>
              </w:rPr>
              <w:t xml:space="preserve">S. Yoshida et al (2007); Doc. No. 492-018; A4.2c/05 </w:t>
            </w:r>
          </w:p>
        </w:tc>
      </w:tr>
      <w:tr w:rsidR="00D749ED" w:rsidRPr="00A41B49" w14:paraId="1EA71A92" w14:textId="77777777" w:rsidTr="005E1E28">
        <w:tc>
          <w:tcPr>
            <w:tcW w:w="851" w:type="dxa"/>
            <w:vAlign w:val="center"/>
          </w:tcPr>
          <w:p w14:paraId="0F6FF8F2" w14:textId="77777777" w:rsidR="00D749ED" w:rsidRPr="00A41B49" w:rsidRDefault="00D749ED" w:rsidP="00D749ED">
            <w:pPr>
              <w:spacing w:before="60" w:after="60"/>
              <w:jc w:val="center"/>
              <w:rPr>
                <w:sz w:val="18"/>
                <w:szCs w:val="18"/>
              </w:rPr>
            </w:pPr>
            <w:r w:rsidRPr="00A41B49">
              <w:rPr>
                <w:sz w:val="18"/>
                <w:szCs w:val="18"/>
              </w:rPr>
              <w:t>Water (Milli Q, tap water, surface water)</w:t>
            </w:r>
          </w:p>
        </w:tc>
        <w:tc>
          <w:tcPr>
            <w:tcW w:w="1333" w:type="dxa"/>
            <w:vAlign w:val="center"/>
          </w:tcPr>
          <w:p w14:paraId="55AE12B0" w14:textId="77777777" w:rsidR="00D749ED" w:rsidRPr="00A41B49" w:rsidRDefault="00D749ED" w:rsidP="00D749ED">
            <w:pPr>
              <w:spacing w:before="60" w:after="60"/>
              <w:jc w:val="center"/>
              <w:rPr>
                <w:sz w:val="18"/>
                <w:szCs w:val="18"/>
              </w:rPr>
            </w:pPr>
            <w:r w:rsidRPr="00A41B49">
              <w:rPr>
                <w:sz w:val="18"/>
                <w:szCs w:val="18"/>
              </w:rPr>
              <w:t>Iodide and iodate (separately)</w:t>
            </w:r>
          </w:p>
        </w:tc>
        <w:tc>
          <w:tcPr>
            <w:tcW w:w="1080" w:type="dxa"/>
            <w:vAlign w:val="center"/>
          </w:tcPr>
          <w:p w14:paraId="120FBB50" w14:textId="77777777" w:rsidR="00D749ED" w:rsidRPr="00A41B49" w:rsidRDefault="00D749ED" w:rsidP="00D749ED">
            <w:pPr>
              <w:pStyle w:val="Standard-italics"/>
              <w:keepNext w:val="0"/>
              <w:jc w:val="center"/>
              <w:rPr>
                <w:i w:val="0"/>
                <w:sz w:val="18"/>
                <w:szCs w:val="18"/>
              </w:rPr>
            </w:pPr>
            <w:r w:rsidRPr="00A41B49">
              <w:rPr>
                <w:i w:val="0"/>
                <w:sz w:val="18"/>
                <w:szCs w:val="18"/>
              </w:rPr>
              <w:t>IC-ICP-MS</w:t>
            </w:r>
          </w:p>
        </w:tc>
        <w:tc>
          <w:tcPr>
            <w:tcW w:w="1421" w:type="dxa"/>
            <w:vAlign w:val="center"/>
          </w:tcPr>
          <w:p w14:paraId="0091A995" w14:textId="77777777" w:rsidR="00D749ED" w:rsidRPr="00A41B49" w:rsidRDefault="00D749ED" w:rsidP="00D749ED">
            <w:pPr>
              <w:spacing w:before="60" w:after="60"/>
              <w:jc w:val="center"/>
              <w:rPr>
                <w:sz w:val="18"/>
                <w:szCs w:val="18"/>
              </w:rPr>
            </w:pPr>
            <w:r w:rsidRPr="00A41B49">
              <w:rPr>
                <w:sz w:val="18"/>
                <w:szCs w:val="18"/>
              </w:rPr>
              <w:t>5 µg/L, 5 samples</w:t>
            </w:r>
          </w:p>
        </w:tc>
        <w:tc>
          <w:tcPr>
            <w:tcW w:w="994" w:type="dxa"/>
            <w:vAlign w:val="center"/>
          </w:tcPr>
          <w:p w14:paraId="6F237179" w14:textId="77777777" w:rsidR="00D749ED" w:rsidRPr="00A41B49" w:rsidRDefault="00D749ED" w:rsidP="00D749ED">
            <w:pPr>
              <w:spacing w:before="60" w:after="60"/>
              <w:jc w:val="center"/>
              <w:rPr>
                <w:sz w:val="18"/>
                <w:szCs w:val="18"/>
              </w:rPr>
            </w:pPr>
            <w:r w:rsidRPr="00A41B49">
              <w:rPr>
                <w:sz w:val="18"/>
                <w:szCs w:val="18"/>
              </w:rPr>
              <w:t>Calibration range 1-10 µg/L</w:t>
            </w:r>
          </w:p>
        </w:tc>
        <w:tc>
          <w:tcPr>
            <w:tcW w:w="995" w:type="dxa"/>
            <w:vAlign w:val="center"/>
          </w:tcPr>
          <w:p w14:paraId="3DC51F93"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4E593014" w14:textId="77777777" w:rsidR="00D749ED" w:rsidRPr="00A41B49" w:rsidRDefault="00D749ED" w:rsidP="00D749ED">
            <w:pPr>
              <w:pStyle w:val="Standard-italics"/>
              <w:keepNext w:val="0"/>
              <w:jc w:val="center"/>
              <w:rPr>
                <w:i w:val="0"/>
                <w:sz w:val="18"/>
                <w:szCs w:val="18"/>
              </w:rPr>
            </w:pPr>
            <w:r w:rsidRPr="00A41B49">
              <w:rPr>
                <w:i w:val="0"/>
                <w:sz w:val="18"/>
                <w:szCs w:val="18"/>
              </w:rPr>
              <w:t>Not reported</w:t>
            </w:r>
          </w:p>
        </w:tc>
        <w:tc>
          <w:tcPr>
            <w:tcW w:w="838" w:type="dxa"/>
            <w:vAlign w:val="center"/>
          </w:tcPr>
          <w:p w14:paraId="4E965BC3" w14:textId="77777777" w:rsidR="00D749ED" w:rsidRPr="00A41B49" w:rsidRDefault="00D749ED" w:rsidP="00D749ED">
            <w:pPr>
              <w:pStyle w:val="Standard-italics"/>
              <w:keepNext w:val="0"/>
              <w:jc w:val="center"/>
              <w:rPr>
                <w:i w:val="0"/>
                <w:sz w:val="18"/>
                <w:szCs w:val="18"/>
              </w:rPr>
            </w:pPr>
            <w:r w:rsidRPr="00A41B49">
              <w:rPr>
                <w:i w:val="0"/>
                <w:sz w:val="18"/>
                <w:szCs w:val="18"/>
              </w:rPr>
              <w:t>I</w:t>
            </w:r>
            <w:r w:rsidRPr="00A41B49">
              <w:rPr>
                <w:i w:val="0"/>
                <w:sz w:val="18"/>
                <w:szCs w:val="18"/>
                <w:vertAlign w:val="superscript"/>
              </w:rPr>
              <w:t>-</w:t>
            </w:r>
            <w:r w:rsidRPr="00A41B49">
              <w:rPr>
                <w:i w:val="0"/>
                <w:sz w:val="18"/>
                <w:szCs w:val="18"/>
              </w:rPr>
              <w:t>: 95-100%</w:t>
            </w:r>
          </w:p>
          <w:p w14:paraId="794B2246" w14:textId="77777777" w:rsidR="00D749ED" w:rsidRPr="00A41B49" w:rsidRDefault="00D749ED" w:rsidP="00D749ED">
            <w:pPr>
              <w:pStyle w:val="Standard-italics"/>
              <w:keepNext w:val="0"/>
              <w:jc w:val="center"/>
              <w:rPr>
                <w:i w:val="0"/>
                <w:sz w:val="18"/>
                <w:szCs w:val="18"/>
              </w:rPr>
            </w:pPr>
            <w:r w:rsidRPr="00A41B49">
              <w:rPr>
                <w:i w:val="0"/>
                <w:sz w:val="18"/>
                <w:szCs w:val="18"/>
              </w:rPr>
              <w:t>IO</w:t>
            </w:r>
            <w:r w:rsidRPr="00A41B49">
              <w:rPr>
                <w:i w:val="0"/>
                <w:sz w:val="18"/>
                <w:szCs w:val="18"/>
                <w:vertAlign w:val="subscript"/>
              </w:rPr>
              <w:t>3</w:t>
            </w:r>
            <w:r w:rsidRPr="00A41B49">
              <w:rPr>
                <w:i w:val="0"/>
                <w:sz w:val="18"/>
                <w:szCs w:val="18"/>
                <w:vertAlign w:val="superscript"/>
              </w:rPr>
              <w:t>-</w:t>
            </w:r>
            <w:r w:rsidRPr="00A41B49">
              <w:rPr>
                <w:i w:val="0"/>
                <w:sz w:val="18"/>
                <w:szCs w:val="18"/>
              </w:rPr>
              <w:t>: 94-100% (for all waters)</w:t>
            </w:r>
          </w:p>
        </w:tc>
        <w:tc>
          <w:tcPr>
            <w:tcW w:w="992" w:type="dxa"/>
            <w:vAlign w:val="center"/>
          </w:tcPr>
          <w:p w14:paraId="526EE0D9" w14:textId="77777777" w:rsidR="00D749ED" w:rsidRPr="00A41B49" w:rsidRDefault="00D749ED" w:rsidP="00D749ED">
            <w:pPr>
              <w:pStyle w:val="Standard-italics"/>
              <w:keepNext w:val="0"/>
              <w:jc w:val="center"/>
              <w:rPr>
                <w:i w:val="0"/>
                <w:sz w:val="18"/>
                <w:szCs w:val="18"/>
              </w:rPr>
            </w:pPr>
            <w:r w:rsidRPr="00A41B49">
              <w:rPr>
                <w:i w:val="0"/>
                <w:sz w:val="18"/>
                <w:szCs w:val="18"/>
              </w:rPr>
              <w:t>I</w:t>
            </w:r>
            <w:r w:rsidRPr="00A41B49">
              <w:rPr>
                <w:i w:val="0"/>
                <w:sz w:val="18"/>
                <w:szCs w:val="18"/>
                <w:vertAlign w:val="superscript"/>
              </w:rPr>
              <w:t>-</w:t>
            </w:r>
            <w:r w:rsidRPr="00A41B49">
              <w:rPr>
                <w:i w:val="0"/>
                <w:sz w:val="18"/>
                <w:szCs w:val="18"/>
              </w:rPr>
              <w:t>: 0.9-1.8 %RSD</w:t>
            </w:r>
          </w:p>
          <w:p w14:paraId="02B4C3C5" w14:textId="77777777" w:rsidR="00D749ED" w:rsidRPr="00A41B49" w:rsidRDefault="00D749ED" w:rsidP="00D749ED">
            <w:pPr>
              <w:pStyle w:val="Standard-italics"/>
              <w:keepNext w:val="0"/>
              <w:jc w:val="center"/>
              <w:rPr>
                <w:i w:val="0"/>
                <w:sz w:val="18"/>
                <w:szCs w:val="18"/>
              </w:rPr>
            </w:pPr>
            <w:r w:rsidRPr="00A41B49">
              <w:rPr>
                <w:i w:val="0"/>
                <w:sz w:val="18"/>
                <w:szCs w:val="18"/>
              </w:rPr>
              <w:t>IO</w:t>
            </w:r>
            <w:r w:rsidRPr="00A41B49">
              <w:rPr>
                <w:i w:val="0"/>
                <w:sz w:val="18"/>
                <w:szCs w:val="18"/>
                <w:vertAlign w:val="subscript"/>
              </w:rPr>
              <w:t>3</w:t>
            </w:r>
            <w:r w:rsidRPr="00A41B49">
              <w:rPr>
                <w:i w:val="0"/>
                <w:sz w:val="18"/>
                <w:szCs w:val="18"/>
                <w:vertAlign w:val="superscript"/>
              </w:rPr>
              <w:t>-</w:t>
            </w:r>
            <w:r w:rsidRPr="00A41B49">
              <w:rPr>
                <w:i w:val="0"/>
                <w:sz w:val="18"/>
                <w:szCs w:val="18"/>
              </w:rPr>
              <w:t>: 1.1-1.9% RSD (for all waters)</w:t>
            </w:r>
          </w:p>
        </w:tc>
        <w:tc>
          <w:tcPr>
            <w:tcW w:w="1276" w:type="dxa"/>
            <w:vAlign w:val="center"/>
          </w:tcPr>
          <w:p w14:paraId="6BC7155C" w14:textId="77777777" w:rsidR="00D749ED" w:rsidRPr="00A41B49" w:rsidRDefault="00D749ED" w:rsidP="00D749ED">
            <w:pPr>
              <w:pStyle w:val="Standard-italics"/>
              <w:keepNext w:val="0"/>
              <w:rPr>
                <w:i w:val="0"/>
                <w:sz w:val="18"/>
                <w:szCs w:val="18"/>
              </w:rPr>
            </w:pPr>
            <w:r w:rsidRPr="00A41B49">
              <w:rPr>
                <w:i w:val="0"/>
                <w:sz w:val="18"/>
                <w:szCs w:val="18"/>
              </w:rPr>
              <w:t>LOQ: At least 5 µg/L (validated)</w:t>
            </w:r>
          </w:p>
          <w:p w14:paraId="4F8B5E7D" w14:textId="77777777" w:rsidR="00D749ED" w:rsidRPr="00A41B49" w:rsidRDefault="00D749ED" w:rsidP="00D749ED">
            <w:pPr>
              <w:pStyle w:val="Standard-italics"/>
              <w:keepNext w:val="0"/>
              <w:rPr>
                <w:i w:val="0"/>
                <w:sz w:val="18"/>
                <w:szCs w:val="18"/>
              </w:rPr>
            </w:pPr>
            <w:r w:rsidRPr="00A41B49">
              <w:rPr>
                <w:i w:val="0"/>
                <w:sz w:val="18"/>
                <w:szCs w:val="18"/>
              </w:rPr>
              <w:t xml:space="preserve"> Calculated: 0.77µg/L for I</w:t>
            </w:r>
            <w:r w:rsidRPr="00A41B49">
              <w:rPr>
                <w:i w:val="0"/>
                <w:sz w:val="18"/>
                <w:szCs w:val="18"/>
                <w:vertAlign w:val="superscript"/>
              </w:rPr>
              <w:t>-</w:t>
            </w:r>
            <w:r w:rsidRPr="00A41B49">
              <w:rPr>
                <w:i w:val="0"/>
                <w:sz w:val="18"/>
                <w:szCs w:val="18"/>
              </w:rPr>
              <w:t>, 0.48 µg/L for IO</w:t>
            </w:r>
            <w:r w:rsidRPr="00A41B49">
              <w:rPr>
                <w:i w:val="0"/>
                <w:sz w:val="18"/>
                <w:szCs w:val="18"/>
                <w:vertAlign w:val="subscript"/>
              </w:rPr>
              <w:t>3</w:t>
            </w:r>
            <w:r w:rsidRPr="00A41B49">
              <w:rPr>
                <w:i w:val="0"/>
                <w:sz w:val="18"/>
                <w:szCs w:val="18"/>
                <w:vertAlign w:val="superscript"/>
              </w:rPr>
              <w:t>-</w:t>
            </w:r>
            <w:r w:rsidRPr="00A41B49">
              <w:rPr>
                <w:i w:val="0"/>
                <w:sz w:val="18"/>
                <w:szCs w:val="18"/>
              </w:rPr>
              <w:t xml:space="preserve"> </w:t>
            </w:r>
          </w:p>
        </w:tc>
        <w:tc>
          <w:tcPr>
            <w:tcW w:w="1134" w:type="dxa"/>
          </w:tcPr>
          <w:p w14:paraId="30B4B9C0" w14:textId="77777777" w:rsidR="00D749ED" w:rsidRPr="00A41B49" w:rsidRDefault="00D749ED" w:rsidP="00D749ED">
            <w:pPr>
              <w:pStyle w:val="Standard-italics"/>
              <w:keepNext w:val="0"/>
              <w:jc w:val="center"/>
              <w:rPr>
                <w:i w:val="0"/>
                <w:sz w:val="18"/>
                <w:szCs w:val="18"/>
                <w:lang w:val="it-IT"/>
              </w:rPr>
            </w:pPr>
            <w:r w:rsidRPr="00A41B49">
              <w:rPr>
                <w:i w:val="0"/>
                <w:sz w:val="18"/>
                <w:szCs w:val="18"/>
                <w:lang w:val="it-IT"/>
              </w:rPr>
              <w:t>0.59 mg/L***</w:t>
            </w:r>
          </w:p>
        </w:tc>
        <w:tc>
          <w:tcPr>
            <w:tcW w:w="2466" w:type="dxa"/>
          </w:tcPr>
          <w:p w14:paraId="2046DA83" w14:textId="77777777" w:rsidR="00D749ED" w:rsidRPr="00A41B49" w:rsidRDefault="00D749ED" w:rsidP="00D749ED">
            <w:pPr>
              <w:spacing w:before="60" w:after="60"/>
              <w:jc w:val="center"/>
              <w:rPr>
                <w:sz w:val="18"/>
                <w:szCs w:val="18"/>
                <w:u w:val="single"/>
                <w:lang w:val="it-IT"/>
              </w:rPr>
            </w:pPr>
            <w:r w:rsidRPr="00A41B49">
              <w:rPr>
                <w:sz w:val="18"/>
                <w:szCs w:val="18"/>
                <w:u w:val="single"/>
                <w:lang w:val="it-IT"/>
              </w:rPr>
              <w:t>Acceptable</w:t>
            </w:r>
          </w:p>
          <w:p w14:paraId="59398C4F" w14:textId="77777777" w:rsidR="00D749ED" w:rsidRPr="00A41B49" w:rsidRDefault="00D749ED" w:rsidP="00D749ED">
            <w:pPr>
              <w:spacing w:before="60" w:after="60"/>
              <w:jc w:val="center"/>
              <w:rPr>
                <w:sz w:val="18"/>
                <w:szCs w:val="18"/>
              </w:rPr>
            </w:pPr>
            <w:r w:rsidRPr="00A41B49">
              <w:rPr>
                <w:sz w:val="18"/>
                <w:szCs w:val="18"/>
                <w:lang w:val="it-IT"/>
              </w:rPr>
              <w:t>No method required due to low PECs in comparison to natural background levels</w:t>
            </w:r>
            <w:r w:rsidRPr="00A41B49">
              <w:rPr>
                <w:sz w:val="18"/>
                <w:szCs w:val="18"/>
              </w:rPr>
              <w:t xml:space="preserve"> </w:t>
            </w:r>
          </w:p>
        </w:tc>
        <w:tc>
          <w:tcPr>
            <w:tcW w:w="1417" w:type="dxa"/>
            <w:vAlign w:val="center"/>
          </w:tcPr>
          <w:p w14:paraId="0FC89FCC" w14:textId="77777777" w:rsidR="00D749ED" w:rsidRPr="00A41B49" w:rsidRDefault="00D749ED" w:rsidP="00D749ED">
            <w:pPr>
              <w:pStyle w:val="Standard-italics"/>
              <w:keepNext w:val="0"/>
              <w:jc w:val="center"/>
              <w:rPr>
                <w:i w:val="0"/>
                <w:sz w:val="18"/>
                <w:szCs w:val="18"/>
              </w:rPr>
            </w:pPr>
            <w:r w:rsidRPr="00A41B49">
              <w:rPr>
                <w:i w:val="0"/>
                <w:sz w:val="18"/>
                <w:szCs w:val="18"/>
              </w:rPr>
              <w:t xml:space="preserve">Sacher et al (2005): Doc. No. 492-021; A4.2c/06 </w:t>
            </w:r>
          </w:p>
        </w:tc>
      </w:tr>
      <w:tr w:rsidR="00D749ED" w:rsidRPr="00A41B49" w14:paraId="03E3BD56" w14:textId="77777777" w:rsidTr="005E1E28">
        <w:tc>
          <w:tcPr>
            <w:tcW w:w="851" w:type="dxa"/>
            <w:vAlign w:val="center"/>
          </w:tcPr>
          <w:p w14:paraId="0BB31521" w14:textId="77777777" w:rsidR="00D749ED" w:rsidRPr="00A41B49" w:rsidRDefault="00D749ED" w:rsidP="00D749ED">
            <w:pPr>
              <w:spacing w:before="60" w:after="60"/>
              <w:jc w:val="center"/>
              <w:rPr>
                <w:sz w:val="18"/>
                <w:szCs w:val="18"/>
              </w:rPr>
            </w:pPr>
            <w:r w:rsidRPr="00A41B49">
              <w:rPr>
                <w:sz w:val="18"/>
                <w:szCs w:val="18"/>
              </w:rPr>
              <w:t>Water (drinking)</w:t>
            </w:r>
          </w:p>
        </w:tc>
        <w:tc>
          <w:tcPr>
            <w:tcW w:w="1333" w:type="dxa"/>
            <w:vAlign w:val="center"/>
          </w:tcPr>
          <w:p w14:paraId="703E4E67" w14:textId="77777777" w:rsidR="00D749ED" w:rsidRPr="00A41B49" w:rsidRDefault="00D749ED" w:rsidP="00D749ED">
            <w:pPr>
              <w:spacing w:before="60" w:after="60"/>
              <w:jc w:val="center"/>
              <w:rPr>
                <w:sz w:val="18"/>
                <w:szCs w:val="18"/>
              </w:rPr>
            </w:pPr>
            <w:r w:rsidRPr="00A41B49">
              <w:rPr>
                <w:sz w:val="18"/>
                <w:szCs w:val="18"/>
              </w:rPr>
              <w:t>Iodide and iodate (separately)</w:t>
            </w:r>
          </w:p>
        </w:tc>
        <w:tc>
          <w:tcPr>
            <w:tcW w:w="1080" w:type="dxa"/>
            <w:vAlign w:val="center"/>
          </w:tcPr>
          <w:p w14:paraId="2152C732" w14:textId="77777777" w:rsidR="00D749ED" w:rsidRPr="00A41B49" w:rsidRDefault="00D749ED" w:rsidP="00D749ED">
            <w:pPr>
              <w:pStyle w:val="Standard-italics"/>
              <w:keepNext w:val="0"/>
              <w:jc w:val="center"/>
              <w:rPr>
                <w:i w:val="0"/>
                <w:sz w:val="18"/>
                <w:szCs w:val="18"/>
              </w:rPr>
            </w:pPr>
            <w:r w:rsidRPr="00A41B49">
              <w:rPr>
                <w:i w:val="0"/>
                <w:sz w:val="18"/>
                <w:szCs w:val="18"/>
              </w:rPr>
              <w:t>IC-ICP-MS</w:t>
            </w:r>
          </w:p>
        </w:tc>
        <w:tc>
          <w:tcPr>
            <w:tcW w:w="1421" w:type="dxa"/>
            <w:vAlign w:val="center"/>
          </w:tcPr>
          <w:p w14:paraId="7FB093B7" w14:textId="77777777" w:rsidR="00D749ED" w:rsidRPr="00A41B49" w:rsidRDefault="00D749ED" w:rsidP="00D749ED">
            <w:pPr>
              <w:spacing w:before="60" w:after="60"/>
              <w:jc w:val="center"/>
              <w:rPr>
                <w:sz w:val="18"/>
                <w:szCs w:val="18"/>
              </w:rPr>
            </w:pPr>
            <w:r w:rsidRPr="00A41B49">
              <w:rPr>
                <w:sz w:val="18"/>
                <w:szCs w:val="18"/>
              </w:rPr>
              <w:t>6.4-17.5 µg/L  (1 fortifcation level per specie, 3 samples per level and 2 different water samples)</w:t>
            </w:r>
          </w:p>
        </w:tc>
        <w:tc>
          <w:tcPr>
            <w:tcW w:w="994" w:type="dxa"/>
            <w:vAlign w:val="center"/>
          </w:tcPr>
          <w:p w14:paraId="341FC96B" w14:textId="77777777" w:rsidR="00D749ED" w:rsidRPr="00A41B49" w:rsidRDefault="00D749ED" w:rsidP="00D749ED">
            <w:pPr>
              <w:spacing w:before="60" w:after="60"/>
              <w:jc w:val="center"/>
              <w:rPr>
                <w:sz w:val="18"/>
                <w:szCs w:val="18"/>
              </w:rPr>
            </w:pPr>
            <w:r w:rsidRPr="00A41B49">
              <w:rPr>
                <w:sz w:val="18"/>
                <w:szCs w:val="18"/>
              </w:rPr>
              <w:t>I</w:t>
            </w:r>
            <w:r w:rsidRPr="00A41B49">
              <w:rPr>
                <w:sz w:val="18"/>
                <w:szCs w:val="18"/>
                <w:vertAlign w:val="superscript"/>
              </w:rPr>
              <w:t>-</w:t>
            </w:r>
            <w:r w:rsidRPr="00A41B49">
              <w:rPr>
                <w:sz w:val="18"/>
                <w:szCs w:val="18"/>
              </w:rPr>
              <w:t>: 0.06-640 µg/L</w:t>
            </w:r>
          </w:p>
          <w:p w14:paraId="427EE41D" w14:textId="77777777" w:rsidR="00D749ED" w:rsidRPr="00A41B49" w:rsidRDefault="00D749ED" w:rsidP="00D749ED">
            <w:pPr>
              <w:spacing w:before="60" w:after="60"/>
              <w:jc w:val="center"/>
              <w:rPr>
                <w:sz w:val="18"/>
                <w:szCs w:val="18"/>
              </w:rPr>
            </w:pPr>
            <w:r w:rsidRPr="00A41B49">
              <w:rPr>
                <w:sz w:val="18"/>
                <w:szCs w:val="18"/>
              </w:rPr>
              <w:t>IO</w:t>
            </w:r>
            <w:r w:rsidRPr="00A41B49">
              <w:rPr>
                <w:sz w:val="18"/>
                <w:szCs w:val="18"/>
                <w:vertAlign w:val="subscript"/>
              </w:rPr>
              <w:t>3</w:t>
            </w:r>
            <w:r w:rsidRPr="00A41B49">
              <w:rPr>
                <w:sz w:val="18"/>
                <w:szCs w:val="18"/>
                <w:vertAlign w:val="superscript"/>
              </w:rPr>
              <w:t>-</w:t>
            </w:r>
            <w:r w:rsidRPr="00A41B49">
              <w:rPr>
                <w:sz w:val="18"/>
                <w:szCs w:val="18"/>
              </w:rPr>
              <w:t>: 0.09-874 µg/L</w:t>
            </w:r>
          </w:p>
        </w:tc>
        <w:tc>
          <w:tcPr>
            <w:tcW w:w="995" w:type="dxa"/>
            <w:vAlign w:val="center"/>
          </w:tcPr>
          <w:p w14:paraId="19020900"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7E1FFE04" w14:textId="77777777" w:rsidR="00D749ED" w:rsidRPr="00A41B49" w:rsidRDefault="00D749ED" w:rsidP="00D749ED">
            <w:pPr>
              <w:pStyle w:val="Standard-italics"/>
              <w:keepNext w:val="0"/>
              <w:jc w:val="center"/>
              <w:rPr>
                <w:i w:val="0"/>
                <w:sz w:val="18"/>
                <w:szCs w:val="18"/>
              </w:rPr>
            </w:pPr>
            <w:r w:rsidRPr="00A41B49">
              <w:rPr>
                <w:i w:val="0"/>
                <w:sz w:val="18"/>
                <w:szCs w:val="18"/>
              </w:rPr>
              <w:t>Not reported</w:t>
            </w:r>
          </w:p>
        </w:tc>
        <w:tc>
          <w:tcPr>
            <w:tcW w:w="838" w:type="dxa"/>
            <w:vAlign w:val="center"/>
          </w:tcPr>
          <w:p w14:paraId="2C60E86C" w14:textId="77777777" w:rsidR="00D749ED" w:rsidRPr="00A41B49" w:rsidRDefault="00D749ED" w:rsidP="00D749ED">
            <w:pPr>
              <w:pStyle w:val="Standard-italics"/>
              <w:keepNext w:val="0"/>
              <w:jc w:val="center"/>
              <w:rPr>
                <w:i w:val="0"/>
                <w:sz w:val="18"/>
                <w:szCs w:val="18"/>
              </w:rPr>
            </w:pPr>
            <w:r w:rsidRPr="00A41B49">
              <w:rPr>
                <w:i w:val="0"/>
                <w:sz w:val="18"/>
                <w:szCs w:val="18"/>
              </w:rPr>
              <w:t>I</w:t>
            </w:r>
            <w:r w:rsidRPr="00A41B49">
              <w:rPr>
                <w:i w:val="0"/>
                <w:sz w:val="18"/>
                <w:szCs w:val="18"/>
                <w:vertAlign w:val="superscript"/>
              </w:rPr>
              <w:t>-</w:t>
            </w:r>
            <w:r w:rsidRPr="00A41B49">
              <w:rPr>
                <w:i w:val="0"/>
                <w:sz w:val="18"/>
                <w:szCs w:val="18"/>
              </w:rPr>
              <w:t>: 92-95%</w:t>
            </w:r>
          </w:p>
          <w:p w14:paraId="1CC15293" w14:textId="77777777" w:rsidR="00D749ED" w:rsidRPr="00A41B49" w:rsidRDefault="00D749ED" w:rsidP="00D749ED">
            <w:pPr>
              <w:pStyle w:val="Standard-italics"/>
              <w:keepNext w:val="0"/>
              <w:jc w:val="center"/>
              <w:rPr>
                <w:i w:val="0"/>
                <w:sz w:val="18"/>
                <w:szCs w:val="18"/>
              </w:rPr>
            </w:pPr>
            <w:r w:rsidRPr="00A41B49">
              <w:rPr>
                <w:i w:val="0"/>
                <w:sz w:val="18"/>
                <w:szCs w:val="18"/>
              </w:rPr>
              <w:t>IO</w:t>
            </w:r>
            <w:r w:rsidRPr="00A41B49">
              <w:rPr>
                <w:i w:val="0"/>
                <w:sz w:val="18"/>
                <w:szCs w:val="18"/>
                <w:vertAlign w:val="subscript"/>
              </w:rPr>
              <w:t>3</w:t>
            </w:r>
            <w:r w:rsidRPr="00A41B49">
              <w:rPr>
                <w:i w:val="0"/>
                <w:sz w:val="18"/>
                <w:szCs w:val="18"/>
                <w:vertAlign w:val="superscript"/>
              </w:rPr>
              <w:t>-</w:t>
            </w:r>
            <w:r w:rsidRPr="00A41B49">
              <w:rPr>
                <w:i w:val="0"/>
                <w:sz w:val="18"/>
                <w:szCs w:val="18"/>
              </w:rPr>
              <w:t xml:space="preserve">: 94-97% </w:t>
            </w:r>
          </w:p>
        </w:tc>
        <w:tc>
          <w:tcPr>
            <w:tcW w:w="992" w:type="dxa"/>
            <w:vAlign w:val="center"/>
          </w:tcPr>
          <w:p w14:paraId="3F8994FD" w14:textId="77777777" w:rsidR="00D749ED" w:rsidRPr="00A41B49" w:rsidRDefault="00D749ED" w:rsidP="00D749ED">
            <w:pPr>
              <w:pStyle w:val="Standard-italics"/>
              <w:keepNext w:val="0"/>
              <w:jc w:val="center"/>
              <w:rPr>
                <w:i w:val="0"/>
                <w:sz w:val="18"/>
                <w:szCs w:val="18"/>
              </w:rPr>
            </w:pPr>
            <w:r w:rsidRPr="00A41B49">
              <w:rPr>
                <w:i w:val="0"/>
                <w:sz w:val="18"/>
                <w:szCs w:val="18"/>
              </w:rPr>
              <w:t>I</w:t>
            </w:r>
            <w:r w:rsidRPr="00A41B49">
              <w:rPr>
                <w:i w:val="0"/>
                <w:sz w:val="18"/>
                <w:szCs w:val="18"/>
                <w:vertAlign w:val="superscript"/>
              </w:rPr>
              <w:t>-</w:t>
            </w:r>
            <w:r w:rsidRPr="00A41B49">
              <w:rPr>
                <w:i w:val="0"/>
                <w:sz w:val="18"/>
                <w:szCs w:val="18"/>
              </w:rPr>
              <w:t>: 0.5-1.4 %RSD</w:t>
            </w:r>
          </w:p>
          <w:p w14:paraId="1C25819C" w14:textId="77777777" w:rsidR="00D749ED" w:rsidRPr="00A41B49" w:rsidRDefault="00D749ED" w:rsidP="00D749ED">
            <w:pPr>
              <w:pStyle w:val="Standard-italics"/>
              <w:keepNext w:val="0"/>
              <w:jc w:val="center"/>
              <w:rPr>
                <w:i w:val="0"/>
                <w:sz w:val="18"/>
                <w:szCs w:val="18"/>
              </w:rPr>
            </w:pPr>
            <w:r w:rsidRPr="00A41B49">
              <w:rPr>
                <w:i w:val="0"/>
                <w:sz w:val="18"/>
                <w:szCs w:val="18"/>
              </w:rPr>
              <w:t>IO</w:t>
            </w:r>
            <w:r w:rsidRPr="00A41B49">
              <w:rPr>
                <w:i w:val="0"/>
                <w:sz w:val="18"/>
                <w:szCs w:val="18"/>
                <w:vertAlign w:val="subscript"/>
              </w:rPr>
              <w:t>3</w:t>
            </w:r>
            <w:r w:rsidRPr="00A41B49">
              <w:rPr>
                <w:i w:val="0"/>
                <w:sz w:val="18"/>
                <w:szCs w:val="18"/>
                <w:vertAlign w:val="superscript"/>
              </w:rPr>
              <w:t>-</w:t>
            </w:r>
            <w:r w:rsidRPr="00A41B49">
              <w:rPr>
                <w:i w:val="0"/>
                <w:sz w:val="18"/>
                <w:szCs w:val="18"/>
              </w:rPr>
              <w:t xml:space="preserve">: 0.3-0.8-% RSD </w:t>
            </w:r>
          </w:p>
        </w:tc>
        <w:tc>
          <w:tcPr>
            <w:tcW w:w="1276" w:type="dxa"/>
            <w:vAlign w:val="center"/>
          </w:tcPr>
          <w:p w14:paraId="65E9ED06" w14:textId="77777777" w:rsidR="00D749ED" w:rsidRPr="00A41B49" w:rsidRDefault="00D749ED" w:rsidP="00D749ED">
            <w:pPr>
              <w:pStyle w:val="Standard-italics"/>
              <w:keepNext w:val="0"/>
              <w:rPr>
                <w:i w:val="0"/>
                <w:sz w:val="18"/>
                <w:szCs w:val="18"/>
              </w:rPr>
            </w:pPr>
            <w:r w:rsidRPr="00A41B49">
              <w:rPr>
                <w:i w:val="0"/>
                <w:sz w:val="18"/>
                <w:szCs w:val="18"/>
              </w:rPr>
              <w:t>LOQ: At least 6.4  and 8.8 µg/L for I</w:t>
            </w:r>
            <w:r w:rsidRPr="00A41B49">
              <w:rPr>
                <w:i w:val="0"/>
                <w:sz w:val="18"/>
                <w:szCs w:val="18"/>
                <w:vertAlign w:val="superscript"/>
              </w:rPr>
              <w:t>-</w:t>
            </w:r>
            <w:r w:rsidRPr="00A41B49">
              <w:rPr>
                <w:i w:val="0"/>
                <w:sz w:val="18"/>
                <w:szCs w:val="18"/>
              </w:rPr>
              <w:t xml:space="preserve"> and IO</w:t>
            </w:r>
            <w:r w:rsidRPr="00A41B49">
              <w:rPr>
                <w:i w:val="0"/>
                <w:sz w:val="18"/>
                <w:szCs w:val="18"/>
                <w:vertAlign w:val="subscript"/>
              </w:rPr>
              <w:t>3</w:t>
            </w:r>
            <w:r w:rsidRPr="00A41B49">
              <w:rPr>
                <w:i w:val="0"/>
                <w:sz w:val="18"/>
                <w:szCs w:val="18"/>
                <w:vertAlign w:val="superscript"/>
              </w:rPr>
              <w:t>-</w:t>
            </w:r>
            <w:r w:rsidRPr="00A41B49">
              <w:rPr>
                <w:i w:val="0"/>
                <w:sz w:val="18"/>
                <w:szCs w:val="18"/>
              </w:rPr>
              <w:t xml:space="preserve"> respectively (validated)</w:t>
            </w:r>
          </w:p>
        </w:tc>
        <w:tc>
          <w:tcPr>
            <w:tcW w:w="1134" w:type="dxa"/>
          </w:tcPr>
          <w:p w14:paraId="5A36F797" w14:textId="77777777" w:rsidR="00D749ED" w:rsidRPr="00A41B49" w:rsidRDefault="00D749ED" w:rsidP="00D749ED">
            <w:pPr>
              <w:pStyle w:val="Standard-italics"/>
              <w:keepNext w:val="0"/>
              <w:jc w:val="center"/>
              <w:rPr>
                <w:i w:val="0"/>
                <w:sz w:val="18"/>
                <w:szCs w:val="18"/>
                <w:lang w:val="it-IT"/>
              </w:rPr>
            </w:pPr>
            <w:r w:rsidRPr="00A41B49">
              <w:rPr>
                <w:i w:val="0"/>
                <w:sz w:val="18"/>
                <w:szCs w:val="18"/>
                <w:lang w:val="it-IT"/>
              </w:rPr>
              <w:t>0.59 mg/L***</w:t>
            </w:r>
          </w:p>
        </w:tc>
        <w:tc>
          <w:tcPr>
            <w:tcW w:w="2466" w:type="dxa"/>
          </w:tcPr>
          <w:p w14:paraId="09C531BA" w14:textId="77777777" w:rsidR="00D749ED" w:rsidRPr="00A41B49" w:rsidRDefault="00D749ED" w:rsidP="00D749ED">
            <w:pPr>
              <w:spacing w:before="60" w:after="60"/>
              <w:jc w:val="center"/>
              <w:rPr>
                <w:sz w:val="18"/>
                <w:szCs w:val="18"/>
                <w:u w:val="single"/>
                <w:lang w:val="it-IT"/>
              </w:rPr>
            </w:pPr>
            <w:r w:rsidRPr="00A41B49">
              <w:rPr>
                <w:sz w:val="18"/>
                <w:szCs w:val="18"/>
                <w:u w:val="single"/>
                <w:lang w:val="it-IT"/>
              </w:rPr>
              <w:t>Acceptable</w:t>
            </w:r>
          </w:p>
          <w:p w14:paraId="6D116630" w14:textId="77777777" w:rsidR="00D749ED" w:rsidRPr="00A41B49" w:rsidRDefault="00D749ED" w:rsidP="00D749ED">
            <w:pPr>
              <w:spacing w:before="60" w:after="60"/>
              <w:jc w:val="center"/>
              <w:rPr>
                <w:sz w:val="18"/>
                <w:szCs w:val="18"/>
                <w:u w:val="single"/>
                <w:lang w:val="it-IT"/>
              </w:rPr>
            </w:pPr>
            <w:r w:rsidRPr="00A41B49">
              <w:rPr>
                <w:sz w:val="18"/>
                <w:szCs w:val="18"/>
                <w:lang w:val="it-IT"/>
              </w:rPr>
              <w:t>No method required due to low PECs in comparison to natural background levels</w:t>
            </w:r>
          </w:p>
        </w:tc>
        <w:tc>
          <w:tcPr>
            <w:tcW w:w="1417" w:type="dxa"/>
            <w:vAlign w:val="center"/>
          </w:tcPr>
          <w:p w14:paraId="4F8A336D" w14:textId="77777777" w:rsidR="00D749ED" w:rsidRPr="00A41B49" w:rsidRDefault="00D749ED" w:rsidP="00D749ED">
            <w:pPr>
              <w:pStyle w:val="Standard-italics"/>
              <w:keepNext w:val="0"/>
              <w:jc w:val="center"/>
              <w:rPr>
                <w:i w:val="0"/>
                <w:sz w:val="18"/>
                <w:szCs w:val="18"/>
              </w:rPr>
            </w:pPr>
            <w:r w:rsidRPr="00A41B49">
              <w:rPr>
                <w:i w:val="0"/>
                <w:sz w:val="18"/>
                <w:szCs w:val="18"/>
              </w:rPr>
              <w:t>Liu et al (2010); Doc. No. 492-022; A4.2c/07</w:t>
            </w:r>
          </w:p>
        </w:tc>
      </w:tr>
      <w:tr w:rsidR="00D749ED" w:rsidRPr="00A41B49" w14:paraId="3652B160" w14:textId="77777777" w:rsidTr="005E1E28">
        <w:tc>
          <w:tcPr>
            <w:tcW w:w="851" w:type="dxa"/>
            <w:vAlign w:val="center"/>
          </w:tcPr>
          <w:p w14:paraId="52E32C76" w14:textId="77777777" w:rsidR="00D749ED" w:rsidRPr="00A41B49" w:rsidRDefault="00D749ED" w:rsidP="00D749ED">
            <w:pPr>
              <w:spacing w:before="60" w:after="60"/>
              <w:jc w:val="center"/>
              <w:rPr>
                <w:sz w:val="18"/>
                <w:szCs w:val="18"/>
              </w:rPr>
            </w:pPr>
            <w:r w:rsidRPr="00A41B49">
              <w:rPr>
                <w:sz w:val="18"/>
                <w:szCs w:val="18"/>
              </w:rPr>
              <w:t>Milk and milk powder</w:t>
            </w:r>
          </w:p>
        </w:tc>
        <w:tc>
          <w:tcPr>
            <w:tcW w:w="1333" w:type="dxa"/>
            <w:vAlign w:val="center"/>
          </w:tcPr>
          <w:p w14:paraId="702D88C0" w14:textId="77777777" w:rsidR="00D749ED" w:rsidRPr="00A41B49" w:rsidRDefault="00D749ED" w:rsidP="00D749ED">
            <w:pPr>
              <w:spacing w:before="60" w:after="60"/>
              <w:jc w:val="center"/>
              <w:rPr>
                <w:sz w:val="18"/>
                <w:szCs w:val="18"/>
              </w:rPr>
            </w:pPr>
            <w:r w:rsidRPr="00A41B49">
              <w:rPr>
                <w:sz w:val="18"/>
                <w:szCs w:val="18"/>
              </w:rPr>
              <w:t>iodide</w:t>
            </w:r>
          </w:p>
        </w:tc>
        <w:tc>
          <w:tcPr>
            <w:tcW w:w="1080" w:type="dxa"/>
            <w:vAlign w:val="center"/>
          </w:tcPr>
          <w:p w14:paraId="1DE41E72" w14:textId="77777777" w:rsidR="00D749ED" w:rsidRPr="00A41B49" w:rsidRDefault="00D749ED" w:rsidP="00D749ED">
            <w:pPr>
              <w:pStyle w:val="Standard-italics"/>
              <w:keepNext w:val="0"/>
              <w:jc w:val="center"/>
              <w:rPr>
                <w:i w:val="0"/>
                <w:sz w:val="18"/>
                <w:szCs w:val="18"/>
              </w:rPr>
            </w:pPr>
            <w:r w:rsidRPr="00A41B49">
              <w:rPr>
                <w:i w:val="0"/>
                <w:sz w:val="18"/>
                <w:szCs w:val="18"/>
              </w:rPr>
              <w:t>HPLC with electrochemical detector</w:t>
            </w:r>
          </w:p>
        </w:tc>
        <w:tc>
          <w:tcPr>
            <w:tcW w:w="1421" w:type="dxa"/>
            <w:vAlign w:val="center"/>
          </w:tcPr>
          <w:p w14:paraId="5370B615" w14:textId="77777777" w:rsidR="00D749ED" w:rsidRPr="00A41B49" w:rsidRDefault="00D749ED" w:rsidP="00D749ED">
            <w:pPr>
              <w:spacing w:before="60" w:after="60"/>
              <w:jc w:val="center"/>
              <w:rPr>
                <w:sz w:val="18"/>
                <w:szCs w:val="18"/>
              </w:rPr>
            </w:pPr>
            <w:r w:rsidRPr="00A41B49">
              <w:rPr>
                <w:sz w:val="18"/>
                <w:szCs w:val="18"/>
              </w:rPr>
              <w:t>Accuracy/precision data generated in the approximate range 0.6-4.3 µg/g and 270-310 µg/L for milk powders and liquid milk respectively. Each sample analysed in blind duplicates over two days. 6-9 laboratories participated (interlaboratory tested).</w:t>
            </w:r>
          </w:p>
        </w:tc>
        <w:tc>
          <w:tcPr>
            <w:tcW w:w="994" w:type="dxa"/>
            <w:vAlign w:val="center"/>
          </w:tcPr>
          <w:p w14:paraId="26062616" w14:textId="77777777" w:rsidR="00D749ED" w:rsidRPr="00A41B49" w:rsidRDefault="00D749ED" w:rsidP="00D749ED">
            <w:pPr>
              <w:spacing w:before="60" w:after="60"/>
              <w:jc w:val="center"/>
              <w:rPr>
                <w:sz w:val="18"/>
                <w:szCs w:val="18"/>
              </w:rPr>
            </w:pPr>
            <w:r w:rsidRPr="00A41B49">
              <w:rPr>
                <w:sz w:val="18"/>
                <w:szCs w:val="18"/>
              </w:rPr>
              <w:t xml:space="preserve">The correlation coefficient should be </w:t>
            </w:r>
            <w:r w:rsidRPr="00A41B49">
              <w:rPr>
                <w:sz w:val="18"/>
                <w:szCs w:val="18"/>
                <w:u w:val="single"/>
              </w:rPr>
              <w:t>&gt;</w:t>
            </w:r>
            <w:r w:rsidRPr="00A41B49">
              <w:rPr>
                <w:sz w:val="18"/>
                <w:szCs w:val="18"/>
              </w:rPr>
              <w:t xml:space="preserve"> 0.99. Applicability range of method quoted as 0.03 -1 µg/g and 0.3-10.0 µg/g for whole milk and milk powders respectively (no further supporting data)</w:t>
            </w:r>
          </w:p>
        </w:tc>
        <w:tc>
          <w:tcPr>
            <w:tcW w:w="995" w:type="dxa"/>
            <w:vAlign w:val="center"/>
          </w:tcPr>
          <w:p w14:paraId="54EFE764"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128CD986" w14:textId="77777777" w:rsidR="00D749ED" w:rsidRPr="00A41B49" w:rsidRDefault="00D749ED" w:rsidP="00D749ED">
            <w:pPr>
              <w:pStyle w:val="Standard-italics"/>
              <w:keepNext w:val="0"/>
              <w:jc w:val="center"/>
              <w:rPr>
                <w:i w:val="0"/>
                <w:sz w:val="18"/>
                <w:szCs w:val="18"/>
              </w:rPr>
            </w:pPr>
            <w:r w:rsidRPr="00A41B49">
              <w:rPr>
                <w:i w:val="0"/>
                <w:sz w:val="18"/>
                <w:szCs w:val="18"/>
              </w:rPr>
              <w:t xml:space="preserve">75-106% and 87.8% for milk powders (mp) and whole milk (wm) respectively </w:t>
            </w:r>
          </w:p>
        </w:tc>
        <w:tc>
          <w:tcPr>
            <w:tcW w:w="838" w:type="dxa"/>
            <w:vAlign w:val="center"/>
          </w:tcPr>
          <w:p w14:paraId="40819643" w14:textId="77777777" w:rsidR="00D749ED" w:rsidRPr="00A41B49" w:rsidRDefault="00D749ED" w:rsidP="00D749ED">
            <w:pPr>
              <w:pStyle w:val="Standard-italics"/>
              <w:keepNext w:val="0"/>
              <w:jc w:val="center"/>
              <w:rPr>
                <w:i w:val="0"/>
                <w:sz w:val="18"/>
                <w:szCs w:val="18"/>
              </w:rPr>
            </w:pPr>
            <w:r w:rsidRPr="00A41B49">
              <w:rPr>
                <w:i w:val="0"/>
                <w:sz w:val="18"/>
                <w:szCs w:val="18"/>
              </w:rPr>
              <w:t>90.8% (mp) 87.8% (wm)</w:t>
            </w:r>
          </w:p>
        </w:tc>
        <w:tc>
          <w:tcPr>
            <w:tcW w:w="992" w:type="dxa"/>
            <w:vAlign w:val="center"/>
          </w:tcPr>
          <w:p w14:paraId="466E651A" w14:textId="77777777" w:rsidR="00D749ED" w:rsidRPr="00A41B49" w:rsidRDefault="00D749ED" w:rsidP="00D749ED">
            <w:pPr>
              <w:pStyle w:val="Standard-italics"/>
              <w:keepNext w:val="0"/>
              <w:jc w:val="center"/>
              <w:rPr>
                <w:i w:val="0"/>
                <w:sz w:val="18"/>
                <w:szCs w:val="18"/>
              </w:rPr>
            </w:pPr>
            <w:r w:rsidRPr="00A41B49">
              <w:rPr>
                <w:i w:val="0"/>
                <w:sz w:val="18"/>
                <w:szCs w:val="18"/>
              </w:rPr>
              <w:t xml:space="preserve">Precision: </w:t>
            </w:r>
          </w:p>
          <w:p w14:paraId="14296B58" w14:textId="77777777" w:rsidR="00D749ED" w:rsidRPr="00A41B49" w:rsidRDefault="00D749ED" w:rsidP="00D749ED">
            <w:pPr>
              <w:pStyle w:val="Standard-italics"/>
              <w:keepNext w:val="0"/>
              <w:jc w:val="center"/>
              <w:rPr>
                <w:i w:val="0"/>
                <w:sz w:val="18"/>
                <w:szCs w:val="18"/>
              </w:rPr>
            </w:pPr>
            <w:r w:rsidRPr="00A41B49">
              <w:rPr>
                <w:i w:val="0"/>
                <w:sz w:val="18"/>
                <w:szCs w:val="18"/>
              </w:rPr>
              <w:t>7-24%RSD (mp)</w:t>
            </w:r>
          </w:p>
          <w:p w14:paraId="1407BABB" w14:textId="77777777" w:rsidR="00D749ED" w:rsidRPr="00A41B49" w:rsidRDefault="00D749ED" w:rsidP="00D749ED">
            <w:pPr>
              <w:pStyle w:val="Standard-italics"/>
              <w:keepNext w:val="0"/>
              <w:jc w:val="center"/>
              <w:rPr>
                <w:i w:val="0"/>
                <w:sz w:val="18"/>
                <w:szCs w:val="18"/>
              </w:rPr>
            </w:pPr>
          </w:p>
          <w:p w14:paraId="07934E69" w14:textId="77777777" w:rsidR="00D749ED" w:rsidRPr="00A41B49" w:rsidRDefault="00D749ED" w:rsidP="00D749ED">
            <w:pPr>
              <w:pStyle w:val="Standard-italics"/>
              <w:keepNext w:val="0"/>
              <w:jc w:val="center"/>
              <w:rPr>
                <w:i w:val="0"/>
                <w:sz w:val="18"/>
                <w:szCs w:val="18"/>
              </w:rPr>
            </w:pPr>
            <w:r w:rsidRPr="00A41B49">
              <w:rPr>
                <w:i w:val="0"/>
                <w:sz w:val="18"/>
                <w:szCs w:val="18"/>
              </w:rPr>
              <w:t>5-12%RSD (wm)</w:t>
            </w:r>
          </w:p>
        </w:tc>
        <w:tc>
          <w:tcPr>
            <w:tcW w:w="1276" w:type="dxa"/>
            <w:vAlign w:val="center"/>
          </w:tcPr>
          <w:p w14:paraId="3933C7A5" w14:textId="77777777" w:rsidR="00D749ED" w:rsidRPr="00A41B49" w:rsidRDefault="00D749ED" w:rsidP="00D749ED">
            <w:pPr>
              <w:pStyle w:val="Standard-italics"/>
              <w:keepNext w:val="0"/>
              <w:rPr>
                <w:i w:val="0"/>
                <w:sz w:val="18"/>
                <w:szCs w:val="18"/>
              </w:rPr>
            </w:pPr>
            <w:r w:rsidRPr="00A41B49">
              <w:rPr>
                <w:i w:val="0"/>
                <w:sz w:val="18"/>
                <w:szCs w:val="18"/>
              </w:rPr>
              <w:t xml:space="preserve">LOQ can be taken from applicability range: 0.03 µg/g (wm) </w:t>
            </w:r>
          </w:p>
          <w:p w14:paraId="127ED2F2" w14:textId="77777777" w:rsidR="00D749ED" w:rsidRPr="00A41B49" w:rsidRDefault="00D749ED" w:rsidP="00D749ED">
            <w:pPr>
              <w:pStyle w:val="Standard-italics"/>
              <w:keepNext w:val="0"/>
              <w:rPr>
                <w:i w:val="0"/>
                <w:sz w:val="18"/>
                <w:szCs w:val="18"/>
              </w:rPr>
            </w:pPr>
            <w:r w:rsidRPr="00A41B49">
              <w:rPr>
                <w:i w:val="0"/>
                <w:sz w:val="18"/>
                <w:szCs w:val="18"/>
              </w:rPr>
              <w:t>0.3 µg/g (mp)</w:t>
            </w:r>
          </w:p>
        </w:tc>
        <w:tc>
          <w:tcPr>
            <w:tcW w:w="1134" w:type="dxa"/>
          </w:tcPr>
          <w:p w14:paraId="266F44C3" w14:textId="77777777" w:rsidR="00D749ED" w:rsidRPr="00A41B49" w:rsidRDefault="00D749ED" w:rsidP="00D749ED">
            <w:pPr>
              <w:pStyle w:val="Standard-italics"/>
              <w:keepNext w:val="0"/>
              <w:jc w:val="center"/>
              <w:rPr>
                <w:i w:val="0"/>
                <w:sz w:val="18"/>
                <w:szCs w:val="18"/>
              </w:rPr>
            </w:pPr>
            <w:r w:rsidRPr="00A41B49">
              <w:rPr>
                <w:i w:val="0"/>
                <w:sz w:val="18"/>
                <w:szCs w:val="18"/>
              </w:rPr>
              <w:t>≥90 µg/L (0.09 µg/g)****</w:t>
            </w:r>
          </w:p>
        </w:tc>
        <w:tc>
          <w:tcPr>
            <w:tcW w:w="2466" w:type="dxa"/>
          </w:tcPr>
          <w:p w14:paraId="15ADC52F" w14:textId="77777777" w:rsidR="00D749ED" w:rsidRPr="00A41B49" w:rsidRDefault="00D749ED" w:rsidP="00D749ED">
            <w:pPr>
              <w:pStyle w:val="Standard-italics"/>
              <w:keepNext w:val="0"/>
              <w:jc w:val="center"/>
              <w:rPr>
                <w:i w:val="0"/>
                <w:sz w:val="18"/>
                <w:szCs w:val="18"/>
                <w:u w:val="single"/>
                <w:lang w:val="it-IT"/>
              </w:rPr>
            </w:pPr>
            <w:r w:rsidRPr="00A41B49">
              <w:rPr>
                <w:i w:val="0"/>
                <w:sz w:val="18"/>
                <w:szCs w:val="18"/>
                <w:u w:val="single"/>
                <w:lang w:val="it-IT"/>
              </w:rPr>
              <w:t xml:space="preserve">Acceptable (internationally agreed std method). </w:t>
            </w:r>
          </w:p>
          <w:p w14:paraId="46725578" w14:textId="77777777" w:rsidR="00D749ED" w:rsidRPr="00A41B49" w:rsidRDefault="00D749ED" w:rsidP="0019006A">
            <w:pPr>
              <w:pStyle w:val="Standard-italics"/>
              <w:keepNext w:val="0"/>
              <w:jc w:val="center"/>
              <w:rPr>
                <w:i w:val="0"/>
                <w:sz w:val="18"/>
                <w:szCs w:val="18"/>
              </w:rPr>
            </w:pPr>
            <w:r w:rsidRPr="00A41B49">
              <w:rPr>
                <w:i w:val="0"/>
                <w:sz w:val="18"/>
                <w:szCs w:val="18"/>
                <w:u w:val="single"/>
                <w:lang w:val="it-IT"/>
              </w:rPr>
              <w:t>Further data may be required pending on conclusions of a full dietary risk assessment</w:t>
            </w:r>
          </w:p>
        </w:tc>
        <w:tc>
          <w:tcPr>
            <w:tcW w:w="1417" w:type="dxa"/>
            <w:vAlign w:val="center"/>
          </w:tcPr>
          <w:p w14:paraId="2B45BBAE" w14:textId="77777777" w:rsidR="00D749ED" w:rsidRPr="00A41B49" w:rsidRDefault="00D749ED" w:rsidP="00D749ED">
            <w:pPr>
              <w:pStyle w:val="Standard-italics"/>
              <w:keepNext w:val="0"/>
              <w:jc w:val="center"/>
              <w:rPr>
                <w:i w:val="0"/>
                <w:sz w:val="18"/>
                <w:szCs w:val="18"/>
              </w:rPr>
            </w:pPr>
            <w:r w:rsidRPr="00A41B49">
              <w:rPr>
                <w:i w:val="0"/>
                <w:sz w:val="18"/>
                <w:szCs w:val="18"/>
              </w:rPr>
              <w:t>1. ISO 14378, Doc. No. 492-013; A4.3/01</w:t>
            </w:r>
          </w:p>
          <w:p w14:paraId="2D3DC8F2" w14:textId="77777777" w:rsidR="00D749ED" w:rsidRPr="00A41B49" w:rsidRDefault="00D749ED" w:rsidP="00D749ED">
            <w:pPr>
              <w:pStyle w:val="Standard-italics"/>
              <w:keepNext w:val="0"/>
              <w:jc w:val="center"/>
              <w:rPr>
                <w:i w:val="0"/>
                <w:sz w:val="18"/>
                <w:szCs w:val="18"/>
              </w:rPr>
            </w:pPr>
            <w:r w:rsidRPr="00A41B49">
              <w:rPr>
                <w:i w:val="0"/>
                <w:sz w:val="18"/>
                <w:szCs w:val="18"/>
              </w:rPr>
              <w:t>2. D. Sertl and W. Malone (1993)</w:t>
            </w:r>
          </w:p>
        </w:tc>
      </w:tr>
      <w:tr w:rsidR="00D749ED" w:rsidRPr="00A41B49" w14:paraId="480A7CAA" w14:textId="77777777" w:rsidTr="005E1E28">
        <w:tc>
          <w:tcPr>
            <w:tcW w:w="851" w:type="dxa"/>
            <w:vAlign w:val="center"/>
          </w:tcPr>
          <w:p w14:paraId="1D6B71F7" w14:textId="77777777" w:rsidR="00D749ED" w:rsidRPr="00A41B49" w:rsidRDefault="00D749ED" w:rsidP="00D749ED">
            <w:pPr>
              <w:spacing w:before="60" w:after="60"/>
              <w:jc w:val="center"/>
              <w:rPr>
                <w:sz w:val="18"/>
                <w:szCs w:val="18"/>
              </w:rPr>
            </w:pPr>
            <w:r w:rsidRPr="00A41B49">
              <w:rPr>
                <w:sz w:val="18"/>
                <w:szCs w:val="18"/>
              </w:rPr>
              <w:t>Milk and bovine liver</w:t>
            </w:r>
          </w:p>
        </w:tc>
        <w:tc>
          <w:tcPr>
            <w:tcW w:w="1333" w:type="dxa"/>
            <w:vAlign w:val="center"/>
          </w:tcPr>
          <w:p w14:paraId="3DFFCC26" w14:textId="77777777" w:rsidR="00D749ED" w:rsidRPr="00A41B49" w:rsidRDefault="00D749ED" w:rsidP="00D749ED">
            <w:pPr>
              <w:spacing w:before="60" w:after="60"/>
              <w:jc w:val="center"/>
              <w:rPr>
                <w:sz w:val="18"/>
                <w:szCs w:val="18"/>
              </w:rPr>
            </w:pPr>
            <w:r w:rsidRPr="00A41B49">
              <w:rPr>
                <w:sz w:val="18"/>
                <w:szCs w:val="18"/>
              </w:rPr>
              <w:t>Total iodine</w:t>
            </w:r>
          </w:p>
        </w:tc>
        <w:tc>
          <w:tcPr>
            <w:tcW w:w="1080" w:type="dxa"/>
            <w:vAlign w:val="center"/>
          </w:tcPr>
          <w:p w14:paraId="1947A938" w14:textId="77777777" w:rsidR="00D749ED" w:rsidRPr="00A41B49" w:rsidRDefault="00D749ED" w:rsidP="00D749ED">
            <w:pPr>
              <w:pStyle w:val="Standard-italics"/>
              <w:keepNext w:val="0"/>
              <w:jc w:val="center"/>
              <w:rPr>
                <w:i w:val="0"/>
                <w:sz w:val="18"/>
                <w:szCs w:val="18"/>
              </w:rPr>
            </w:pPr>
            <w:r w:rsidRPr="00A41B49">
              <w:rPr>
                <w:i w:val="0"/>
                <w:sz w:val="18"/>
                <w:szCs w:val="18"/>
              </w:rPr>
              <w:t>ICP-MS of digested samples</w:t>
            </w:r>
          </w:p>
        </w:tc>
        <w:tc>
          <w:tcPr>
            <w:tcW w:w="1421" w:type="dxa"/>
            <w:vAlign w:val="center"/>
          </w:tcPr>
          <w:p w14:paraId="6D3393E5" w14:textId="77777777" w:rsidR="00D749ED" w:rsidRPr="00A41B49" w:rsidRDefault="00D749ED" w:rsidP="00D749ED">
            <w:pPr>
              <w:spacing w:before="60" w:after="60"/>
              <w:jc w:val="center"/>
              <w:rPr>
                <w:sz w:val="18"/>
                <w:szCs w:val="18"/>
              </w:rPr>
            </w:pPr>
            <w:r w:rsidRPr="00A41B49">
              <w:rPr>
                <w:sz w:val="18"/>
                <w:szCs w:val="18"/>
              </w:rPr>
              <w:t xml:space="preserve">Standard material (milk powder and bovine liver) with certified iodine content in the range 0.1-5.4 mg/kg ( </w:t>
            </w:r>
          </w:p>
        </w:tc>
        <w:tc>
          <w:tcPr>
            <w:tcW w:w="994" w:type="dxa"/>
            <w:vAlign w:val="center"/>
          </w:tcPr>
          <w:p w14:paraId="6EBDAE20" w14:textId="77777777" w:rsidR="00D749ED" w:rsidRPr="00A41B49" w:rsidRDefault="00D749ED" w:rsidP="00D749ED">
            <w:pPr>
              <w:spacing w:before="60" w:after="60"/>
              <w:jc w:val="center"/>
              <w:rPr>
                <w:sz w:val="18"/>
                <w:szCs w:val="18"/>
              </w:rPr>
            </w:pPr>
            <w:r w:rsidRPr="00A41B49">
              <w:rPr>
                <w:sz w:val="18"/>
                <w:szCs w:val="18"/>
              </w:rPr>
              <w:t>Not reported (internal standardisation with</w:t>
            </w:r>
            <w:r w:rsidRPr="00A41B49">
              <w:rPr>
                <w:sz w:val="18"/>
                <w:szCs w:val="18"/>
                <w:vertAlign w:val="superscript"/>
              </w:rPr>
              <w:t>129</w:t>
            </w:r>
            <w:r w:rsidRPr="00A41B49">
              <w:rPr>
                <w:sz w:val="18"/>
                <w:szCs w:val="18"/>
              </w:rPr>
              <w:t>I- enriched iodate)</w:t>
            </w:r>
          </w:p>
        </w:tc>
        <w:tc>
          <w:tcPr>
            <w:tcW w:w="995" w:type="dxa"/>
            <w:vAlign w:val="center"/>
          </w:tcPr>
          <w:p w14:paraId="7DCDFE3A" w14:textId="77777777" w:rsidR="00D749ED" w:rsidRPr="00A41B49" w:rsidRDefault="00D749ED" w:rsidP="00D749ED">
            <w:pPr>
              <w:spacing w:before="60" w:after="60"/>
              <w:jc w:val="center"/>
              <w:rPr>
                <w:sz w:val="18"/>
                <w:szCs w:val="18"/>
              </w:rPr>
            </w:pPr>
            <w:r w:rsidRPr="00A41B49">
              <w:rPr>
                <w:sz w:val="18"/>
                <w:szCs w:val="18"/>
              </w:rPr>
              <w:t>Yes</w:t>
            </w:r>
          </w:p>
        </w:tc>
        <w:tc>
          <w:tcPr>
            <w:tcW w:w="994" w:type="dxa"/>
            <w:gridSpan w:val="2"/>
            <w:vAlign w:val="center"/>
          </w:tcPr>
          <w:p w14:paraId="629EF9F8" w14:textId="77777777" w:rsidR="00D749ED" w:rsidRPr="00A41B49" w:rsidRDefault="00D749ED" w:rsidP="00D749ED">
            <w:pPr>
              <w:pStyle w:val="Standard-italics"/>
              <w:keepNext w:val="0"/>
              <w:jc w:val="center"/>
              <w:rPr>
                <w:i w:val="0"/>
                <w:sz w:val="18"/>
                <w:szCs w:val="18"/>
              </w:rPr>
            </w:pPr>
            <w:r w:rsidRPr="00A41B49">
              <w:rPr>
                <w:i w:val="0"/>
                <w:sz w:val="18"/>
                <w:szCs w:val="18"/>
              </w:rPr>
              <w:t>Not tested (good agreement with certified content)</w:t>
            </w:r>
          </w:p>
        </w:tc>
        <w:tc>
          <w:tcPr>
            <w:tcW w:w="838" w:type="dxa"/>
            <w:vAlign w:val="center"/>
          </w:tcPr>
          <w:p w14:paraId="07E88586" w14:textId="77777777" w:rsidR="00D749ED" w:rsidRPr="00A41B49" w:rsidRDefault="00D749ED" w:rsidP="00D749ED">
            <w:pPr>
              <w:pStyle w:val="Standard-italics"/>
              <w:keepNext w:val="0"/>
              <w:jc w:val="center"/>
              <w:rPr>
                <w:i w:val="0"/>
                <w:sz w:val="18"/>
                <w:szCs w:val="18"/>
              </w:rPr>
            </w:pPr>
            <w:r w:rsidRPr="00A41B49">
              <w:rPr>
                <w:i w:val="0"/>
                <w:sz w:val="18"/>
                <w:szCs w:val="18"/>
              </w:rPr>
              <w:t>-</w:t>
            </w:r>
          </w:p>
        </w:tc>
        <w:tc>
          <w:tcPr>
            <w:tcW w:w="992" w:type="dxa"/>
            <w:vAlign w:val="center"/>
          </w:tcPr>
          <w:p w14:paraId="7E5724C4" w14:textId="77777777" w:rsidR="00D749ED" w:rsidRPr="00A41B49" w:rsidRDefault="00D749ED" w:rsidP="00D749ED">
            <w:pPr>
              <w:pStyle w:val="Standard-italics"/>
              <w:keepNext w:val="0"/>
              <w:jc w:val="center"/>
              <w:rPr>
                <w:i w:val="0"/>
                <w:sz w:val="18"/>
                <w:szCs w:val="18"/>
              </w:rPr>
            </w:pPr>
            <w:r w:rsidRPr="00A41B49">
              <w:rPr>
                <w:i w:val="0"/>
                <w:sz w:val="18"/>
                <w:szCs w:val="18"/>
              </w:rPr>
              <w:t>0.8-8.8%</w:t>
            </w:r>
          </w:p>
        </w:tc>
        <w:tc>
          <w:tcPr>
            <w:tcW w:w="1276" w:type="dxa"/>
            <w:vAlign w:val="center"/>
          </w:tcPr>
          <w:p w14:paraId="702A7128" w14:textId="77777777" w:rsidR="00D749ED" w:rsidRPr="00A41B49" w:rsidRDefault="00D749ED" w:rsidP="00D749ED">
            <w:pPr>
              <w:pStyle w:val="Standard-italics"/>
              <w:keepNext w:val="0"/>
              <w:rPr>
                <w:i w:val="0"/>
                <w:sz w:val="18"/>
                <w:szCs w:val="18"/>
              </w:rPr>
            </w:pPr>
            <w:r w:rsidRPr="00A41B49">
              <w:rPr>
                <w:i w:val="0"/>
                <w:sz w:val="18"/>
                <w:szCs w:val="18"/>
              </w:rPr>
              <w:t>LOQ: At least 0.3 mg/kg (validated for milk powder))</w:t>
            </w:r>
          </w:p>
          <w:p w14:paraId="2743F269" w14:textId="77777777" w:rsidR="00D749ED" w:rsidRPr="00A41B49" w:rsidRDefault="00D749ED" w:rsidP="00D749ED">
            <w:pPr>
              <w:pStyle w:val="Standard-italics"/>
              <w:keepNext w:val="0"/>
              <w:rPr>
                <w:i w:val="0"/>
                <w:sz w:val="18"/>
                <w:szCs w:val="18"/>
              </w:rPr>
            </w:pPr>
          </w:p>
        </w:tc>
        <w:tc>
          <w:tcPr>
            <w:tcW w:w="1134" w:type="dxa"/>
          </w:tcPr>
          <w:p w14:paraId="74B768C1" w14:textId="77777777" w:rsidR="00D749ED" w:rsidRPr="00A41B49" w:rsidRDefault="00D749ED" w:rsidP="00D749ED">
            <w:pPr>
              <w:pStyle w:val="Standard-italics"/>
              <w:keepNext w:val="0"/>
              <w:jc w:val="center"/>
              <w:rPr>
                <w:i w:val="0"/>
                <w:sz w:val="18"/>
                <w:szCs w:val="18"/>
              </w:rPr>
            </w:pPr>
            <w:r w:rsidRPr="00A41B49">
              <w:rPr>
                <w:i w:val="0"/>
                <w:sz w:val="18"/>
                <w:szCs w:val="18"/>
              </w:rPr>
              <w:t>≥90 µg/L (milk) ****</w:t>
            </w:r>
          </w:p>
        </w:tc>
        <w:tc>
          <w:tcPr>
            <w:tcW w:w="2466" w:type="dxa"/>
          </w:tcPr>
          <w:p w14:paraId="3B3AA04F" w14:textId="77777777" w:rsidR="00D749ED" w:rsidRPr="00A41B49" w:rsidRDefault="00D749ED" w:rsidP="00D749ED">
            <w:pPr>
              <w:pStyle w:val="Standard-italics"/>
              <w:keepNext w:val="0"/>
              <w:jc w:val="center"/>
              <w:rPr>
                <w:i w:val="0"/>
                <w:sz w:val="18"/>
                <w:szCs w:val="18"/>
              </w:rPr>
            </w:pPr>
            <w:r w:rsidRPr="00A41B49">
              <w:rPr>
                <w:i w:val="0"/>
                <w:sz w:val="18"/>
                <w:szCs w:val="18"/>
                <w:u w:val="single"/>
              </w:rPr>
              <w:t>Not fully acceptable (some missing information)</w:t>
            </w:r>
          </w:p>
        </w:tc>
        <w:tc>
          <w:tcPr>
            <w:tcW w:w="1417" w:type="dxa"/>
            <w:vAlign w:val="center"/>
          </w:tcPr>
          <w:p w14:paraId="5324DBA0" w14:textId="77777777" w:rsidR="00D749ED" w:rsidRPr="00A41B49" w:rsidRDefault="00D749ED" w:rsidP="00D749ED">
            <w:pPr>
              <w:pStyle w:val="Standard-italics"/>
              <w:keepNext w:val="0"/>
              <w:jc w:val="center"/>
              <w:rPr>
                <w:i w:val="0"/>
                <w:sz w:val="18"/>
                <w:szCs w:val="18"/>
              </w:rPr>
            </w:pPr>
            <w:r w:rsidRPr="00A41B49">
              <w:rPr>
                <w:i w:val="0"/>
                <w:sz w:val="18"/>
                <w:szCs w:val="18"/>
              </w:rPr>
              <w:t>Rädlinger and Heumann (1998); Doc. No. 492-019; A4.3/02</w:t>
            </w:r>
          </w:p>
        </w:tc>
      </w:tr>
    </w:tbl>
    <w:p w14:paraId="555D630B" w14:textId="77777777" w:rsidR="00D749ED" w:rsidRDefault="00D749ED" w:rsidP="00D749ED">
      <w:pPr>
        <w:pStyle w:val="Standard-italics"/>
        <w:keepNext w:val="0"/>
        <w:rPr>
          <w:i w:val="0"/>
          <w:sz w:val="19"/>
          <w:szCs w:val="19"/>
        </w:rPr>
      </w:pPr>
      <w:r w:rsidRPr="002F51E9">
        <w:rPr>
          <w:i w:val="0"/>
          <w:sz w:val="19"/>
          <w:szCs w:val="19"/>
        </w:rPr>
        <w:t>*: General requirement for soil according to TNsG on Analytical methods</w:t>
      </w:r>
    </w:p>
    <w:p w14:paraId="7AAD7C4D" w14:textId="77777777" w:rsidR="00D749ED" w:rsidRPr="00315702" w:rsidRDefault="00D749ED" w:rsidP="00D749ED">
      <w:pPr>
        <w:pStyle w:val="Standard-italics"/>
        <w:keepNext w:val="0"/>
        <w:rPr>
          <w:i w:val="0"/>
          <w:sz w:val="19"/>
          <w:szCs w:val="19"/>
        </w:rPr>
      </w:pPr>
      <w:r>
        <w:rPr>
          <w:i w:val="0"/>
          <w:sz w:val="19"/>
          <w:szCs w:val="19"/>
        </w:rPr>
        <w:t xml:space="preserve">**: Based on the </w:t>
      </w:r>
      <w:r w:rsidRPr="00315702">
        <w:rPr>
          <w:i w:val="0"/>
          <w:sz w:val="19"/>
          <w:szCs w:val="19"/>
          <w:lang w:val="en-US"/>
        </w:rPr>
        <w:t>occupational exposure limit (OEL) / MAK value</w:t>
      </w:r>
      <w:r>
        <w:rPr>
          <w:i w:val="0"/>
          <w:sz w:val="19"/>
          <w:szCs w:val="19"/>
          <w:lang w:val="en-US"/>
        </w:rPr>
        <w:t xml:space="preserve"> of 0.1 mg/m</w:t>
      </w:r>
      <w:r>
        <w:rPr>
          <w:i w:val="0"/>
          <w:sz w:val="19"/>
          <w:szCs w:val="19"/>
          <w:vertAlign w:val="superscript"/>
          <w:lang w:val="en-US"/>
        </w:rPr>
        <w:t>3</w:t>
      </w:r>
      <w:r>
        <w:rPr>
          <w:i w:val="0"/>
          <w:sz w:val="19"/>
          <w:szCs w:val="19"/>
          <w:lang w:val="en-US"/>
        </w:rPr>
        <w:t xml:space="preserve"> established for iodine in most European countries</w:t>
      </w:r>
    </w:p>
    <w:p w14:paraId="6C8697F9" w14:textId="77777777" w:rsidR="00D749ED" w:rsidRDefault="00D749ED" w:rsidP="00D749ED">
      <w:pPr>
        <w:pStyle w:val="Standard-italics"/>
        <w:keepNext w:val="0"/>
        <w:rPr>
          <w:i w:val="0"/>
          <w:sz w:val="19"/>
          <w:szCs w:val="19"/>
        </w:rPr>
      </w:pPr>
      <w:r w:rsidRPr="002F51E9">
        <w:rPr>
          <w:i w:val="0"/>
          <w:sz w:val="19"/>
          <w:szCs w:val="19"/>
        </w:rPr>
        <w:t>**</w:t>
      </w:r>
      <w:r>
        <w:rPr>
          <w:i w:val="0"/>
          <w:sz w:val="19"/>
          <w:szCs w:val="19"/>
        </w:rPr>
        <w:t>*</w:t>
      </w:r>
      <w:r w:rsidRPr="002F51E9">
        <w:rPr>
          <w:i w:val="0"/>
          <w:sz w:val="19"/>
          <w:szCs w:val="19"/>
        </w:rPr>
        <w:t xml:space="preserve">: Lowest concentration having an effect on aquatic </w:t>
      </w:r>
      <w:r w:rsidRPr="00315702">
        <w:rPr>
          <w:i w:val="0"/>
          <w:sz w:val="19"/>
          <w:szCs w:val="19"/>
        </w:rPr>
        <w:t>organisms (based on EC</w:t>
      </w:r>
      <w:r w:rsidRPr="00315702">
        <w:rPr>
          <w:i w:val="0"/>
          <w:sz w:val="19"/>
          <w:szCs w:val="19"/>
          <w:vertAlign w:val="subscript"/>
        </w:rPr>
        <w:t>50</w:t>
      </w:r>
      <w:r w:rsidRPr="00315702">
        <w:rPr>
          <w:i w:val="0"/>
          <w:sz w:val="19"/>
          <w:szCs w:val="19"/>
        </w:rPr>
        <w:t xml:space="preserve"> for </w:t>
      </w:r>
      <w:r w:rsidRPr="00315702">
        <w:rPr>
          <w:sz w:val="19"/>
          <w:szCs w:val="19"/>
        </w:rPr>
        <w:t>Daphnia Magna</w:t>
      </w:r>
      <w:r w:rsidRPr="00315702">
        <w:rPr>
          <w:i w:val="0"/>
          <w:sz w:val="19"/>
          <w:szCs w:val="19"/>
        </w:rPr>
        <w:t>). The general pesticide limit of 0.1 µg/L in drinking water according to Council Directive 98/83/EC does not apply to a non-xenobiotic substance like iodine</w:t>
      </w:r>
    </w:p>
    <w:p w14:paraId="02810AFF" w14:textId="77777777" w:rsidR="00D749ED" w:rsidRDefault="00D749ED" w:rsidP="00D749ED">
      <w:pPr>
        <w:pStyle w:val="Standard-italics"/>
        <w:keepNext w:val="0"/>
        <w:rPr>
          <w:i w:val="0"/>
          <w:sz w:val="19"/>
          <w:szCs w:val="19"/>
        </w:rPr>
      </w:pPr>
      <w:r>
        <w:rPr>
          <w:i w:val="0"/>
          <w:sz w:val="19"/>
          <w:szCs w:val="19"/>
        </w:rPr>
        <w:t>****: The approximate level of natural background concentration of iodine in milk</w:t>
      </w:r>
    </w:p>
    <w:p w14:paraId="2B8F7C87" w14:textId="77777777" w:rsidR="00D749ED" w:rsidRDefault="00D749ED" w:rsidP="00D749ED">
      <w:pPr>
        <w:pStyle w:val="Absatz"/>
      </w:pPr>
    </w:p>
    <w:tbl>
      <w:tblPr>
        <w:tblW w:w="15168" w:type="dxa"/>
        <w:tblInd w:w="-743" w:type="dxa"/>
        <w:tblLayout w:type="fixed"/>
        <w:tblLook w:val="0000" w:firstRow="0" w:lastRow="0" w:firstColumn="0" w:lastColumn="0" w:noHBand="0" w:noVBand="0"/>
      </w:tblPr>
      <w:tblGrid>
        <w:gridCol w:w="15168"/>
      </w:tblGrid>
      <w:tr w:rsidR="00601C90" w14:paraId="05680664" w14:textId="77777777" w:rsidTr="00996485">
        <w:tc>
          <w:tcPr>
            <w:tcW w:w="15168" w:type="dxa"/>
            <w:tcBorders>
              <w:top w:val="single" w:sz="4" w:space="0" w:color="000000"/>
              <w:left w:val="single" w:sz="4" w:space="0" w:color="000000"/>
              <w:bottom w:val="single" w:sz="6" w:space="0" w:color="000000"/>
              <w:right w:val="single" w:sz="6" w:space="0" w:color="000000"/>
            </w:tcBorders>
            <w:shd w:val="clear" w:color="auto" w:fill="CCFFCC"/>
          </w:tcPr>
          <w:p w14:paraId="3AA9211C" w14:textId="77777777" w:rsidR="00601C90" w:rsidRDefault="00601C90" w:rsidP="00996485">
            <w:pPr>
              <w:spacing w:line="260" w:lineRule="atLeast"/>
            </w:pPr>
            <w:r>
              <w:rPr>
                <w:rFonts w:eastAsia="Calibri"/>
                <w:b/>
                <w:bCs/>
                <w:lang w:eastAsia="en-US"/>
              </w:rPr>
              <w:t>Conclusion on the methods for detection and identification of the product</w:t>
            </w:r>
          </w:p>
        </w:tc>
      </w:tr>
      <w:tr w:rsidR="00601C90" w14:paraId="5649C990" w14:textId="77777777" w:rsidTr="00996485">
        <w:trPr>
          <w:trHeight w:val="298"/>
        </w:trPr>
        <w:tc>
          <w:tcPr>
            <w:tcW w:w="15168" w:type="dxa"/>
            <w:tcBorders>
              <w:top w:val="single" w:sz="6" w:space="0" w:color="000000"/>
              <w:left w:val="single" w:sz="4" w:space="0" w:color="000000"/>
              <w:bottom w:val="single" w:sz="6" w:space="0" w:color="000000"/>
              <w:right w:val="single" w:sz="6" w:space="0" w:color="000000"/>
            </w:tcBorders>
            <w:shd w:val="clear" w:color="auto" w:fill="auto"/>
          </w:tcPr>
          <w:p w14:paraId="02C9EE4B" w14:textId="77777777" w:rsidR="00601C90" w:rsidRPr="000A3D3D" w:rsidRDefault="00601C90" w:rsidP="00601C90">
            <w:pPr>
              <w:jc w:val="both"/>
              <w:rPr>
                <w:lang w:val="en-US"/>
              </w:rPr>
            </w:pPr>
            <w:r w:rsidRPr="000A3D3D">
              <w:rPr>
                <w:lang w:val="en-US"/>
              </w:rPr>
              <w:t>This analytical method for the determination of total active iodine (I</w:t>
            </w:r>
            <w:r w:rsidRPr="000A3D3D">
              <w:rPr>
                <w:vertAlign w:val="subscript"/>
                <w:lang w:val="en-US"/>
              </w:rPr>
              <w:t>2</w:t>
            </w:r>
            <w:r w:rsidRPr="000A3D3D">
              <w:rPr>
                <w:lang w:val="en-US"/>
              </w:rPr>
              <w:t>) by titration was available in European Pharmacopoeia and validated in the CAR of active substance.</w:t>
            </w:r>
          </w:p>
          <w:p w14:paraId="22426B80" w14:textId="6207638C" w:rsidR="00601C90" w:rsidRDefault="00601C90" w:rsidP="000A3D3D">
            <w:pPr>
              <w:jc w:val="both"/>
              <w:rPr>
                <w:lang w:val="en-US"/>
              </w:rPr>
            </w:pPr>
            <w:r w:rsidRPr="000A3D3D">
              <w:rPr>
                <w:lang w:val="en-US"/>
              </w:rPr>
              <w:t>It can be used in the biocidal product IODIGUARD.</w:t>
            </w:r>
          </w:p>
          <w:p w14:paraId="5082CE52" w14:textId="755ACCEC" w:rsidR="00B77498" w:rsidRDefault="00B77498" w:rsidP="000A3D3D">
            <w:pPr>
              <w:jc w:val="both"/>
              <w:rPr>
                <w:lang w:val="en-US"/>
              </w:rPr>
            </w:pPr>
          </w:p>
          <w:p w14:paraId="02AF96C7" w14:textId="77777777" w:rsidR="00B77498" w:rsidRPr="0054586B" w:rsidRDefault="00B77498" w:rsidP="00B77498">
            <w:pPr>
              <w:shd w:val="clear" w:color="auto" w:fill="D9D9D9" w:themeFill="background1" w:themeFillShade="D9"/>
              <w:jc w:val="both"/>
              <w:rPr>
                <w:rFonts w:cs="Arial"/>
                <w:b/>
                <w:iCs/>
                <w:lang w:eastAsia="en-US"/>
              </w:rPr>
            </w:pPr>
            <w:r w:rsidRPr="0054586B">
              <w:rPr>
                <w:rFonts w:cs="Arial"/>
                <w:b/>
                <w:iCs/>
                <w:lang w:eastAsia="en-US"/>
              </w:rPr>
              <w:t>Post authorisation request 2020</w:t>
            </w:r>
          </w:p>
          <w:p w14:paraId="17C75D0F" w14:textId="1849EA6A" w:rsidR="008036C5" w:rsidRPr="00D749ED" w:rsidRDefault="008036C5" w:rsidP="000A3D3D">
            <w:pPr>
              <w:jc w:val="both"/>
              <w:rPr>
                <w:lang w:eastAsia="en-US"/>
              </w:rPr>
            </w:pPr>
            <w:r w:rsidRPr="00DC29E4">
              <w:rPr>
                <w:highlight w:val="lightGray"/>
                <w:lang w:val="en-US"/>
              </w:rPr>
              <w:t>Analytical method for the determination of iodide and iodate in product IODIGUARD were provided in post authorization and validated.</w:t>
            </w:r>
          </w:p>
        </w:tc>
      </w:tr>
    </w:tbl>
    <w:p w14:paraId="67C6843C" w14:textId="77777777" w:rsidR="00601C90" w:rsidRDefault="00601C90" w:rsidP="00D749ED">
      <w:pPr>
        <w:pStyle w:val="Absatz"/>
      </w:pPr>
    </w:p>
    <w:p w14:paraId="45CBD35A" w14:textId="77777777" w:rsidR="00601C90" w:rsidRPr="00D749ED" w:rsidRDefault="00601C90" w:rsidP="00D749ED">
      <w:pPr>
        <w:pStyle w:val="Absatz"/>
      </w:pPr>
    </w:p>
    <w:tbl>
      <w:tblPr>
        <w:tblW w:w="15168" w:type="dxa"/>
        <w:tblInd w:w="-743" w:type="dxa"/>
        <w:tblLayout w:type="fixed"/>
        <w:tblLook w:val="0000" w:firstRow="0" w:lastRow="0" w:firstColumn="0" w:lastColumn="0" w:noHBand="0" w:noVBand="0"/>
      </w:tblPr>
      <w:tblGrid>
        <w:gridCol w:w="15168"/>
      </w:tblGrid>
      <w:tr w:rsidR="009D0C0B" w14:paraId="14206198" w14:textId="77777777" w:rsidTr="00903F7C">
        <w:tc>
          <w:tcPr>
            <w:tcW w:w="15168" w:type="dxa"/>
            <w:tcBorders>
              <w:top w:val="single" w:sz="4" w:space="0" w:color="000000"/>
              <w:left w:val="single" w:sz="4" w:space="0" w:color="000000"/>
              <w:bottom w:val="single" w:sz="6" w:space="0" w:color="000000"/>
              <w:right w:val="single" w:sz="6" w:space="0" w:color="000000"/>
            </w:tcBorders>
            <w:shd w:val="clear" w:color="auto" w:fill="CCFFCC"/>
          </w:tcPr>
          <w:p w14:paraId="37781091" w14:textId="77777777" w:rsidR="009D0C0B" w:rsidRDefault="00FA480B" w:rsidP="00601C90">
            <w:pPr>
              <w:spacing w:line="260" w:lineRule="atLeast"/>
            </w:pPr>
            <w:r>
              <w:rPr>
                <w:rFonts w:eastAsia="Calibri"/>
                <w:b/>
                <w:bCs/>
                <w:lang w:eastAsia="en-US"/>
              </w:rPr>
              <w:t>Conclusion on the methods for detection and identification</w:t>
            </w:r>
            <w:r w:rsidR="00903F7C">
              <w:rPr>
                <w:rFonts w:eastAsia="Calibri"/>
                <w:b/>
                <w:bCs/>
                <w:lang w:eastAsia="en-US"/>
              </w:rPr>
              <w:t xml:space="preserve"> </w:t>
            </w:r>
            <w:r>
              <w:rPr>
                <w:rFonts w:eastAsia="Calibri"/>
                <w:b/>
                <w:bCs/>
                <w:lang w:eastAsia="en-US"/>
              </w:rPr>
              <w:t xml:space="preserve">of </w:t>
            </w:r>
            <w:r w:rsidR="00601C90">
              <w:rPr>
                <w:rFonts w:eastAsia="Calibri"/>
                <w:b/>
                <w:bCs/>
                <w:lang w:eastAsia="en-US"/>
              </w:rPr>
              <w:t>residues of active substance for monitoring</w:t>
            </w:r>
          </w:p>
        </w:tc>
      </w:tr>
      <w:tr w:rsidR="00D749ED" w14:paraId="1D12D31D" w14:textId="77777777" w:rsidTr="00903F7C">
        <w:trPr>
          <w:trHeight w:val="298"/>
        </w:trPr>
        <w:tc>
          <w:tcPr>
            <w:tcW w:w="15168" w:type="dxa"/>
            <w:tcBorders>
              <w:top w:val="single" w:sz="6" w:space="0" w:color="000000"/>
              <w:left w:val="single" w:sz="4" w:space="0" w:color="000000"/>
              <w:bottom w:val="single" w:sz="6" w:space="0" w:color="000000"/>
              <w:right w:val="single" w:sz="6" w:space="0" w:color="000000"/>
            </w:tcBorders>
            <w:shd w:val="clear" w:color="auto" w:fill="auto"/>
          </w:tcPr>
          <w:p w14:paraId="394CD2AB" w14:textId="77777777" w:rsidR="00B838CC" w:rsidRPr="000A3D3D" w:rsidRDefault="00B838CC" w:rsidP="00B838CC">
            <w:pPr>
              <w:pStyle w:val="Default"/>
              <w:jc w:val="both"/>
              <w:rPr>
                <w:rFonts w:ascii="Verdana" w:hAnsi="Verdana" w:cs="Arial"/>
                <w:sz w:val="20"/>
                <w:szCs w:val="20"/>
              </w:rPr>
            </w:pPr>
            <w:r w:rsidRPr="000A3D3D">
              <w:rPr>
                <w:rFonts w:ascii="Verdana" w:hAnsi="Verdana" w:cs="Arial"/>
                <w:sz w:val="20"/>
                <w:szCs w:val="20"/>
              </w:rPr>
              <w:t>Analytical methods were provided and validated at EU level for the determination of iodine residue in animal products (milk) with a LOQ = 0.3 mg/kg.</w:t>
            </w:r>
          </w:p>
          <w:p w14:paraId="533ACAC7" w14:textId="77777777" w:rsidR="00B838CC" w:rsidRPr="000A3D3D" w:rsidRDefault="00B838CC" w:rsidP="00B838CC">
            <w:pPr>
              <w:pStyle w:val="Default"/>
              <w:jc w:val="both"/>
              <w:rPr>
                <w:rFonts w:ascii="Verdana" w:hAnsi="Verdana" w:cs="Arial"/>
                <w:sz w:val="20"/>
                <w:szCs w:val="20"/>
              </w:rPr>
            </w:pPr>
          </w:p>
          <w:p w14:paraId="11821A46" w14:textId="77777777" w:rsidR="00B838CC" w:rsidRPr="000A3D3D" w:rsidRDefault="00B838CC" w:rsidP="00B838CC">
            <w:pPr>
              <w:pStyle w:val="Default"/>
              <w:jc w:val="both"/>
              <w:rPr>
                <w:rFonts w:ascii="Verdana" w:hAnsi="Verdana" w:cs="Arial"/>
                <w:sz w:val="20"/>
                <w:szCs w:val="20"/>
              </w:rPr>
            </w:pPr>
            <w:r w:rsidRPr="000A3D3D">
              <w:rPr>
                <w:rFonts w:ascii="Verdana" w:hAnsi="Verdana" w:cs="Arial"/>
                <w:sz w:val="20"/>
                <w:szCs w:val="20"/>
              </w:rPr>
              <w:t>Analytical methods were provided and validated at EU level for the determination of iodine residue in soil (ICP-MS), water (IC-ICP-MS) and air (ICP-PED) with respectively LOQ = 0.05 mg/kg, 0.1 mg/L and 0.1 mg/ m</w:t>
            </w:r>
            <w:r w:rsidRPr="000A3D3D">
              <w:rPr>
                <w:rFonts w:ascii="Verdana" w:hAnsi="Verdana" w:cs="Arial"/>
                <w:sz w:val="20"/>
                <w:szCs w:val="20"/>
                <w:vertAlign w:val="superscript"/>
              </w:rPr>
              <w:t>3</w:t>
            </w:r>
            <w:r w:rsidRPr="000A3D3D">
              <w:rPr>
                <w:rFonts w:ascii="Verdana" w:hAnsi="Verdana" w:cs="Arial"/>
                <w:sz w:val="20"/>
                <w:szCs w:val="20"/>
              </w:rPr>
              <w:t>.</w:t>
            </w:r>
          </w:p>
          <w:p w14:paraId="4736AB13" w14:textId="77777777" w:rsidR="00B838CC" w:rsidRPr="000A3D3D" w:rsidRDefault="00B838CC" w:rsidP="00B838CC">
            <w:pPr>
              <w:pStyle w:val="Default"/>
              <w:jc w:val="both"/>
              <w:rPr>
                <w:rFonts w:ascii="Verdana" w:hAnsi="Verdana" w:cs="Arial"/>
                <w:sz w:val="20"/>
                <w:szCs w:val="20"/>
              </w:rPr>
            </w:pPr>
          </w:p>
          <w:p w14:paraId="174DC1DC" w14:textId="77777777" w:rsidR="00D749ED" w:rsidRPr="00D749ED" w:rsidRDefault="00B838CC" w:rsidP="000A3D3D">
            <w:pPr>
              <w:pStyle w:val="Default"/>
              <w:jc w:val="both"/>
              <w:rPr>
                <w:lang w:eastAsia="en-US"/>
              </w:rPr>
            </w:pPr>
            <w:r w:rsidRPr="000A3D3D">
              <w:rPr>
                <w:rFonts w:ascii="Verdana" w:hAnsi="Verdana" w:cs="Arial"/>
                <w:sz w:val="20"/>
                <w:szCs w:val="20"/>
              </w:rPr>
              <w:t>Iodine is not toxic (T) or very toxic (T+) active substance. Therefore, an analytical method in biological matrices is not required.</w:t>
            </w:r>
          </w:p>
        </w:tc>
      </w:tr>
    </w:tbl>
    <w:p w14:paraId="7639D03B" w14:textId="77777777" w:rsidR="00903F7C" w:rsidRDefault="00903F7C">
      <w:pPr>
        <w:pStyle w:val="Titre3"/>
        <w:numPr>
          <w:ilvl w:val="0"/>
          <w:numId w:val="0"/>
        </w:numPr>
        <w:sectPr w:rsidR="00903F7C" w:rsidSect="00170391">
          <w:pgSz w:w="16838" w:h="11906" w:orient="landscape"/>
          <w:pgMar w:top="1446" w:right="1474" w:bottom="1247" w:left="2013" w:header="850" w:footer="850" w:gutter="0"/>
          <w:cols w:space="720"/>
          <w:docGrid w:linePitch="272"/>
        </w:sectPr>
      </w:pPr>
    </w:p>
    <w:p w14:paraId="22F65954" w14:textId="77777777" w:rsidR="009D0C0B" w:rsidRDefault="00FA480B">
      <w:pPr>
        <w:pStyle w:val="Titre3"/>
      </w:pPr>
      <w:bookmarkStart w:id="57" w:name="_Toc516669775"/>
      <w:r>
        <w:lastRenderedPageBreak/>
        <w:t>Efficacy against target organisms</w:t>
      </w:r>
      <w:bookmarkEnd w:id="57"/>
    </w:p>
    <w:p w14:paraId="5FCDA296" w14:textId="77777777" w:rsidR="009D0C0B" w:rsidRDefault="00FA480B">
      <w:pPr>
        <w:pStyle w:val="Titre4"/>
        <w:rPr>
          <w:rFonts w:ascii="Times New Roman" w:hAnsi="Times New Roman" w:cs="Times New Roman"/>
          <w:i/>
          <w:iCs/>
          <w:lang w:eastAsia="en-US"/>
        </w:rPr>
      </w:pPr>
      <w:bookmarkStart w:id="58" w:name="_Toc516669776"/>
      <w:r>
        <w:t>Function and field of use</w:t>
      </w:r>
      <w:bookmarkEnd w:id="58"/>
    </w:p>
    <w:p w14:paraId="6EE341BC" w14:textId="77777777" w:rsidR="001B3B87" w:rsidRDefault="001B3B87" w:rsidP="001B3B87">
      <w:pPr>
        <w:rPr>
          <w:iCs/>
          <w:lang w:eastAsia="en-US"/>
        </w:rPr>
      </w:pPr>
      <w:r w:rsidRPr="00825D24">
        <w:rPr>
          <w:iCs/>
          <w:lang w:eastAsia="en-US"/>
        </w:rPr>
        <w:t>MG 0</w:t>
      </w:r>
      <w:r>
        <w:rPr>
          <w:iCs/>
          <w:lang w:eastAsia="en-US"/>
        </w:rPr>
        <w:t>1</w:t>
      </w:r>
      <w:r w:rsidRPr="00825D24">
        <w:rPr>
          <w:iCs/>
          <w:lang w:eastAsia="en-US"/>
        </w:rPr>
        <w:t xml:space="preserve">: </w:t>
      </w:r>
      <w:r>
        <w:rPr>
          <w:iCs/>
          <w:lang w:eastAsia="en-US"/>
        </w:rPr>
        <w:t>Disinfectants</w:t>
      </w:r>
    </w:p>
    <w:p w14:paraId="1F5DC30F" w14:textId="77777777" w:rsidR="001B3B87" w:rsidRDefault="001B3B87" w:rsidP="001B3B87">
      <w:pPr>
        <w:rPr>
          <w:lang w:eastAsia="en-US"/>
        </w:rPr>
      </w:pPr>
      <w:r>
        <w:rPr>
          <w:lang w:eastAsia="en-US"/>
        </w:rPr>
        <w:t>PT3: Veterinary hygiene</w:t>
      </w:r>
    </w:p>
    <w:p w14:paraId="6B10D05E" w14:textId="77777777" w:rsidR="001B3B87" w:rsidRDefault="001B3B87" w:rsidP="001B3B87">
      <w:pPr>
        <w:rPr>
          <w:iCs/>
          <w:lang w:eastAsia="en-US"/>
        </w:rPr>
      </w:pPr>
    </w:p>
    <w:p w14:paraId="7F168FA5" w14:textId="77777777" w:rsidR="001B3B87" w:rsidRDefault="001B3B87" w:rsidP="001B3B87">
      <w:pPr>
        <w:jc w:val="both"/>
        <w:rPr>
          <w:lang w:eastAsia="en-US"/>
        </w:rPr>
      </w:pPr>
      <w:r w:rsidRPr="00B436E4">
        <w:rPr>
          <w:lang w:eastAsia="en-US"/>
        </w:rPr>
        <w:t xml:space="preserve">The product </w:t>
      </w:r>
      <w:r>
        <w:rPr>
          <w:lang w:eastAsia="en-US"/>
        </w:rPr>
        <w:t>IODIGUARD</w:t>
      </w:r>
      <w:r w:rsidRPr="00B436E4">
        <w:rPr>
          <w:lang w:eastAsia="en-US"/>
        </w:rPr>
        <w:t xml:space="preserve"> is a ready to use disinfectant</w:t>
      </w:r>
      <w:r>
        <w:rPr>
          <w:lang w:eastAsia="en-US"/>
        </w:rPr>
        <w:t>, for teat disinfection</w:t>
      </w:r>
      <w:r w:rsidRPr="00B436E4">
        <w:rPr>
          <w:lang w:eastAsia="en-US"/>
        </w:rPr>
        <w:t xml:space="preserve">. </w:t>
      </w:r>
    </w:p>
    <w:p w14:paraId="1F91A38E" w14:textId="77777777" w:rsidR="001B3B87" w:rsidRDefault="001B3B87" w:rsidP="001B3B87">
      <w:pPr>
        <w:jc w:val="both"/>
        <w:rPr>
          <w:lang w:eastAsia="en-US"/>
        </w:rPr>
      </w:pPr>
      <w:r w:rsidRPr="00B436E4">
        <w:rPr>
          <w:lang w:eastAsia="en-US"/>
        </w:rPr>
        <w:t>The product is used by professional users.</w:t>
      </w:r>
    </w:p>
    <w:p w14:paraId="313C46BE" w14:textId="77777777" w:rsidR="001B3B87" w:rsidRPr="00B436E4" w:rsidRDefault="001B3B87" w:rsidP="001B3B87">
      <w:pPr>
        <w:jc w:val="both"/>
        <w:rPr>
          <w:lang w:eastAsia="en-US"/>
        </w:rPr>
      </w:pPr>
    </w:p>
    <w:p w14:paraId="7072BDCA" w14:textId="77777777" w:rsidR="001B3B87" w:rsidRDefault="001B3B87" w:rsidP="001B3B87">
      <w:pPr>
        <w:jc w:val="both"/>
        <w:rPr>
          <w:rFonts w:cs="Arial"/>
          <w:iCs/>
          <w:lang w:eastAsia="en-US"/>
        </w:rPr>
      </w:pPr>
      <w:r w:rsidRPr="000F3338">
        <w:rPr>
          <w:rFonts w:cs="Arial"/>
          <w:iCs/>
          <w:lang w:eastAsia="en-US"/>
        </w:rPr>
        <w:t xml:space="preserve">After the milking, teats of </w:t>
      </w:r>
      <w:r>
        <w:rPr>
          <w:rFonts w:cs="Arial"/>
          <w:iCs/>
          <w:lang w:eastAsia="en-US"/>
        </w:rPr>
        <w:t xml:space="preserve">dairy </w:t>
      </w:r>
      <w:r w:rsidRPr="000F3338">
        <w:rPr>
          <w:rFonts w:cs="Arial"/>
          <w:iCs/>
          <w:lang w:eastAsia="en-US"/>
        </w:rPr>
        <w:t xml:space="preserve">cows, </w:t>
      </w:r>
      <w:r w:rsidR="0019006A">
        <w:rPr>
          <w:rFonts w:cs="Arial"/>
          <w:iCs/>
          <w:lang w:eastAsia="en-US"/>
        </w:rPr>
        <w:t>ewe</w:t>
      </w:r>
      <w:r w:rsidR="00F57BA4">
        <w:rPr>
          <w:rFonts w:cs="Arial"/>
          <w:iCs/>
          <w:lang w:eastAsia="en-US"/>
        </w:rPr>
        <w:t>s</w:t>
      </w:r>
      <w:r w:rsidR="0019006A" w:rsidRPr="000F3338">
        <w:rPr>
          <w:rFonts w:cs="Arial"/>
          <w:iCs/>
          <w:lang w:eastAsia="en-US"/>
        </w:rPr>
        <w:t xml:space="preserve"> </w:t>
      </w:r>
      <w:r w:rsidRPr="000F3338">
        <w:rPr>
          <w:rFonts w:cs="Arial"/>
          <w:iCs/>
          <w:lang w:eastAsia="en-US"/>
        </w:rPr>
        <w:t xml:space="preserve">or goats are treated with IODIGUARD by dipping of the teats into the top of the dip. </w:t>
      </w:r>
    </w:p>
    <w:p w14:paraId="7CE7D542" w14:textId="77777777" w:rsidR="001B3B87" w:rsidRDefault="001B3B87" w:rsidP="001B3B87">
      <w:pPr>
        <w:jc w:val="both"/>
        <w:rPr>
          <w:rFonts w:cs="Arial"/>
          <w:iCs/>
          <w:lang w:eastAsia="en-US"/>
        </w:rPr>
      </w:pPr>
    </w:p>
    <w:p w14:paraId="64ED2DF3" w14:textId="77777777" w:rsidR="001B3B87" w:rsidRDefault="001B3B87" w:rsidP="001B3B87">
      <w:pPr>
        <w:jc w:val="both"/>
        <w:rPr>
          <w:rFonts w:cs="Arial"/>
          <w:iCs/>
          <w:lang w:eastAsia="en-US"/>
        </w:rPr>
      </w:pPr>
      <w:r w:rsidRPr="000F3338">
        <w:rPr>
          <w:rFonts w:cs="Arial"/>
          <w:iCs/>
          <w:lang w:eastAsia="en-US"/>
        </w:rPr>
        <w:t xml:space="preserve">The top of the dip contains approximately 8 mL of IODIGUARD and </w:t>
      </w:r>
      <w:r w:rsidR="009155D1">
        <w:rPr>
          <w:rFonts w:cs="Arial"/>
          <w:iCs/>
          <w:lang w:eastAsia="en-US"/>
        </w:rPr>
        <w:t>t</w:t>
      </w:r>
      <w:r w:rsidR="009155D1" w:rsidRPr="000F3338">
        <w:rPr>
          <w:rFonts w:cs="Arial"/>
          <w:iCs/>
          <w:lang w:eastAsia="en-US"/>
        </w:rPr>
        <w:t>h</w:t>
      </w:r>
      <w:r w:rsidR="009155D1">
        <w:rPr>
          <w:rFonts w:cs="Arial"/>
          <w:iCs/>
          <w:lang w:eastAsia="en-US"/>
        </w:rPr>
        <w:t>ese</w:t>
      </w:r>
      <w:r w:rsidR="009155D1" w:rsidRPr="000F3338">
        <w:rPr>
          <w:rFonts w:cs="Arial"/>
          <w:iCs/>
          <w:lang w:eastAsia="en-US"/>
        </w:rPr>
        <w:t xml:space="preserve"> </w:t>
      </w:r>
      <w:r w:rsidRPr="000F3338">
        <w:rPr>
          <w:rFonts w:cs="Arial"/>
          <w:iCs/>
          <w:lang w:eastAsia="en-US"/>
        </w:rPr>
        <w:t>8</w:t>
      </w:r>
      <w:r>
        <w:rPr>
          <w:rFonts w:cs="Arial"/>
          <w:iCs/>
          <w:lang w:eastAsia="en-US"/>
        </w:rPr>
        <w:t xml:space="preserve"> </w:t>
      </w:r>
      <w:r w:rsidRPr="000F3338">
        <w:rPr>
          <w:rFonts w:cs="Arial"/>
          <w:iCs/>
          <w:lang w:eastAsia="en-US"/>
        </w:rPr>
        <w:t>mL are enough to treat the four teats of a cow</w:t>
      </w:r>
      <w:r>
        <w:rPr>
          <w:rFonts w:cs="Arial"/>
          <w:iCs/>
          <w:lang w:eastAsia="en-US"/>
        </w:rPr>
        <w:t>. O</w:t>
      </w:r>
      <w:r w:rsidRPr="000F3338">
        <w:rPr>
          <w:rFonts w:cs="Arial"/>
          <w:iCs/>
          <w:lang w:eastAsia="en-US"/>
        </w:rPr>
        <w:t>nce the teats are dipped, the operator slightly moves the teats to allow the formation of a droplet on the sphincter at the basis of the teat. This place is the crucial place to be protected since it is the entry point of the</w:t>
      </w:r>
      <w:r>
        <w:rPr>
          <w:rFonts w:cs="Arial"/>
          <w:iCs/>
          <w:lang w:eastAsia="en-US"/>
        </w:rPr>
        <w:t xml:space="preserve"> contaminants. B</w:t>
      </w:r>
      <w:r w:rsidRPr="000F3338">
        <w:rPr>
          <w:rFonts w:cs="Arial"/>
          <w:iCs/>
          <w:lang w:eastAsia="en-US"/>
        </w:rPr>
        <w:t>efore the next milking, the potential remaining product is washed with a foaming soap and wipes in</w:t>
      </w:r>
      <w:r w:rsidR="002A7269">
        <w:rPr>
          <w:rFonts w:cs="Arial"/>
          <w:iCs/>
          <w:lang w:eastAsia="en-US"/>
        </w:rPr>
        <w:t xml:space="preserve"> </w:t>
      </w:r>
      <w:r w:rsidRPr="000F3338">
        <w:rPr>
          <w:rFonts w:cs="Arial"/>
          <w:iCs/>
          <w:lang w:eastAsia="en-US"/>
        </w:rPr>
        <w:t>order to have disappeared for th</w:t>
      </w:r>
      <w:r>
        <w:rPr>
          <w:rFonts w:cs="Arial"/>
          <w:iCs/>
          <w:lang w:eastAsia="en-US"/>
        </w:rPr>
        <w:t>e next milking.</w:t>
      </w:r>
    </w:p>
    <w:p w14:paraId="7A08AF8C" w14:textId="77777777" w:rsidR="001B3B87" w:rsidRDefault="001B3B87" w:rsidP="001B3B87">
      <w:pPr>
        <w:jc w:val="both"/>
        <w:rPr>
          <w:rFonts w:cs="Arial"/>
          <w:iCs/>
          <w:lang w:eastAsia="en-US"/>
        </w:rPr>
      </w:pPr>
      <w:r>
        <w:rPr>
          <w:rFonts w:cs="Arial"/>
          <w:iCs/>
          <w:lang w:eastAsia="en-US"/>
        </w:rPr>
        <w:t>The frequency of application is 2 applications per day.</w:t>
      </w:r>
    </w:p>
    <w:p w14:paraId="3A4379C2" w14:textId="77777777" w:rsidR="009D0C0B" w:rsidRDefault="009D0C0B">
      <w:pPr>
        <w:spacing w:line="260" w:lineRule="atLeast"/>
        <w:rPr>
          <w:rFonts w:ascii="Times New Roman" w:eastAsia="Calibri" w:hAnsi="Times New Roman" w:cs="Times New Roman"/>
          <w:i/>
          <w:iCs/>
          <w:lang w:eastAsia="en-US"/>
        </w:rPr>
      </w:pPr>
    </w:p>
    <w:p w14:paraId="49A2D088" w14:textId="77777777" w:rsidR="009D0C0B" w:rsidRDefault="00FA480B">
      <w:pPr>
        <w:pStyle w:val="Titre4"/>
        <w:rPr>
          <w:rFonts w:ascii="Times New Roman" w:hAnsi="Times New Roman" w:cs="Times New Roman"/>
          <w:i/>
          <w:iCs/>
          <w:lang w:eastAsia="en-US"/>
        </w:rPr>
      </w:pPr>
      <w:bookmarkStart w:id="59" w:name="_Toc516669777"/>
      <w:r>
        <w:t>Organisms to be controlled and products, organisms or objects to be protected</w:t>
      </w:r>
      <w:bookmarkEnd w:id="59"/>
    </w:p>
    <w:p w14:paraId="0626CF12" w14:textId="77777777" w:rsidR="001B3B87" w:rsidRDefault="001B3B87" w:rsidP="0019006A">
      <w:pPr>
        <w:jc w:val="both"/>
        <w:rPr>
          <w:lang w:eastAsia="en-US"/>
        </w:rPr>
      </w:pPr>
      <w:r w:rsidRPr="00B436E4">
        <w:rPr>
          <w:lang w:eastAsia="en-US"/>
        </w:rPr>
        <w:t>The pr</w:t>
      </w:r>
      <w:r>
        <w:rPr>
          <w:lang w:eastAsia="en-US"/>
        </w:rPr>
        <w:t>oduct IODIGUARD is used to disinfect the teats of the udders of dairy animals, such as dairy cows, ewes and goats, after milking. It irreversibly inactivates vegetative bacteria and yeasts.</w:t>
      </w:r>
    </w:p>
    <w:p w14:paraId="19E29AF7" w14:textId="77777777" w:rsidR="001B3B87" w:rsidRDefault="001B3B87" w:rsidP="004B63DB">
      <w:pPr>
        <w:jc w:val="both"/>
        <w:rPr>
          <w:lang w:eastAsia="en-US"/>
        </w:rPr>
      </w:pPr>
    </w:p>
    <w:p w14:paraId="255FBCC4" w14:textId="77777777" w:rsidR="001B3B87" w:rsidRPr="00FB4D74" w:rsidRDefault="001B3B87">
      <w:pPr>
        <w:jc w:val="both"/>
        <w:rPr>
          <w:lang w:eastAsia="en-US"/>
        </w:rPr>
      </w:pPr>
      <w:r>
        <w:rPr>
          <w:lang w:eastAsia="en-US"/>
        </w:rPr>
        <w:t xml:space="preserve">The product is used for the purpose of the protection of human and animal health (to </w:t>
      </w:r>
      <w:r w:rsidRPr="00D304E3">
        <w:rPr>
          <w:lang w:eastAsia="en-US"/>
        </w:rPr>
        <w:t xml:space="preserve">prevent spoilage of milk </w:t>
      </w:r>
      <w:r>
        <w:rPr>
          <w:lang w:eastAsia="en-US"/>
        </w:rPr>
        <w:t xml:space="preserve">and </w:t>
      </w:r>
      <w:r w:rsidRPr="00D304E3">
        <w:rPr>
          <w:lang w:eastAsia="en-US"/>
        </w:rPr>
        <w:t xml:space="preserve">to prevent the transmission of disease causing microorganisms </w:t>
      </w:r>
      <w:r>
        <w:rPr>
          <w:lang w:eastAsia="en-US"/>
        </w:rPr>
        <w:t>for animals</w:t>
      </w:r>
      <w:r w:rsidRPr="00D304E3">
        <w:rPr>
          <w:lang w:eastAsia="en-US"/>
        </w:rPr>
        <w:t>)</w:t>
      </w:r>
      <w:r>
        <w:rPr>
          <w:lang w:eastAsia="en-US"/>
        </w:rPr>
        <w:t>.</w:t>
      </w:r>
    </w:p>
    <w:p w14:paraId="64D9662B" w14:textId="77777777" w:rsidR="009D0C0B" w:rsidRDefault="009D0C0B">
      <w:pPr>
        <w:spacing w:line="260" w:lineRule="atLeast"/>
        <w:rPr>
          <w:rFonts w:ascii="Times New Roman" w:eastAsia="Calibri" w:hAnsi="Times New Roman" w:cs="Times New Roman"/>
          <w:i/>
          <w:iCs/>
          <w:szCs w:val="24"/>
          <w:lang w:eastAsia="en-US"/>
        </w:rPr>
      </w:pPr>
    </w:p>
    <w:p w14:paraId="03317DF4" w14:textId="77777777" w:rsidR="009D0C0B" w:rsidRDefault="00FA480B">
      <w:pPr>
        <w:pStyle w:val="Titre4"/>
        <w:rPr>
          <w:rFonts w:ascii="Times New Roman" w:hAnsi="Times New Roman" w:cs="Times New Roman"/>
          <w:i/>
          <w:iCs/>
          <w:lang w:eastAsia="en-US"/>
        </w:rPr>
      </w:pPr>
      <w:bookmarkStart w:id="60" w:name="_Toc516669778"/>
      <w:r>
        <w:t>Effects on target organisms, including unacceptable suffering</w:t>
      </w:r>
      <w:bookmarkEnd w:id="60"/>
    </w:p>
    <w:p w14:paraId="1CB9B68F" w14:textId="77777777" w:rsidR="001B3B87" w:rsidRPr="00A23A39" w:rsidRDefault="001B3B87" w:rsidP="001B3B87">
      <w:pPr>
        <w:jc w:val="both"/>
        <w:rPr>
          <w:lang w:eastAsia="en-US"/>
        </w:rPr>
      </w:pPr>
      <w:r w:rsidRPr="00A23A39">
        <w:rPr>
          <w:lang w:eastAsia="en-US"/>
        </w:rPr>
        <w:t>The product</w:t>
      </w:r>
      <w:r>
        <w:rPr>
          <w:lang w:eastAsia="en-US"/>
        </w:rPr>
        <w:t xml:space="preserve"> is </w:t>
      </w:r>
      <w:r w:rsidR="00C4045F">
        <w:rPr>
          <w:lang w:eastAsia="en-US"/>
        </w:rPr>
        <w:t>in</w:t>
      </w:r>
      <w:r w:rsidR="0019006A">
        <w:rPr>
          <w:lang w:eastAsia="en-US"/>
        </w:rPr>
        <w:t>t</w:t>
      </w:r>
      <w:r w:rsidR="00C4045F">
        <w:rPr>
          <w:lang w:eastAsia="en-US"/>
        </w:rPr>
        <w:t xml:space="preserve">ended </w:t>
      </w:r>
      <w:r w:rsidRPr="00A23A39">
        <w:rPr>
          <w:lang w:eastAsia="en-US"/>
        </w:rPr>
        <w:t>to produce a reduction in the number of viable bacterial cells</w:t>
      </w:r>
      <w:r>
        <w:rPr>
          <w:lang w:eastAsia="en-US"/>
        </w:rPr>
        <w:t xml:space="preserve"> (bactericidal activity)</w:t>
      </w:r>
      <w:r w:rsidRPr="00A23A39">
        <w:rPr>
          <w:lang w:eastAsia="en-US"/>
        </w:rPr>
        <w:t xml:space="preserve">, </w:t>
      </w:r>
      <w:r>
        <w:rPr>
          <w:lang w:eastAsia="en-US"/>
        </w:rPr>
        <w:t xml:space="preserve">and </w:t>
      </w:r>
      <w:r w:rsidRPr="00A23A39">
        <w:rPr>
          <w:lang w:eastAsia="en-US"/>
        </w:rPr>
        <w:t>yeast cells</w:t>
      </w:r>
      <w:r>
        <w:rPr>
          <w:lang w:eastAsia="en-US"/>
        </w:rPr>
        <w:t xml:space="preserve"> (yeasticidal activity) </w:t>
      </w:r>
      <w:r w:rsidRPr="00A23A39">
        <w:rPr>
          <w:lang w:eastAsia="en-US"/>
        </w:rPr>
        <w:t>of</w:t>
      </w:r>
      <w:r>
        <w:rPr>
          <w:lang w:eastAsia="en-US"/>
        </w:rPr>
        <w:t xml:space="preserve"> </w:t>
      </w:r>
      <w:r w:rsidRPr="00A23A39">
        <w:rPr>
          <w:lang w:eastAsia="en-US"/>
        </w:rPr>
        <w:t>relevant test organisms under defined conditions</w:t>
      </w:r>
      <w:r>
        <w:rPr>
          <w:lang w:eastAsia="en-US"/>
        </w:rPr>
        <w:t>.</w:t>
      </w:r>
    </w:p>
    <w:p w14:paraId="1B9D5948" w14:textId="77777777" w:rsidR="009D0C0B" w:rsidRDefault="009D0C0B">
      <w:pPr>
        <w:spacing w:line="260" w:lineRule="atLeast"/>
        <w:rPr>
          <w:rFonts w:ascii="Times New Roman" w:eastAsia="Calibri" w:hAnsi="Times New Roman" w:cs="Times New Roman"/>
          <w:i/>
          <w:iCs/>
          <w:szCs w:val="24"/>
          <w:lang w:eastAsia="en-US"/>
        </w:rPr>
      </w:pPr>
    </w:p>
    <w:p w14:paraId="7E76D4A7" w14:textId="77777777" w:rsidR="009D0C0B" w:rsidRDefault="00FA480B">
      <w:pPr>
        <w:pStyle w:val="Titre4"/>
        <w:rPr>
          <w:rFonts w:ascii="Times New Roman" w:hAnsi="Times New Roman" w:cs="Times New Roman"/>
          <w:i/>
          <w:iCs/>
          <w:lang w:eastAsia="en-US"/>
        </w:rPr>
      </w:pPr>
      <w:bookmarkStart w:id="61" w:name="_Toc516669779"/>
      <w:r>
        <w:t>Mode of action, including time delay</w:t>
      </w:r>
      <w:bookmarkEnd w:id="61"/>
    </w:p>
    <w:p w14:paraId="2FC8FF08" w14:textId="77777777" w:rsidR="001B3B87" w:rsidRPr="0014727E" w:rsidRDefault="001B3B87" w:rsidP="001B3B87">
      <w:pPr>
        <w:jc w:val="both"/>
        <w:rPr>
          <w:lang w:eastAsia="en-US"/>
        </w:rPr>
      </w:pPr>
      <w:r w:rsidRPr="0014727E">
        <w:rPr>
          <w:lang w:eastAsia="en-US"/>
        </w:rPr>
        <w:t>The mode of action of iodine is non-selective and is based on the following mechanisms:</w:t>
      </w:r>
    </w:p>
    <w:p w14:paraId="4CECB331" w14:textId="77777777" w:rsidR="001B3B87" w:rsidRPr="0014727E" w:rsidRDefault="001B3B87" w:rsidP="001B3B87">
      <w:pPr>
        <w:jc w:val="both"/>
        <w:rPr>
          <w:lang w:eastAsia="en-US"/>
        </w:rPr>
      </w:pPr>
      <w:r w:rsidRPr="0014727E">
        <w:rPr>
          <w:lang w:eastAsia="en-US"/>
        </w:rPr>
        <w:t>- Iodine rapidly penetrates into microorganisms showing a high affinity pattern of adsorption.</w:t>
      </w:r>
    </w:p>
    <w:p w14:paraId="2FA33E1C" w14:textId="77777777" w:rsidR="001B3B87" w:rsidRPr="0014727E" w:rsidRDefault="001B3B87" w:rsidP="001B3B87">
      <w:pPr>
        <w:jc w:val="both"/>
        <w:rPr>
          <w:lang w:eastAsia="en-US"/>
        </w:rPr>
      </w:pPr>
      <w:r w:rsidRPr="0014727E">
        <w:rPr>
          <w:lang w:eastAsia="en-US"/>
        </w:rPr>
        <w:t>- Iodine combines with protein substances in the bacterial cell; these could be peptidoglycans in the cell walls or enzymes in the cytoplasm. This results in irreversible coagulation of the protein and consequent loss of function.</w:t>
      </w:r>
    </w:p>
    <w:p w14:paraId="249293D0" w14:textId="77777777" w:rsidR="001B3B87" w:rsidRPr="0014727E" w:rsidRDefault="001B3B87" w:rsidP="001B3B87">
      <w:pPr>
        <w:jc w:val="both"/>
        <w:rPr>
          <w:lang w:eastAsia="en-US"/>
        </w:rPr>
      </w:pPr>
      <w:r w:rsidRPr="0014727E">
        <w:rPr>
          <w:lang w:eastAsia="en-US"/>
        </w:rPr>
        <w:t>- Iodine is known to act on thiol groups in the cell; if a thiol enzyme is part of a metabolic chain then metabolic inhibition will result.</w:t>
      </w:r>
    </w:p>
    <w:p w14:paraId="263D4BA9" w14:textId="77777777" w:rsidR="001B3B87" w:rsidRPr="0014727E" w:rsidRDefault="001B3B87" w:rsidP="001B3B87">
      <w:pPr>
        <w:jc w:val="both"/>
        <w:rPr>
          <w:lang w:eastAsia="en-US"/>
        </w:rPr>
      </w:pPr>
      <w:r w:rsidRPr="0014727E">
        <w:rPr>
          <w:lang w:eastAsia="en-US"/>
        </w:rPr>
        <w:lastRenderedPageBreak/>
        <w:t>- Iodine reacts with key groups of proteins, in particular the free-sulphur amino acids cysteine and methionine, nucleotides and fatty acids.</w:t>
      </w:r>
    </w:p>
    <w:p w14:paraId="188C559C" w14:textId="77777777" w:rsidR="001B3B87" w:rsidRPr="0014727E" w:rsidRDefault="001B3B87" w:rsidP="001B3B87">
      <w:pPr>
        <w:jc w:val="both"/>
        <w:rPr>
          <w:lang w:eastAsia="en-US"/>
        </w:rPr>
      </w:pPr>
      <w:r w:rsidRPr="0014727E">
        <w:rPr>
          <w:lang w:eastAsia="en-US"/>
        </w:rPr>
        <w:t>- Iodine interferes at the level of the respiratory chain of the aerobic microorganisms by blocking the transport of electrons through electrophilic reactions with the enzymes of the respiratory chain.</w:t>
      </w:r>
    </w:p>
    <w:p w14:paraId="5ABCF286" w14:textId="77777777" w:rsidR="001B3B87" w:rsidRDefault="001B3B87" w:rsidP="001B3B87">
      <w:pPr>
        <w:jc w:val="both"/>
        <w:rPr>
          <w:lang w:eastAsia="en-US"/>
        </w:rPr>
      </w:pPr>
      <w:r w:rsidRPr="0014727E">
        <w:rPr>
          <w:lang w:eastAsia="en-US"/>
        </w:rPr>
        <w:t xml:space="preserve">The rapid penetration of iodine into microorganisms and its mode of action indicate that the time-delay i.e. contact time required for sufficient efficacy depends on the tolerance of the </w:t>
      </w:r>
      <w:r w:rsidRPr="005664C6">
        <w:rPr>
          <w:lang w:eastAsia="en-US"/>
        </w:rPr>
        <w:t xml:space="preserve">organism to iodine and the concentration of iodine used for treatment. </w:t>
      </w:r>
    </w:p>
    <w:p w14:paraId="1DB0E901" w14:textId="77777777" w:rsidR="001B3B87" w:rsidRDefault="001B3B87" w:rsidP="001B3B87">
      <w:pPr>
        <w:jc w:val="both"/>
        <w:rPr>
          <w:lang w:eastAsia="en-US"/>
        </w:rPr>
      </w:pPr>
    </w:p>
    <w:p w14:paraId="26E79B8A" w14:textId="77777777" w:rsidR="001B3B87" w:rsidRPr="006A28CC" w:rsidRDefault="001B3B87" w:rsidP="001B3B87">
      <w:pPr>
        <w:jc w:val="both"/>
        <w:rPr>
          <w:lang w:eastAsia="en-US"/>
        </w:rPr>
      </w:pPr>
      <w:r w:rsidRPr="005664C6">
        <w:rPr>
          <w:lang w:eastAsia="en-US"/>
        </w:rPr>
        <w:t>Contact times for the different activities claimed are determined in the efficacy tests (see table below).</w:t>
      </w:r>
    </w:p>
    <w:p w14:paraId="1E46BE3F" w14:textId="77777777" w:rsidR="009D0C0B" w:rsidRDefault="009D0C0B">
      <w:pPr>
        <w:spacing w:line="260" w:lineRule="atLeast"/>
        <w:ind w:left="360"/>
        <w:rPr>
          <w:rFonts w:ascii="Times New Roman" w:eastAsia="Calibri" w:hAnsi="Times New Roman" w:cs="Times New Roman"/>
          <w:i/>
          <w:iCs/>
          <w:szCs w:val="24"/>
          <w:lang w:eastAsia="en-US"/>
        </w:rPr>
      </w:pPr>
    </w:p>
    <w:p w14:paraId="1AFD4ACF" w14:textId="77777777" w:rsidR="009D0C0B" w:rsidRDefault="00FA480B">
      <w:pPr>
        <w:pStyle w:val="Titre4"/>
        <w:rPr>
          <w:rFonts w:ascii="Times New Roman" w:hAnsi="Times New Roman" w:cs="Times New Roman"/>
          <w:i/>
          <w:iCs/>
          <w:lang w:eastAsia="en-US"/>
        </w:rPr>
      </w:pPr>
      <w:bookmarkStart w:id="62" w:name="_Toc516669780"/>
      <w:r>
        <w:t>Efficacy data</w:t>
      </w:r>
      <w:bookmarkEnd w:id="62"/>
      <w:r>
        <w:t xml:space="preserve"> </w:t>
      </w:r>
    </w:p>
    <w:p w14:paraId="022BAB77" w14:textId="77777777" w:rsidR="001B3B87" w:rsidRPr="00B47212" w:rsidRDefault="001B3B87" w:rsidP="001B3B87">
      <w:pPr>
        <w:jc w:val="both"/>
        <w:rPr>
          <w:lang w:eastAsia="en-US"/>
        </w:rPr>
      </w:pPr>
      <w:r>
        <w:rPr>
          <w:lang w:eastAsia="en-US"/>
        </w:rPr>
        <w:t>Laborato</w:t>
      </w:r>
      <w:r w:rsidRPr="00A16BEC">
        <w:rPr>
          <w:lang w:eastAsia="en-US"/>
        </w:rPr>
        <w:t>ry</w:t>
      </w:r>
      <w:r>
        <w:rPr>
          <w:lang w:eastAsia="en-US"/>
        </w:rPr>
        <w:t xml:space="preserve"> and field studies were conducted with the product IODIGUARD according </w:t>
      </w:r>
      <w:r w:rsidR="00A9337A">
        <w:rPr>
          <w:lang w:eastAsia="en-US"/>
        </w:rPr>
        <w:t xml:space="preserve">to </w:t>
      </w:r>
      <w:r>
        <w:rPr>
          <w:lang w:eastAsia="en-US"/>
        </w:rPr>
        <w:t xml:space="preserve">EN 14885:2006 standard and </w:t>
      </w:r>
      <w:r w:rsidR="00C4045F">
        <w:rPr>
          <w:lang w:eastAsia="en-US"/>
        </w:rPr>
        <w:t xml:space="preserve">according to </w:t>
      </w:r>
      <w:r>
        <w:rPr>
          <w:lang w:eastAsia="en-US"/>
        </w:rPr>
        <w:t xml:space="preserve">discussions/conclusions </w:t>
      </w:r>
      <w:r w:rsidR="00604760">
        <w:rPr>
          <w:lang w:eastAsia="en-US"/>
        </w:rPr>
        <w:t xml:space="preserve">at </w:t>
      </w:r>
      <w:r w:rsidR="00A9337A">
        <w:rPr>
          <w:lang w:eastAsia="en-US"/>
        </w:rPr>
        <w:t>Efficacy WG</w:t>
      </w:r>
      <w:r w:rsidR="00604760">
        <w:rPr>
          <w:lang w:eastAsia="en-US"/>
        </w:rPr>
        <w:t xml:space="preserve"> meeting</w:t>
      </w:r>
      <w:r w:rsidR="00A9337A">
        <w:rPr>
          <w:lang w:eastAsia="en-US"/>
        </w:rPr>
        <w:t xml:space="preserve"> </w:t>
      </w:r>
      <w:r w:rsidR="00604760">
        <w:rPr>
          <w:lang w:eastAsia="en-US"/>
        </w:rPr>
        <w:t xml:space="preserve">in order to establish </w:t>
      </w:r>
      <w:r>
        <w:rPr>
          <w:lang w:eastAsia="en-US"/>
        </w:rPr>
        <w:t>efficacy criteria to be achieved</w:t>
      </w:r>
      <w:r w:rsidR="00604760">
        <w:rPr>
          <w:lang w:eastAsia="en-US"/>
        </w:rPr>
        <w:t xml:space="preserve">, </w:t>
      </w:r>
      <w:r>
        <w:rPr>
          <w:lang w:eastAsia="en-US"/>
        </w:rPr>
        <w:t xml:space="preserve">summarised in the minute of Efficacy WG V 2015. </w:t>
      </w:r>
      <w:r w:rsidRPr="00B47212">
        <w:rPr>
          <w:lang w:eastAsia="en-US"/>
        </w:rPr>
        <w:t>The results are summarized in the table below.</w:t>
      </w:r>
    </w:p>
    <w:p w14:paraId="605D938D" w14:textId="77777777" w:rsidR="002A0438" w:rsidRDefault="002A0438">
      <w:pPr>
        <w:spacing w:line="260" w:lineRule="atLeast"/>
        <w:ind w:left="360"/>
        <w:jc w:val="both"/>
        <w:rPr>
          <w:rFonts w:ascii="Times New Roman" w:eastAsia="Calibri" w:hAnsi="Times New Roman" w:cs="Arial"/>
          <w:bCs/>
          <w:i/>
          <w:caps/>
          <w:szCs w:val="28"/>
          <w:lang w:eastAsia="en-US"/>
        </w:rPr>
        <w:sectPr w:rsidR="002A0438" w:rsidSect="00170391">
          <w:pgSz w:w="11906" w:h="16838"/>
          <w:pgMar w:top="1474" w:right="1247" w:bottom="2013" w:left="1446" w:header="850" w:footer="850" w:gutter="0"/>
          <w:cols w:space="720"/>
          <w:docGrid w:linePitch="272"/>
        </w:sectPr>
      </w:pPr>
    </w:p>
    <w:tbl>
      <w:tblPr>
        <w:tblW w:w="5517" w:type="pct"/>
        <w:tblInd w:w="-1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0"/>
        <w:gridCol w:w="1154"/>
        <w:gridCol w:w="1531"/>
        <w:gridCol w:w="1375"/>
        <w:gridCol w:w="1616"/>
        <w:gridCol w:w="4896"/>
        <w:gridCol w:w="1625"/>
        <w:gridCol w:w="1263"/>
      </w:tblGrid>
      <w:tr w:rsidR="001B3B87" w:rsidRPr="006A28CC" w14:paraId="6D3BAD66" w14:textId="77777777" w:rsidTr="002419FE">
        <w:trPr>
          <w:trHeight w:val="303"/>
        </w:trPr>
        <w:tc>
          <w:tcPr>
            <w:tcW w:w="5000" w:type="pct"/>
            <w:gridSpan w:val="8"/>
            <w:shd w:val="clear" w:color="auto" w:fill="FFFFCC"/>
            <w:vAlign w:val="center"/>
          </w:tcPr>
          <w:p w14:paraId="00F25F39" w14:textId="77777777" w:rsidR="001B3B87" w:rsidRPr="006A28CC" w:rsidRDefault="001B3B87" w:rsidP="001B3B87">
            <w:pPr>
              <w:jc w:val="center"/>
              <w:rPr>
                <w:b/>
                <w:color w:val="000000"/>
                <w:sz w:val="18"/>
                <w:szCs w:val="18"/>
                <w:lang w:eastAsia="de-DE"/>
              </w:rPr>
            </w:pPr>
            <w:r w:rsidRPr="006A28CC">
              <w:rPr>
                <w:b/>
                <w:color w:val="000000"/>
                <w:sz w:val="18"/>
                <w:szCs w:val="18"/>
                <w:lang w:eastAsia="de-DE"/>
              </w:rPr>
              <w:lastRenderedPageBreak/>
              <w:t>Experimental data on the efficacy of the biocidal product against target organism(s)</w:t>
            </w:r>
          </w:p>
        </w:tc>
      </w:tr>
      <w:tr w:rsidR="00B825AC" w:rsidRPr="006A28CC" w14:paraId="414E232A" w14:textId="77777777" w:rsidTr="00E75423">
        <w:tc>
          <w:tcPr>
            <w:tcW w:w="428" w:type="pct"/>
            <w:shd w:val="clear" w:color="auto" w:fill="FFFFFF"/>
          </w:tcPr>
          <w:p w14:paraId="25781BE4" w14:textId="77777777" w:rsidR="001B3B87" w:rsidRPr="006A28CC" w:rsidRDefault="001B3B87" w:rsidP="001B3B87">
            <w:pPr>
              <w:jc w:val="center"/>
              <w:rPr>
                <w:b/>
                <w:color w:val="000000"/>
                <w:sz w:val="18"/>
                <w:szCs w:val="18"/>
                <w:lang w:eastAsia="de-DE"/>
              </w:rPr>
            </w:pPr>
            <w:r w:rsidRPr="006A28CC">
              <w:rPr>
                <w:b/>
                <w:color w:val="000000"/>
                <w:sz w:val="18"/>
                <w:szCs w:val="18"/>
                <w:lang w:eastAsia="de-DE"/>
              </w:rPr>
              <w:t>Function</w:t>
            </w:r>
          </w:p>
        </w:tc>
        <w:tc>
          <w:tcPr>
            <w:tcW w:w="392" w:type="pct"/>
            <w:shd w:val="clear" w:color="auto" w:fill="FFFFFF"/>
          </w:tcPr>
          <w:p w14:paraId="0BD2C62F" w14:textId="77777777" w:rsidR="001B3B87" w:rsidRPr="006A28CC" w:rsidRDefault="001B3B87" w:rsidP="001B3B87">
            <w:pPr>
              <w:rPr>
                <w:b/>
                <w:color w:val="000000"/>
                <w:sz w:val="18"/>
                <w:szCs w:val="18"/>
                <w:lang w:eastAsia="de-DE"/>
              </w:rPr>
            </w:pPr>
            <w:r w:rsidRPr="006A28CC">
              <w:rPr>
                <w:b/>
                <w:color w:val="000000"/>
                <w:sz w:val="18"/>
                <w:szCs w:val="18"/>
                <w:lang w:eastAsia="de-DE"/>
              </w:rPr>
              <w:t>Field of use envisaged</w:t>
            </w:r>
          </w:p>
        </w:tc>
        <w:tc>
          <w:tcPr>
            <w:tcW w:w="520" w:type="pct"/>
            <w:shd w:val="clear" w:color="auto" w:fill="FFFFFF"/>
          </w:tcPr>
          <w:p w14:paraId="3009B013" w14:textId="77777777" w:rsidR="001B3B87" w:rsidRPr="006A28CC" w:rsidRDefault="001B3B87" w:rsidP="001B3B87">
            <w:pPr>
              <w:rPr>
                <w:b/>
                <w:i/>
                <w:color w:val="000000"/>
                <w:sz w:val="18"/>
                <w:szCs w:val="18"/>
                <w:lang w:eastAsia="de-DE"/>
              </w:rPr>
            </w:pPr>
            <w:r w:rsidRPr="006A28CC">
              <w:rPr>
                <w:b/>
                <w:color w:val="000000"/>
                <w:sz w:val="18"/>
                <w:szCs w:val="18"/>
                <w:lang w:eastAsia="de-DE"/>
              </w:rPr>
              <w:t>Test substance</w:t>
            </w:r>
          </w:p>
        </w:tc>
        <w:tc>
          <w:tcPr>
            <w:tcW w:w="467" w:type="pct"/>
            <w:shd w:val="clear" w:color="auto" w:fill="FFFFFF"/>
          </w:tcPr>
          <w:p w14:paraId="7EB488D0" w14:textId="77777777" w:rsidR="001B3B87" w:rsidRPr="006A28CC" w:rsidRDefault="001B3B87" w:rsidP="001B3B87">
            <w:pPr>
              <w:rPr>
                <w:b/>
                <w:i/>
                <w:color w:val="000000"/>
                <w:sz w:val="18"/>
                <w:szCs w:val="18"/>
                <w:lang w:eastAsia="de-DE"/>
              </w:rPr>
            </w:pPr>
            <w:r w:rsidRPr="006A28CC">
              <w:rPr>
                <w:b/>
                <w:color w:val="000000"/>
                <w:sz w:val="18"/>
                <w:szCs w:val="18"/>
                <w:lang w:eastAsia="de-DE"/>
              </w:rPr>
              <w:t>Test organism(s)</w:t>
            </w:r>
          </w:p>
        </w:tc>
        <w:tc>
          <w:tcPr>
            <w:tcW w:w="549" w:type="pct"/>
            <w:shd w:val="clear" w:color="auto" w:fill="FFFFFF"/>
          </w:tcPr>
          <w:p w14:paraId="6EF19171" w14:textId="77777777" w:rsidR="001B3B87" w:rsidRPr="006A28CC" w:rsidRDefault="001B3B87" w:rsidP="001B3B87">
            <w:pPr>
              <w:rPr>
                <w:b/>
                <w:color w:val="000000"/>
                <w:sz w:val="18"/>
                <w:szCs w:val="18"/>
                <w:lang w:eastAsia="de-DE"/>
              </w:rPr>
            </w:pPr>
            <w:r w:rsidRPr="006A28CC">
              <w:rPr>
                <w:b/>
                <w:color w:val="000000"/>
                <w:sz w:val="18"/>
                <w:szCs w:val="18"/>
                <w:lang w:eastAsia="de-DE"/>
              </w:rPr>
              <w:t>Test method</w:t>
            </w:r>
          </w:p>
        </w:tc>
        <w:tc>
          <w:tcPr>
            <w:tcW w:w="1663" w:type="pct"/>
            <w:shd w:val="clear" w:color="auto" w:fill="FFFFFF"/>
          </w:tcPr>
          <w:p w14:paraId="44657BE2" w14:textId="77777777" w:rsidR="001B3B87" w:rsidRPr="006A28CC" w:rsidRDefault="001B3B87" w:rsidP="001B3B87">
            <w:pPr>
              <w:rPr>
                <w:b/>
                <w:color w:val="000000"/>
                <w:sz w:val="18"/>
                <w:szCs w:val="18"/>
                <w:lang w:eastAsia="de-DE"/>
              </w:rPr>
            </w:pPr>
            <w:r w:rsidRPr="006A28CC">
              <w:rPr>
                <w:b/>
                <w:color w:val="000000"/>
                <w:sz w:val="18"/>
                <w:szCs w:val="18"/>
                <w:lang w:eastAsia="de-DE"/>
              </w:rPr>
              <w:t>Test system / concentrations applied / exposure time</w:t>
            </w:r>
          </w:p>
        </w:tc>
        <w:tc>
          <w:tcPr>
            <w:tcW w:w="552" w:type="pct"/>
            <w:shd w:val="clear" w:color="auto" w:fill="FFFFFF"/>
          </w:tcPr>
          <w:p w14:paraId="044E733C" w14:textId="77777777" w:rsidR="001B3B87" w:rsidRPr="006A28CC" w:rsidRDefault="001B3B87" w:rsidP="001B3B87">
            <w:pPr>
              <w:rPr>
                <w:b/>
                <w:color w:val="000000"/>
                <w:sz w:val="18"/>
                <w:szCs w:val="18"/>
                <w:lang w:eastAsia="de-DE"/>
              </w:rPr>
            </w:pPr>
            <w:r w:rsidRPr="006A28CC">
              <w:rPr>
                <w:b/>
                <w:color w:val="000000"/>
                <w:sz w:val="18"/>
                <w:szCs w:val="18"/>
                <w:lang w:eastAsia="de-DE"/>
              </w:rPr>
              <w:t>Test results: effects</w:t>
            </w:r>
          </w:p>
        </w:tc>
        <w:tc>
          <w:tcPr>
            <w:tcW w:w="429" w:type="pct"/>
            <w:shd w:val="clear" w:color="auto" w:fill="FFFFFF"/>
          </w:tcPr>
          <w:p w14:paraId="50A76803" w14:textId="77777777" w:rsidR="001B3B87" w:rsidRPr="006A28CC" w:rsidRDefault="001B3B87" w:rsidP="001B3B87">
            <w:pPr>
              <w:rPr>
                <w:b/>
                <w:color w:val="000000"/>
                <w:sz w:val="18"/>
                <w:szCs w:val="18"/>
                <w:lang w:eastAsia="de-DE"/>
              </w:rPr>
            </w:pPr>
            <w:r w:rsidRPr="006A28CC">
              <w:rPr>
                <w:b/>
                <w:color w:val="000000"/>
                <w:sz w:val="18"/>
                <w:szCs w:val="18"/>
                <w:lang w:eastAsia="de-DE"/>
              </w:rPr>
              <w:t>Reference</w:t>
            </w:r>
          </w:p>
        </w:tc>
      </w:tr>
      <w:tr w:rsidR="00B825AC" w:rsidRPr="006A28CC" w14:paraId="44410053" w14:textId="77777777" w:rsidTr="00E75423">
        <w:tc>
          <w:tcPr>
            <w:tcW w:w="428" w:type="pct"/>
          </w:tcPr>
          <w:p w14:paraId="6DA7E78F" w14:textId="77777777" w:rsidR="001B3B87" w:rsidRPr="00A3495B" w:rsidRDefault="001B3B87" w:rsidP="001B3B87">
            <w:pPr>
              <w:rPr>
                <w:color w:val="000000"/>
                <w:sz w:val="18"/>
                <w:szCs w:val="18"/>
                <w:lang w:eastAsia="de-DE"/>
              </w:rPr>
            </w:pPr>
            <w:r w:rsidRPr="00A3495B">
              <w:rPr>
                <w:color w:val="000000"/>
                <w:sz w:val="18"/>
                <w:szCs w:val="18"/>
                <w:lang w:eastAsia="de-DE"/>
              </w:rPr>
              <w:t>Bactericide</w:t>
            </w:r>
          </w:p>
        </w:tc>
        <w:tc>
          <w:tcPr>
            <w:tcW w:w="392" w:type="pct"/>
          </w:tcPr>
          <w:p w14:paraId="5D6B48F7" w14:textId="77777777" w:rsidR="001B3B87" w:rsidRPr="00A3495B" w:rsidRDefault="001B3B87" w:rsidP="001B3B87">
            <w:pPr>
              <w:rPr>
                <w:color w:val="000000"/>
                <w:sz w:val="18"/>
                <w:szCs w:val="18"/>
                <w:lang w:eastAsia="de-DE"/>
              </w:rPr>
            </w:pPr>
            <w:r w:rsidRPr="00A3495B">
              <w:rPr>
                <w:color w:val="000000"/>
                <w:sz w:val="18"/>
                <w:szCs w:val="18"/>
                <w:lang w:eastAsia="de-DE"/>
              </w:rPr>
              <w:t>Teat</w:t>
            </w:r>
            <w:r>
              <w:rPr>
                <w:color w:val="000000"/>
                <w:sz w:val="18"/>
                <w:szCs w:val="18"/>
                <w:lang w:eastAsia="de-DE"/>
              </w:rPr>
              <w:t xml:space="preserve"> </w:t>
            </w:r>
            <w:r w:rsidRPr="00A3495B">
              <w:rPr>
                <w:color w:val="000000"/>
                <w:sz w:val="18"/>
                <w:szCs w:val="18"/>
                <w:lang w:eastAsia="de-DE"/>
              </w:rPr>
              <w:t>disinfection</w:t>
            </w:r>
          </w:p>
        </w:tc>
        <w:tc>
          <w:tcPr>
            <w:tcW w:w="520" w:type="pct"/>
          </w:tcPr>
          <w:p w14:paraId="77DB1AD9" w14:textId="77777777" w:rsidR="001B3B87" w:rsidRPr="00A3495B" w:rsidRDefault="001B3B87" w:rsidP="001B3B87">
            <w:pPr>
              <w:rPr>
                <w:color w:val="000000"/>
                <w:sz w:val="18"/>
                <w:szCs w:val="18"/>
                <w:lang w:eastAsia="de-DE"/>
              </w:rPr>
            </w:pPr>
            <w:r>
              <w:rPr>
                <w:color w:val="000000"/>
                <w:sz w:val="18"/>
                <w:szCs w:val="18"/>
                <w:lang w:eastAsia="de-DE"/>
              </w:rPr>
              <w:t>DESINFECTANT D017.A75 (IODIGUARD 1</w:t>
            </w:r>
            <w:r w:rsidR="003F1AAE">
              <w:rPr>
                <w:color w:val="000000"/>
                <w:sz w:val="18"/>
                <w:szCs w:val="18"/>
                <w:lang w:eastAsia="de-DE"/>
              </w:rPr>
              <w:t>.</w:t>
            </w:r>
            <w:r>
              <w:rPr>
                <w:color w:val="000000"/>
                <w:sz w:val="18"/>
                <w:szCs w:val="18"/>
                <w:lang w:eastAsia="de-DE"/>
              </w:rPr>
              <w:t>5 % w/w PVPI)</w:t>
            </w:r>
          </w:p>
        </w:tc>
        <w:tc>
          <w:tcPr>
            <w:tcW w:w="467" w:type="pct"/>
          </w:tcPr>
          <w:p w14:paraId="2BA1DEFC" w14:textId="77777777" w:rsidR="001B3B87" w:rsidRPr="004A0E87" w:rsidRDefault="001B3B87" w:rsidP="001B3B87">
            <w:pPr>
              <w:rPr>
                <w:color w:val="000000"/>
                <w:sz w:val="18"/>
                <w:szCs w:val="18"/>
                <w:lang w:val="fr-FR" w:eastAsia="de-DE"/>
              </w:rPr>
            </w:pPr>
            <w:r w:rsidRPr="004A0E87">
              <w:rPr>
                <w:color w:val="000000"/>
                <w:sz w:val="18"/>
                <w:szCs w:val="18"/>
                <w:lang w:val="fr-FR" w:eastAsia="de-DE"/>
              </w:rPr>
              <w:t>Bacteria</w:t>
            </w:r>
          </w:p>
          <w:p w14:paraId="7BF42F9A" w14:textId="77777777" w:rsidR="001B3B87" w:rsidRPr="00E0790C" w:rsidRDefault="001B3B87" w:rsidP="001B3B87">
            <w:pPr>
              <w:rPr>
                <w:i/>
                <w:color w:val="000000"/>
                <w:sz w:val="18"/>
                <w:szCs w:val="18"/>
                <w:lang w:val="fr-FR" w:eastAsia="de-DE"/>
              </w:rPr>
            </w:pPr>
            <w:proofErr w:type="gramStart"/>
            <w:r w:rsidRPr="00E0790C">
              <w:rPr>
                <w:i/>
                <w:color w:val="000000"/>
                <w:sz w:val="18"/>
                <w:szCs w:val="18"/>
                <w:lang w:val="fr-FR" w:eastAsia="de-DE"/>
              </w:rPr>
              <w:t>E.coli</w:t>
            </w:r>
            <w:proofErr w:type="gramEnd"/>
          </w:p>
          <w:p w14:paraId="61D320C7" w14:textId="77777777" w:rsidR="001B3B87" w:rsidRPr="00E0790C" w:rsidRDefault="001B3B87" w:rsidP="001B3B87">
            <w:pPr>
              <w:rPr>
                <w:i/>
                <w:color w:val="000000"/>
                <w:sz w:val="18"/>
                <w:szCs w:val="18"/>
                <w:lang w:val="fr-FR" w:eastAsia="de-DE"/>
              </w:rPr>
            </w:pPr>
            <w:proofErr w:type="gramStart"/>
            <w:r w:rsidRPr="00E0790C">
              <w:rPr>
                <w:i/>
                <w:color w:val="000000"/>
                <w:sz w:val="18"/>
                <w:szCs w:val="18"/>
                <w:lang w:val="fr-FR" w:eastAsia="de-DE"/>
              </w:rPr>
              <w:t>S.aureus</w:t>
            </w:r>
            <w:proofErr w:type="gramEnd"/>
          </w:p>
          <w:p w14:paraId="7B9D599E" w14:textId="77777777" w:rsidR="001B3B87" w:rsidRPr="00A3495B" w:rsidRDefault="001B3B87" w:rsidP="001B3B87">
            <w:pPr>
              <w:rPr>
                <w:color w:val="000000"/>
                <w:sz w:val="18"/>
                <w:szCs w:val="18"/>
                <w:lang w:eastAsia="de-DE"/>
              </w:rPr>
            </w:pPr>
            <w:r w:rsidRPr="00E0790C">
              <w:rPr>
                <w:i/>
                <w:color w:val="000000"/>
                <w:sz w:val="18"/>
                <w:szCs w:val="18"/>
                <w:lang w:val="fr-FR" w:eastAsia="de-DE"/>
              </w:rPr>
              <w:t>S.uberis</w:t>
            </w:r>
          </w:p>
        </w:tc>
        <w:tc>
          <w:tcPr>
            <w:tcW w:w="549" w:type="pct"/>
          </w:tcPr>
          <w:p w14:paraId="5E83EEBE" w14:textId="77777777" w:rsidR="001B3B87" w:rsidRPr="00A3495B" w:rsidRDefault="001B3B87" w:rsidP="001B3B87">
            <w:pPr>
              <w:rPr>
                <w:color w:val="000000"/>
                <w:sz w:val="18"/>
                <w:szCs w:val="18"/>
                <w:lang w:eastAsia="de-DE"/>
              </w:rPr>
            </w:pPr>
            <w:r>
              <w:rPr>
                <w:color w:val="000000"/>
                <w:sz w:val="18"/>
                <w:szCs w:val="18"/>
                <w:lang w:eastAsia="de-DE"/>
              </w:rPr>
              <w:t>EN 1656 : 2010</w:t>
            </w:r>
          </w:p>
        </w:tc>
        <w:tc>
          <w:tcPr>
            <w:tcW w:w="1663" w:type="pct"/>
          </w:tcPr>
          <w:p w14:paraId="066AE20B" w14:textId="77777777" w:rsidR="001B3B87" w:rsidRDefault="001B3B87" w:rsidP="001B3B87">
            <w:pPr>
              <w:rPr>
                <w:color w:val="000000"/>
                <w:sz w:val="18"/>
                <w:szCs w:val="18"/>
                <w:lang w:eastAsia="de-DE"/>
              </w:rPr>
            </w:pPr>
            <w:r>
              <w:rPr>
                <w:color w:val="000000"/>
                <w:sz w:val="18"/>
                <w:szCs w:val="18"/>
                <w:lang w:eastAsia="de-DE"/>
              </w:rPr>
              <w:t>Phase 2 step 1 test (suspension test)</w:t>
            </w:r>
          </w:p>
          <w:p w14:paraId="4D6E6C81" w14:textId="77777777" w:rsidR="001B3B87" w:rsidRDefault="001B3B87" w:rsidP="001B3B87">
            <w:pPr>
              <w:rPr>
                <w:color w:val="000000"/>
                <w:sz w:val="18"/>
                <w:szCs w:val="18"/>
                <w:lang w:eastAsia="de-DE"/>
              </w:rPr>
            </w:pPr>
            <w:r>
              <w:rPr>
                <w:color w:val="000000"/>
                <w:sz w:val="18"/>
                <w:szCs w:val="18"/>
                <w:lang w:eastAsia="de-DE"/>
              </w:rPr>
              <w:t>Concentration tested: 20 % v/v /60 % v/v /80 % v/v</w:t>
            </w:r>
          </w:p>
          <w:p w14:paraId="204566A9" w14:textId="77777777" w:rsidR="001B3B87" w:rsidRDefault="001B3B87" w:rsidP="001B3B87">
            <w:pPr>
              <w:rPr>
                <w:color w:val="000000"/>
                <w:sz w:val="18"/>
                <w:szCs w:val="18"/>
                <w:lang w:eastAsia="de-DE"/>
              </w:rPr>
            </w:pPr>
            <w:r>
              <w:rPr>
                <w:color w:val="000000"/>
                <w:sz w:val="18"/>
                <w:szCs w:val="18"/>
                <w:lang w:eastAsia="de-DE"/>
              </w:rPr>
              <w:t>Temperature: 30°C</w:t>
            </w:r>
          </w:p>
          <w:p w14:paraId="2180140C" w14:textId="77777777" w:rsidR="001B3B87" w:rsidRDefault="001B3B87" w:rsidP="001B3B87">
            <w:pPr>
              <w:rPr>
                <w:color w:val="000000"/>
                <w:sz w:val="18"/>
                <w:szCs w:val="18"/>
                <w:lang w:eastAsia="de-DE"/>
              </w:rPr>
            </w:pPr>
            <w:r>
              <w:rPr>
                <w:color w:val="000000"/>
                <w:sz w:val="18"/>
                <w:szCs w:val="18"/>
                <w:lang w:eastAsia="de-DE"/>
              </w:rPr>
              <w:t>Contact time: 5 min</w:t>
            </w:r>
          </w:p>
          <w:p w14:paraId="498DE21B" w14:textId="77777777" w:rsidR="001B3B87" w:rsidRDefault="001B3B87" w:rsidP="001B3B87">
            <w:pPr>
              <w:rPr>
                <w:color w:val="000000"/>
                <w:sz w:val="18"/>
                <w:szCs w:val="18"/>
                <w:lang w:eastAsia="de-DE"/>
              </w:rPr>
            </w:pPr>
            <w:r>
              <w:rPr>
                <w:color w:val="000000"/>
                <w:sz w:val="18"/>
                <w:szCs w:val="18"/>
                <w:lang w:eastAsia="de-DE"/>
              </w:rPr>
              <w:t>Additional conditions:  10 g/L skimmed milk</w:t>
            </w:r>
          </w:p>
          <w:p w14:paraId="6328062A" w14:textId="77777777" w:rsidR="001B3B87" w:rsidRPr="00A3495B" w:rsidRDefault="001B3B87" w:rsidP="001B3B87">
            <w:pPr>
              <w:rPr>
                <w:color w:val="000000"/>
                <w:sz w:val="18"/>
                <w:szCs w:val="18"/>
                <w:lang w:eastAsia="de-DE"/>
              </w:rPr>
            </w:pPr>
            <w:r>
              <w:rPr>
                <w:color w:val="000000"/>
                <w:sz w:val="18"/>
                <w:szCs w:val="18"/>
                <w:lang w:eastAsia="de-DE"/>
              </w:rPr>
              <w:t xml:space="preserve">Criteria: </w:t>
            </w:r>
            <w:r w:rsidRPr="00182689">
              <w:rPr>
                <w:color w:val="000000"/>
                <w:sz w:val="18"/>
                <w:szCs w:val="18"/>
                <w:lang w:eastAsia="de-DE"/>
              </w:rPr>
              <w:t>at least a 5 log reduction</w:t>
            </w:r>
          </w:p>
        </w:tc>
        <w:tc>
          <w:tcPr>
            <w:tcW w:w="552" w:type="pct"/>
          </w:tcPr>
          <w:p w14:paraId="118169BA" w14:textId="77777777" w:rsidR="001B3B87" w:rsidRPr="00182689" w:rsidRDefault="001B3B87" w:rsidP="001B3B87">
            <w:pPr>
              <w:rPr>
                <w:color w:val="000000"/>
                <w:sz w:val="18"/>
                <w:szCs w:val="18"/>
                <w:lang w:eastAsia="de-DE"/>
              </w:rPr>
            </w:pPr>
            <w:r>
              <w:rPr>
                <w:color w:val="000000"/>
                <w:sz w:val="18"/>
                <w:szCs w:val="18"/>
                <w:lang w:eastAsia="de-DE"/>
              </w:rPr>
              <w:t>Bactericidal activity demonstrated at 20 % v/v</w:t>
            </w:r>
          </w:p>
        </w:tc>
        <w:tc>
          <w:tcPr>
            <w:tcW w:w="429" w:type="pct"/>
          </w:tcPr>
          <w:p w14:paraId="2CC1D0B3" w14:textId="77777777" w:rsidR="001B3B87" w:rsidRPr="0072604A" w:rsidRDefault="002530A0" w:rsidP="001B3B87">
            <w:pPr>
              <w:rPr>
                <w:color w:val="000000"/>
                <w:sz w:val="18"/>
                <w:szCs w:val="18"/>
                <w:highlight w:val="yellow"/>
                <w:lang w:eastAsia="de-DE"/>
              </w:rPr>
            </w:pPr>
            <w:r w:rsidRPr="0072604A">
              <w:rPr>
                <w:color w:val="000000"/>
                <w:sz w:val="18"/>
                <w:szCs w:val="18"/>
                <w:highlight w:val="yellow"/>
                <w:lang w:eastAsia="de-DE"/>
              </w:rPr>
              <w:t>Study A-11-103/A</w:t>
            </w:r>
          </w:p>
          <w:p w14:paraId="22702B7C" w14:textId="77777777" w:rsidR="001B3B87" w:rsidRPr="0072604A" w:rsidRDefault="001B3B87" w:rsidP="001B3B87">
            <w:pPr>
              <w:rPr>
                <w:color w:val="000000"/>
                <w:sz w:val="18"/>
                <w:szCs w:val="18"/>
                <w:highlight w:val="yellow"/>
                <w:lang w:eastAsia="de-DE"/>
              </w:rPr>
            </w:pPr>
            <w:r w:rsidRPr="0072604A">
              <w:rPr>
                <w:color w:val="000000"/>
                <w:sz w:val="18"/>
                <w:szCs w:val="18"/>
                <w:lang w:eastAsia="de-DE"/>
              </w:rPr>
              <w:t>R.I: 1</w:t>
            </w:r>
          </w:p>
        </w:tc>
      </w:tr>
      <w:tr w:rsidR="00B825AC" w:rsidRPr="006A28CC" w14:paraId="3417C649" w14:textId="77777777" w:rsidTr="00E75423">
        <w:tc>
          <w:tcPr>
            <w:tcW w:w="428" w:type="pct"/>
          </w:tcPr>
          <w:p w14:paraId="0CB6468C" w14:textId="77777777" w:rsidR="001B3B87" w:rsidRPr="00A3495B" w:rsidRDefault="001B3B87" w:rsidP="001B3B87">
            <w:pPr>
              <w:rPr>
                <w:color w:val="000000"/>
                <w:sz w:val="18"/>
                <w:szCs w:val="18"/>
                <w:lang w:eastAsia="de-DE"/>
              </w:rPr>
            </w:pPr>
            <w:r w:rsidRPr="00A3495B">
              <w:rPr>
                <w:color w:val="000000"/>
                <w:sz w:val="18"/>
                <w:szCs w:val="18"/>
                <w:lang w:eastAsia="de-DE"/>
              </w:rPr>
              <w:t>Bactericide</w:t>
            </w:r>
          </w:p>
        </w:tc>
        <w:tc>
          <w:tcPr>
            <w:tcW w:w="392" w:type="pct"/>
          </w:tcPr>
          <w:p w14:paraId="47BD2CE5" w14:textId="77777777" w:rsidR="001B3B87" w:rsidRPr="00A3495B" w:rsidRDefault="001B3B87" w:rsidP="001B3B87">
            <w:pPr>
              <w:rPr>
                <w:color w:val="000000"/>
                <w:sz w:val="18"/>
                <w:szCs w:val="18"/>
                <w:lang w:eastAsia="de-DE"/>
              </w:rPr>
            </w:pPr>
            <w:r w:rsidRPr="00A3495B">
              <w:rPr>
                <w:color w:val="000000"/>
                <w:sz w:val="18"/>
                <w:szCs w:val="18"/>
                <w:lang w:eastAsia="de-DE"/>
              </w:rPr>
              <w:t>Teat</w:t>
            </w:r>
            <w:r>
              <w:rPr>
                <w:color w:val="000000"/>
                <w:sz w:val="18"/>
                <w:szCs w:val="18"/>
                <w:lang w:eastAsia="de-DE"/>
              </w:rPr>
              <w:t xml:space="preserve"> </w:t>
            </w:r>
            <w:r w:rsidRPr="00A3495B">
              <w:rPr>
                <w:color w:val="000000"/>
                <w:sz w:val="18"/>
                <w:szCs w:val="18"/>
                <w:lang w:eastAsia="de-DE"/>
              </w:rPr>
              <w:t>disinfection</w:t>
            </w:r>
          </w:p>
        </w:tc>
        <w:tc>
          <w:tcPr>
            <w:tcW w:w="520" w:type="pct"/>
          </w:tcPr>
          <w:p w14:paraId="3F702455" w14:textId="77777777" w:rsidR="001B3B87" w:rsidRPr="00A3495B" w:rsidRDefault="001B3B87" w:rsidP="001B3B87">
            <w:pPr>
              <w:rPr>
                <w:color w:val="000000"/>
                <w:sz w:val="18"/>
                <w:szCs w:val="18"/>
                <w:lang w:eastAsia="de-DE"/>
              </w:rPr>
            </w:pPr>
            <w:r>
              <w:rPr>
                <w:color w:val="000000"/>
                <w:sz w:val="18"/>
                <w:szCs w:val="18"/>
                <w:lang w:eastAsia="de-DE"/>
              </w:rPr>
              <w:t>IODIGUARD (0.75 % w/w iodine free)</w:t>
            </w:r>
          </w:p>
        </w:tc>
        <w:tc>
          <w:tcPr>
            <w:tcW w:w="467" w:type="pct"/>
          </w:tcPr>
          <w:p w14:paraId="4C2EB43C" w14:textId="77777777" w:rsidR="001B3B87" w:rsidRPr="004A0E87" w:rsidRDefault="001B3B87" w:rsidP="001B3B87">
            <w:pPr>
              <w:rPr>
                <w:color w:val="000000"/>
                <w:sz w:val="18"/>
                <w:szCs w:val="18"/>
                <w:lang w:val="fr-FR" w:eastAsia="de-DE"/>
              </w:rPr>
            </w:pPr>
            <w:r w:rsidRPr="004A0E87">
              <w:rPr>
                <w:color w:val="000000"/>
                <w:sz w:val="18"/>
                <w:szCs w:val="18"/>
                <w:lang w:val="fr-FR" w:eastAsia="de-DE"/>
              </w:rPr>
              <w:t>Bacteria</w:t>
            </w:r>
          </w:p>
          <w:p w14:paraId="36C53618" w14:textId="77777777" w:rsidR="001B3B87" w:rsidRPr="00E0790C" w:rsidRDefault="001B3B87" w:rsidP="001B3B87">
            <w:pPr>
              <w:rPr>
                <w:i/>
                <w:color w:val="000000"/>
                <w:sz w:val="18"/>
                <w:szCs w:val="18"/>
                <w:lang w:val="fr-FR" w:eastAsia="de-DE"/>
              </w:rPr>
            </w:pPr>
            <w:proofErr w:type="gramStart"/>
            <w:r w:rsidRPr="00E0790C">
              <w:rPr>
                <w:i/>
                <w:color w:val="000000"/>
                <w:sz w:val="18"/>
                <w:szCs w:val="18"/>
                <w:lang w:val="fr-FR" w:eastAsia="de-DE"/>
              </w:rPr>
              <w:t>E.coli</w:t>
            </w:r>
            <w:proofErr w:type="gramEnd"/>
          </w:p>
          <w:p w14:paraId="46B8F775" w14:textId="77777777" w:rsidR="001B3B87" w:rsidRPr="00E0790C" w:rsidRDefault="001B3B87" w:rsidP="001B3B87">
            <w:pPr>
              <w:rPr>
                <w:i/>
                <w:color w:val="000000"/>
                <w:sz w:val="18"/>
                <w:szCs w:val="18"/>
                <w:lang w:val="fr-FR" w:eastAsia="de-DE"/>
              </w:rPr>
            </w:pPr>
            <w:proofErr w:type="gramStart"/>
            <w:r w:rsidRPr="00E0790C">
              <w:rPr>
                <w:i/>
                <w:color w:val="000000"/>
                <w:sz w:val="18"/>
                <w:szCs w:val="18"/>
                <w:lang w:val="fr-FR" w:eastAsia="de-DE"/>
              </w:rPr>
              <w:t>S.aureus</w:t>
            </w:r>
            <w:proofErr w:type="gramEnd"/>
          </w:p>
          <w:p w14:paraId="40FA1AF2" w14:textId="77777777" w:rsidR="001B3B87" w:rsidRPr="00A3495B" w:rsidRDefault="001B3B87" w:rsidP="001B3B87">
            <w:pPr>
              <w:rPr>
                <w:color w:val="000000"/>
                <w:sz w:val="18"/>
                <w:szCs w:val="18"/>
                <w:lang w:eastAsia="de-DE"/>
              </w:rPr>
            </w:pPr>
            <w:r w:rsidRPr="00E0790C">
              <w:rPr>
                <w:i/>
                <w:color w:val="000000"/>
                <w:sz w:val="18"/>
                <w:szCs w:val="18"/>
                <w:lang w:val="fr-FR" w:eastAsia="de-DE"/>
              </w:rPr>
              <w:t>S.uberis</w:t>
            </w:r>
          </w:p>
        </w:tc>
        <w:tc>
          <w:tcPr>
            <w:tcW w:w="549" w:type="pct"/>
          </w:tcPr>
          <w:p w14:paraId="55E88EC7" w14:textId="77777777" w:rsidR="001B3B87" w:rsidRPr="00A3495B" w:rsidRDefault="001B3B87" w:rsidP="001B3B87">
            <w:pPr>
              <w:rPr>
                <w:color w:val="000000"/>
                <w:sz w:val="18"/>
                <w:szCs w:val="18"/>
                <w:lang w:eastAsia="de-DE"/>
              </w:rPr>
            </w:pPr>
            <w:r>
              <w:rPr>
                <w:color w:val="000000"/>
                <w:sz w:val="18"/>
                <w:szCs w:val="18"/>
                <w:lang w:eastAsia="de-DE"/>
              </w:rPr>
              <w:t>EN 1656 : 2010</w:t>
            </w:r>
          </w:p>
        </w:tc>
        <w:tc>
          <w:tcPr>
            <w:tcW w:w="1663" w:type="pct"/>
          </w:tcPr>
          <w:p w14:paraId="55BA5277" w14:textId="77777777" w:rsidR="001B3B87" w:rsidRDefault="001B3B87" w:rsidP="001B3B87">
            <w:pPr>
              <w:rPr>
                <w:color w:val="000000"/>
                <w:sz w:val="18"/>
                <w:szCs w:val="18"/>
                <w:lang w:eastAsia="de-DE"/>
              </w:rPr>
            </w:pPr>
            <w:r>
              <w:rPr>
                <w:color w:val="000000"/>
                <w:sz w:val="18"/>
                <w:szCs w:val="18"/>
                <w:lang w:eastAsia="de-DE"/>
              </w:rPr>
              <w:t>Phase 2 step 1 test (suspension test)</w:t>
            </w:r>
          </w:p>
          <w:p w14:paraId="67FA87D4" w14:textId="77777777" w:rsidR="001B3B87" w:rsidRDefault="001B3B87" w:rsidP="001B3B87">
            <w:pPr>
              <w:rPr>
                <w:color w:val="000000"/>
                <w:sz w:val="18"/>
                <w:szCs w:val="18"/>
                <w:lang w:eastAsia="de-DE"/>
              </w:rPr>
            </w:pPr>
            <w:r>
              <w:rPr>
                <w:color w:val="000000"/>
                <w:sz w:val="18"/>
                <w:szCs w:val="18"/>
                <w:lang w:eastAsia="de-DE"/>
              </w:rPr>
              <w:t>Concentration tested: 20 % v/v /40 % v/v / 60 % v/v /80 % v/v</w:t>
            </w:r>
          </w:p>
          <w:p w14:paraId="1139BFBD" w14:textId="77777777" w:rsidR="001B3B87" w:rsidRDefault="001B3B87" w:rsidP="001B3B87">
            <w:pPr>
              <w:rPr>
                <w:color w:val="000000"/>
                <w:sz w:val="18"/>
                <w:szCs w:val="18"/>
                <w:lang w:eastAsia="de-DE"/>
              </w:rPr>
            </w:pPr>
            <w:r>
              <w:rPr>
                <w:color w:val="000000"/>
                <w:sz w:val="18"/>
                <w:szCs w:val="18"/>
                <w:lang w:eastAsia="de-DE"/>
              </w:rPr>
              <w:t>Temperature: 30°C</w:t>
            </w:r>
          </w:p>
          <w:p w14:paraId="6F7D6277" w14:textId="77777777" w:rsidR="001B3B87" w:rsidRDefault="001B3B87" w:rsidP="001B3B87">
            <w:pPr>
              <w:rPr>
                <w:color w:val="000000"/>
                <w:sz w:val="18"/>
                <w:szCs w:val="18"/>
                <w:lang w:eastAsia="de-DE"/>
              </w:rPr>
            </w:pPr>
            <w:r>
              <w:rPr>
                <w:color w:val="000000"/>
                <w:sz w:val="18"/>
                <w:szCs w:val="18"/>
                <w:lang w:eastAsia="de-DE"/>
              </w:rPr>
              <w:t>Contact time: 5 min</w:t>
            </w:r>
          </w:p>
          <w:p w14:paraId="383760E6" w14:textId="77777777" w:rsidR="001B3B87" w:rsidRDefault="001B3B87" w:rsidP="001B3B87">
            <w:pPr>
              <w:rPr>
                <w:color w:val="000000"/>
                <w:sz w:val="18"/>
                <w:szCs w:val="18"/>
                <w:lang w:eastAsia="de-DE"/>
              </w:rPr>
            </w:pPr>
            <w:r>
              <w:rPr>
                <w:color w:val="000000"/>
                <w:sz w:val="18"/>
                <w:szCs w:val="18"/>
                <w:lang w:eastAsia="de-DE"/>
              </w:rPr>
              <w:t>Additional conditions:  10 g/L skimmed milk</w:t>
            </w:r>
          </w:p>
          <w:p w14:paraId="3F8D2029" w14:textId="77777777" w:rsidR="001B3B87" w:rsidRPr="00A3495B" w:rsidRDefault="001B3B87" w:rsidP="001B3B87">
            <w:pPr>
              <w:rPr>
                <w:color w:val="000000"/>
                <w:sz w:val="18"/>
                <w:szCs w:val="18"/>
                <w:lang w:eastAsia="de-DE"/>
              </w:rPr>
            </w:pPr>
            <w:r>
              <w:rPr>
                <w:color w:val="000000"/>
                <w:sz w:val="18"/>
                <w:szCs w:val="18"/>
                <w:lang w:eastAsia="de-DE"/>
              </w:rPr>
              <w:t xml:space="preserve">Criteria: </w:t>
            </w:r>
            <w:r w:rsidRPr="00182689">
              <w:rPr>
                <w:color w:val="000000"/>
                <w:sz w:val="18"/>
                <w:szCs w:val="18"/>
                <w:lang w:eastAsia="de-DE"/>
              </w:rPr>
              <w:t>at least a 5 log reduction</w:t>
            </w:r>
          </w:p>
        </w:tc>
        <w:tc>
          <w:tcPr>
            <w:tcW w:w="552" w:type="pct"/>
          </w:tcPr>
          <w:p w14:paraId="24179F1C" w14:textId="77777777" w:rsidR="001B3B87" w:rsidRPr="00182689" w:rsidRDefault="001B3B87" w:rsidP="001B3B87">
            <w:pPr>
              <w:rPr>
                <w:color w:val="000000"/>
                <w:sz w:val="18"/>
                <w:szCs w:val="18"/>
                <w:lang w:eastAsia="de-DE"/>
              </w:rPr>
            </w:pPr>
            <w:r>
              <w:rPr>
                <w:color w:val="000000"/>
                <w:sz w:val="18"/>
                <w:szCs w:val="18"/>
                <w:lang w:eastAsia="de-DE"/>
              </w:rPr>
              <w:t>Bactericidal activity demonstrated at 40 % v/v</w:t>
            </w:r>
          </w:p>
        </w:tc>
        <w:tc>
          <w:tcPr>
            <w:tcW w:w="429" w:type="pct"/>
          </w:tcPr>
          <w:p w14:paraId="393FC353" w14:textId="77777777" w:rsidR="001B3B87" w:rsidRPr="0072604A" w:rsidRDefault="002530A0" w:rsidP="001B3B87">
            <w:pPr>
              <w:rPr>
                <w:color w:val="000000"/>
                <w:sz w:val="18"/>
                <w:szCs w:val="18"/>
                <w:lang w:eastAsia="de-DE"/>
              </w:rPr>
            </w:pPr>
            <w:r w:rsidRPr="0072604A">
              <w:rPr>
                <w:color w:val="000000"/>
                <w:sz w:val="18"/>
                <w:szCs w:val="18"/>
                <w:highlight w:val="yellow"/>
                <w:lang w:eastAsia="de-DE"/>
              </w:rPr>
              <w:t xml:space="preserve">Laboratoire Solutio, </w:t>
            </w:r>
            <w:r w:rsidR="007A17A1" w:rsidRPr="0072604A">
              <w:rPr>
                <w:color w:val="000000"/>
                <w:sz w:val="18"/>
                <w:szCs w:val="18"/>
                <w:lang w:eastAsia="de-DE"/>
              </w:rPr>
              <w:t>August 2015</w:t>
            </w:r>
          </w:p>
          <w:p w14:paraId="5E350BEF" w14:textId="77777777" w:rsidR="001B3B87" w:rsidRPr="0072604A" w:rsidRDefault="001B3B87" w:rsidP="001B3B87">
            <w:pPr>
              <w:rPr>
                <w:color w:val="000000"/>
                <w:sz w:val="18"/>
                <w:szCs w:val="18"/>
                <w:highlight w:val="yellow"/>
                <w:lang w:eastAsia="de-DE"/>
              </w:rPr>
            </w:pPr>
            <w:r w:rsidRPr="0072604A">
              <w:rPr>
                <w:color w:val="000000"/>
                <w:sz w:val="18"/>
                <w:szCs w:val="18"/>
                <w:lang w:eastAsia="de-DE"/>
              </w:rPr>
              <w:t>R.I: 1</w:t>
            </w:r>
          </w:p>
        </w:tc>
      </w:tr>
      <w:tr w:rsidR="00F15139" w:rsidRPr="006A28CC" w14:paraId="7623D4F6" w14:textId="77777777" w:rsidTr="00E75423">
        <w:tc>
          <w:tcPr>
            <w:tcW w:w="428" w:type="pct"/>
          </w:tcPr>
          <w:p w14:paraId="0F1EBF08" w14:textId="77777777" w:rsidR="00F15139" w:rsidRDefault="00F15139" w:rsidP="001B3B87">
            <w:pPr>
              <w:rPr>
                <w:color w:val="000000"/>
                <w:sz w:val="18"/>
                <w:szCs w:val="18"/>
                <w:lang w:eastAsia="de-DE"/>
              </w:rPr>
            </w:pPr>
            <w:r>
              <w:rPr>
                <w:color w:val="000000"/>
                <w:sz w:val="18"/>
                <w:szCs w:val="18"/>
                <w:lang w:eastAsia="de-DE"/>
              </w:rPr>
              <w:t>Yeasticide</w:t>
            </w:r>
          </w:p>
        </w:tc>
        <w:tc>
          <w:tcPr>
            <w:tcW w:w="392" w:type="pct"/>
          </w:tcPr>
          <w:p w14:paraId="29934796" w14:textId="77777777" w:rsidR="00F15139" w:rsidRPr="00A3495B" w:rsidRDefault="00F15139" w:rsidP="001B3B87">
            <w:pPr>
              <w:rPr>
                <w:color w:val="000000"/>
                <w:sz w:val="18"/>
                <w:szCs w:val="18"/>
                <w:lang w:eastAsia="de-DE"/>
              </w:rPr>
            </w:pPr>
            <w:r w:rsidRPr="00A3495B">
              <w:rPr>
                <w:color w:val="000000"/>
                <w:sz w:val="18"/>
                <w:szCs w:val="18"/>
                <w:lang w:eastAsia="de-DE"/>
              </w:rPr>
              <w:t>Teat</w:t>
            </w:r>
            <w:r>
              <w:rPr>
                <w:color w:val="000000"/>
                <w:sz w:val="18"/>
                <w:szCs w:val="18"/>
                <w:lang w:eastAsia="de-DE"/>
              </w:rPr>
              <w:t xml:space="preserve"> </w:t>
            </w:r>
            <w:r w:rsidRPr="00A3495B">
              <w:rPr>
                <w:color w:val="000000"/>
                <w:sz w:val="18"/>
                <w:szCs w:val="18"/>
                <w:lang w:eastAsia="de-DE"/>
              </w:rPr>
              <w:t>disinfection</w:t>
            </w:r>
          </w:p>
        </w:tc>
        <w:tc>
          <w:tcPr>
            <w:tcW w:w="520" w:type="pct"/>
          </w:tcPr>
          <w:p w14:paraId="122E0961" w14:textId="77777777" w:rsidR="00F15139" w:rsidRDefault="00F15139" w:rsidP="001B3B87">
            <w:pPr>
              <w:rPr>
                <w:color w:val="000000"/>
                <w:sz w:val="18"/>
                <w:szCs w:val="18"/>
                <w:lang w:eastAsia="de-DE"/>
              </w:rPr>
            </w:pPr>
            <w:r>
              <w:rPr>
                <w:color w:val="000000"/>
                <w:sz w:val="18"/>
                <w:szCs w:val="18"/>
                <w:lang w:eastAsia="de-DE"/>
              </w:rPr>
              <w:t>IODIGUARD (1.5 % w/w PVPI)</w:t>
            </w:r>
          </w:p>
        </w:tc>
        <w:tc>
          <w:tcPr>
            <w:tcW w:w="467" w:type="pct"/>
          </w:tcPr>
          <w:p w14:paraId="0B2A9772" w14:textId="77777777" w:rsidR="00F15139" w:rsidRDefault="00F15139" w:rsidP="00604760">
            <w:pPr>
              <w:rPr>
                <w:color w:val="000000"/>
                <w:sz w:val="18"/>
                <w:szCs w:val="18"/>
                <w:lang w:eastAsia="de-DE"/>
              </w:rPr>
            </w:pPr>
            <w:r>
              <w:rPr>
                <w:color w:val="000000"/>
                <w:sz w:val="18"/>
                <w:szCs w:val="18"/>
                <w:lang w:eastAsia="de-DE"/>
              </w:rPr>
              <w:t>Yeasts</w:t>
            </w:r>
          </w:p>
          <w:p w14:paraId="7C00B5A5" w14:textId="77777777" w:rsidR="00F15139" w:rsidRDefault="00F15139" w:rsidP="001B3B87">
            <w:pPr>
              <w:rPr>
                <w:color w:val="000000"/>
                <w:sz w:val="18"/>
                <w:szCs w:val="18"/>
                <w:lang w:eastAsia="de-DE"/>
              </w:rPr>
            </w:pPr>
            <w:r>
              <w:rPr>
                <w:i/>
                <w:color w:val="000000"/>
                <w:sz w:val="18"/>
                <w:szCs w:val="18"/>
                <w:lang w:eastAsia="de-DE"/>
              </w:rPr>
              <w:t>C.albicans</w:t>
            </w:r>
          </w:p>
        </w:tc>
        <w:tc>
          <w:tcPr>
            <w:tcW w:w="549" w:type="pct"/>
          </w:tcPr>
          <w:p w14:paraId="424574DA" w14:textId="77777777" w:rsidR="00F15139" w:rsidRDefault="00F15139" w:rsidP="001B3B87">
            <w:pPr>
              <w:rPr>
                <w:color w:val="000000"/>
                <w:sz w:val="18"/>
                <w:szCs w:val="18"/>
                <w:lang w:eastAsia="de-DE"/>
              </w:rPr>
            </w:pPr>
            <w:r>
              <w:rPr>
                <w:color w:val="000000"/>
                <w:sz w:val="18"/>
                <w:szCs w:val="18"/>
                <w:lang w:eastAsia="de-DE"/>
              </w:rPr>
              <w:t>EN 1657:2007</w:t>
            </w:r>
          </w:p>
        </w:tc>
        <w:tc>
          <w:tcPr>
            <w:tcW w:w="1663" w:type="pct"/>
          </w:tcPr>
          <w:p w14:paraId="7DA0970C" w14:textId="77777777" w:rsidR="00F15139" w:rsidRDefault="00F15139" w:rsidP="00604760">
            <w:pPr>
              <w:rPr>
                <w:color w:val="000000"/>
                <w:sz w:val="18"/>
                <w:szCs w:val="18"/>
                <w:lang w:eastAsia="de-DE"/>
              </w:rPr>
            </w:pPr>
            <w:r>
              <w:rPr>
                <w:color w:val="000000"/>
                <w:sz w:val="18"/>
                <w:szCs w:val="18"/>
                <w:lang w:eastAsia="de-DE"/>
              </w:rPr>
              <w:t>Phase 2 step 1 test (suspension test)</w:t>
            </w:r>
          </w:p>
          <w:p w14:paraId="14CFAEFC" w14:textId="77777777" w:rsidR="00F15139" w:rsidRDefault="00F15139" w:rsidP="00604760">
            <w:pPr>
              <w:rPr>
                <w:color w:val="000000"/>
                <w:sz w:val="18"/>
                <w:szCs w:val="18"/>
                <w:lang w:eastAsia="de-DE"/>
              </w:rPr>
            </w:pPr>
            <w:r>
              <w:rPr>
                <w:color w:val="000000"/>
                <w:sz w:val="18"/>
                <w:szCs w:val="18"/>
                <w:lang w:eastAsia="de-DE"/>
              </w:rPr>
              <w:t>Concentration tested: 20 % v/v /40 % v/v / 60 % v/v</w:t>
            </w:r>
          </w:p>
          <w:p w14:paraId="7E78A454" w14:textId="77777777" w:rsidR="00F15139" w:rsidRDefault="00F15139" w:rsidP="00604760">
            <w:pPr>
              <w:rPr>
                <w:color w:val="000000"/>
                <w:sz w:val="18"/>
                <w:szCs w:val="18"/>
                <w:lang w:eastAsia="de-DE"/>
              </w:rPr>
            </w:pPr>
            <w:r>
              <w:rPr>
                <w:color w:val="000000"/>
                <w:sz w:val="18"/>
                <w:szCs w:val="18"/>
                <w:lang w:eastAsia="de-DE"/>
              </w:rPr>
              <w:t>Temperature: 30°C</w:t>
            </w:r>
          </w:p>
          <w:p w14:paraId="75451FDA" w14:textId="77777777" w:rsidR="00F15139" w:rsidRDefault="00F15139" w:rsidP="00604760">
            <w:pPr>
              <w:rPr>
                <w:color w:val="000000"/>
                <w:sz w:val="18"/>
                <w:szCs w:val="18"/>
                <w:lang w:eastAsia="de-DE"/>
              </w:rPr>
            </w:pPr>
            <w:r>
              <w:rPr>
                <w:color w:val="000000"/>
                <w:sz w:val="18"/>
                <w:szCs w:val="18"/>
                <w:lang w:eastAsia="de-DE"/>
              </w:rPr>
              <w:t>Contact time: 5 min</w:t>
            </w:r>
          </w:p>
          <w:p w14:paraId="77E3D96A" w14:textId="77777777" w:rsidR="00F15139" w:rsidRDefault="00F15139" w:rsidP="00604760">
            <w:pPr>
              <w:rPr>
                <w:color w:val="000000"/>
                <w:sz w:val="18"/>
                <w:szCs w:val="18"/>
                <w:lang w:eastAsia="de-DE"/>
              </w:rPr>
            </w:pPr>
            <w:r>
              <w:rPr>
                <w:color w:val="000000"/>
                <w:sz w:val="18"/>
                <w:szCs w:val="18"/>
                <w:lang w:eastAsia="de-DE"/>
              </w:rPr>
              <w:t>Additional conditions:  10 g/L skimmed milk</w:t>
            </w:r>
          </w:p>
          <w:p w14:paraId="7B18B502" w14:textId="77777777" w:rsidR="00F15139" w:rsidRDefault="00F15139" w:rsidP="001B3B87">
            <w:pPr>
              <w:rPr>
                <w:color w:val="000000"/>
                <w:sz w:val="18"/>
                <w:szCs w:val="18"/>
                <w:lang w:eastAsia="de-DE"/>
              </w:rPr>
            </w:pPr>
            <w:r>
              <w:rPr>
                <w:color w:val="000000"/>
                <w:sz w:val="18"/>
                <w:szCs w:val="18"/>
                <w:lang w:eastAsia="de-DE"/>
              </w:rPr>
              <w:t xml:space="preserve">Criteria: </w:t>
            </w:r>
            <w:r w:rsidRPr="00182689">
              <w:rPr>
                <w:color w:val="000000"/>
                <w:sz w:val="18"/>
                <w:szCs w:val="18"/>
                <w:lang w:eastAsia="de-DE"/>
              </w:rPr>
              <w:t xml:space="preserve">at least a </w:t>
            </w:r>
            <w:r>
              <w:rPr>
                <w:color w:val="000000"/>
                <w:sz w:val="18"/>
                <w:szCs w:val="18"/>
                <w:lang w:eastAsia="de-DE"/>
              </w:rPr>
              <w:t>4</w:t>
            </w:r>
            <w:r w:rsidRPr="00182689">
              <w:rPr>
                <w:color w:val="000000"/>
                <w:sz w:val="18"/>
                <w:szCs w:val="18"/>
                <w:lang w:eastAsia="de-DE"/>
              </w:rPr>
              <w:t xml:space="preserve"> log reduction</w:t>
            </w:r>
          </w:p>
        </w:tc>
        <w:tc>
          <w:tcPr>
            <w:tcW w:w="552" w:type="pct"/>
          </w:tcPr>
          <w:p w14:paraId="7DE51784" w14:textId="77777777" w:rsidR="00F15139" w:rsidRDefault="00F15139" w:rsidP="001B3B87">
            <w:pPr>
              <w:rPr>
                <w:color w:val="000000"/>
                <w:sz w:val="18"/>
                <w:szCs w:val="18"/>
                <w:lang w:eastAsia="de-DE"/>
              </w:rPr>
            </w:pPr>
            <w:r>
              <w:rPr>
                <w:color w:val="000000"/>
                <w:sz w:val="18"/>
                <w:szCs w:val="18"/>
                <w:lang w:eastAsia="de-DE"/>
              </w:rPr>
              <w:t>Yeasticidal activity demonstrated at 20 % v/v</w:t>
            </w:r>
          </w:p>
        </w:tc>
        <w:tc>
          <w:tcPr>
            <w:tcW w:w="429" w:type="pct"/>
          </w:tcPr>
          <w:p w14:paraId="58C424A7" w14:textId="77777777" w:rsidR="00F15139" w:rsidRPr="0072604A" w:rsidRDefault="002530A0" w:rsidP="00604760">
            <w:pPr>
              <w:rPr>
                <w:color w:val="000000"/>
                <w:sz w:val="18"/>
                <w:szCs w:val="18"/>
                <w:lang w:eastAsia="de-DE"/>
              </w:rPr>
            </w:pPr>
            <w:r w:rsidRPr="0072604A">
              <w:rPr>
                <w:color w:val="000000"/>
                <w:sz w:val="18"/>
                <w:szCs w:val="18"/>
                <w:highlight w:val="yellow"/>
                <w:lang w:eastAsia="de-DE"/>
              </w:rPr>
              <w:t>Laboratoire Solutio</w:t>
            </w:r>
            <w:r w:rsidR="007A17A1" w:rsidRPr="0072604A">
              <w:rPr>
                <w:color w:val="000000"/>
                <w:sz w:val="18"/>
                <w:szCs w:val="18"/>
                <w:highlight w:val="yellow"/>
                <w:lang w:eastAsia="de-DE"/>
              </w:rPr>
              <w:t xml:space="preserve">, </w:t>
            </w:r>
            <w:r w:rsidR="007A17A1" w:rsidRPr="0072604A">
              <w:rPr>
                <w:color w:val="000000"/>
                <w:sz w:val="18"/>
                <w:szCs w:val="18"/>
                <w:lang w:eastAsia="de-DE"/>
              </w:rPr>
              <w:t>July 2014</w:t>
            </w:r>
          </w:p>
          <w:p w14:paraId="77BF04B0" w14:textId="77777777" w:rsidR="00F15139" w:rsidRPr="0072604A" w:rsidRDefault="00F15139" w:rsidP="001B3B87">
            <w:pPr>
              <w:rPr>
                <w:color w:val="000000"/>
                <w:sz w:val="18"/>
                <w:szCs w:val="18"/>
                <w:highlight w:val="yellow"/>
                <w:lang w:eastAsia="de-DE"/>
              </w:rPr>
            </w:pPr>
            <w:r w:rsidRPr="0072604A">
              <w:rPr>
                <w:color w:val="000000"/>
                <w:sz w:val="18"/>
                <w:szCs w:val="18"/>
                <w:lang w:eastAsia="de-DE"/>
              </w:rPr>
              <w:t>R.I: 1</w:t>
            </w:r>
          </w:p>
        </w:tc>
      </w:tr>
      <w:tr w:rsidR="00B825AC" w:rsidRPr="006A28CC" w14:paraId="1F0AEE49" w14:textId="77777777" w:rsidTr="00E75423">
        <w:tc>
          <w:tcPr>
            <w:tcW w:w="428" w:type="pct"/>
          </w:tcPr>
          <w:p w14:paraId="57ADD97A" w14:textId="77777777" w:rsidR="001B3B87" w:rsidRPr="00A3495B" w:rsidRDefault="001B3B87" w:rsidP="001B3B87">
            <w:pPr>
              <w:rPr>
                <w:color w:val="000000"/>
                <w:sz w:val="18"/>
                <w:szCs w:val="18"/>
                <w:lang w:eastAsia="de-DE"/>
              </w:rPr>
            </w:pPr>
            <w:r>
              <w:rPr>
                <w:color w:val="000000"/>
                <w:sz w:val="18"/>
                <w:szCs w:val="18"/>
                <w:lang w:eastAsia="de-DE"/>
              </w:rPr>
              <w:t>Bactericide</w:t>
            </w:r>
          </w:p>
        </w:tc>
        <w:tc>
          <w:tcPr>
            <w:tcW w:w="392" w:type="pct"/>
          </w:tcPr>
          <w:p w14:paraId="437CFDC1" w14:textId="77777777" w:rsidR="001B3B87" w:rsidRPr="00A3495B" w:rsidRDefault="001B3B87" w:rsidP="001B3B87">
            <w:pPr>
              <w:rPr>
                <w:color w:val="000000"/>
                <w:sz w:val="18"/>
                <w:szCs w:val="18"/>
                <w:lang w:eastAsia="de-DE"/>
              </w:rPr>
            </w:pPr>
            <w:r w:rsidRPr="00A3495B">
              <w:rPr>
                <w:color w:val="000000"/>
                <w:sz w:val="18"/>
                <w:szCs w:val="18"/>
                <w:lang w:eastAsia="de-DE"/>
              </w:rPr>
              <w:t>Teat</w:t>
            </w:r>
            <w:r>
              <w:rPr>
                <w:color w:val="000000"/>
                <w:sz w:val="18"/>
                <w:szCs w:val="18"/>
                <w:lang w:eastAsia="de-DE"/>
              </w:rPr>
              <w:t xml:space="preserve"> </w:t>
            </w:r>
            <w:r w:rsidRPr="00A3495B">
              <w:rPr>
                <w:color w:val="000000"/>
                <w:sz w:val="18"/>
                <w:szCs w:val="18"/>
                <w:lang w:eastAsia="de-DE"/>
              </w:rPr>
              <w:t>disinfection</w:t>
            </w:r>
          </w:p>
        </w:tc>
        <w:tc>
          <w:tcPr>
            <w:tcW w:w="520" w:type="pct"/>
          </w:tcPr>
          <w:p w14:paraId="2D1FA630" w14:textId="77777777" w:rsidR="001B3B87" w:rsidRPr="00A3495B" w:rsidRDefault="001B3B87" w:rsidP="001B3B87">
            <w:pPr>
              <w:rPr>
                <w:color w:val="000000"/>
                <w:sz w:val="18"/>
                <w:szCs w:val="18"/>
                <w:lang w:eastAsia="de-DE"/>
              </w:rPr>
            </w:pPr>
            <w:r>
              <w:rPr>
                <w:color w:val="000000"/>
                <w:sz w:val="18"/>
                <w:szCs w:val="18"/>
                <w:lang w:eastAsia="de-DE"/>
              </w:rPr>
              <w:t>IODIGUARD 1,5 % w/w PVPI)</w:t>
            </w:r>
          </w:p>
        </w:tc>
        <w:tc>
          <w:tcPr>
            <w:tcW w:w="467" w:type="pct"/>
          </w:tcPr>
          <w:p w14:paraId="32374772" w14:textId="77777777" w:rsidR="001B3B87" w:rsidRDefault="001B3B87" w:rsidP="001B3B87">
            <w:pPr>
              <w:rPr>
                <w:color w:val="000000"/>
                <w:sz w:val="18"/>
                <w:szCs w:val="18"/>
                <w:lang w:eastAsia="de-DE"/>
              </w:rPr>
            </w:pPr>
            <w:r>
              <w:rPr>
                <w:color w:val="000000"/>
                <w:sz w:val="18"/>
                <w:szCs w:val="18"/>
                <w:lang w:eastAsia="de-DE"/>
              </w:rPr>
              <w:t>Bacteria</w:t>
            </w:r>
          </w:p>
          <w:p w14:paraId="0DBCA93F" w14:textId="77777777" w:rsidR="001B3B87" w:rsidRPr="00767D73" w:rsidRDefault="001B3B87" w:rsidP="001B3B87">
            <w:pPr>
              <w:rPr>
                <w:i/>
                <w:color w:val="000000"/>
                <w:sz w:val="18"/>
                <w:szCs w:val="18"/>
                <w:lang w:val="fr-FR" w:eastAsia="de-DE"/>
              </w:rPr>
            </w:pPr>
            <w:r w:rsidRPr="00E0790C">
              <w:rPr>
                <w:i/>
                <w:color w:val="000000"/>
                <w:sz w:val="18"/>
                <w:szCs w:val="18"/>
                <w:lang w:val="fr-FR" w:eastAsia="de-DE"/>
              </w:rPr>
              <w:t>E.coli</w:t>
            </w:r>
            <w:r>
              <w:rPr>
                <w:i/>
                <w:color w:val="000000"/>
                <w:sz w:val="18"/>
                <w:szCs w:val="18"/>
                <w:lang w:val="fr-FR" w:eastAsia="de-DE"/>
              </w:rPr>
              <w:t xml:space="preserve"> K12</w:t>
            </w:r>
          </w:p>
        </w:tc>
        <w:tc>
          <w:tcPr>
            <w:tcW w:w="549" w:type="pct"/>
          </w:tcPr>
          <w:p w14:paraId="19B59EA5" w14:textId="77777777" w:rsidR="001B3B87" w:rsidRPr="00A3495B" w:rsidRDefault="001B3B87" w:rsidP="001B3B87">
            <w:pPr>
              <w:rPr>
                <w:color w:val="000000"/>
                <w:sz w:val="18"/>
                <w:szCs w:val="18"/>
                <w:lang w:eastAsia="de-DE"/>
              </w:rPr>
            </w:pPr>
            <w:r>
              <w:rPr>
                <w:color w:val="000000"/>
                <w:sz w:val="18"/>
                <w:szCs w:val="18"/>
                <w:lang w:eastAsia="de-DE"/>
              </w:rPr>
              <w:t>Field test according to the modified methodology of EN 1499 standard</w:t>
            </w:r>
          </w:p>
        </w:tc>
        <w:tc>
          <w:tcPr>
            <w:tcW w:w="1663" w:type="pct"/>
          </w:tcPr>
          <w:p w14:paraId="6793E1BA" w14:textId="77777777" w:rsidR="001B3B87" w:rsidRDefault="001B3B87" w:rsidP="001B3B87">
            <w:pPr>
              <w:rPr>
                <w:color w:val="000000"/>
                <w:sz w:val="18"/>
                <w:szCs w:val="18"/>
                <w:lang w:eastAsia="de-DE"/>
              </w:rPr>
            </w:pPr>
            <w:r>
              <w:rPr>
                <w:color w:val="000000"/>
                <w:sz w:val="18"/>
                <w:szCs w:val="18"/>
                <w:lang w:eastAsia="de-DE"/>
              </w:rPr>
              <w:t>8 cows (2 teats treated with the product and 2 tests treated with a formulation without iodine, after milking)</w:t>
            </w:r>
          </w:p>
          <w:p w14:paraId="2F4788D8" w14:textId="77777777" w:rsidR="001B3B87" w:rsidRDefault="001B3B87" w:rsidP="001B3B87">
            <w:pPr>
              <w:rPr>
                <w:color w:val="000000"/>
                <w:sz w:val="18"/>
                <w:szCs w:val="18"/>
                <w:lang w:eastAsia="de-DE"/>
              </w:rPr>
            </w:pPr>
            <w:r>
              <w:rPr>
                <w:color w:val="000000"/>
                <w:sz w:val="18"/>
                <w:szCs w:val="18"/>
                <w:lang w:eastAsia="de-DE"/>
              </w:rPr>
              <w:t>Concentration tested :100 % v/v</w:t>
            </w:r>
          </w:p>
          <w:p w14:paraId="66598C00" w14:textId="77777777" w:rsidR="001B3B87" w:rsidRDefault="001B3B87" w:rsidP="001B3B87">
            <w:pPr>
              <w:rPr>
                <w:color w:val="000000"/>
                <w:sz w:val="18"/>
                <w:szCs w:val="18"/>
                <w:lang w:eastAsia="de-DE"/>
              </w:rPr>
            </w:pPr>
            <w:r>
              <w:rPr>
                <w:color w:val="000000"/>
                <w:sz w:val="18"/>
                <w:szCs w:val="18"/>
                <w:lang w:eastAsia="de-DE"/>
              </w:rPr>
              <w:t>Contact time: 5 min</w:t>
            </w:r>
          </w:p>
          <w:p w14:paraId="145CCB6C" w14:textId="77777777" w:rsidR="001B3B87" w:rsidRPr="00A3495B" w:rsidRDefault="001B3B87" w:rsidP="001B3B87">
            <w:pPr>
              <w:rPr>
                <w:color w:val="000000"/>
                <w:sz w:val="18"/>
                <w:szCs w:val="18"/>
                <w:lang w:eastAsia="de-DE"/>
              </w:rPr>
            </w:pPr>
            <w:r>
              <w:rPr>
                <w:color w:val="000000"/>
                <w:sz w:val="18"/>
                <w:szCs w:val="18"/>
                <w:lang w:eastAsia="de-DE"/>
              </w:rPr>
              <w:t xml:space="preserve">Criteria: 4 log reduction (difference between </w:t>
            </w:r>
            <w:r w:rsidRPr="00775631">
              <w:rPr>
                <w:color w:val="000000"/>
                <w:sz w:val="18"/>
                <w:szCs w:val="18"/>
                <w:lang w:eastAsia="de-DE"/>
              </w:rPr>
              <w:t xml:space="preserve">the number of test organisms released from teats before </w:t>
            </w:r>
            <w:r>
              <w:rPr>
                <w:color w:val="000000"/>
                <w:sz w:val="18"/>
                <w:szCs w:val="18"/>
                <w:lang w:eastAsia="de-DE"/>
              </w:rPr>
              <w:t xml:space="preserve">(VI) </w:t>
            </w:r>
            <w:r w:rsidRPr="00775631">
              <w:rPr>
                <w:color w:val="000000"/>
                <w:sz w:val="18"/>
                <w:szCs w:val="18"/>
                <w:lang w:eastAsia="de-DE"/>
              </w:rPr>
              <w:t xml:space="preserve">and after the teat disinfection </w:t>
            </w:r>
            <w:r>
              <w:rPr>
                <w:color w:val="000000"/>
                <w:sz w:val="18"/>
                <w:szCs w:val="18"/>
                <w:lang w:eastAsia="de-DE"/>
              </w:rPr>
              <w:t xml:space="preserve">(VF) </w:t>
            </w:r>
            <w:r w:rsidRPr="00775631">
              <w:rPr>
                <w:color w:val="000000"/>
                <w:sz w:val="18"/>
                <w:szCs w:val="18"/>
                <w:lang w:eastAsia="de-DE"/>
              </w:rPr>
              <w:t>significantly different</w:t>
            </w:r>
            <w:r>
              <w:rPr>
                <w:color w:val="000000"/>
                <w:sz w:val="18"/>
                <w:szCs w:val="18"/>
                <w:lang w:eastAsia="de-DE"/>
              </w:rPr>
              <w:t>)</w:t>
            </w:r>
          </w:p>
        </w:tc>
        <w:tc>
          <w:tcPr>
            <w:tcW w:w="552" w:type="pct"/>
          </w:tcPr>
          <w:p w14:paraId="46F4A588" w14:textId="77777777" w:rsidR="001B3B87" w:rsidRDefault="001B3B87" w:rsidP="001B3B87">
            <w:pPr>
              <w:rPr>
                <w:color w:val="000000"/>
                <w:sz w:val="18"/>
                <w:szCs w:val="18"/>
                <w:lang w:eastAsia="de-DE"/>
              </w:rPr>
            </w:pPr>
            <w:r>
              <w:rPr>
                <w:color w:val="000000"/>
                <w:sz w:val="18"/>
                <w:szCs w:val="18"/>
                <w:lang w:eastAsia="de-DE"/>
              </w:rPr>
              <w:t>The formulation without iodine showed no efficacy (no significant difference with Wilcoxon test between VI and VF : p-value=0.77)</w:t>
            </w:r>
          </w:p>
          <w:p w14:paraId="327F2E32" w14:textId="77777777" w:rsidR="001B3B87" w:rsidRDefault="001B3B87" w:rsidP="001B3B87">
            <w:pPr>
              <w:rPr>
                <w:color w:val="000000"/>
                <w:sz w:val="18"/>
                <w:szCs w:val="18"/>
                <w:lang w:eastAsia="de-DE"/>
              </w:rPr>
            </w:pPr>
            <w:r>
              <w:rPr>
                <w:color w:val="000000"/>
                <w:sz w:val="18"/>
                <w:szCs w:val="18"/>
                <w:lang w:eastAsia="de-DE"/>
              </w:rPr>
              <w:t>For the tested product: VF is significantly different from VI with Wilcoxon test</w:t>
            </w:r>
          </w:p>
          <w:p w14:paraId="541BFB32" w14:textId="77777777" w:rsidR="001B3B87" w:rsidRDefault="001B3B87" w:rsidP="001B3B87">
            <w:pPr>
              <w:rPr>
                <w:color w:val="000000"/>
                <w:sz w:val="18"/>
                <w:szCs w:val="18"/>
                <w:lang w:eastAsia="de-DE"/>
              </w:rPr>
            </w:pPr>
          </w:p>
          <w:p w14:paraId="50808E7F" w14:textId="77777777" w:rsidR="001B3B87" w:rsidRDefault="001B3B87" w:rsidP="001B3B87">
            <w:pPr>
              <w:rPr>
                <w:color w:val="000000"/>
                <w:sz w:val="18"/>
                <w:szCs w:val="18"/>
                <w:lang w:eastAsia="de-DE"/>
              </w:rPr>
            </w:pPr>
            <w:r>
              <w:rPr>
                <w:color w:val="000000"/>
                <w:sz w:val="18"/>
                <w:szCs w:val="18"/>
                <w:lang w:eastAsia="de-DE"/>
              </w:rPr>
              <w:t xml:space="preserve">Mean log reduction with the product = 1.73±0.83 </w:t>
            </w:r>
          </w:p>
          <w:p w14:paraId="6EE7761A" w14:textId="77777777" w:rsidR="001B3B87" w:rsidRPr="00A3495B" w:rsidRDefault="001B3B87" w:rsidP="007C448F">
            <w:pPr>
              <w:rPr>
                <w:color w:val="000000"/>
                <w:sz w:val="18"/>
                <w:szCs w:val="18"/>
                <w:lang w:eastAsia="de-DE"/>
              </w:rPr>
            </w:pPr>
          </w:p>
        </w:tc>
        <w:tc>
          <w:tcPr>
            <w:tcW w:w="429" w:type="pct"/>
          </w:tcPr>
          <w:p w14:paraId="40AAA6BA" w14:textId="77777777" w:rsidR="007A17A1" w:rsidRPr="0072604A" w:rsidRDefault="007A17A1" w:rsidP="007A17A1">
            <w:pPr>
              <w:rPr>
                <w:color w:val="000000"/>
                <w:sz w:val="18"/>
                <w:szCs w:val="18"/>
                <w:lang w:eastAsia="de-DE"/>
              </w:rPr>
            </w:pPr>
            <w:r w:rsidRPr="0072604A">
              <w:rPr>
                <w:color w:val="000000"/>
                <w:sz w:val="18"/>
                <w:szCs w:val="18"/>
                <w:highlight w:val="yellow"/>
                <w:lang w:eastAsia="de-DE"/>
              </w:rPr>
              <w:t xml:space="preserve">Laboratoire Solutio, </w:t>
            </w:r>
            <w:r w:rsidRPr="0072604A">
              <w:rPr>
                <w:color w:val="000000"/>
                <w:sz w:val="18"/>
                <w:szCs w:val="18"/>
                <w:lang w:eastAsia="de-DE"/>
              </w:rPr>
              <w:t>March 2016</w:t>
            </w:r>
          </w:p>
          <w:p w14:paraId="6DCAFAF8" w14:textId="77777777" w:rsidR="001B3B87" w:rsidRPr="0072604A" w:rsidRDefault="001B3B87" w:rsidP="00604760">
            <w:pPr>
              <w:rPr>
                <w:color w:val="000000"/>
                <w:sz w:val="18"/>
                <w:szCs w:val="18"/>
                <w:highlight w:val="yellow"/>
                <w:lang w:eastAsia="de-DE"/>
              </w:rPr>
            </w:pPr>
            <w:r w:rsidRPr="0072604A">
              <w:rPr>
                <w:color w:val="000000"/>
                <w:sz w:val="18"/>
                <w:szCs w:val="18"/>
                <w:lang w:eastAsia="de-DE"/>
              </w:rPr>
              <w:t xml:space="preserve">R.I: </w:t>
            </w:r>
            <w:r w:rsidR="00604760" w:rsidRPr="0072604A">
              <w:rPr>
                <w:color w:val="000000"/>
                <w:sz w:val="18"/>
                <w:szCs w:val="18"/>
                <w:lang w:eastAsia="de-DE"/>
              </w:rPr>
              <w:t>2</w:t>
            </w:r>
          </w:p>
        </w:tc>
      </w:tr>
      <w:tr w:rsidR="002419FE" w:rsidRPr="005E1E28" w14:paraId="5A644624" w14:textId="77777777" w:rsidTr="00E75423">
        <w:tc>
          <w:tcPr>
            <w:tcW w:w="428" w:type="pct"/>
          </w:tcPr>
          <w:p w14:paraId="01643978" w14:textId="77777777" w:rsidR="002419FE" w:rsidRDefault="002419FE" w:rsidP="001B3B87">
            <w:pPr>
              <w:rPr>
                <w:color w:val="000000"/>
                <w:sz w:val="18"/>
                <w:szCs w:val="18"/>
                <w:lang w:eastAsia="de-DE"/>
              </w:rPr>
            </w:pPr>
            <w:r>
              <w:rPr>
                <w:color w:val="000000"/>
                <w:sz w:val="18"/>
                <w:szCs w:val="18"/>
                <w:lang w:eastAsia="de-DE"/>
              </w:rPr>
              <w:t>Bactericide</w:t>
            </w:r>
          </w:p>
        </w:tc>
        <w:tc>
          <w:tcPr>
            <w:tcW w:w="392" w:type="pct"/>
          </w:tcPr>
          <w:p w14:paraId="7CFD66FD" w14:textId="77777777" w:rsidR="002419FE" w:rsidRPr="00A3495B" w:rsidRDefault="002419FE" w:rsidP="001B3B87">
            <w:pPr>
              <w:rPr>
                <w:color w:val="000000"/>
                <w:sz w:val="18"/>
                <w:szCs w:val="18"/>
                <w:lang w:eastAsia="de-DE"/>
              </w:rPr>
            </w:pPr>
            <w:r w:rsidRPr="00A3495B">
              <w:rPr>
                <w:color w:val="000000"/>
                <w:sz w:val="18"/>
                <w:szCs w:val="18"/>
                <w:lang w:eastAsia="de-DE"/>
              </w:rPr>
              <w:t>Teat</w:t>
            </w:r>
            <w:r>
              <w:rPr>
                <w:color w:val="000000"/>
                <w:sz w:val="18"/>
                <w:szCs w:val="18"/>
                <w:lang w:eastAsia="de-DE"/>
              </w:rPr>
              <w:t xml:space="preserve"> </w:t>
            </w:r>
            <w:r w:rsidRPr="00A3495B">
              <w:rPr>
                <w:color w:val="000000"/>
                <w:sz w:val="18"/>
                <w:szCs w:val="18"/>
                <w:lang w:eastAsia="de-DE"/>
              </w:rPr>
              <w:t>disinfection</w:t>
            </w:r>
          </w:p>
        </w:tc>
        <w:tc>
          <w:tcPr>
            <w:tcW w:w="520" w:type="pct"/>
          </w:tcPr>
          <w:p w14:paraId="2064F32C" w14:textId="77777777" w:rsidR="002419FE" w:rsidRDefault="002419FE" w:rsidP="001B3B87">
            <w:pPr>
              <w:rPr>
                <w:color w:val="000000"/>
                <w:sz w:val="18"/>
                <w:szCs w:val="18"/>
                <w:lang w:eastAsia="de-DE"/>
              </w:rPr>
            </w:pPr>
            <w:r>
              <w:rPr>
                <w:color w:val="000000"/>
                <w:sz w:val="18"/>
                <w:szCs w:val="18"/>
                <w:lang w:eastAsia="de-DE"/>
              </w:rPr>
              <w:t>Various Iodine based formulations</w:t>
            </w:r>
          </w:p>
        </w:tc>
        <w:tc>
          <w:tcPr>
            <w:tcW w:w="467" w:type="pct"/>
          </w:tcPr>
          <w:p w14:paraId="5BD1965B" w14:textId="77777777" w:rsidR="002419FE" w:rsidRPr="00B825AC" w:rsidRDefault="002419FE" w:rsidP="00604760">
            <w:pPr>
              <w:rPr>
                <w:i/>
                <w:color w:val="000000"/>
                <w:sz w:val="18"/>
                <w:szCs w:val="18"/>
                <w:lang w:eastAsia="de-DE"/>
              </w:rPr>
            </w:pPr>
            <w:r w:rsidRPr="00B825AC">
              <w:rPr>
                <w:i/>
                <w:color w:val="000000"/>
                <w:sz w:val="18"/>
                <w:szCs w:val="18"/>
                <w:lang w:eastAsia="de-DE"/>
              </w:rPr>
              <w:t>S.aureus</w:t>
            </w:r>
          </w:p>
          <w:p w14:paraId="128203D1" w14:textId="77777777" w:rsidR="002419FE" w:rsidRPr="00B825AC" w:rsidRDefault="002419FE" w:rsidP="001B3B87">
            <w:pPr>
              <w:rPr>
                <w:i/>
                <w:color w:val="000000"/>
                <w:sz w:val="18"/>
                <w:szCs w:val="18"/>
                <w:lang w:eastAsia="de-DE"/>
              </w:rPr>
            </w:pPr>
            <w:r w:rsidRPr="00B825AC">
              <w:rPr>
                <w:i/>
                <w:color w:val="000000"/>
                <w:sz w:val="18"/>
                <w:szCs w:val="18"/>
                <w:lang w:eastAsia="de-DE"/>
              </w:rPr>
              <w:t>S.agalactiae</w:t>
            </w:r>
          </w:p>
        </w:tc>
        <w:tc>
          <w:tcPr>
            <w:tcW w:w="549" w:type="pct"/>
          </w:tcPr>
          <w:p w14:paraId="20D92BD7" w14:textId="77777777" w:rsidR="002419FE" w:rsidRDefault="002419FE" w:rsidP="001B3B87">
            <w:pPr>
              <w:rPr>
                <w:color w:val="000000"/>
                <w:sz w:val="18"/>
                <w:szCs w:val="18"/>
                <w:lang w:eastAsia="de-DE"/>
              </w:rPr>
            </w:pPr>
            <w:r>
              <w:rPr>
                <w:color w:val="000000"/>
                <w:sz w:val="18"/>
                <w:szCs w:val="18"/>
                <w:lang w:eastAsia="de-DE"/>
              </w:rPr>
              <w:t>NMC protocols:</w:t>
            </w:r>
          </w:p>
          <w:p w14:paraId="46739273" w14:textId="77777777" w:rsidR="00FC3D1A" w:rsidRDefault="00FC3D1A" w:rsidP="001B3B87">
            <w:pPr>
              <w:rPr>
                <w:color w:val="000000"/>
                <w:sz w:val="18"/>
                <w:szCs w:val="18"/>
                <w:lang w:eastAsia="de-DE"/>
              </w:rPr>
            </w:pPr>
            <w:r>
              <w:rPr>
                <w:color w:val="000000"/>
                <w:sz w:val="18"/>
                <w:szCs w:val="18"/>
                <w:lang w:eastAsia="de-DE"/>
              </w:rPr>
              <w:t>-Protocol B :</w:t>
            </w:r>
          </w:p>
          <w:p w14:paraId="5AC61A38" w14:textId="77777777" w:rsidR="00FC3D1A" w:rsidRDefault="002419FE" w:rsidP="001B3B87">
            <w:pPr>
              <w:rPr>
                <w:color w:val="000000"/>
                <w:sz w:val="18"/>
                <w:szCs w:val="18"/>
                <w:lang w:eastAsia="de-DE"/>
              </w:rPr>
            </w:pPr>
            <w:r>
              <w:rPr>
                <w:color w:val="000000"/>
                <w:sz w:val="18"/>
                <w:szCs w:val="18"/>
                <w:lang w:eastAsia="de-DE"/>
              </w:rPr>
              <w:t xml:space="preserve">Determination of the ability of a teat dip to prevent new IMI under experimental challenge conditions </w:t>
            </w:r>
            <w:r w:rsidR="00FC3D1A">
              <w:rPr>
                <w:color w:val="000000"/>
                <w:sz w:val="18"/>
                <w:szCs w:val="18"/>
                <w:lang w:eastAsia="de-DE"/>
              </w:rPr>
              <w:t>-Protocol C:</w:t>
            </w:r>
          </w:p>
          <w:p w14:paraId="7CE8CB61" w14:textId="77777777" w:rsidR="002419FE" w:rsidRDefault="00FC3D1A" w:rsidP="001B3B87">
            <w:pPr>
              <w:rPr>
                <w:color w:val="000000"/>
                <w:sz w:val="18"/>
                <w:szCs w:val="18"/>
                <w:lang w:eastAsia="de-DE"/>
              </w:rPr>
            </w:pPr>
            <w:r>
              <w:rPr>
                <w:color w:val="000000"/>
                <w:sz w:val="18"/>
                <w:szCs w:val="18"/>
                <w:lang w:eastAsia="de-DE"/>
              </w:rPr>
              <w:lastRenderedPageBreak/>
              <w:t>Standardized</w:t>
            </w:r>
            <w:r w:rsidR="002419FE">
              <w:rPr>
                <w:color w:val="000000"/>
                <w:sz w:val="18"/>
                <w:szCs w:val="18"/>
                <w:lang w:eastAsia="de-DE"/>
              </w:rPr>
              <w:t xml:space="preserve"> procedures for conducting a control study based on natural infection under field conditions.</w:t>
            </w:r>
          </w:p>
        </w:tc>
        <w:tc>
          <w:tcPr>
            <w:tcW w:w="1663" w:type="pct"/>
          </w:tcPr>
          <w:p w14:paraId="09CF3DCE" w14:textId="77777777" w:rsidR="002419FE" w:rsidRDefault="002419FE" w:rsidP="001B3B87">
            <w:pPr>
              <w:rPr>
                <w:rFonts w:ascii="Bold" w:hAnsi="Bold"/>
                <w:color w:val="000000"/>
              </w:rPr>
            </w:pPr>
            <w:r w:rsidRPr="002419FE">
              <w:rPr>
                <w:rFonts w:ascii="Bold" w:hAnsi="Bold"/>
                <w:color w:val="000000"/>
              </w:rPr>
              <w:lastRenderedPageBreak/>
              <w:t>Summary of efficacy data for iodophor teat dips</w:t>
            </w:r>
          </w:p>
          <w:p w14:paraId="6E82BB29" w14:textId="77777777" w:rsidR="00FE4CCD" w:rsidRDefault="00FE4CCD" w:rsidP="001B3B87">
            <w:pPr>
              <w:rPr>
                <w:rFonts w:ascii="Bold" w:hAnsi="Bold"/>
                <w:color w:val="000000"/>
              </w:rPr>
            </w:pPr>
          </w:p>
          <w:p w14:paraId="2852FDFF" w14:textId="77777777" w:rsidR="00FE4CCD" w:rsidRDefault="00FC3D1A" w:rsidP="001B3B87">
            <w:pPr>
              <w:rPr>
                <w:rFonts w:ascii="Bold" w:hAnsi="Bold"/>
                <w:color w:val="000000"/>
              </w:rPr>
            </w:pPr>
            <w:r>
              <w:rPr>
                <w:noProof/>
                <w:lang w:val="fr-FR" w:eastAsia="fr-FR"/>
              </w:rPr>
              <w:lastRenderedPageBreak/>
              <w:drawing>
                <wp:inline distT="0" distB="0" distL="0" distR="0" wp14:anchorId="1AADABFB" wp14:editId="13AB87A4">
                  <wp:extent cx="1578634" cy="2954759"/>
                  <wp:effectExtent l="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577249" cy="2952167"/>
                          </a:xfrm>
                          <a:prstGeom prst="rect">
                            <a:avLst/>
                          </a:prstGeom>
                        </pic:spPr>
                      </pic:pic>
                    </a:graphicData>
                  </a:graphic>
                </wp:inline>
              </w:drawing>
            </w:r>
            <w:r>
              <w:rPr>
                <w:noProof/>
                <w:lang w:val="fr-FR" w:eastAsia="fr-FR"/>
              </w:rPr>
              <w:drawing>
                <wp:inline distT="0" distB="0" distL="0" distR="0" wp14:anchorId="367F4EAF" wp14:editId="4CFA5A94">
                  <wp:extent cx="1578634" cy="353914"/>
                  <wp:effectExtent l="0" t="0" r="254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79811" cy="354178"/>
                          </a:xfrm>
                          <a:prstGeom prst="rect">
                            <a:avLst/>
                          </a:prstGeom>
                        </pic:spPr>
                      </pic:pic>
                    </a:graphicData>
                  </a:graphic>
                </wp:inline>
              </w:drawing>
            </w:r>
          </w:p>
        </w:tc>
        <w:tc>
          <w:tcPr>
            <w:tcW w:w="552" w:type="pct"/>
          </w:tcPr>
          <w:p w14:paraId="12E6DAE8" w14:textId="77777777" w:rsidR="002419FE" w:rsidRPr="00410FC9" w:rsidRDefault="00FC3D1A" w:rsidP="00FC3D1A">
            <w:pPr>
              <w:rPr>
                <w:sz w:val="18"/>
                <w:szCs w:val="18"/>
              </w:rPr>
            </w:pPr>
            <w:r w:rsidRPr="00410FC9">
              <w:rPr>
                <w:sz w:val="18"/>
                <w:szCs w:val="18"/>
              </w:rPr>
              <w:lastRenderedPageBreak/>
              <w:t>Protocol B: Efficacy consistently has averaged</w:t>
            </w:r>
            <w:r w:rsidRPr="00410FC9">
              <w:rPr>
                <w:sz w:val="18"/>
                <w:szCs w:val="18"/>
              </w:rPr>
              <w:br/>
              <w:t>over 50% for both pathogens Studies</w:t>
            </w:r>
            <w:r w:rsidRPr="00410FC9">
              <w:rPr>
                <w:sz w:val="18"/>
                <w:szCs w:val="18"/>
              </w:rPr>
              <w:br/>
              <w:t>on specific concentrations of iodine indicated</w:t>
            </w:r>
            <w:r w:rsidRPr="00410FC9">
              <w:rPr>
                <w:sz w:val="18"/>
                <w:szCs w:val="18"/>
              </w:rPr>
              <w:br/>
            </w:r>
            <w:r w:rsidRPr="00410FC9">
              <w:rPr>
                <w:sz w:val="18"/>
                <w:szCs w:val="18"/>
              </w:rPr>
              <w:lastRenderedPageBreak/>
              <w:t>good efficacy with formulation containing from .05 to 1% titratable iodine</w:t>
            </w:r>
          </w:p>
          <w:p w14:paraId="3D68C3C2" w14:textId="77777777" w:rsidR="00FC3D1A" w:rsidRPr="00410FC9" w:rsidRDefault="00FC3D1A" w:rsidP="00FC3D1A">
            <w:pPr>
              <w:rPr>
                <w:sz w:val="18"/>
                <w:szCs w:val="18"/>
              </w:rPr>
            </w:pPr>
          </w:p>
          <w:p w14:paraId="772ABC45" w14:textId="77777777" w:rsidR="00FC3D1A" w:rsidRDefault="00FC3D1A" w:rsidP="00FC3D1A">
            <w:pPr>
              <w:rPr>
                <w:color w:val="000000"/>
                <w:sz w:val="18"/>
                <w:szCs w:val="18"/>
                <w:lang w:eastAsia="de-DE"/>
              </w:rPr>
            </w:pPr>
            <w:r w:rsidRPr="00410FC9">
              <w:rPr>
                <w:sz w:val="18"/>
                <w:szCs w:val="18"/>
              </w:rPr>
              <w:t>Protocol C: Under</w:t>
            </w:r>
            <w:r w:rsidRPr="00410FC9">
              <w:rPr>
                <w:sz w:val="18"/>
                <w:szCs w:val="18"/>
              </w:rPr>
              <w:br/>
              <w:t>natural exposure to mastiffs pathogens, efficacy</w:t>
            </w:r>
            <w:r w:rsidRPr="00410FC9">
              <w:rPr>
                <w:sz w:val="18"/>
                <w:szCs w:val="18"/>
              </w:rPr>
              <w:br/>
              <w:t xml:space="preserve">of iodophor products </w:t>
            </w:r>
            <w:r w:rsidRPr="00410FC9">
              <w:rPr>
                <w:sz w:val="18"/>
                <w:szCs w:val="18"/>
              </w:rPr>
              <w:br/>
              <w:t>ranged from a 40% increase to 90% reduction in incidence of IMI</w:t>
            </w:r>
          </w:p>
        </w:tc>
        <w:tc>
          <w:tcPr>
            <w:tcW w:w="429" w:type="pct"/>
          </w:tcPr>
          <w:p w14:paraId="3D859841" w14:textId="77777777" w:rsidR="002419FE" w:rsidRPr="0072604A" w:rsidRDefault="002419FE" w:rsidP="001B3B87">
            <w:pPr>
              <w:rPr>
                <w:color w:val="000000"/>
                <w:sz w:val="18"/>
                <w:szCs w:val="18"/>
                <w:highlight w:val="yellow"/>
                <w:lang w:val="fr-FR" w:eastAsia="de-DE"/>
              </w:rPr>
            </w:pPr>
            <w:r w:rsidRPr="0072604A">
              <w:rPr>
                <w:color w:val="000000"/>
                <w:sz w:val="18"/>
                <w:szCs w:val="18"/>
                <w:highlight w:val="yellow"/>
                <w:lang w:val="fr-FR" w:eastAsia="de-DE"/>
              </w:rPr>
              <w:lastRenderedPageBreak/>
              <w:t>Pankey et al, 1984</w:t>
            </w:r>
          </w:p>
          <w:p w14:paraId="492ED2C0" w14:textId="77777777" w:rsidR="007A17A1" w:rsidRPr="0072604A" w:rsidRDefault="007A17A1" w:rsidP="001B3B87">
            <w:pPr>
              <w:rPr>
                <w:color w:val="000000"/>
                <w:sz w:val="18"/>
                <w:szCs w:val="18"/>
                <w:highlight w:val="yellow"/>
                <w:lang w:val="fr-FR" w:eastAsia="de-DE"/>
              </w:rPr>
            </w:pPr>
          </w:p>
          <w:p w14:paraId="2457E120" w14:textId="77777777" w:rsidR="002419FE" w:rsidRPr="0072604A" w:rsidRDefault="002419FE" w:rsidP="001B3B87">
            <w:pPr>
              <w:rPr>
                <w:color w:val="000000"/>
                <w:sz w:val="18"/>
                <w:szCs w:val="18"/>
                <w:highlight w:val="yellow"/>
                <w:lang w:val="fr-FR" w:eastAsia="de-DE"/>
              </w:rPr>
            </w:pPr>
            <w:r w:rsidRPr="0072604A">
              <w:rPr>
                <w:color w:val="000000"/>
                <w:sz w:val="18"/>
                <w:szCs w:val="18"/>
                <w:lang w:val="fr-FR" w:eastAsia="de-DE"/>
              </w:rPr>
              <w:t>R.I: 2</w:t>
            </w:r>
          </w:p>
        </w:tc>
      </w:tr>
      <w:tr w:rsidR="00B825AC" w:rsidRPr="006A28CC" w14:paraId="6EA40394" w14:textId="77777777" w:rsidTr="00E75423">
        <w:tc>
          <w:tcPr>
            <w:tcW w:w="428" w:type="pct"/>
          </w:tcPr>
          <w:p w14:paraId="53E3B1C9" w14:textId="77777777" w:rsidR="004C58F5" w:rsidRDefault="00F15139" w:rsidP="001B3B87">
            <w:pPr>
              <w:rPr>
                <w:color w:val="000000"/>
                <w:sz w:val="18"/>
                <w:szCs w:val="18"/>
                <w:lang w:eastAsia="de-DE"/>
              </w:rPr>
            </w:pPr>
            <w:r>
              <w:rPr>
                <w:color w:val="000000"/>
                <w:sz w:val="18"/>
                <w:szCs w:val="18"/>
                <w:lang w:eastAsia="de-DE"/>
              </w:rPr>
              <w:t>Bactericide</w:t>
            </w:r>
          </w:p>
        </w:tc>
        <w:tc>
          <w:tcPr>
            <w:tcW w:w="392" w:type="pct"/>
          </w:tcPr>
          <w:p w14:paraId="61285CA3" w14:textId="77777777" w:rsidR="004C58F5" w:rsidRPr="00A3495B" w:rsidRDefault="004C58F5" w:rsidP="001B3B87">
            <w:pPr>
              <w:rPr>
                <w:color w:val="000000"/>
                <w:sz w:val="18"/>
                <w:szCs w:val="18"/>
                <w:lang w:eastAsia="de-DE"/>
              </w:rPr>
            </w:pPr>
            <w:r w:rsidRPr="00A3495B">
              <w:rPr>
                <w:color w:val="000000"/>
                <w:sz w:val="18"/>
                <w:szCs w:val="18"/>
                <w:lang w:eastAsia="de-DE"/>
              </w:rPr>
              <w:t>Teat</w:t>
            </w:r>
            <w:r>
              <w:rPr>
                <w:color w:val="000000"/>
                <w:sz w:val="18"/>
                <w:szCs w:val="18"/>
                <w:lang w:eastAsia="de-DE"/>
              </w:rPr>
              <w:t xml:space="preserve"> </w:t>
            </w:r>
            <w:r w:rsidRPr="00A3495B">
              <w:rPr>
                <w:color w:val="000000"/>
                <w:sz w:val="18"/>
                <w:szCs w:val="18"/>
                <w:lang w:eastAsia="de-DE"/>
              </w:rPr>
              <w:t>disinfection</w:t>
            </w:r>
          </w:p>
        </w:tc>
        <w:tc>
          <w:tcPr>
            <w:tcW w:w="520" w:type="pct"/>
          </w:tcPr>
          <w:p w14:paraId="6476B347" w14:textId="77777777" w:rsidR="004C58F5" w:rsidRDefault="00B825AC" w:rsidP="001B3B87">
            <w:pPr>
              <w:rPr>
                <w:color w:val="000000"/>
                <w:sz w:val="18"/>
                <w:szCs w:val="18"/>
                <w:lang w:eastAsia="de-DE"/>
              </w:rPr>
            </w:pPr>
            <w:r>
              <w:rPr>
                <w:color w:val="000000"/>
                <w:sz w:val="18"/>
                <w:szCs w:val="18"/>
                <w:lang w:eastAsia="de-DE"/>
              </w:rPr>
              <w:t>Various Iodine based formulations</w:t>
            </w:r>
          </w:p>
        </w:tc>
        <w:tc>
          <w:tcPr>
            <w:tcW w:w="467" w:type="pct"/>
          </w:tcPr>
          <w:p w14:paraId="38C8915F" w14:textId="77777777" w:rsidR="004C58F5" w:rsidRPr="00B825AC" w:rsidRDefault="004C58F5" w:rsidP="001B3B87">
            <w:pPr>
              <w:rPr>
                <w:i/>
                <w:color w:val="000000"/>
                <w:sz w:val="18"/>
                <w:szCs w:val="18"/>
                <w:lang w:eastAsia="de-DE"/>
              </w:rPr>
            </w:pPr>
            <w:r w:rsidRPr="00B825AC">
              <w:rPr>
                <w:i/>
                <w:color w:val="000000"/>
                <w:sz w:val="18"/>
                <w:szCs w:val="18"/>
                <w:lang w:eastAsia="de-DE"/>
              </w:rPr>
              <w:t>S.aureus</w:t>
            </w:r>
          </w:p>
          <w:p w14:paraId="017DB68B" w14:textId="77777777" w:rsidR="004C58F5" w:rsidRDefault="004C58F5" w:rsidP="001B3B87">
            <w:pPr>
              <w:rPr>
                <w:color w:val="000000"/>
                <w:sz w:val="18"/>
                <w:szCs w:val="18"/>
                <w:lang w:eastAsia="de-DE"/>
              </w:rPr>
            </w:pPr>
            <w:r w:rsidRPr="00B825AC">
              <w:rPr>
                <w:i/>
                <w:color w:val="000000"/>
                <w:sz w:val="18"/>
                <w:szCs w:val="18"/>
                <w:lang w:eastAsia="de-DE"/>
              </w:rPr>
              <w:t>S.agalactiae</w:t>
            </w:r>
          </w:p>
        </w:tc>
        <w:tc>
          <w:tcPr>
            <w:tcW w:w="549" w:type="pct"/>
          </w:tcPr>
          <w:p w14:paraId="4ED09B7B" w14:textId="77777777" w:rsidR="004C58F5" w:rsidRDefault="00B825AC" w:rsidP="001B3B87">
            <w:pPr>
              <w:rPr>
                <w:color w:val="000000"/>
                <w:sz w:val="18"/>
                <w:szCs w:val="18"/>
                <w:lang w:eastAsia="de-DE"/>
              </w:rPr>
            </w:pPr>
            <w:r>
              <w:rPr>
                <w:color w:val="000000"/>
                <w:sz w:val="18"/>
                <w:szCs w:val="18"/>
                <w:lang w:eastAsia="de-DE"/>
              </w:rPr>
              <w:t xml:space="preserve">NMC - </w:t>
            </w:r>
            <w:r w:rsidR="004C58F5" w:rsidRPr="004C58F5">
              <w:rPr>
                <w:color w:val="000000"/>
                <w:sz w:val="18"/>
                <w:szCs w:val="18"/>
                <w:lang w:eastAsia="de-DE"/>
              </w:rPr>
              <w:t>SUMMARY OF PEER-REVIEWED PUBLICATIONS ON EFFICACY</w:t>
            </w:r>
            <w:r w:rsidR="004C58F5" w:rsidRPr="004C58F5">
              <w:rPr>
                <w:color w:val="000000"/>
                <w:sz w:val="18"/>
                <w:szCs w:val="18"/>
                <w:lang w:eastAsia="de-DE"/>
              </w:rPr>
              <w:br/>
              <w:t>OF PREMILKING AND POSTMILKING TEAT</w:t>
            </w:r>
            <w:r w:rsidR="004C58F5" w:rsidRPr="004C58F5">
              <w:rPr>
                <w:color w:val="000000"/>
                <w:sz w:val="18"/>
                <w:szCs w:val="18"/>
                <w:lang w:eastAsia="de-DE"/>
              </w:rPr>
              <w:br/>
              <w:t>DISINFECTANTS PUBLISHED SINCE 1980</w:t>
            </w:r>
            <w:r>
              <w:rPr>
                <w:color w:val="000000"/>
                <w:sz w:val="18"/>
                <w:szCs w:val="18"/>
                <w:lang w:eastAsia="de-DE"/>
              </w:rPr>
              <w:t xml:space="preserve"> (Updated January 2004)</w:t>
            </w:r>
          </w:p>
        </w:tc>
        <w:tc>
          <w:tcPr>
            <w:tcW w:w="1663" w:type="pct"/>
          </w:tcPr>
          <w:p w14:paraId="33E9A53D" w14:textId="77777777" w:rsidR="004C58F5" w:rsidRDefault="00B825AC" w:rsidP="001B3B87">
            <w:pPr>
              <w:rPr>
                <w:rFonts w:ascii="Bold" w:hAnsi="Bold"/>
                <w:color w:val="000000"/>
              </w:rPr>
            </w:pPr>
            <w:r>
              <w:rPr>
                <w:rFonts w:ascii="Bold" w:hAnsi="Bold"/>
                <w:color w:val="000000"/>
              </w:rPr>
              <w:t>Summary of peer-reviewed research on efficacy of iodine post</w:t>
            </w:r>
            <w:r w:rsidR="00F15139">
              <w:rPr>
                <w:rFonts w:ascii="Bold" w:hAnsi="Bold"/>
                <w:color w:val="000000"/>
              </w:rPr>
              <w:t>-</w:t>
            </w:r>
            <w:r>
              <w:rPr>
                <w:rFonts w:ascii="Bold" w:hAnsi="Bold"/>
                <w:color w:val="000000"/>
              </w:rPr>
              <w:t>milking teat disinfectants published since 1980</w:t>
            </w:r>
          </w:p>
          <w:p w14:paraId="2574D527" w14:textId="77777777" w:rsidR="00B825AC" w:rsidRDefault="00B825AC" w:rsidP="001B3B87">
            <w:pPr>
              <w:rPr>
                <w:rFonts w:ascii="Bold" w:hAnsi="Bold"/>
                <w:color w:val="000000"/>
              </w:rPr>
            </w:pPr>
            <w:r>
              <w:rPr>
                <w:noProof/>
                <w:lang w:val="fr-FR" w:eastAsia="fr-FR"/>
              </w:rPr>
              <w:drawing>
                <wp:inline distT="0" distB="0" distL="0" distR="0" wp14:anchorId="3B71B2C9" wp14:editId="13E4ACC1">
                  <wp:extent cx="3053751" cy="11700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61676" cy="1173111"/>
                          </a:xfrm>
                          <a:prstGeom prst="rect">
                            <a:avLst/>
                          </a:prstGeom>
                        </pic:spPr>
                      </pic:pic>
                    </a:graphicData>
                  </a:graphic>
                </wp:inline>
              </w:drawing>
            </w:r>
          </w:p>
          <w:p w14:paraId="0E21F14B" w14:textId="77777777" w:rsidR="00B825AC" w:rsidRDefault="00B825AC" w:rsidP="001B3B87">
            <w:pPr>
              <w:rPr>
                <w:rFonts w:ascii="Bold" w:hAnsi="Bold"/>
                <w:color w:val="000000"/>
              </w:rPr>
            </w:pPr>
          </w:p>
          <w:p w14:paraId="47327F98" w14:textId="77777777" w:rsidR="00B825AC" w:rsidRDefault="00B825AC" w:rsidP="001B3B87">
            <w:pPr>
              <w:rPr>
                <w:rFonts w:ascii="Bold" w:hAnsi="Bold"/>
                <w:color w:val="000000"/>
              </w:rPr>
            </w:pPr>
            <w:r>
              <w:rPr>
                <w:noProof/>
                <w:lang w:val="fr-FR" w:eastAsia="fr-FR"/>
              </w:rPr>
              <w:drawing>
                <wp:inline distT="0" distB="0" distL="0" distR="0" wp14:anchorId="46C41286" wp14:editId="6B07712C">
                  <wp:extent cx="3029375" cy="1440611"/>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31065" cy="1441414"/>
                          </a:xfrm>
                          <a:prstGeom prst="rect">
                            <a:avLst/>
                          </a:prstGeom>
                        </pic:spPr>
                      </pic:pic>
                    </a:graphicData>
                  </a:graphic>
                </wp:inline>
              </w:drawing>
            </w:r>
          </w:p>
          <w:p w14:paraId="7755D0A5" w14:textId="77777777" w:rsidR="00B825AC" w:rsidRDefault="00B825AC" w:rsidP="001B3B87">
            <w:pPr>
              <w:rPr>
                <w:color w:val="000000"/>
                <w:sz w:val="18"/>
                <w:szCs w:val="18"/>
                <w:lang w:eastAsia="de-DE"/>
              </w:rPr>
            </w:pPr>
          </w:p>
        </w:tc>
        <w:tc>
          <w:tcPr>
            <w:tcW w:w="552" w:type="pct"/>
          </w:tcPr>
          <w:p w14:paraId="32322F65" w14:textId="77777777" w:rsidR="004C58F5" w:rsidRDefault="00B825AC" w:rsidP="001B3B87">
            <w:pPr>
              <w:rPr>
                <w:color w:val="000000"/>
                <w:sz w:val="18"/>
                <w:szCs w:val="18"/>
                <w:lang w:eastAsia="de-DE"/>
              </w:rPr>
            </w:pPr>
            <w:r>
              <w:rPr>
                <w:color w:val="000000"/>
                <w:sz w:val="18"/>
                <w:szCs w:val="18"/>
                <w:lang w:eastAsia="de-DE"/>
              </w:rPr>
              <w:t xml:space="preserve">According to NMC protocol, </w:t>
            </w:r>
            <w:r w:rsidRPr="00B825AC">
              <w:rPr>
                <w:color w:val="000000"/>
                <w:sz w:val="18"/>
                <w:szCs w:val="18"/>
                <w:lang w:eastAsia="de-DE"/>
              </w:rPr>
              <w:t xml:space="preserve">The results expressed as a reduction </w:t>
            </w:r>
            <w:r w:rsidR="002419FE">
              <w:rPr>
                <w:color w:val="000000"/>
                <w:sz w:val="18"/>
                <w:szCs w:val="18"/>
                <w:lang w:eastAsia="de-DE"/>
              </w:rPr>
              <w:t xml:space="preserve">of infection </w:t>
            </w:r>
            <w:r w:rsidRPr="00B825AC">
              <w:rPr>
                <w:color w:val="000000"/>
                <w:sz w:val="18"/>
                <w:szCs w:val="18"/>
                <w:lang w:eastAsia="de-DE"/>
              </w:rPr>
              <w:t>probability, show</w:t>
            </w:r>
            <w:r w:rsidR="00604760">
              <w:rPr>
                <w:color w:val="000000"/>
                <w:sz w:val="18"/>
                <w:szCs w:val="18"/>
                <w:lang w:eastAsia="de-DE"/>
              </w:rPr>
              <w:t>ed</w:t>
            </w:r>
            <w:r w:rsidRPr="00B825AC">
              <w:rPr>
                <w:color w:val="000000"/>
                <w:sz w:val="18"/>
                <w:szCs w:val="18"/>
                <w:lang w:eastAsia="de-DE"/>
              </w:rPr>
              <w:t xml:space="preserve"> that a large variety of formulations within 0.05-1% iodine were significantly efficient against the main cow mastitis pathogens</w:t>
            </w:r>
          </w:p>
        </w:tc>
        <w:tc>
          <w:tcPr>
            <w:tcW w:w="429" w:type="pct"/>
          </w:tcPr>
          <w:p w14:paraId="4A510D6F" w14:textId="77777777" w:rsidR="00B825AC" w:rsidRDefault="005E1E28" w:rsidP="001B3B87">
            <w:pPr>
              <w:rPr>
                <w:rFonts w:cs="Arial"/>
                <w:color w:val="333333"/>
                <w:sz w:val="18"/>
                <w:szCs w:val="18"/>
              </w:rPr>
            </w:pPr>
            <w:hyperlink r:id="rId22" w:history="1">
              <w:r w:rsidR="007A17A1" w:rsidRPr="007A17A1">
                <w:rPr>
                  <w:rStyle w:val="Lienhypertexte"/>
                  <w:rFonts w:cs="Arial"/>
                  <w:sz w:val="18"/>
                  <w:szCs w:val="18"/>
                </w:rPr>
                <w:t>http://www.cfsph.iastate.edu/Infection_Control/</w:t>
              </w:r>
              <w:r w:rsidR="007A17A1" w:rsidRPr="00126CDB">
                <w:rPr>
                  <w:rStyle w:val="Lienhypertexte"/>
                  <w:rFonts w:cs="Arial"/>
                  <w:sz w:val="18"/>
                  <w:szCs w:val="18"/>
                </w:rPr>
                <w:t>Species/Teatbibliography.pdf</w:t>
              </w:r>
            </w:hyperlink>
          </w:p>
          <w:p w14:paraId="227D29B4" w14:textId="77777777" w:rsidR="007A17A1" w:rsidRDefault="007A17A1" w:rsidP="007A17A1">
            <w:pPr>
              <w:rPr>
                <w:color w:val="000000"/>
                <w:sz w:val="18"/>
                <w:szCs w:val="18"/>
                <w:lang w:eastAsia="de-DE"/>
              </w:rPr>
            </w:pPr>
            <w:r>
              <w:rPr>
                <w:color w:val="000000"/>
                <w:sz w:val="18"/>
                <w:szCs w:val="18"/>
                <w:lang w:eastAsia="de-DE"/>
              </w:rPr>
              <w:t>R.I: 2</w:t>
            </w:r>
          </w:p>
          <w:p w14:paraId="36B591B8" w14:textId="77777777" w:rsidR="007A17A1" w:rsidRPr="00B825AC" w:rsidRDefault="007A17A1" w:rsidP="001B3B87">
            <w:pPr>
              <w:rPr>
                <w:rFonts w:cs="Arial"/>
                <w:color w:val="333333"/>
                <w:sz w:val="18"/>
                <w:szCs w:val="18"/>
              </w:rPr>
            </w:pPr>
          </w:p>
        </w:tc>
      </w:tr>
    </w:tbl>
    <w:p w14:paraId="252A2666" w14:textId="77777777" w:rsidR="002A0438" w:rsidRDefault="002A0438">
      <w:pPr>
        <w:spacing w:line="260" w:lineRule="atLeast"/>
        <w:rPr>
          <w:rFonts w:ascii="Times New Roman" w:eastAsia="Calibri" w:hAnsi="Times New Roman" w:cs="Times New Roman"/>
          <w:i/>
          <w:iCs/>
          <w:lang w:eastAsia="en-US"/>
        </w:rPr>
        <w:sectPr w:rsidR="002A0438" w:rsidSect="00170391">
          <w:pgSz w:w="16838" w:h="11906" w:orient="landscape"/>
          <w:pgMar w:top="1446" w:right="1474" w:bottom="1247" w:left="2013" w:header="850" w:footer="850" w:gutter="0"/>
          <w:cols w:space="720"/>
          <w:docGrid w:linePitch="272"/>
        </w:sectPr>
      </w:pPr>
    </w:p>
    <w:p w14:paraId="5D0FE49B" w14:textId="77777777" w:rsidR="001B3B87" w:rsidRDefault="001B3B87" w:rsidP="001B3B87">
      <w:pPr>
        <w:pStyle w:val="Paragraphedeliste"/>
        <w:numPr>
          <w:ilvl w:val="0"/>
          <w:numId w:val="11"/>
        </w:numPr>
        <w:suppressAutoHyphens w:val="0"/>
        <w:spacing w:line="260" w:lineRule="atLeast"/>
        <w:contextualSpacing/>
        <w:jc w:val="both"/>
        <w:rPr>
          <w:rFonts w:cs="Arial"/>
          <w:b/>
          <w:iCs/>
          <w:u w:val="single"/>
          <w:lang w:eastAsia="en-US"/>
        </w:rPr>
      </w:pPr>
      <w:r w:rsidRPr="00905505">
        <w:rPr>
          <w:rFonts w:cs="Arial"/>
          <w:b/>
          <w:iCs/>
          <w:u w:val="single"/>
          <w:lang w:eastAsia="en-US"/>
        </w:rPr>
        <w:lastRenderedPageBreak/>
        <w:t>Results of laboratory tests</w:t>
      </w:r>
      <w:r>
        <w:rPr>
          <w:rFonts w:cs="Arial"/>
          <w:b/>
          <w:iCs/>
          <w:u w:val="single"/>
          <w:lang w:eastAsia="en-US"/>
        </w:rPr>
        <w:t xml:space="preserve"> (EN 1656 and EN 1657)</w:t>
      </w:r>
      <w:r w:rsidRPr="00905505">
        <w:rPr>
          <w:rFonts w:cs="Arial"/>
          <w:b/>
          <w:iCs/>
          <w:u w:val="single"/>
          <w:lang w:eastAsia="en-US"/>
        </w:rPr>
        <w:t xml:space="preserve">: </w:t>
      </w:r>
    </w:p>
    <w:p w14:paraId="45C1E813" w14:textId="77777777" w:rsidR="001B3B87" w:rsidRPr="00905505" w:rsidRDefault="001B3B87" w:rsidP="001B3B87">
      <w:pPr>
        <w:pStyle w:val="Paragraphedeliste"/>
        <w:jc w:val="both"/>
        <w:rPr>
          <w:rFonts w:cs="Arial"/>
          <w:b/>
          <w:iCs/>
          <w:u w:val="single"/>
          <w:lang w:eastAsia="en-US"/>
        </w:rPr>
      </w:pPr>
    </w:p>
    <w:p w14:paraId="3AF0EB9B" w14:textId="77777777" w:rsidR="001B3B87" w:rsidRPr="00905505" w:rsidRDefault="001B3B87" w:rsidP="001B3B87">
      <w:pPr>
        <w:pStyle w:val="Paragraphedeliste"/>
        <w:numPr>
          <w:ilvl w:val="0"/>
          <w:numId w:val="10"/>
        </w:numPr>
        <w:suppressAutoHyphens w:val="0"/>
        <w:spacing w:line="260" w:lineRule="atLeast"/>
        <w:contextualSpacing/>
        <w:jc w:val="both"/>
        <w:rPr>
          <w:rFonts w:cs="Arial"/>
          <w:iCs/>
          <w:lang w:eastAsia="en-US"/>
        </w:rPr>
      </w:pPr>
      <w:r w:rsidRPr="00905505">
        <w:rPr>
          <w:rFonts w:cs="Arial"/>
          <w:iCs/>
          <w:lang w:eastAsia="en-US"/>
        </w:rPr>
        <w:t>Phase 2</w:t>
      </w:r>
      <w:r>
        <w:rPr>
          <w:rFonts w:cs="Arial"/>
          <w:iCs/>
          <w:lang w:eastAsia="en-US"/>
        </w:rPr>
        <w:t>,</w:t>
      </w:r>
      <w:r w:rsidRPr="00905505">
        <w:rPr>
          <w:rFonts w:cs="Arial"/>
          <w:iCs/>
          <w:lang w:eastAsia="en-US"/>
        </w:rPr>
        <w:t xml:space="preserve"> step 1 tests have been performed for bactericidal activity (EN 1656) and yeasticidal activity (EN 1657), according to the requirements of the norms for teat disinfection, at 30°C with a contact time of 5 minutes, showing the efficacy of the product IODIGUARD </w:t>
      </w:r>
      <w:r>
        <w:rPr>
          <w:rFonts w:cs="Arial"/>
          <w:iCs/>
          <w:lang w:eastAsia="en-US"/>
        </w:rPr>
        <w:t>applied as a ready to use</w:t>
      </w:r>
      <w:r w:rsidRPr="00905505">
        <w:rPr>
          <w:rFonts w:cs="Arial"/>
          <w:iCs/>
          <w:lang w:eastAsia="en-US"/>
        </w:rPr>
        <w:t>.</w:t>
      </w:r>
    </w:p>
    <w:p w14:paraId="478B76D2" w14:textId="77777777" w:rsidR="001B3B87" w:rsidRPr="00282FA0" w:rsidRDefault="001B3B87" w:rsidP="001B3B87">
      <w:pPr>
        <w:jc w:val="both"/>
        <w:rPr>
          <w:rFonts w:cs="Arial"/>
          <w:iCs/>
          <w:lang w:eastAsia="en-US"/>
        </w:rPr>
      </w:pPr>
    </w:p>
    <w:p w14:paraId="4C5A2424" w14:textId="77777777" w:rsidR="001B3B87" w:rsidRPr="00905505" w:rsidRDefault="001B3B87" w:rsidP="001B3B87">
      <w:pPr>
        <w:pStyle w:val="Paragraphedeliste"/>
        <w:numPr>
          <w:ilvl w:val="0"/>
          <w:numId w:val="10"/>
        </w:numPr>
        <w:suppressAutoHyphens w:val="0"/>
        <w:spacing w:line="260" w:lineRule="atLeast"/>
        <w:contextualSpacing/>
        <w:jc w:val="both"/>
      </w:pPr>
      <w:r w:rsidRPr="00905505">
        <w:t xml:space="preserve">Moreover, regarding the loss in iodine after the accelerated storage stability test (-46% of total iodine after storage at 40 °C during 8 weeks) and long term storage (-34% of total iodine after 12 months at ambient temperature), a test according to EN 1656 </w:t>
      </w:r>
      <w:r>
        <w:t xml:space="preserve">standard </w:t>
      </w:r>
      <w:r w:rsidRPr="00905505">
        <w:t>has been performed in order to demonstrate that even with a los</w:t>
      </w:r>
      <w:r>
        <w:t>s</w:t>
      </w:r>
      <w:r w:rsidRPr="00905505">
        <w:t xml:space="preserve"> of half iodine content (750 </w:t>
      </w:r>
      <w:r w:rsidR="007C448F">
        <w:t>mg/L</w:t>
      </w:r>
      <w:r w:rsidR="007C448F" w:rsidRPr="00905505">
        <w:t xml:space="preserve"> </w:t>
      </w:r>
      <w:r w:rsidRPr="00905505">
        <w:t xml:space="preserve">instead of 1500 </w:t>
      </w:r>
      <w:r w:rsidR="007C448F">
        <w:t>mg/L</w:t>
      </w:r>
      <w:r w:rsidR="007C448F" w:rsidRPr="00905505">
        <w:t xml:space="preserve"> </w:t>
      </w:r>
      <w:r w:rsidRPr="00905505">
        <w:rPr>
          <w:bCs/>
        </w:rPr>
        <w:t>of free iodine</w:t>
      </w:r>
      <w:r w:rsidRPr="00905505">
        <w:t>), the product IODIGUARD remains efficient, at 30°C with a contact time of 5 minutes.</w:t>
      </w:r>
    </w:p>
    <w:p w14:paraId="3929485A" w14:textId="77777777" w:rsidR="001B3B87" w:rsidRDefault="001B3B87" w:rsidP="001B3B87">
      <w:pPr>
        <w:rPr>
          <w:lang w:eastAsia="en-US"/>
        </w:rPr>
      </w:pPr>
    </w:p>
    <w:p w14:paraId="7FC98546" w14:textId="77777777" w:rsidR="001B3B87" w:rsidRDefault="001B3B87" w:rsidP="001B3B87">
      <w:pPr>
        <w:pStyle w:val="Paragraphedeliste"/>
        <w:numPr>
          <w:ilvl w:val="0"/>
          <w:numId w:val="11"/>
        </w:numPr>
        <w:suppressAutoHyphens w:val="0"/>
        <w:spacing w:line="260" w:lineRule="atLeast"/>
        <w:contextualSpacing/>
        <w:jc w:val="both"/>
        <w:rPr>
          <w:rFonts w:cs="Arial"/>
          <w:b/>
          <w:iCs/>
          <w:u w:val="single"/>
          <w:lang w:eastAsia="en-US"/>
        </w:rPr>
      </w:pPr>
      <w:r>
        <w:rPr>
          <w:rFonts w:cs="Arial"/>
          <w:b/>
          <w:iCs/>
          <w:u w:val="single"/>
          <w:lang w:eastAsia="en-US"/>
        </w:rPr>
        <w:t>Test design and r</w:t>
      </w:r>
      <w:r w:rsidRPr="00905505">
        <w:rPr>
          <w:rFonts w:cs="Arial"/>
          <w:b/>
          <w:iCs/>
          <w:u w:val="single"/>
          <w:lang w:eastAsia="en-US"/>
        </w:rPr>
        <w:t xml:space="preserve">esults of </w:t>
      </w:r>
      <w:r>
        <w:rPr>
          <w:rFonts w:cs="Arial"/>
          <w:b/>
          <w:iCs/>
          <w:u w:val="single"/>
          <w:lang w:eastAsia="en-US"/>
        </w:rPr>
        <w:t>field test</w:t>
      </w:r>
      <w:r w:rsidRPr="00905505">
        <w:rPr>
          <w:rFonts w:cs="Arial"/>
          <w:b/>
          <w:iCs/>
          <w:u w:val="single"/>
          <w:lang w:eastAsia="en-US"/>
        </w:rPr>
        <w:t xml:space="preserve">: </w:t>
      </w:r>
    </w:p>
    <w:p w14:paraId="710AD3CD" w14:textId="77777777" w:rsidR="001B3B87" w:rsidRDefault="001B3B87" w:rsidP="001B3B87">
      <w:pPr>
        <w:rPr>
          <w:lang w:eastAsia="en-US"/>
        </w:rPr>
      </w:pPr>
    </w:p>
    <w:p w14:paraId="476C459A" w14:textId="77777777" w:rsidR="001B3B87" w:rsidRPr="00341016" w:rsidRDefault="001B3B87" w:rsidP="001B3B87">
      <w:pPr>
        <w:jc w:val="both"/>
        <w:rPr>
          <w:lang w:eastAsia="en-US"/>
        </w:rPr>
      </w:pPr>
      <w:r w:rsidRPr="00341016">
        <w:rPr>
          <w:lang w:eastAsia="en-US"/>
        </w:rPr>
        <w:t>Several discussions took place in Efficacy WG</w:t>
      </w:r>
      <w:r>
        <w:rPr>
          <w:lang w:eastAsia="en-US"/>
        </w:rPr>
        <w:t xml:space="preserve"> in 2015 pointing out that phase 2 step 1 tests are insufficient to prove the efficacy of teat disinfectant. Then it was asked to the applicants to complete the efficacy demonstration with test</w:t>
      </w:r>
      <w:r w:rsidR="003F1AAE">
        <w:rPr>
          <w:lang w:eastAsia="en-US"/>
        </w:rPr>
        <w:t>s</w:t>
      </w:r>
      <w:r>
        <w:rPr>
          <w:lang w:eastAsia="en-US"/>
        </w:rPr>
        <w:t xml:space="preserve"> against bacteria simulating the conditions of use. In the frame of this dossier, a field test has been proposed by the applicant</w:t>
      </w:r>
      <w:r w:rsidR="005247EB">
        <w:rPr>
          <w:lang w:eastAsia="en-US"/>
        </w:rPr>
        <w:t xml:space="preserve"> and the protocol is described below</w:t>
      </w:r>
      <w:r>
        <w:rPr>
          <w:lang w:eastAsia="en-US"/>
        </w:rPr>
        <w:t>.</w:t>
      </w:r>
    </w:p>
    <w:p w14:paraId="1FB6EE9A" w14:textId="77777777" w:rsidR="001B3B87" w:rsidRDefault="001B3B87" w:rsidP="001B3B87">
      <w:pPr>
        <w:rPr>
          <w:u w:val="single"/>
          <w:lang w:eastAsia="en-US"/>
        </w:rPr>
      </w:pPr>
    </w:p>
    <w:p w14:paraId="47EC52A0" w14:textId="77777777" w:rsidR="001B3B87" w:rsidRPr="00775631" w:rsidRDefault="001B3B87" w:rsidP="001B3B87">
      <w:pPr>
        <w:rPr>
          <w:u w:val="single"/>
          <w:lang w:eastAsia="en-US"/>
        </w:rPr>
      </w:pPr>
      <w:r w:rsidRPr="00775631">
        <w:rPr>
          <w:u w:val="single"/>
          <w:lang w:eastAsia="en-US"/>
        </w:rPr>
        <w:t>Test design:</w:t>
      </w:r>
    </w:p>
    <w:p w14:paraId="502AA54E" w14:textId="77777777" w:rsidR="001B3B87" w:rsidRDefault="001B3B87" w:rsidP="001B3B87">
      <w:pPr>
        <w:jc w:val="both"/>
        <w:rPr>
          <w:rFonts w:cs="Arial"/>
          <w:iCs/>
          <w:lang w:eastAsia="en-US"/>
        </w:rPr>
      </w:pPr>
      <w:r w:rsidRPr="00282FA0">
        <w:rPr>
          <w:rFonts w:cs="Arial"/>
          <w:iCs/>
          <w:lang w:eastAsia="en-US"/>
        </w:rPr>
        <w:t xml:space="preserve">A field test according to the </w:t>
      </w:r>
      <w:r>
        <w:rPr>
          <w:rFonts w:cs="Arial"/>
          <w:iCs/>
          <w:lang w:eastAsia="en-US"/>
        </w:rPr>
        <w:t xml:space="preserve">modified </w:t>
      </w:r>
      <w:r w:rsidRPr="00282FA0">
        <w:rPr>
          <w:rFonts w:cs="Arial"/>
          <w:iCs/>
          <w:lang w:eastAsia="en-US"/>
        </w:rPr>
        <w:t>methodology of EN 1499</w:t>
      </w:r>
      <w:r>
        <w:rPr>
          <w:rFonts w:cs="Arial"/>
          <w:iCs/>
          <w:lang w:eastAsia="en-US"/>
        </w:rPr>
        <w:t xml:space="preserve"> standard</w:t>
      </w:r>
      <w:r w:rsidRPr="00282FA0">
        <w:rPr>
          <w:rFonts w:cs="Arial"/>
          <w:iCs/>
          <w:lang w:eastAsia="en-US"/>
        </w:rPr>
        <w:t xml:space="preserve"> (phase 2</w:t>
      </w:r>
      <w:r>
        <w:rPr>
          <w:rFonts w:cs="Arial"/>
          <w:iCs/>
          <w:lang w:eastAsia="en-US"/>
        </w:rPr>
        <w:t>,</w:t>
      </w:r>
      <w:r w:rsidRPr="00282FA0">
        <w:rPr>
          <w:rFonts w:cs="Arial"/>
          <w:iCs/>
          <w:lang w:eastAsia="en-US"/>
        </w:rPr>
        <w:t xml:space="preserve"> step 2 test) has been conducted in order to demonstrate in field conditions the efficacy of the product IODIGUARD</w:t>
      </w:r>
      <w:r>
        <w:rPr>
          <w:rFonts w:cs="Arial"/>
          <w:iCs/>
          <w:lang w:eastAsia="en-US"/>
        </w:rPr>
        <w:t xml:space="preserve">: the principle of this trial is to artificially contaminate the teats of cows with bacteria (K12 strain of </w:t>
      </w:r>
      <w:r w:rsidRPr="00960350">
        <w:rPr>
          <w:rFonts w:cs="Arial"/>
          <w:i/>
          <w:iCs/>
          <w:lang w:eastAsia="en-US"/>
        </w:rPr>
        <w:t>E.coli</w:t>
      </w:r>
      <w:r>
        <w:rPr>
          <w:rFonts w:cs="Arial"/>
          <w:iCs/>
          <w:lang w:eastAsia="en-US"/>
        </w:rPr>
        <w:t>). The number of test organisms released from teats into sampling fluids is assessed before and after the teat disinfection. The ratio of the two resulting values represents a measure for the antimicrobial activity of the product tested. The necessary precision is achieved by repeating the tests on 8 cows.</w:t>
      </w:r>
    </w:p>
    <w:p w14:paraId="0F1491BB" w14:textId="77777777" w:rsidR="001B3B87" w:rsidRDefault="001B3B87" w:rsidP="001B3B87">
      <w:pPr>
        <w:jc w:val="both"/>
        <w:rPr>
          <w:rFonts w:cs="Arial"/>
          <w:iCs/>
          <w:lang w:eastAsia="en-US"/>
        </w:rPr>
      </w:pPr>
      <w:r>
        <w:rPr>
          <w:rFonts w:cs="Arial"/>
          <w:iCs/>
          <w:lang w:eastAsia="en-US"/>
        </w:rPr>
        <w:t xml:space="preserve">No reference hygienic handwash product has been tested following the principles of EN 1499 standard but a formulation without active substance was applied on the same cows (2 others udders), on the same day and under comparable environmental conditions. </w:t>
      </w:r>
      <w:r w:rsidR="00EB440D">
        <w:rPr>
          <w:rFonts w:cs="Arial"/>
          <w:iCs/>
          <w:lang w:eastAsia="en-US"/>
        </w:rPr>
        <w:t>Indeed</w:t>
      </w:r>
      <w:r w:rsidR="007C448F">
        <w:rPr>
          <w:rFonts w:cs="Arial"/>
          <w:iCs/>
          <w:lang w:eastAsia="en-US"/>
        </w:rPr>
        <w:t>,</w:t>
      </w:r>
      <w:r>
        <w:rPr>
          <w:rFonts w:cs="Arial"/>
          <w:iCs/>
          <w:lang w:eastAsia="en-US"/>
        </w:rPr>
        <w:t xml:space="preserve"> the application conditions of </w:t>
      </w:r>
      <w:r w:rsidR="007C448F">
        <w:rPr>
          <w:rFonts w:cs="Arial"/>
          <w:iCs/>
          <w:lang w:eastAsia="en-US"/>
        </w:rPr>
        <w:t xml:space="preserve">a reference </w:t>
      </w:r>
      <w:r>
        <w:rPr>
          <w:rFonts w:cs="Arial"/>
          <w:iCs/>
          <w:lang w:eastAsia="en-US"/>
        </w:rPr>
        <w:t xml:space="preserve">soap would be different (less quantity of water for rinsing, problem of dripping and no film-forming effect) and the formulation without iodine </w:t>
      </w:r>
      <w:r w:rsidR="00604760">
        <w:rPr>
          <w:rFonts w:cs="Arial"/>
          <w:iCs/>
          <w:lang w:eastAsia="en-US"/>
        </w:rPr>
        <w:t xml:space="preserve">will </w:t>
      </w:r>
      <w:r>
        <w:rPr>
          <w:rFonts w:cs="Arial"/>
          <w:iCs/>
          <w:lang w:eastAsia="en-US"/>
        </w:rPr>
        <w:t xml:space="preserve">allow to compensate extraneous influences if need be. </w:t>
      </w:r>
      <w:r w:rsidR="00EB440D">
        <w:rPr>
          <w:rFonts w:cs="Arial"/>
          <w:iCs/>
          <w:lang w:eastAsia="en-US"/>
        </w:rPr>
        <w:t xml:space="preserve">The </w:t>
      </w:r>
      <w:r>
        <w:rPr>
          <w:rFonts w:cs="Arial"/>
          <w:iCs/>
          <w:lang w:eastAsia="en-US"/>
        </w:rPr>
        <w:t xml:space="preserve">efficacy of the product IODIGUARD should be </w:t>
      </w:r>
      <w:r w:rsidR="005247EB">
        <w:rPr>
          <w:rFonts w:cs="Arial"/>
          <w:iCs/>
          <w:lang w:eastAsia="en-US"/>
        </w:rPr>
        <w:t>evaluated</w:t>
      </w:r>
      <w:r w:rsidR="007C448F">
        <w:rPr>
          <w:rFonts w:cs="Arial"/>
          <w:iCs/>
          <w:lang w:eastAsia="en-US"/>
        </w:rPr>
        <w:t xml:space="preserve"> </w:t>
      </w:r>
      <w:r>
        <w:rPr>
          <w:rFonts w:cs="Arial"/>
          <w:iCs/>
          <w:lang w:eastAsia="en-US"/>
        </w:rPr>
        <w:t>with a statistical comparison of the number of test organisms released from teats into sampling fluids assessed before and after the teat disinfection.</w:t>
      </w:r>
    </w:p>
    <w:p w14:paraId="23277818" w14:textId="77777777" w:rsidR="001B3B87" w:rsidRDefault="001B3B87" w:rsidP="001B3B87">
      <w:pPr>
        <w:jc w:val="both"/>
        <w:rPr>
          <w:rFonts w:cs="Arial"/>
          <w:iCs/>
          <w:lang w:eastAsia="en-US"/>
        </w:rPr>
      </w:pPr>
    </w:p>
    <w:p w14:paraId="3C36FD4C" w14:textId="77777777" w:rsidR="001B3B87" w:rsidRDefault="001B3B87" w:rsidP="001B3B87">
      <w:pPr>
        <w:jc w:val="both"/>
        <w:rPr>
          <w:rFonts w:cs="Arial"/>
          <w:iCs/>
          <w:lang w:eastAsia="en-US"/>
        </w:rPr>
      </w:pPr>
      <w:r>
        <w:rPr>
          <w:rFonts w:cs="Arial"/>
          <w:iCs/>
          <w:lang w:eastAsia="en-US"/>
        </w:rPr>
        <w:t>The test procedure was conducted with the following steps:</w:t>
      </w:r>
    </w:p>
    <w:p w14:paraId="24A01884" w14:textId="77777777" w:rsidR="001B3B87" w:rsidRDefault="001B3B87" w:rsidP="001B3B87">
      <w:pPr>
        <w:pStyle w:val="Paragraphedeliste"/>
        <w:numPr>
          <w:ilvl w:val="0"/>
          <w:numId w:val="13"/>
        </w:numPr>
        <w:suppressAutoHyphens w:val="0"/>
        <w:spacing w:line="260" w:lineRule="atLeast"/>
        <w:contextualSpacing/>
        <w:jc w:val="both"/>
        <w:rPr>
          <w:rFonts w:cs="Arial"/>
          <w:iCs/>
          <w:lang w:eastAsia="en-US"/>
        </w:rPr>
      </w:pPr>
      <w:r>
        <w:rPr>
          <w:rFonts w:cs="Arial"/>
          <w:iCs/>
          <w:lang w:eastAsia="en-US"/>
        </w:rPr>
        <w:t>After milking, the 4 teats of a cow are washed with running tap water with a soap, then rinsed and dried;</w:t>
      </w:r>
    </w:p>
    <w:p w14:paraId="2CD93381" w14:textId="77777777" w:rsidR="001B3B87" w:rsidRDefault="001B3B87" w:rsidP="001B3B87">
      <w:pPr>
        <w:pStyle w:val="Paragraphedeliste"/>
        <w:numPr>
          <w:ilvl w:val="0"/>
          <w:numId w:val="13"/>
        </w:numPr>
        <w:suppressAutoHyphens w:val="0"/>
        <w:spacing w:line="260" w:lineRule="atLeast"/>
        <w:contextualSpacing/>
        <w:jc w:val="both"/>
        <w:rPr>
          <w:rFonts w:cs="Arial"/>
          <w:iCs/>
          <w:lang w:eastAsia="en-US"/>
        </w:rPr>
      </w:pPr>
      <w:r>
        <w:rPr>
          <w:rFonts w:cs="Arial"/>
          <w:iCs/>
          <w:lang w:eastAsia="en-US"/>
        </w:rPr>
        <w:t xml:space="preserve">The 4 teats are immersed in the contamination fluid (K12 strain of </w:t>
      </w:r>
      <w:r w:rsidRPr="00423A8B">
        <w:rPr>
          <w:rFonts w:cs="Arial"/>
          <w:i/>
          <w:iCs/>
          <w:lang w:eastAsia="en-US"/>
        </w:rPr>
        <w:t>E.coli</w:t>
      </w:r>
      <w:r>
        <w:rPr>
          <w:rFonts w:cs="Arial"/>
          <w:iCs/>
          <w:lang w:eastAsia="en-US"/>
        </w:rPr>
        <w:t>) and dried in the air;</w:t>
      </w:r>
    </w:p>
    <w:p w14:paraId="2399B481" w14:textId="77777777" w:rsidR="001B3B87" w:rsidRDefault="001B3B87" w:rsidP="001B3B87">
      <w:pPr>
        <w:pStyle w:val="Paragraphedeliste"/>
        <w:numPr>
          <w:ilvl w:val="0"/>
          <w:numId w:val="13"/>
        </w:numPr>
        <w:suppressAutoHyphens w:val="0"/>
        <w:spacing w:line="260" w:lineRule="atLeast"/>
        <w:contextualSpacing/>
        <w:jc w:val="both"/>
        <w:rPr>
          <w:rFonts w:cs="Arial"/>
          <w:iCs/>
          <w:lang w:eastAsia="en-US"/>
        </w:rPr>
      </w:pPr>
      <w:r>
        <w:rPr>
          <w:rFonts w:cs="Arial"/>
          <w:iCs/>
          <w:lang w:eastAsia="en-US"/>
        </w:rPr>
        <w:t>The 4 teats are dipped in TSB as sampling fluid in order to assess the release of test organisms before treatments of the cows</w:t>
      </w:r>
      <w:r w:rsidR="002864A9">
        <w:rPr>
          <w:rFonts w:cs="Arial"/>
          <w:iCs/>
          <w:lang w:eastAsia="en-US"/>
        </w:rPr>
        <w:t xml:space="preserve"> (initial content of micro-organisms, </w:t>
      </w:r>
      <w:r w:rsidR="00FA0E40">
        <w:rPr>
          <w:rFonts w:cs="Arial"/>
          <w:iCs/>
          <w:lang w:eastAsia="en-US"/>
        </w:rPr>
        <w:t xml:space="preserve">prevalues </w:t>
      </w:r>
      <w:r w:rsidR="002864A9">
        <w:rPr>
          <w:rFonts w:cs="Arial"/>
          <w:iCs/>
          <w:lang w:eastAsia="en-US"/>
        </w:rPr>
        <w:t>VI)</w:t>
      </w:r>
      <w:r>
        <w:rPr>
          <w:rFonts w:cs="Arial"/>
          <w:iCs/>
          <w:lang w:eastAsia="en-US"/>
        </w:rPr>
        <w:t xml:space="preserve"> (sampling of 4 </w:t>
      </w:r>
      <w:r>
        <w:rPr>
          <w:rFonts w:cs="Arial"/>
          <w:iCs/>
          <w:lang w:eastAsia="en-US"/>
        </w:rPr>
        <w:lastRenderedPageBreak/>
        <w:t>VI per cow, i.e 32 prevalues VI, i.e 16 VIR for the formulation without iodine and 16 VIP for the product);</w:t>
      </w:r>
    </w:p>
    <w:p w14:paraId="5AAE8E21" w14:textId="77777777" w:rsidR="001B3B87" w:rsidRDefault="001B3B87" w:rsidP="001B3B87">
      <w:pPr>
        <w:pStyle w:val="Paragraphedeliste"/>
        <w:numPr>
          <w:ilvl w:val="0"/>
          <w:numId w:val="13"/>
        </w:numPr>
        <w:suppressAutoHyphens w:val="0"/>
        <w:spacing w:line="260" w:lineRule="atLeast"/>
        <w:contextualSpacing/>
        <w:jc w:val="both"/>
        <w:rPr>
          <w:rFonts w:cs="Arial"/>
          <w:iCs/>
          <w:lang w:eastAsia="en-US"/>
        </w:rPr>
      </w:pPr>
      <w:r>
        <w:rPr>
          <w:rFonts w:cs="Arial"/>
          <w:iCs/>
          <w:lang w:eastAsia="en-US"/>
        </w:rPr>
        <w:t>Repeat the steps 1 and 2 (washing, rinsing, drying and immersion in the contamination fluid);</w:t>
      </w:r>
    </w:p>
    <w:p w14:paraId="758F7CF3" w14:textId="77777777" w:rsidR="001B3B87" w:rsidRDefault="001B3B87" w:rsidP="001B3B87">
      <w:pPr>
        <w:pStyle w:val="Paragraphedeliste"/>
        <w:numPr>
          <w:ilvl w:val="0"/>
          <w:numId w:val="13"/>
        </w:numPr>
        <w:suppressAutoHyphens w:val="0"/>
        <w:spacing w:line="260" w:lineRule="atLeast"/>
        <w:contextualSpacing/>
        <w:jc w:val="both"/>
        <w:rPr>
          <w:rFonts w:cs="Arial"/>
          <w:iCs/>
          <w:lang w:eastAsia="en-US"/>
        </w:rPr>
      </w:pPr>
      <w:r>
        <w:rPr>
          <w:rFonts w:cs="Arial"/>
          <w:iCs/>
          <w:lang w:eastAsia="en-US"/>
        </w:rPr>
        <w:t xml:space="preserve">2 teats are dipped into the product fluid and the 2 other teats in the formulation without active substance during several seconds </w:t>
      </w:r>
      <w:r w:rsidRPr="000F3338">
        <w:rPr>
          <w:rFonts w:cs="Arial"/>
          <w:iCs/>
          <w:lang w:eastAsia="en-US"/>
        </w:rPr>
        <w:t>to allow the formation of a droplet on the sphincter at the basis of the teat</w:t>
      </w:r>
      <w:r>
        <w:rPr>
          <w:rFonts w:cs="Arial"/>
          <w:iCs/>
          <w:lang w:eastAsia="en-US"/>
        </w:rPr>
        <w:t>. Contact time is 5 minutes, then rinsing with running tap water;</w:t>
      </w:r>
    </w:p>
    <w:p w14:paraId="1CB964E0" w14:textId="77777777" w:rsidR="001B3B87" w:rsidRDefault="001B3B87" w:rsidP="001B3B87">
      <w:pPr>
        <w:pStyle w:val="Paragraphedeliste"/>
        <w:numPr>
          <w:ilvl w:val="0"/>
          <w:numId w:val="13"/>
        </w:numPr>
        <w:suppressAutoHyphens w:val="0"/>
        <w:spacing w:line="260" w:lineRule="atLeast"/>
        <w:contextualSpacing/>
        <w:jc w:val="both"/>
        <w:rPr>
          <w:rFonts w:cs="Arial"/>
          <w:iCs/>
          <w:lang w:eastAsia="en-US"/>
        </w:rPr>
      </w:pPr>
      <w:r>
        <w:rPr>
          <w:rFonts w:cs="Arial"/>
          <w:iCs/>
          <w:lang w:eastAsia="en-US"/>
        </w:rPr>
        <w:t>The 4 teats are dipped in TSB + neutraliser as sampling fluid in order to assess the release of test organisms after treatments of the cows (sampling of 2 postvalues VFP per cow for the product and 2 postvalues VFR per cow for the formulation without active substance).</w:t>
      </w:r>
    </w:p>
    <w:p w14:paraId="0F5F9CC0" w14:textId="77777777" w:rsidR="001B3B87" w:rsidRDefault="001B3B87" w:rsidP="001B3B87">
      <w:pPr>
        <w:jc w:val="both"/>
        <w:rPr>
          <w:rFonts w:cs="Arial"/>
          <w:iCs/>
          <w:u w:val="single"/>
          <w:lang w:eastAsia="en-US"/>
        </w:rPr>
      </w:pPr>
    </w:p>
    <w:p w14:paraId="620D2E24" w14:textId="77777777" w:rsidR="001B3B87" w:rsidRPr="0011724E" w:rsidRDefault="001B3B87" w:rsidP="001B3B87">
      <w:pPr>
        <w:jc w:val="both"/>
        <w:rPr>
          <w:rFonts w:cs="Arial"/>
          <w:iCs/>
          <w:u w:val="single"/>
          <w:lang w:eastAsia="en-US"/>
        </w:rPr>
      </w:pPr>
      <w:r>
        <w:rPr>
          <w:rFonts w:cs="Arial"/>
          <w:iCs/>
          <w:u w:val="single"/>
          <w:lang w:eastAsia="en-US"/>
        </w:rPr>
        <w:t>Verification of the methodology – test validation</w:t>
      </w:r>
      <w:r w:rsidRPr="0011724E">
        <w:rPr>
          <w:rFonts w:cs="Arial"/>
          <w:iCs/>
          <w:u w:val="single"/>
          <w:lang w:eastAsia="en-US"/>
        </w:rPr>
        <w:t xml:space="preserve">: </w:t>
      </w:r>
    </w:p>
    <w:p w14:paraId="2EB0045B" w14:textId="77777777" w:rsidR="001B3B87" w:rsidRDefault="001B3B87" w:rsidP="001B3B87">
      <w:pPr>
        <w:jc w:val="both"/>
        <w:rPr>
          <w:rFonts w:cs="Arial"/>
          <w:iCs/>
          <w:lang w:eastAsia="en-US"/>
        </w:rPr>
      </w:pPr>
      <w:r>
        <w:rPr>
          <w:rFonts w:cs="Arial"/>
          <w:iCs/>
          <w:lang w:eastAsia="en-US"/>
        </w:rPr>
        <w:t>- The absence of effect from soap (control A) and neutraliser (control B) and</w:t>
      </w:r>
      <w:r w:rsidRPr="009D5A50">
        <w:rPr>
          <w:rFonts w:cs="Arial"/>
          <w:iCs/>
          <w:lang w:eastAsia="en-US"/>
        </w:rPr>
        <w:t xml:space="preserve"> </w:t>
      </w:r>
      <w:r>
        <w:rPr>
          <w:rFonts w:cs="Arial"/>
          <w:iCs/>
          <w:lang w:eastAsia="en-US"/>
        </w:rPr>
        <w:t>the validation of the method (control C), are validated according to acceptance basic limits of EN 1499 standard.</w:t>
      </w:r>
    </w:p>
    <w:p w14:paraId="31A3D267" w14:textId="77777777" w:rsidR="001B3B87" w:rsidRDefault="001B3B87" w:rsidP="001B3B87">
      <w:pPr>
        <w:jc w:val="both"/>
        <w:rPr>
          <w:rFonts w:cs="Arial"/>
          <w:iCs/>
          <w:lang w:eastAsia="en-US"/>
        </w:rPr>
      </w:pPr>
      <w:r>
        <w:rPr>
          <w:rFonts w:cs="Arial"/>
          <w:iCs/>
          <w:lang w:eastAsia="en-US"/>
        </w:rPr>
        <w:t>-</w:t>
      </w:r>
      <w:r w:rsidR="000F4EB4">
        <w:rPr>
          <w:rFonts w:cs="Arial"/>
          <w:iCs/>
          <w:lang w:eastAsia="en-US"/>
        </w:rPr>
        <w:t xml:space="preserve"> </w:t>
      </w:r>
      <w:r>
        <w:rPr>
          <w:rFonts w:cs="Arial"/>
          <w:iCs/>
          <w:lang w:eastAsia="en-US"/>
        </w:rPr>
        <w:t>Acceptance criteria for test results are those defined in EN 1499 standard.</w:t>
      </w:r>
    </w:p>
    <w:p w14:paraId="74CB8DDC" w14:textId="77777777" w:rsidR="001B3B87" w:rsidRDefault="001B3B87" w:rsidP="000F4EB4">
      <w:pPr>
        <w:pStyle w:val="Paragraphedeliste"/>
        <w:numPr>
          <w:ilvl w:val="0"/>
          <w:numId w:val="10"/>
        </w:numPr>
        <w:tabs>
          <w:tab w:val="clear" w:pos="786"/>
        </w:tabs>
        <w:ind w:left="142" w:hanging="142"/>
        <w:jc w:val="both"/>
        <w:rPr>
          <w:lang w:eastAsia="en-US"/>
        </w:rPr>
      </w:pPr>
      <w:r>
        <w:rPr>
          <w:lang w:eastAsia="en-US"/>
        </w:rPr>
        <w:t>The applicant submitted a Wilcoxon test comparing VFR values from formulation without iodine to VFP values from the tested product</w:t>
      </w:r>
      <w:r w:rsidR="000F4EB4">
        <w:rPr>
          <w:lang w:eastAsia="en-US"/>
        </w:rPr>
        <w:t>.</w:t>
      </w:r>
      <w:r>
        <w:rPr>
          <w:lang w:eastAsia="en-US"/>
        </w:rPr>
        <w:t xml:space="preserve"> </w:t>
      </w:r>
    </w:p>
    <w:p w14:paraId="400E25F6" w14:textId="77777777" w:rsidR="001B3B87" w:rsidRPr="000F4EB4" w:rsidRDefault="000F4EB4" w:rsidP="000F4EB4">
      <w:pPr>
        <w:pStyle w:val="Paragraphedeliste"/>
        <w:numPr>
          <w:ilvl w:val="0"/>
          <w:numId w:val="10"/>
        </w:numPr>
        <w:tabs>
          <w:tab w:val="clear" w:pos="786"/>
        </w:tabs>
        <w:ind w:left="142" w:hanging="142"/>
        <w:jc w:val="both"/>
        <w:rPr>
          <w:rFonts w:cs="Arial"/>
          <w:iCs/>
          <w:lang w:eastAsia="en-US"/>
        </w:rPr>
      </w:pPr>
      <w:r>
        <w:rPr>
          <w:lang w:eastAsia="en-US"/>
        </w:rPr>
        <w:t>Moreover</w:t>
      </w:r>
      <w:r w:rsidR="001B3B87">
        <w:rPr>
          <w:lang w:eastAsia="en-US"/>
        </w:rPr>
        <w:t xml:space="preserve">, </w:t>
      </w:r>
      <w:r w:rsidR="001B3B87" w:rsidRPr="000F4EB4">
        <w:rPr>
          <w:rFonts w:cs="Arial"/>
          <w:iCs/>
          <w:lang w:eastAsia="en-US"/>
        </w:rPr>
        <w:t>as no reference product is defined for teats disinfection, the number of test organisms released from teats into sampling fluids assessed before (values VIP) and after (values VFP) the teat disinfection shall be significantly different for the tested product. A mean log reduction should be also calculated to assess the effect of the product IODIGUARD.</w:t>
      </w:r>
    </w:p>
    <w:p w14:paraId="79D31DB7" w14:textId="77777777" w:rsidR="001B3B87" w:rsidRDefault="001B3B87" w:rsidP="001B3B87">
      <w:pPr>
        <w:ind w:left="360"/>
        <w:rPr>
          <w:lang w:eastAsia="en-US"/>
        </w:rPr>
      </w:pPr>
    </w:p>
    <w:p w14:paraId="3327DD08" w14:textId="77777777" w:rsidR="001B3B87" w:rsidRPr="0011724E" w:rsidRDefault="001B3B87" w:rsidP="001B3B87">
      <w:pPr>
        <w:rPr>
          <w:u w:val="single"/>
          <w:lang w:eastAsia="en-US"/>
        </w:rPr>
      </w:pPr>
      <w:r w:rsidRPr="0011724E">
        <w:rPr>
          <w:u w:val="single"/>
          <w:lang w:eastAsia="en-US"/>
        </w:rPr>
        <w:t>Results</w:t>
      </w:r>
      <w:r>
        <w:rPr>
          <w:u w:val="single"/>
          <w:lang w:eastAsia="en-US"/>
        </w:rPr>
        <w:t>:</w:t>
      </w:r>
    </w:p>
    <w:p w14:paraId="1B5756F2" w14:textId="77777777" w:rsidR="001B3B87" w:rsidRDefault="001B3B87" w:rsidP="001B3B87">
      <w:pPr>
        <w:pStyle w:val="Paragraphedeliste"/>
        <w:numPr>
          <w:ilvl w:val="0"/>
          <w:numId w:val="10"/>
        </w:numPr>
        <w:suppressAutoHyphens w:val="0"/>
        <w:spacing w:line="260" w:lineRule="atLeast"/>
        <w:contextualSpacing/>
        <w:jc w:val="both"/>
        <w:rPr>
          <w:lang w:eastAsia="en-US"/>
        </w:rPr>
      </w:pPr>
      <w:r w:rsidRPr="006157FA">
        <w:rPr>
          <w:lang w:eastAsia="en-US"/>
        </w:rPr>
        <w:t>Basic limits and acceptance criteria fulfilled the requirements of EN 1499 standard.</w:t>
      </w:r>
    </w:p>
    <w:p w14:paraId="00AF4FFE" w14:textId="77777777" w:rsidR="001B3B87" w:rsidRPr="006157FA" w:rsidRDefault="001B3B87" w:rsidP="001B3B87">
      <w:pPr>
        <w:pStyle w:val="Paragraphedeliste"/>
        <w:numPr>
          <w:ilvl w:val="0"/>
          <w:numId w:val="10"/>
        </w:numPr>
        <w:suppressAutoHyphens w:val="0"/>
        <w:spacing w:line="260" w:lineRule="atLeast"/>
        <w:contextualSpacing/>
        <w:jc w:val="both"/>
        <w:rPr>
          <w:lang w:eastAsia="en-US"/>
        </w:rPr>
      </w:pPr>
      <w:r>
        <w:rPr>
          <w:lang w:eastAsia="en-US"/>
        </w:rPr>
        <w:t>According to Wilcoxon test, the product IODIGUARD is significantly more efficient than the formulation without iodine.</w:t>
      </w:r>
    </w:p>
    <w:p w14:paraId="609C8116" w14:textId="77777777" w:rsidR="002F6B76" w:rsidRPr="002F6B76" w:rsidRDefault="001B3B87" w:rsidP="001B3B87">
      <w:pPr>
        <w:pStyle w:val="Paragraphedeliste"/>
        <w:numPr>
          <w:ilvl w:val="0"/>
          <w:numId w:val="10"/>
        </w:numPr>
        <w:suppressAutoHyphens w:val="0"/>
        <w:spacing w:line="260" w:lineRule="atLeast"/>
        <w:contextualSpacing/>
        <w:jc w:val="both"/>
        <w:rPr>
          <w:lang w:eastAsia="en-US"/>
        </w:rPr>
      </w:pPr>
      <w:r w:rsidRPr="005C4DD7">
        <w:rPr>
          <w:lang w:eastAsia="en-US"/>
        </w:rPr>
        <w:t xml:space="preserve">According to Wilcoxon test, </w:t>
      </w:r>
      <w:r>
        <w:rPr>
          <w:rFonts w:cs="Arial"/>
          <w:iCs/>
          <w:lang w:eastAsia="en-US"/>
        </w:rPr>
        <w:t xml:space="preserve">the number of test organisms released from teats into sampling fluids assessed before (prevalues VIP) and after (postvalues VFP) is significantly different for the tested product, and then the product IODIGUARD can be considered as active. </w:t>
      </w:r>
      <w:r w:rsidR="002F6B76">
        <w:rPr>
          <w:rFonts w:cs="Arial"/>
          <w:iCs/>
          <w:lang w:eastAsia="en-US"/>
        </w:rPr>
        <w:t>A</w:t>
      </w:r>
      <w:r>
        <w:rPr>
          <w:rFonts w:cs="Arial"/>
          <w:iCs/>
          <w:lang w:eastAsia="en-US"/>
        </w:rPr>
        <w:t xml:space="preserve"> mean log reduction of 1.73</w:t>
      </w:r>
      <w:r w:rsidRPr="005C4DD7">
        <w:rPr>
          <w:rFonts w:cs="Arial"/>
          <w:iCs/>
          <w:lang w:eastAsia="en-US"/>
        </w:rPr>
        <w:t>±0.83</w:t>
      </w:r>
      <w:r w:rsidR="002F6B76">
        <w:rPr>
          <w:rFonts w:cs="Arial"/>
          <w:iCs/>
          <w:lang w:eastAsia="en-US"/>
        </w:rPr>
        <w:t xml:space="preserve"> is obtained</w:t>
      </w:r>
      <w:r w:rsidR="00233FEE">
        <w:rPr>
          <w:rFonts w:cs="Arial"/>
          <w:iCs/>
          <w:lang w:eastAsia="en-US"/>
        </w:rPr>
        <w:t>.</w:t>
      </w:r>
    </w:p>
    <w:p w14:paraId="6F112393" w14:textId="77777777" w:rsidR="000F4EB4" w:rsidRDefault="000F4EB4" w:rsidP="002F6B76">
      <w:pPr>
        <w:pStyle w:val="Paragraphedeliste"/>
        <w:suppressAutoHyphens w:val="0"/>
        <w:spacing w:line="260" w:lineRule="atLeast"/>
        <w:ind w:left="786"/>
        <w:contextualSpacing/>
        <w:jc w:val="both"/>
        <w:rPr>
          <w:rFonts w:cs="Arial"/>
          <w:iCs/>
          <w:lang w:eastAsia="en-US"/>
        </w:rPr>
      </w:pPr>
    </w:p>
    <w:p w14:paraId="7F8EA9FF" w14:textId="77777777" w:rsidR="001B3B87" w:rsidRDefault="002F6B76" w:rsidP="0099781E">
      <w:pPr>
        <w:pStyle w:val="Paragraphedeliste"/>
        <w:suppressAutoHyphens w:val="0"/>
        <w:spacing w:line="260" w:lineRule="atLeast"/>
        <w:ind w:left="0"/>
        <w:contextualSpacing/>
        <w:jc w:val="both"/>
      </w:pPr>
      <w:r>
        <w:rPr>
          <w:rFonts w:cs="Arial"/>
          <w:iCs/>
          <w:lang w:eastAsia="en-US"/>
        </w:rPr>
        <w:t xml:space="preserve">Taking into account European discussions at WG III2017, in the frame of </w:t>
      </w:r>
      <w:r>
        <w:t>e</w:t>
      </w:r>
      <w:r w:rsidRPr="00D141C4">
        <w:t xml:space="preserve">arly WG discussion </w:t>
      </w:r>
      <w:r>
        <w:t xml:space="preserve">on </w:t>
      </w:r>
      <w:r w:rsidRPr="00D141C4">
        <w:t xml:space="preserve">Union authorisation applications based </w:t>
      </w:r>
      <w:r>
        <w:t>on</w:t>
      </w:r>
      <w:r w:rsidRPr="00D141C4">
        <w:t xml:space="preserve"> iodine/PVP-iodine</w:t>
      </w:r>
      <w:r>
        <w:t>, t</w:t>
      </w:r>
      <w:r w:rsidRPr="00A31DEB">
        <w:t>he EFF WG agreed that</w:t>
      </w:r>
      <w:r>
        <w:t xml:space="preserve"> </w:t>
      </w:r>
      <w:r w:rsidR="00536B1C">
        <w:t>results of this</w:t>
      </w:r>
      <w:r w:rsidR="000F4EB4">
        <w:t xml:space="preserve"> field study </w:t>
      </w:r>
      <w:r w:rsidR="00233FEE">
        <w:t>was</w:t>
      </w:r>
      <w:r>
        <w:t xml:space="preserve"> accepted</w:t>
      </w:r>
      <w:r w:rsidR="005247EB">
        <w:t xml:space="preserve"> as </w:t>
      </w:r>
      <w:r w:rsidR="00604760">
        <w:t>demonstrating</w:t>
      </w:r>
      <w:r w:rsidR="005247EB">
        <w:t xml:space="preserve"> the efficacy of the product IODIGUARD</w:t>
      </w:r>
      <w:r>
        <w:t xml:space="preserve">, but </w:t>
      </w:r>
      <w:r w:rsidR="000F4EB4">
        <w:t>j</w:t>
      </w:r>
      <w:r>
        <w:t xml:space="preserve">ustification </w:t>
      </w:r>
      <w:r w:rsidR="00233FEE">
        <w:t xml:space="preserve">should </w:t>
      </w:r>
      <w:r>
        <w:t xml:space="preserve">be </w:t>
      </w:r>
      <w:r w:rsidR="00233FEE">
        <w:t xml:space="preserve">added </w:t>
      </w:r>
      <w:r>
        <w:t>e.g. by referring to literature studies, experiences of products being on the market, or other appropriate information.</w:t>
      </w:r>
      <w:r w:rsidR="000F4EB4">
        <w:t xml:space="preserve"> This one is presented below:</w:t>
      </w:r>
    </w:p>
    <w:p w14:paraId="1F1C958C" w14:textId="77777777" w:rsidR="000F4EB4" w:rsidRDefault="000F4EB4" w:rsidP="002F6B76">
      <w:pPr>
        <w:pStyle w:val="Paragraphedeliste"/>
        <w:suppressAutoHyphens w:val="0"/>
        <w:spacing w:line="260" w:lineRule="atLeast"/>
        <w:ind w:left="786"/>
        <w:contextualSpacing/>
        <w:jc w:val="both"/>
        <w:rPr>
          <w:lang w:eastAsia="en-US"/>
        </w:rPr>
      </w:pPr>
    </w:p>
    <w:p w14:paraId="26A1E3B8" w14:textId="77777777" w:rsidR="000F4EB4" w:rsidRPr="005C4DD7" w:rsidRDefault="000F4EB4" w:rsidP="000F4EB4">
      <w:pPr>
        <w:pStyle w:val="Paragraphedeliste"/>
        <w:suppressAutoHyphens w:val="0"/>
        <w:spacing w:line="260" w:lineRule="atLeast"/>
        <w:ind w:left="0"/>
        <w:contextualSpacing/>
        <w:jc w:val="both"/>
        <w:rPr>
          <w:lang w:eastAsia="en-US"/>
        </w:rPr>
      </w:pPr>
      <w:r>
        <w:rPr>
          <w:lang w:eastAsia="en-US"/>
        </w:rPr>
        <w:t>Argumentation provided</w:t>
      </w:r>
      <w:r w:rsidR="00E75423">
        <w:rPr>
          <w:lang w:eastAsia="en-US"/>
        </w:rPr>
        <w:t>:</w:t>
      </w:r>
    </w:p>
    <w:p w14:paraId="2BA9C4BD" w14:textId="77777777" w:rsidR="001B3B87" w:rsidRPr="003F1AAE" w:rsidRDefault="003F1AAE" w:rsidP="001B3B87">
      <w:pPr>
        <w:jc w:val="both"/>
        <w:rPr>
          <w:rFonts w:cs="Arial"/>
          <w:iCs/>
          <w:lang w:eastAsia="en-US"/>
        </w:rPr>
      </w:pPr>
      <w:r w:rsidRPr="003F1AAE">
        <w:rPr>
          <w:rFonts w:cs="Arial"/>
          <w:iCs/>
          <w:lang w:eastAsia="en-US"/>
        </w:rPr>
        <w:t>After intensive bibliography researches including veterinary theses, commercial brochures, agricultural good practice documents, scientific articles and this in European but also non-European sources, no direct criterion could be found concerning a minimal in vivo bacterial count reduction applicable to field studies for post-milking teat antisepsis products.</w:t>
      </w:r>
    </w:p>
    <w:p w14:paraId="2AED57A9" w14:textId="77777777" w:rsidR="00536B1C" w:rsidRPr="003F1AAE" w:rsidRDefault="003F1AAE" w:rsidP="003F1AAE">
      <w:pPr>
        <w:suppressAutoHyphens w:val="0"/>
        <w:autoSpaceDE w:val="0"/>
        <w:autoSpaceDN w:val="0"/>
        <w:adjustRightInd w:val="0"/>
        <w:contextualSpacing/>
        <w:jc w:val="both"/>
        <w:rPr>
          <w:rFonts w:cs="Arial"/>
          <w:iCs/>
          <w:lang w:eastAsia="en-US"/>
        </w:rPr>
      </w:pPr>
      <w:r>
        <w:rPr>
          <w:rFonts w:cs="Arial"/>
          <w:iCs/>
          <w:lang w:val="en-US" w:eastAsia="en-US"/>
        </w:rPr>
        <w:lastRenderedPageBreak/>
        <w:t xml:space="preserve">Nevertheless, </w:t>
      </w:r>
      <w:r w:rsidR="00536B1C" w:rsidRPr="003F1AAE">
        <w:rPr>
          <w:rFonts w:cs="Arial"/>
          <w:iCs/>
          <w:lang w:eastAsia="en-US"/>
        </w:rPr>
        <w:t>Pankey et al, 1984</w:t>
      </w:r>
      <w:bookmarkStart w:id="63" w:name="_Ref494463966"/>
      <w:r w:rsidR="00536B1C" w:rsidRPr="003F1AAE">
        <w:rPr>
          <w:vertAlign w:val="superscript"/>
          <w:lang w:eastAsia="en-US"/>
        </w:rPr>
        <w:footnoteReference w:id="2"/>
      </w:r>
      <w:bookmarkEnd w:id="63"/>
      <w:r w:rsidR="00536B1C" w:rsidRPr="003F1AAE">
        <w:rPr>
          <w:rFonts w:cs="Arial"/>
          <w:iCs/>
          <w:lang w:eastAsia="en-US"/>
        </w:rPr>
        <w:t xml:space="preserve"> have summarized field efficacy data for iodophor products from a range of independent studies. The review indicates that “Post</w:t>
      </w:r>
      <w:r w:rsidR="00FE4752">
        <w:rPr>
          <w:rFonts w:cs="Arial"/>
          <w:iCs/>
          <w:lang w:eastAsia="en-US"/>
        </w:rPr>
        <w:t>-</w:t>
      </w:r>
      <w:r w:rsidR="00536B1C" w:rsidRPr="003F1AAE">
        <w:rPr>
          <w:rFonts w:cs="Arial"/>
          <w:iCs/>
          <w:lang w:eastAsia="en-US"/>
        </w:rPr>
        <w:t xml:space="preserve">milking teat antisepsis is regarded as the single most effective practice for prevention of </w:t>
      </w:r>
      <w:r w:rsidR="00A74749" w:rsidRPr="003F1AAE">
        <w:rPr>
          <w:rFonts w:cs="Calibri"/>
        </w:rPr>
        <w:t>intra</w:t>
      </w:r>
      <w:r w:rsidR="00EF343E">
        <w:rPr>
          <w:rFonts w:cs="Calibri"/>
        </w:rPr>
        <w:t>-</w:t>
      </w:r>
      <w:r w:rsidR="00A74749" w:rsidRPr="003F1AAE">
        <w:rPr>
          <w:rFonts w:cs="Calibri"/>
        </w:rPr>
        <w:t>mammary infections</w:t>
      </w:r>
      <w:r w:rsidR="00A74749" w:rsidRPr="003F1AAE">
        <w:rPr>
          <w:rFonts w:cs="Calibri"/>
          <w:b/>
        </w:rPr>
        <w:t xml:space="preserve"> </w:t>
      </w:r>
      <w:r w:rsidR="00A74749" w:rsidRPr="00E75423">
        <w:rPr>
          <w:rFonts w:cs="Calibri"/>
        </w:rPr>
        <w:t>(</w:t>
      </w:r>
      <w:r w:rsidR="00536B1C" w:rsidRPr="003F1AAE">
        <w:rPr>
          <w:rFonts w:cs="Arial"/>
          <w:iCs/>
          <w:lang w:eastAsia="en-US"/>
        </w:rPr>
        <w:t>IMI</w:t>
      </w:r>
      <w:r w:rsidR="00A74749" w:rsidRPr="003F1AAE">
        <w:rPr>
          <w:rFonts w:cs="Arial"/>
          <w:iCs/>
          <w:lang w:eastAsia="en-US"/>
        </w:rPr>
        <w:t>)</w:t>
      </w:r>
      <w:r w:rsidR="00536B1C" w:rsidRPr="003F1AAE">
        <w:rPr>
          <w:rFonts w:cs="Arial"/>
          <w:iCs/>
          <w:lang w:eastAsia="en-US"/>
        </w:rPr>
        <w:t xml:space="preserve"> of lactating dairy cows”. It also show</w:t>
      </w:r>
      <w:r>
        <w:rPr>
          <w:rFonts w:cs="Arial"/>
          <w:iCs/>
          <w:lang w:eastAsia="en-US"/>
        </w:rPr>
        <w:t>ed</w:t>
      </w:r>
      <w:r w:rsidR="00536B1C" w:rsidRPr="003F1AAE">
        <w:rPr>
          <w:rFonts w:cs="Arial"/>
          <w:iCs/>
          <w:lang w:eastAsia="en-US"/>
        </w:rPr>
        <w:t xml:space="preserve"> that, among 36 studies on formulations with 0.05-1% iodine:</w:t>
      </w:r>
    </w:p>
    <w:p w14:paraId="6E48AF6E" w14:textId="77777777" w:rsidR="00F82437" w:rsidRPr="00536B1C" w:rsidRDefault="00F82437" w:rsidP="003F1AAE">
      <w:pPr>
        <w:pStyle w:val="Paragraphedeliste"/>
        <w:numPr>
          <w:ilvl w:val="0"/>
          <w:numId w:val="23"/>
        </w:numPr>
        <w:suppressAutoHyphens w:val="0"/>
        <w:autoSpaceDE w:val="0"/>
        <w:autoSpaceDN w:val="0"/>
        <w:adjustRightInd w:val="0"/>
        <w:ind w:left="1134" w:hanging="425"/>
        <w:contextualSpacing/>
        <w:jc w:val="both"/>
        <w:rPr>
          <w:rFonts w:cs="Arial"/>
          <w:iCs/>
          <w:lang w:eastAsia="en-US"/>
        </w:rPr>
      </w:pPr>
      <w:r>
        <w:rPr>
          <w:rFonts w:cs="Arial"/>
          <w:iCs/>
          <w:lang w:eastAsia="en-US"/>
        </w:rPr>
        <w:t xml:space="preserve">Iodophor teat dips have provided effective control of new IMI by </w:t>
      </w:r>
      <w:r w:rsidRPr="003F1AAE">
        <w:rPr>
          <w:rFonts w:cs="Arial"/>
          <w:i/>
          <w:iCs/>
          <w:lang w:eastAsia="en-US"/>
        </w:rPr>
        <w:t>S.aureus</w:t>
      </w:r>
      <w:r>
        <w:rPr>
          <w:rFonts w:cs="Arial"/>
          <w:iCs/>
          <w:lang w:eastAsia="en-US"/>
        </w:rPr>
        <w:t xml:space="preserve"> and </w:t>
      </w:r>
      <w:r w:rsidRPr="003F1AAE">
        <w:rPr>
          <w:rFonts w:cs="Arial"/>
          <w:i/>
          <w:iCs/>
          <w:lang w:eastAsia="en-US"/>
        </w:rPr>
        <w:t>S.</w:t>
      </w:r>
      <w:r w:rsidR="004C58F5">
        <w:rPr>
          <w:rFonts w:cs="Arial"/>
          <w:i/>
          <w:iCs/>
          <w:lang w:eastAsia="en-US"/>
        </w:rPr>
        <w:t>a</w:t>
      </w:r>
      <w:r w:rsidRPr="003F1AAE">
        <w:rPr>
          <w:rFonts w:cs="Arial"/>
          <w:i/>
          <w:iCs/>
          <w:lang w:eastAsia="en-US"/>
        </w:rPr>
        <w:t>galactiae</w:t>
      </w:r>
      <w:r>
        <w:rPr>
          <w:rFonts w:cs="Arial"/>
          <w:iCs/>
          <w:lang w:eastAsia="en-US"/>
        </w:rPr>
        <w:t>, the most frequently isolated mastitis pathogens</w:t>
      </w:r>
    </w:p>
    <w:p w14:paraId="757F0246" w14:textId="77777777" w:rsidR="00536B1C" w:rsidRPr="003F1AAE" w:rsidRDefault="00536B1C" w:rsidP="00536B1C">
      <w:pPr>
        <w:pStyle w:val="Paragraphedeliste"/>
        <w:numPr>
          <w:ilvl w:val="0"/>
          <w:numId w:val="25"/>
        </w:numPr>
        <w:suppressAutoHyphens w:val="0"/>
        <w:autoSpaceDE w:val="0"/>
        <w:autoSpaceDN w:val="0"/>
        <w:adjustRightInd w:val="0"/>
        <w:contextualSpacing/>
        <w:jc w:val="both"/>
        <w:rPr>
          <w:rFonts w:cs="Calibri"/>
        </w:rPr>
      </w:pPr>
      <w:r w:rsidRPr="003F1AAE">
        <w:rPr>
          <w:rFonts w:cs="Calibri"/>
        </w:rPr>
        <w:t>One of these field studies was on a PVPI-based formulation at 0.35%</w:t>
      </w:r>
      <w:r w:rsidR="003F1AAE" w:rsidRPr="003F1AAE">
        <w:rPr>
          <w:rFonts w:cs="Calibri"/>
        </w:rPr>
        <w:t xml:space="preserve"> w/w</w:t>
      </w:r>
      <w:r w:rsidRPr="003F1AAE">
        <w:rPr>
          <w:rFonts w:cs="Calibri"/>
        </w:rPr>
        <w:t xml:space="preserve"> and was very efficient with percent reductions of 78 and 67%, for </w:t>
      </w:r>
      <w:r w:rsidRPr="003F1AAE">
        <w:rPr>
          <w:rFonts w:cs="Calibri"/>
          <w:i/>
        </w:rPr>
        <w:t>Staphylococcus</w:t>
      </w:r>
      <w:r w:rsidRPr="003F1AAE">
        <w:rPr>
          <w:rFonts w:cs="Calibri"/>
        </w:rPr>
        <w:t xml:space="preserve"> </w:t>
      </w:r>
      <w:r w:rsidRPr="00B825AC">
        <w:rPr>
          <w:rFonts w:cs="Calibri"/>
          <w:i/>
        </w:rPr>
        <w:t>aureus</w:t>
      </w:r>
      <w:r w:rsidRPr="00B825AC">
        <w:rPr>
          <w:rFonts w:cs="Calibri"/>
        </w:rPr>
        <w:t xml:space="preserve"> and </w:t>
      </w:r>
      <w:r w:rsidRPr="00B825AC">
        <w:rPr>
          <w:rFonts w:cs="Calibri"/>
          <w:i/>
        </w:rPr>
        <w:t>Streptococcus</w:t>
      </w:r>
      <w:r w:rsidRPr="00B825AC">
        <w:rPr>
          <w:rFonts w:cs="Calibri"/>
        </w:rPr>
        <w:t xml:space="preserve"> </w:t>
      </w:r>
      <w:r w:rsidRPr="00B825AC">
        <w:rPr>
          <w:rFonts w:cs="Calibri"/>
          <w:i/>
        </w:rPr>
        <w:t>agalactiae</w:t>
      </w:r>
      <w:r w:rsidRPr="00B825AC">
        <w:rPr>
          <w:rFonts w:cs="Calibri"/>
        </w:rPr>
        <w:t xml:space="preserve">, respectively. </w:t>
      </w:r>
      <w:r w:rsidRPr="003F1AAE">
        <w:rPr>
          <w:rFonts w:cs="Calibri"/>
        </w:rPr>
        <w:t>This formulation may be compared with Iodiguard, with 1.5</w:t>
      </w:r>
      <w:r w:rsidR="003F1AAE" w:rsidRPr="003F1AAE">
        <w:rPr>
          <w:rFonts w:cs="Calibri"/>
        </w:rPr>
        <w:t xml:space="preserve"> </w:t>
      </w:r>
      <w:r w:rsidRPr="003F1AAE">
        <w:rPr>
          <w:rFonts w:cs="Calibri"/>
        </w:rPr>
        <w:t xml:space="preserve">% </w:t>
      </w:r>
      <w:r w:rsidR="003F1AAE" w:rsidRPr="003F1AAE">
        <w:rPr>
          <w:rFonts w:cs="Calibri"/>
        </w:rPr>
        <w:t xml:space="preserve">w/w </w:t>
      </w:r>
      <w:r w:rsidRPr="003F1AAE">
        <w:rPr>
          <w:rFonts w:cs="Calibri"/>
        </w:rPr>
        <w:t>PVPI</w:t>
      </w:r>
      <w:r w:rsidR="00735969">
        <w:rPr>
          <w:rFonts w:cs="Calibri"/>
        </w:rPr>
        <w:t xml:space="preserve"> (i.e 0.13 % iodine)</w:t>
      </w:r>
      <w:r w:rsidRPr="003F1AAE">
        <w:rPr>
          <w:rFonts w:cs="Calibri"/>
        </w:rPr>
        <w:t>.</w:t>
      </w:r>
    </w:p>
    <w:p w14:paraId="24872640" w14:textId="77777777" w:rsidR="00536B1C" w:rsidRPr="003F1AAE" w:rsidRDefault="003A24B9" w:rsidP="00536B1C">
      <w:pPr>
        <w:pStyle w:val="Paragraphedeliste"/>
        <w:numPr>
          <w:ilvl w:val="0"/>
          <w:numId w:val="25"/>
        </w:numPr>
        <w:suppressAutoHyphens w:val="0"/>
        <w:autoSpaceDE w:val="0"/>
        <w:autoSpaceDN w:val="0"/>
        <w:adjustRightInd w:val="0"/>
        <w:contextualSpacing/>
        <w:jc w:val="both"/>
        <w:rPr>
          <w:rFonts w:cs="Calibri"/>
        </w:rPr>
      </w:pPr>
      <w:r>
        <w:rPr>
          <w:rFonts w:cs="Calibri"/>
        </w:rPr>
        <w:t>T</w:t>
      </w:r>
      <w:r w:rsidR="00536B1C" w:rsidRPr="00735969">
        <w:rPr>
          <w:rFonts w:cs="Calibri"/>
        </w:rPr>
        <w:t xml:space="preserve">hese results </w:t>
      </w:r>
      <w:r w:rsidR="00735969">
        <w:rPr>
          <w:rFonts w:cs="Calibri"/>
        </w:rPr>
        <w:t xml:space="preserve">(% reduction related to the PVPI concentration) </w:t>
      </w:r>
      <w:r w:rsidR="00536B1C" w:rsidRPr="00735969">
        <w:rPr>
          <w:rFonts w:cs="Calibri"/>
        </w:rPr>
        <w:t>do not show any specific trend between iodine concentration and efficacy, probably due to numerous confounding factors</w:t>
      </w:r>
      <w:r w:rsidR="00735969">
        <w:rPr>
          <w:rFonts w:cs="Calibri"/>
        </w:rPr>
        <w:t xml:space="preserve"> involved</w:t>
      </w:r>
      <w:r w:rsidR="00536B1C" w:rsidRPr="00735969">
        <w:rPr>
          <w:rFonts w:cs="Calibri"/>
        </w:rPr>
        <w:t xml:space="preserve">. Overall, it shows that </w:t>
      </w:r>
      <w:r w:rsidR="003F1AAE">
        <w:rPr>
          <w:rFonts w:cs="Calibri"/>
        </w:rPr>
        <w:t xml:space="preserve">globally </w:t>
      </w:r>
      <w:r w:rsidR="00536B1C" w:rsidRPr="003F1AAE">
        <w:rPr>
          <w:rFonts w:cs="Calibri"/>
        </w:rPr>
        <w:t>efficacy ranges 40-100%</w:t>
      </w:r>
      <w:r>
        <w:rPr>
          <w:rFonts w:cs="Calibri"/>
        </w:rPr>
        <w:t xml:space="preserve"> whatever the iodine concentration and it has to be noted that</w:t>
      </w:r>
      <w:r w:rsidR="003F1AAE">
        <w:rPr>
          <w:rFonts w:cs="Calibri"/>
        </w:rPr>
        <w:t xml:space="preserve"> a</w:t>
      </w:r>
      <w:r w:rsidR="00536B1C" w:rsidRPr="003F1AAE">
        <w:rPr>
          <w:rFonts w:cs="Calibri"/>
        </w:rPr>
        <w:t xml:space="preserve"> common value appearing in literature is a reduction of at least 50% of mastitis cases</w:t>
      </w:r>
      <w:r>
        <w:rPr>
          <w:rFonts w:cs="Calibri"/>
        </w:rPr>
        <w:t xml:space="preserve"> with iodine treatment</w:t>
      </w:r>
      <w:r w:rsidR="00536B1C" w:rsidRPr="003F1AAE">
        <w:rPr>
          <w:rFonts w:cs="Calibri"/>
        </w:rPr>
        <w:t>.</w:t>
      </w:r>
    </w:p>
    <w:p w14:paraId="6FD33199" w14:textId="77777777" w:rsidR="00536B1C" w:rsidRPr="003F1AAE" w:rsidRDefault="00536B1C" w:rsidP="00536B1C">
      <w:pPr>
        <w:autoSpaceDE w:val="0"/>
        <w:autoSpaceDN w:val="0"/>
        <w:adjustRightInd w:val="0"/>
        <w:jc w:val="both"/>
        <w:rPr>
          <w:rFonts w:cs="Calibri"/>
        </w:rPr>
      </w:pPr>
    </w:p>
    <w:p w14:paraId="1422BE4F" w14:textId="77777777" w:rsidR="00536B1C" w:rsidRPr="00613292" w:rsidRDefault="00536B1C" w:rsidP="00536B1C">
      <w:pPr>
        <w:autoSpaceDE w:val="0"/>
        <w:autoSpaceDN w:val="0"/>
        <w:adjustRightInd w:val="0"/>
        <w:rPr>
          <w:rFonts w:ascii="Calibri" w:hAnsi="Calibri" w:cs="Calibri"/>
        </w:rPr>
      </w:pPr>
    </w:p>
    <w:p w14:paraId="13EB9CC4" w14:textId="77777777" w:rsidR="00536B1C" w:rsidRPr="003A24B9" w:rsidRDefault="003A24B9" w:rsidP="003A24B9">
      <w:pPr>
        <w:suppressAutoHyphens w:val="0"/>
        <w:autoSpaceDE w:val="0"/>
        <w:autoSpaceDN w:val="0"/>
        <w:adjustRightInd w:val="0"/>
        <w:contextualSpacing/>
        <w:jc w:val="both"/>
        <w:rPr>
          <w:rFonts w:cs="Calibri"/>
        </w:rPr>
      </w:pPr>
      <w:r>
        <w:rPr>
          <w:rFonts w:cs="Calibri"/>
        </w:rPr>
        <w:t xml:space="preserve">Moreover, </w:t>
      </w:r>
      <w:r w:rsidR="00536B1C" w:rsidRPr="003A24B9">
        <w:rPr>
          <w:rFonts w:cs="Calibri"/>
        </w:rPr>
        <w:t>National Mastitis Council’s review in 2014</w:t>
      </w:r>
      <w:r w:rsidR="00536B1C" w:rsidRPr="0099781E">
        <w:footnoteReference w:id="3"/>
      </w:r>
      <w:r w:rsidR="00536B1C" w:rsidRPr="003A24B9">
        <w:rPr>
          <w:rFonts w:cs="Calibri"/>
        </w:rPr>
        <w:t xml:space="preserve"> lists peer-reviewed published efficacy data of iodine post-milking teat disinfectants on various bacterial strains, expressed as a reduction probability. The results show </w:t>
      </w:r>
      <w:r w:rsidR="0029228D">
        <w:rPr>
          <w:rFonts w:cs="Calibri"/>
        </w:rPr>
        <w:t xml:space="preserve">also </w:t>
      </w:r>
      <w:r w:rsidR="00536B1C" w:rsidRPr="003A24B9">
        <w:rPr>
          <w:rFonts w:cs="Calibri"/>
        </w:rPr>
        <w:t>that a large variety of formulations with</w:t>
      </w:r>
      <w:r w:rsidRPr="003A24B9">
        <w:rPr>
          <w:rFonts w:cs="Calibri"/>
        </w:rPr>
        <w:t>in</w:t>
      </w:r>
      <w:r w:rsidR="00536B1C" w:rsidRPr="003A24B9">
        <w:rPr>
          <w:rFonts w:cs="Calibri"/>
        </w:rPr>
        <w:t xml:space="preserve"> 0.05-1% iodine were significantly efficient against the main cow mastitis pathogens. </w:t>
      </w:r>
    </w:p>
    <w:p w14:paraId="50E9CA4B" w14:textId="77777777" w:rsidR="00FE4752" w:rsidRPr="00536B1C" w:rsidRDefault="00FE4752" w:rsidP="003A24B9">
      <w:pPr>
        <w:pStyle w:val="Paragraphedeliste"/>
        <w:suppressAutoHyphens w:val="0"/>
        <w:autoSpaceDE w:val="0"/>
        <w:autoSpaceDN w:val="0"/>
        <w:adjustRightInd w:val="0"/>
        <w:contextualSpacing/>
        <w:jc w:val="both"/>
        <w:rPr>
          <w:rFonts w:cs="Calibri"/>
        </w:rPr>
      </w:pPr>
    </w:p>
    <w:p w14:paraId="340276D7" w14:textId="77777777" w:rsidR="000F4EB4" w:rsidRPr="00536B1C" w:rsidRDefault="000F4EB4"/>
    <w:tbl>
      <w:tblPr>
        <w:tblW w:w="4886"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90"/>
      </w:tblGrid>
      <w:tr w:rsidR="001B3B87" w:rsidRPr="006A28CC" w14:paraId="5854746D" w14:textId="77777777" w:rsidTr="007B44E3">
        <w:tc>
          <w:tcPr>
            <w:tcW w:w="5000" w:type="pct"/>
            <w:tcBorders>
              <w:top w:val="single" w:sz="4" w:space="0" w:color="auto"/>
              <w:left w:val="single" w:sz="4" w:space="0" w:color="auto"/>
              <w:bottom w:val="single" w:sz="6" w:space="0" w:color="auto"/>
              <w:right w:val="single" w:sz="6" w:space="0" w:color="auto"/>
            </w:tcBorders>
            <w:shd w:val="clear" w:color="auto" w:fill="CCFFCC"/>
          </w:tcPr>
          <w:p w14:paraId="5D95D68B" w14:textId="77777777" w:rsidR="001B3B87" w:rsidRPr="006A28CC" w:rsidRDefault="001B3B87" w:rsidP="001B3B87">
            <w:pPr>
              <w:rPr>
                <w:b/>
                <w:bCs/>
                <w:lang w:eastAsia="en-US"/>
              </w:rPr>
            </w:pPr>
            <w:r w:rsidRPr="006A28CC">
              <w:rPr>
                <w:b/>
                <w:bCs/>
                <w:lang w:eastAsia="en-US"/>
              </w:rPr>
              <w:t>Conclusion on the efficacy of the product</w:t>
            </w:r>
          </w:p>
        </w:tc>
      </w:tr>
      <w:tr w:rsidR="001B3B87" w:rsidRPr="006A28CC" w14:paraId="3B8A5F2E" w14:textId="77777777" w:rsidTr="007B44E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B0362F3" w14:textId="77777777" w:rsidR="0065661A" w:rsidRDefault="001B3B87" w:rsidP="002F6B76">
            <w:pPr>
              <w:jc w:val="both"/>
              <w:rPr>
                <w:rFonts w:cs="Arial"/>
                <w:iCs/>
                <w:lang w:eastAsia="en-US"/>
              </w:rPr>
            </w:pPr>
            <w:r w:rsidRPr="00826BF7">
              <w:rPr>
                <w:rFonts w:cs="Arial"/>
                <w:iCs/>
                <w:lang w:eastAsia="en-US"/>
              </w:rPr>
              <w:t xml:space="preserve">French competent authorities (FR CA) assessed that the product </w:t>
            </w:r>
            <w:r>
              <w:rPr>
                <w:rFonts w:cs="Arial"/>
                <w:iCs/>
                <w:lang w:eastAsia="en-US"/>
              </w:rPr>
              <w:t xml:space="preserve">IODIGUARD, as a ready to use concentrate </w:t>
            </w:r>
            <w:r w:rsidR="004E27D2">
              <w:rPr>
                <w:rFonts w:cs="Arial"/>
                <w:iCs/>
                <w:lang w:eastAsia="en-US"/>
              </w:rPr>
              <w:t>used after milking, by dipping, with a contact time of 5 minutes,</w:t>
            </w:r>
            <w:r w:rsidR="004E27D2" w:rsidRPr="00826BF7">
              <w:rPr>
                <w:rFonts w:cs="Arial"/>
                <w:iCs/>
                <w:lang w:eastAsia="en-US"/>
              </w:rPr>
              <w:t xml:space="preserve"> </w:t>
            </w:r>
            <w:r w:rsidRPr="00826BF7">
              <w:rPr>
                <w:rFonts w:cs="Arial"/>
                <w:iCs/>
                <w:lang w:eastAsia="en-US"/>
              </w:rPr>
              <w:t>has shown</w:t>
            </w:r>
            <w:r w:rsidR="0067034F">
              <w:rPr>
                <w:rFonts w:cs="Arial"/>
                <w:iCs/>
                <w:lang w:eastAsia="en-US"/>
              </w:rPr>
              <w:t xml:space="preserve"> a sufficient efficacy in phase 2</w:t>
            </w:r>
            <w:r w:rsidR="004E27D2">
              <w:rPr>
                <w:rFonts w:cs="Arial"/>
                <w:iCs/>
                <w:lang w:eastAsia="en-US"/>
              </w:rPr>
              <w:t>,</w:t>
            </w:r>
            <w:r w:rsidR="0067034F">
              <w:rPr>
                <w:rFonts w:cs="Arial"/>
                <w:iCs/>
                <w:lang w:eastAsia="en-US"/>
              </w:rPr>
              <w:t xml:space="preserve"> step </w:t>
            </w:r>
            <w:r w:rsidR="004E27D2">
              <w:rPr>
                <w:rFonts w:cs="Arial"/>
                <w:iCs/>
                <w:lang w:eastAsia="en-US"/>
              </w:rPr>
              <w:t>1</w:t>
            </w:r>
            <w:r w:rsidR="0067034F">
              <w:rPr>
                <w:rFonts w:cs="Arial"/>
                <w:iCs/>
                <w:lang w:eastAsia="en-US"/>
              </w:rPr>
              <w:t xml:space="preserve"> tests against bacteria and yeasts</w:t>
            </w:r>
            <w:r w:rsidR="002F6B76">
              <w:rPr>
                <w:rFonts w:cs="Arial"/>
                <w:iCs/>
                <w:lang w:eastAsia="en-US"/>
              </w:rPr>
              <w:t>.</w:t>
            </w:r>
          </w:p>
          <w:p w14:paraId="0BF7C698" w14:textId="77777777" w:rsidR="002F6B76" w:rsidRPr="0027110E" w:rsidRDefault="002F6B76" w:rsidP="006B0ED8">
            <w:pPr>
              <w:jc w:val="both"/>
              <w:rPr>
                <w:rFonts w:cs="Arial"/>
                <w:iCs/>
                <w:lang w:eastAsia="en-US"/>
              </w:rPr>
            </w:pPr>
            <w:r>
              <w:rPr>
                <w:rFonts w:cs="Arial"/>
                <w:iCs/>
                <w:lang w:eastAsia="en-US"/>
              </w:rPr>
              <w:t xml:space="preserve">Taking into account European discussions at WG III2017, in the frame of </w:t>
            </w:r>
            <w:r>
              <w:t>e</w:t>
            </w:r>
            <w:r w:rsidRPr="00D141C4">
              <w:t xml:space="preserve">arly WG discussion </w:t>
            </w:r>
            <w:r>
              <w:t xml:space="preserve">on </w:t>
            </w:r>
            <w:r w:rsidRPr="00D141C4">
              <w:t xml:space="preserve">Union authorisation applications based </w:t>
            </w:r>
            <w:r>
              <w:t>on</w:t>
            </w:r>
            <w:r w:rsidRPr="00D141C4">
              <w:t xml:space="preserve"> iodine/PVP-iodine</w:t>
            </w:r>
            <w:r>
              <w:t xml:space="preserve">, </w:t>
            </w:r>
            <w:r w:rsidR="00EB440D">
              <w:t xml:space="preserve">field study submitted showed </w:t>
            </w:r>
            <w:r w:rsidR="00233FEE">
              <w:t xml:space="preserve">statistically </w:t>
            </w:r>
            <w:r w:rsidR="00EB440D">
              <w:t>the efficacy of the product IODIGUARD</w:t>
            </w:r>
            <w:r w:rsidR="00233FEE">
              <w:t xml:space="preserve"> with regards to a formulation without iodine. Moreover according to the literature </w:t>
            </w:r>
            <w:r w:rsidR="00DE0FDF">
              <w:t>review</w:t>
            </w:r>
            <w:r>
              <w:t>,</w:t>
            </w:r>
            <w:r w:rsidR="00233FEE">
              <w:t xml:space="preserve"> the iodine level</w:t>
            </w:r>
            <w:r>
              <w:t xml:space="preserve"> </w:t>
            </w:r>
            <w:r w:rsidR="00233FEE">
              <w:t>of the product IODIGUARD su</w:t>
            </w:r>
            <w:r w:rsidR="0029228D">
              <w:t>pports</w:t>
            </w:r>
            <w:r w:rsidR="00233FEE">
              <w:t xml:space="preserve"> </w:t>
            </w:r>
            <w:r w:rsidR="0029228D">
              <w:t>a sufficient</w:t>
            </w:r>
            <w:r w:rsidR="00233FEE">
              <w:t xml:space="preserve"> </w:t>
            </w:r>
            <w:r w:rsidR="0029228D">
              <w:t xml:space="preserve">efficacy </w:t>
            </w:r>
            <w:r w:rsidR="006B0ED8">
              <w:t>for teat disinfection</w:t>
            </w:r>
            <w:r w:rsidR="00233FEE">
              <w:t>.</w:t>
            </w:r>
          </w:p>
        </w:tc>
      </w:tr>
    </w:tbl>
    <w:p w14:paraId="467236C3" w14:textId="77777777" w:rsidR="009D0C0B" w:rsidRDefault="009D0C0B">
      <w:pPr>
        <w:spacing w:line="260" w:lineRule="atLeast"/>
        <w:ind w:left="360"/>
        <w:rPr>
          <w:rFonts w:eastAsia="Calibri"/>
          <w:lang w:eastAsia="en-US"/>
        </w:rPr>
      </w:pPr>
    </w:p>
    <w:p w14:paraId="26ABA285" w14:textId="77777777" w:rsidR="009D0C0B" w:rsidRDefault="00FA480B">
      <w:pPr>
        <w:pStyle w:val="Titre4"/>
        <w:rPr>
          <w:rFonts w:ascii="Times New Roman" w:hAnsi="Times New Roman" w:cs="Times New Roman"/>
          <w:i/>
          <w:iCs/>
          <w:lang w:eastAsia="en-US"/>
        </w:rPr>
      </w:pPr>
      <w:bookmarkStart w:id="64" w:name="_Toc516669781"/>
      <w:r>
        <w:t>Occurrence of resistance and resistance management</w:t>
      </w:r>
      <w:bookmarkEnd w:id="64"/>
    </w:p>
    <w:p w14:paraId="21868D54" w14:textId="77777777" w:rsidR="002A0438" w:rsidRPr="00C52B47" w:rsidRDefault="002A0438" w:rsidP="00ED50F5">
      <w:pPr>
        <w:jc w:val="both"/>
        <w:rPr>
          <w:iCs/>
          <w:lang w:eastAsia="en-US"/>
        </w:rPr>
      </w:pPr>
      <w:r>
        <w:rPr>
          <w:iCs/>
          <w:lang w:eastAsia="en-US"/>
        </w:rPr>
        <w:t>N</w:t>
      </w:r>
      <w:r w:rsidRPr="00C52B47">
        <w:rPr>
          <w:iCs/>
          <w:lang w:eastAsia="en-US"/>
        </w:rPr>
        <w:t>o reduction in efficacy was reported in the literature for such applications indicating that no development of resistant microorganisms has occurred.</w:t>
      </w:r>
    </w:p>
    <w:p w14:paraId="41E88E28" w14:textId="77777777" w:rsidR="00A600D6" w:rsidRDefault="00A600D6" w:rsidP="00ED50F5">
      <w:pPr>
        <w:jc w:val="both"/>
        <w:rPr>
          <w:bCs/>
          <w:iCs/>
          <w:lang w:val="en-US" w:eastAsia="en-US"/>
        </w:rPr>
      </w:pPr>
    </w:p>
    <w:p w14:paraId="11A268AE" w14:textId="77777777" w:rsidR="002A0438" w:rsidRDefault="002A0438" w:rsidP="00ED50F5">
      <w:pPr>
        <w:jc w:val="both"/>
        <w:rPr>
          <w:bCs/>
          <w:iCs/>
          <w:lang w:val="en-US" w:eastAsia="en-US"/>
        </w:rPr>
      </w:pPr>
      <w:r w:rsidRPr="007D382E">
        <w:rPr>
          <w:bCs/>
          <w:iCs/>
          <w:lang w:val="en-US" w:eastAsia="en-US"/>
        </w:rPr>
        <w:t xml:space="preserve">The authorization holder has to report any observed incidents </w:t>
      </w:r>
      <w:r w:rsidR="00A600D6">
        <w:rPr>
          <w:bCs/>
          <w:iCs/>
          <w:lang w:val="en-US" w:eastAsia="en-US"/>
        </w:rPr>
        <w:t xml:space="preserve">related to the efficacy </w:t>
      </w:r>
      <w:r w:rsidRPr="007D382E">
        <w:rPr>
          <w:bCs/>
          <w:iCs/>
          <w:lang w:val="en-US" w:eastAsia="en-US"/>
        </w:rPr>
        <w:t>to the Competent Authorities (CA).</w:t>
      </w:r>
    </w:p>
    <w:p w14:paraId="1E968E04" w14:textId="77777777" w:rsidR="00A600D6" w:rsidRDefault="00A600D6" w:rsidP="00A600D6">
      <w:pPr>
        <w:pStyle w:val="titre40"/>
        <w:keepNext w:val="0"/>
        <w:widowControl w:val="0"/>
        <w:numPr>
          <w:ilvl w:val="0"/>
          <w:numId w:val="0"/>
        </w:numPr>
        <w:spacing w:before="0" w:after="0"/>
        <w:rPr>
          <w:rFonts w:ascii="Arial" w:hAnsi="Arial" w:cs="Arial"/>
          <w:i w:val="0"/>
          <w:szCs w:val="22"/>
          <w:lang w:val="en-GB"/>
        </w:rPr>
      </w:pPr>
    </w:p>
    <w:p w14:paraId="10D2E8C7" w14:textId="77777777" w:rsidR="00A600D6" w:rsidRPr="007B44E3" w:rsidRDefault="00A600D6" w:rsidP="00A600D6">
      <w:pPr>
        <w:pStyle w:val="titre40"/>
        <w:keepNext w:val="0"/>
        <w:widowControl w:val="0"/>
        <w:numPr>
          <w:ilvl w:val="0"/>
          <w:numId w:val="0"/>
        </w:numPr>
        <w:spacing w:before="0" w:after="0"/>
        <w:rPr>
          <w:bCs/>
          <w:i w:val="0"/>
          <w:iCs/>
          <w:sz w:val="20"/>
          <w:szCs w:val="20"/>
          <w:lang w:val="en-US"/>
        </w:rPr>
      </w:pPr>
      <w:bookmarkStart w:id="65" w:name="_Toc516669782"/>
      <w:r w:rsidRPr="005A3B7C">
        <w:rPr>
          <w:rFonts w:cs="Arial"/>
          <w:i w:val="0"/>
          <w:sz w:val="20"/>
          <w:szCs w:val="22"/>
          <w:lang w:val="en-GB"/>
        </w:rPr>
        <w:t>To ensure a satisfactory level of efficacy and avoid the development of resistance, the recommendations proposed in the SPC have to be implemented</w:t>
      </w:r>
      <w:r w:rsidR="000A47D3">
        <w:rPr>
          <w:rFonts w:cs="Arial"/>
          <w:i w:val="0"/>
          <w:sz w:val="20"/>
          <w:szCs w:val="22"/>
          <w:lang w:val="en-GB"/>
        </w:rPr>
        <w:t>.</w:t>
      </w:r>
      <w:bookmarkEnd w:id="65"/>
    </w:p>
    <w:p w14:paraId="0638CC0D" w14:textId="77777777" w:rsidR="009D0C0B" w:rsidRDefault="00FA480B">
      <w:pPr>
        <w:pStyle w:val="Titre4"/>
        <w:rPr>
          <w:rFonts w:ascii="Times New Roman" w:hAnsi="Times New Roman" w:cs="Times New Roman"/>
          <w:i/>
          <w:iCs/>
          <w:lang w:eastAsia="en-US"/>
        </w:rPr>
      </w:pPr>
      <w:bookmarkStart w:id="66" w:name="_Toc516669783"/>
      <w:r>
        <w:t>Known limitations</w:t>
      </w:r>
      <w:bookmarkEnd w:id="66"/>
    </w:p>
    <w:p w14:paraId="4BF8B336" w14:textId="77777777" w:rsidR="002A0438" w:rsidRPr="005664C6" w:rsidRDefault="002A0438" w:rsidP="002A0438">
      <w:pPr>
        <w:jc w:val="both"/>
        <w:rPr>
          <w:bCs/>
          <w:iCs/>
          <w:lang w:val="en-US" w:eastAsia="en-US"/>
        </w:rPr>
      </w:pPr>
      <w:r w:rsidRPr="005664C6">
        <w:rPr>
          <w:bCs/>
          <w:iCs/>
          <w:lang w:val="en-US" w:eastAsia="en-US"/>
        </w:rPr>
        <w:t>None</w:t>
      </w:r>
    </w:p>
    <w:p w14:paraId="1F000A11" w14:textId="77777777" w:rsidR="009D0C0B" w:rsidRDefault="009D0C0B">
      <w:pPr>
        <w:spacing w:line="260" w:lineRule="atLeast"/>
        <w:rPr>
          <w:rFonts w:ascii="Times New Roman" w:eastAsia="Calibri" w:hAnsi="Times New Roman" w:cs="Times New Roman"/>
          <w:i/>
          <w:iCs/>
          <w:szCs w:val="24"/>
          <w:lang w:eastAsia="en-US"/>
        </w:rPr>
      </w:pPr>
    </w:p>
    <w:p w14:paraId="5F8EF3C8" w14:textId="77777777" w:rsidR="009D0C0B" w:rsidRDefault="00FA480B">
      <w:pPr>
        <w:pStyle w:val="Titre4"/>
        <w:rPr>
          <w:rFonts w:ascii="Times New Roman" w:hAnsi="Times New Roman" w:cs="Times New Roman"/>
          <w:i/>
          <w:iCs/>
          <w:lang w:eastAsia="en-US"/>
        </w:rPr>
      </w:pPr>
      <w:bookmarkStart w:id="67" w:name="_Toc516669784"/>
      <w:r>
        <w:t>Evaluation of the label claims</w:t>
      </w:r>
      <w:bookmarkEnd w:id="67"/>
    </w:p>
    <w:p w14:paraId="0A2B360C" w14:textId="77777777" w:rsidR="002A0438" w:rsidRDefault="002A0438" w:rsidP="002A0438">
      <w:pPr>
        <w:jc w:val="both"/>
        <w:rPr>
          <w:rFonts w:cs="Arial"/>
          <w:iCs/>
          <w:lang w:eastAsia="en-US"/>
        </w:rPr>
      </w:pPr>
      <w:r w:rsidRPr="00826BF7">
        <w:rPr>
          <w:rFonts w:cs="Arial"/>
          <w:iCs/>
          <w:lang w:eastAsia="en-US"/>
        </w:rPr>
        <w:t xml:space="preserve">French competent authorities (FR CA) assessed that the product </w:t>
      </w:r>
      <w:r>
        <w:rPr>
          <w:rFonts w:cs="Arial"/>
          <w:iCs/>
          <w:lang w:eastAsia="en-US"/>
        </w:rPr>
        <w:t>IODIGUARD, as a ready to use concentrate showed</w:t>
      </w:r>
      <w:r w:rsidRPr="00826BF7">
        <w:rPr>
          <w:rFonts w:cs="Arial"/>
          <w:iCs/>
          <w:lang w:eastAsia="en-US"/>
        </w:rPr>
        <w:t xml:space="preserve"> a sufficient efficacy</w:t>
      </w:r>
      <w:r>
        <w:rPr>
          <w:rFonts w:cs="Arial"/>
          <w:iCs/>
          <w:lang w:eastAsia="en-US"/>
        </w:rPr>
        <w:t>, for teat disinfection (bacteria and yeasts) in post milking, with a contact time of 5 minutes.</w:t>
      </w:r>
    </w:p>
    <w:p w14:paraId="36C51D89" w14:textId="77777777" w:rsidR="00D97212" w:rsidRDefault="00D97212" w:rsidP="002A0438">
      <w:pPr>
        <w:jc w:val="both"/>
        <w:rPr>
          <w:rFonts w:cs="Arial"/>
          <w:iCs/>
          <w:lang w:eastAsia="en-US"/>
        </w:rPr>
      </w:pPr>
    </w:p>
    <w:p w14:paraId="430AECEE" w14:textId="77777777" w:rsidR="009D0C0B" w:rsidRDefault="00FA480B">
      <w:pPr>
        <w:pStyle w:val="Titre4"/>
      </w:pPr>
      <w:bookmarkStart w:id="68" w:name="_Toc516669785"/>
      <w:r>
        <w:t>Relevant information if the product is intended to be authorised for use with other biocidal product(s)</w:t>
      </w:r>
      <w:bookmarkEnd w:id="68"/>
    </w:p>
    <w:p w14:paraId="15305056" w14:textId="77777777" w:rsidR="007B44E3" w:rsidRDefault="002A0438" w:rsidP="007B44E3">
      <w:pPr>
        <w:jc w:val="both"/>
        <w:rPr>
          <w:color w:val="000000"/>
        </w:rPr>
      </w:pPr>
      <w:r w:rsidRPr="003A488C">
        <w:rPr>
          <w:color w:val="000000"/>
        </w:rPr>
        <w:t xml:space="preserve">The product </w:t>
      </w:r>
      <w:r>
        <w:rPr>
          <w:color w:val="000000"/>
        </w:rPr>
        <w:t>IODIGUARD</w:t>
      </w:r>
      <w:r w:rsidRPr="003A488C">
        <w:rPr>
          <w:color w:val="000000"/>
        </w:rPr>
        <w:t xml:space="preserve"> is not intended to be used with another biocidal product.</w:t>
      </w:r>
      <w:bookmarkStart w:id="69" w:name="_Toc516669786"/>
    </w:p>
    <w:p w14:paraId="7986BFF7" w14:textId="77777777" w:rsidR="007B44E3" w:rsidRDefault="007B44E3" w:rsidP="007B44E3">
      <w:pPr>
        <w:jc w:val="both"/>
        <w:rPr>
          <w:color w:val="000000"/>
        </w:rPr>
      </w:pPr>
    </w:p>
    <w:p w14:paraId="417F66EF" w14:textId="77777777" w:rsidR="007B44E3" w:rsidRDefault="007B44E3" w:rsidP="007B44E3">
      <w:pPr>
        <w:jc w:val="both"/>
        <w:rPr>
          <w:color w:val="000000"/>
        </w:rPr>
      </w:pPr>
    </w:p>
    <w:p w14:paraId="4F9CB092" w14:textId="77777777" w:rsidR="007B44E3" w:rsidRDefault="007B44E3" w:rsidP="007B44E3">
      <w:pPr>
        <w:jc w:val="both"/>
        <w:rPr>
          <w:color w:val="000000"/>
        </w:rPr>
      </w:pPr>
    </w:p>
    <w:p w14:paraId="492EB166" w14:textId="77777777" w:rsidR="009D0C0B" w:rsidRPr="007B44E3" w:rsidRDefault="00FA480B" w:rsidP="007B44E3">
      <w:pPr>
        <w:pStyle w:val="Titre3"/>
        <w:tabs>
          <w:tab w:val="clear" w:pos="284"/>
          <w:tab w:val="num" w:pos="0"/>
        </w:tabs>
        <w:ind w:left="720"/>
      </w:pPr>
      <w:r>
        <w:t>Risk assessment for human health</w:t>
      </w:r>
      <w:bookmarkEnd w:id="69"/>
    </w:p>
    <w:p w14:paraId="1F586029" w14:textId="77777777" w:rsidR="00E600AE" w:rsidRPr="00813F0C" w:rsidRDefault="00E600AE" w:rsidP="00E600AE">
      <w:pPr>
        <w:jc w:val="both"/>
        <w:rPr>
          <w:iCs/>
          <w:lang w:eastAsia="en-US"/>
        </w:rPr>
      </w:pPr>
      <w:r w:rsidRPr="00813F0C">
        <w:rPr>
          <w:iCs/>
          <w:lang w:eastAsia="en-US"/>
        </w:rPr>
        <w:t>Please refer to iodine CAR.</w:t>
      </w:r>
    </w:p>
    <w:p w14:paraId="1C6DD106" w14:textId="77777777" w:rsidR="00E600AE" w:rsidRPr="00813F0C" w:rsidRDefault="00E600AE" w:rsidP="00E600AE">
      <w:pPr>
        <w:jc w:val="both"/>
        <w:rPr>
          <w:iCs/>
          <w:lang w:eastAsia="en-US"/>
        </w:rPr>
      </w:pPr>
      <w:r w:rsidRPr="00813F0C">
        <w:rPr>
          <w:iCs/>
          <w:lang w:eastAsia="en-US"/>
        </w:rPr>
        <w:t xml:space="preserve">The following data on active substance issued from CAR will be used for human health risk assessment: </w:t>
      </w:r>
    </w:p>
    <w:p w14:paraId="3BF89BA3" w14:textId="77777777" w:rsidR="00E600AE" w:rsidRPr="00813F0C" w:rsidRDefault="00E600AE" w:rsidP="00E600AE">
      <w:pPr>
        <w:jc w:val="both"/>
        <w:rPr>
          <w:iCs/>
          <w:lang w:eastAsia="en-US"/>
        </w:rPr>
      </w:pPr>
    </w:p>
    <w:tbl>
      <w:tblPr>
        <w:tblStyle w:val="Grilledutableau1"/>
        <w:tblW w:w="0" w:type="auto"/>
        <w:tblInd w:w="108" w:type="dxa"/>
        <w:tblLook w:val="04A0" w:firstRow="1" w:lastRow="0" w:firstColumn="1" w:lastColumn="0" w:noHBand="0" w:noVBand="1"/>
      </w:tblPr>
      <w:tblGrid>
        <w:gridCol w:w="4496"/>
        <w:gridCol w:w="4599"/>
      </w:tblGrid>
      <w:tr w:rsidR="00E600AE" w:rsidRPr="00813F0C" w14:paraId="232AD5A8" w14:textId="77777777" w:rsidTr="00E600AE">
        <w:tc>
          <w:tcPr>
            <w:tcW w:w="4569" w:type="dxa"/>
          </w:tcPr>
          <w:p w14:paraId="4B77887E" w14:textId="77777777" w:rsidR="00E600AE" w:rsidRPr="00813F0C" w:rsidRDefault="00E600AE" w:rsidP="00D641F2">
            <w:pPr>
              <w:jc w:val="both"/>
              <w:rPr>
                <w:iCs/>
                <w:sz w:val="20"/>
                <w:lang w:eastAsia="en-US"/>
              </w:rPr>
            </w:pPr>
            <w:r w:rsidRPr="00813F0C">
              <w:rPr>
                <w:iCs/>
                <w:sz w:val="20"/>
                <w:lang w:eastAsia="en-US"/>
              </w:rPr>
              <w:t xml:space="preserve">Endpoint </w:t>
            </w:r>
          </w:p>
        </w:tc>
        <w:tc>
          <w:tcPr>
            <w:tcW w:w="4677" w:type="dxa"/>
          </w:tcPr>
          <w:p w14:paraId="43BC202A" w14:textId="77777777" w:rsidR="00E600AE" w:rsidRPr="00813F0C" w:rsidRDefault="00E600AE" w:rsidP="00D641F2">
            <w:pPr>
              <w:jc w:val="both"/>
              <w:rPr>
                <w:iCs/>
                <w:sz w:val="20"/>
                <w:lang w:eastAsia="en-US"/>
              </w:rPr>
            </w:pPr>
            <w:r w:rsidRPr="00813F0C">
              <w:rPr>
                <w:iCs/>
                <w:sz w:val="20"/>
                <w:lang w:eastAsia="en-US"/>
              </w:rPr>
              <w:t>Value</w:t>
            </w:r>
            <w:r>
              <w:rPr>
                <w:iCs/>
                <w:sz w:val="20"/>
                <w:lang w:eastAsia="en-US"/>
              </w:rPr>
              <w:t>s</w:t>
            </w:r>
          </w:p>
        </w:tc>
      </w:tr>
      <w:tr w:rsidR="00E600AE" w:rsidRPr="00813F0C" w14:paraId="687AD9E6" w14:textId="77777777" w:rsidTr="00E600AE">
        <w:tc>
          <w:tcPr>
            <w:tcW w:w="4569" w:type="dxa"/>
          </w:tcPr>
          <w:p w14:paraId="3D53652C" w14:textId="77777777" w:rsidR="00E600AE" w:rsidRPr="00813F0C" w:rsidRDefault="00E600AE" w:rsidP="00D641F2">
            <w:pPr>
              <w:jc w:val="both"/>
              <w:rPr>
                <w:iCs/>
                <w:sz w:val="20"/>
                <w:lang w:eastAsia="en-US"/>
              </w:rPr>
            </w:pPr>
            <w:r w:rsidRPr="00813F0C">
              <w:rPr>
                <w:iCs/>
                <w:sz w:val="20"/>
                <w:lang w:eastAsia="en-US"/>
              </w:rPr>
              <w:t xml:space="preserve">AEL </w:t>
            </w:r>
          </w:p>
        </w:tc>
        <w:tc>
          <w:tcPr>
            <w:tcW w:w="4677" w:type="dxa"/>
          </w:tcPr>
          <w:p w14:paraId="435D2C57" w14:textId="77777777" w:rsidR="00E600AE" w:rsidRPr="00813F0C" w:rsidRDefault="00E600AE" w:rsidP="00D641F2">
            <w:pPr>
              <w:jc w:val="both"/>
              <w:rPr>
                <w:iCs/>
                <w:sz w:val="20"/>
                <w:lang w:eastAsia="en-US"/>
              </w:rPr>
            </w:pPr>
            <w:r w:rsidRPr="00813F0C">
              <w:rPr>
                <w:iCs/>
                <w:sz w:val="20"/>
                <w:lang w:eastAsia="en-US"/>
              </w:rPr>
              <w:t>0.01 mg/kg/d</w:t>
            </w:r>
          </w:p>
        </w:tc>
      </w:tr>
      <w:tr w:rsidR="00E600AE" w:rsidRPr="00813F0C" w14:paraId="6E0B79D2" w14:textId="77777777" w:rsidTr="00E600AE">
        <w:tc>
          <w:tcPr>
            <w:tcW w:w="4569" w:type="dxa"/>
          </w:tcPr>
          <w:p w14:paraId="4C0633A8" w14:textId="77777777" w:rsidR="00E600AE" w:rsidRPr="00813F0C" w:rsidRDefault="00E600AE" w:rsidP="00D641F2">
            <w:pPr>
              <w:jc w:val="both"/>
              <w:rPr>
                <w:iCs/>
                <w:sz w:val="20"/>
                <w:lang w:eastAsia="en-US"/>
              </w:rPr>
            </w:pPr>
            <w:r>
              <w:rPr>
                <w:iCs/>
                <w:sz w:val="20"/>
                <w:lang w:eastAsia="en-US"/>
              </w:rPr>
              <w:t xml:space="preserve">AEC inhalation </w:t>
            </w:r>
          </w:p>
        </w:tc>
        <w:tc>
          <w:tcPr>
            <w:tcW w:w="4677" w:type="dxa"/>
          </w:tcPr>
          <w:p w14:paraId="24F88B79" w14:textId="77777777" w:rsidR="00E600AE" w:rsidRPr="00813F0C" w:rsidRDefault="00E600AE" w:rsidP="00D641F2">
            <w:pPr>
              <w:jc w:val="both"/>
              <w:rPr>
                <w:iCs/>
                <w:sz w:val="20"/>
                <w:lang w:eastAsia="en-US"/>
              </w:rPr>
            </w:pPr>
            <w:r>
              <w:rPr>
                <w:iCs/>
                <w:sz w:val="20"/>
                <w:lang w:eastAsia="en-US"/>
              </w:rPr>
              <w:t>1 mg/m</w:t>
            </w:r>
            <w:r w:rsidRPr="00DC12AC">
              <w:rPr>
                <w:iCs/>
                <w:sz w:val="20"/>
                <w:vertAlign w:val="superscript"/>
                <w:lang w:eastAsia="en-US"/>
              </w:rPr>
              <w:t>3</w:t>
            </w:r>
            <w:r>
              <w:rPr>
                <w:iCs/>
                <w:sz w:val="20"/>
                <w:lang w:eastAsia="en-US"/>
              </w:rPr>
              <w:t xml:space="preserve"> ou 0.1 ppm</w:t>
            </w:r>
          </w:p>
        </w:tc>
      </w:tr>
      <w:tr w:rsidR="00E600AE" w:rsidRPr="00813F0C" w14:paraId="0F9CCED3" w14:textId="77777777" w:rsidTr="00E600AE">
        <w:tc>
          <w:tcPr>
            <w:tcW w:w="4569" w:type="dxa"/>
          </w:tcPr>
          <w:p w14:paraId="494D5776" w14:textId="77777777" w:rsidR="00E600AE" w:rsidRPr="00E600AE" w:rsidRDefault="00E600AE" w:rsidP="00D641F2">
            <w:pPr>
              <w:jc w:val="both"/>
              <w:rPr>
                <w:iCs/>
                <w:sz w:val="20"/>
                <w:lang w:val="fr-FR" w:eastAsia="en-US"/>
              </w:rPr>
            </w:pPr>
            <w:r w:rsidRPr="00E600AE">
              <w:rPr>
                <w:iCs/>
                <w:sz w:val="20"/>
                <w:lang w:val="fr-FR" w:eastAsia="en-US"/>
              </w:rPr>
              <w:t>Vapour Pressure (Pa) at 25°C</w:t>
            </w:r>
          </w:p>
        </w:tc>
        <w:tc>
          <w:tcPr>
            <w:tcW w:w="4677" w:type="dxa"/>
          </w:tcPr>
          <w:p w14:paraId="3721328B" w14:textId="77777777" w:rsidR="00E600AE" w:rsidRPr="00813F0C" w:rsidRDefault="00E600AE" w:rsidP="00D641F2">
            <w:pPr>
              <w:jc w:val="both"/>
              <w:rPr>
                <w:iCs/>
                <w:sz w:val="20"/>
                <w:lang w:eastAsia="en-US"/>
              </w:rPr>
            </w:pPr>
            <w:r w:rsidRPr="00813F0C">
              <w:rPr>
                <w:iCs/>
                <w:sz w:val="20"/>
                <w:lang w:eastAsia="en-US"/>
              </w:rPr>
              <w:t>40.7 Pa at 25°C</w:t>
            </w:r>
          </w:p>
        </w:tc>
      </w:tr>
      <w:tr w:rsidR="00E600AE" w:rsidRPr="00813F0C" w14:paraId="6146DB87" w14:textId="77777777" w:rsidTr="00E600AE">
        <w:tc>
          <w:tcPr>
            <w:tcW w:w="4569" w:type="dxa"/>
          </w:tcPr>
          <w:p w14:paraId="0DB71D58" w14:textId="77777777" w:rsidR="00E600AE" w:rsidRPr="00813F0C" w:rsidRDefault="00E600AE" w:rsidP="00D641F2">
            <w:pPr>
              <w:jc w:val="both"/>
              <w:rPr>
                <w:iCs/>
                <w:sz w:val="20"/>
                <w:lang w:eastAsia="en-US"/>
              </w:rPr>
            </w:pPr>
            <w:r w:rsidRPr="00813F0C">
              <w:rPr>
                <w:iCs/>
                <w:sz w:val="20"/>
                <w:lang w:eastAsia="en-US"/>
              </w:rPr>
              <w:t>M</w:t>
            </w:r>
            <w:r>
              <w:rPr>
                <w:iCs/>
                <w:sz w:val="20"/>
                <w:lang w:eastAsia="en-US"/>
              </w:rPr>
              <w:t>olecular weight (g/mol)</w:t>
            </w:r>
          </w:p>
        </w:tc>
        <w:tc>
          <w:tcPr>
            <w:tcW w:w="4677" w:type="dxa"/>
          </w:tcPr>
          <w:p w14:paraId="44ED5E48" w14:textId="77777777" w:rsidR="00E600AE" w:rsidRPr="00813F0C" w:rsidRDefault="00E600AE" w:rsidP="00D641F2">
            <w:pPr>
              <w:jc w:val="both"/>
              <w:rPr>
                <w:iCs/>
                <w:sz w:val="20"/>
                <w:lang w:eastAsia="en-US"/>
              </w:rPr>
            </w:pPr>
            <w:r w:rsidRPr="00813F0C">
              <w:rPr>
                <w:iCs/>
                <w:sz w:val="20"/>
                <w:lang w:eastAsia="en-US"/>
              </w:rPr>
              <w:t>253.81 g/mol</w:t>
            </w:r>
          </w:p>
        </w:tc>
      </w:tr>
    </w:tbl>
    <w:p w14:paraId="7660AF0B" w14:textId="77777777" w:rsidR="00411C91" w:rsidRDefault="00411C91" w:rsidP="00411C91"/>
    <w:p w14:paraId="76283380" w14:textId="77777777" w:rsidR="00411C91" w:rsidRPr="004C6C6F" w:rsidRDefault="00411C91" w:rsidP="00411C91">
      <w:pPr>
        <w:jc w:val="both"/>
        <w:rPr>
          <w:lang w:eastAsia="en-US"/>
        </w:rPr>
      </w:pPr>
      <w:r w:rsidRPr="00371BE4">
        <w:rPr>
          <w:lang w:eastAsia="en-US"/>
        </w:rPr>
        <w:t>The product type 3</w:t>
      </w:r>
      <w:r>
        <w:rPr>
          <w:lang w:eastAsia="en-US"/>
        </w:rPr>
        <w:t xml:space="preserve"> </w:t>
      </w:r>
      <w:r w:rsidRPr="00232DC8">
        <w:rPr>
          <w:lang w:eastAsia="en-US"/>
        </w:rPr>
        <w:t>(veterinary hygiene biocidal products</w:t>
      </w:r>
      <w:r>
        <w:rPr>
          <w:lang w:eastAsia="en-US"/>
        </w:rPr>
        <w:t>)</w:t>
      </w:r>
      <w:r w:rsidRPr="00232DC8">
        <w:rPr>
          <w:lang w:eastAsia="en-US"/>
        </w:rPr>
        <w:t xml:space="preserve"> </w:t>
      </w:r>
      <w:r>
        <w:rPr>
          <w:lang w:eastAsia="en-US"/>
        </w:rPr>
        <w:t xml:space="preserve">was already assessed in iodine CAR </w:t>
      </w:r>
      <w:r w:rsidRPr="004C6C6F">
        <w:rPr>
          <w:lang w:eastAsia="en-US"/>
        </w:rPr>
        <w:t>as manual or automatic non-medical teat disinfection and udder washes</w:t>
      </w:r>
      <w:r>
        <w:rPr>
          <w:lang w:eastAsia="en-US"/>
        </w:rPr>
        <w:t>,</w:t>
      </w:r>
      <w:r w:rsidRPr="004C6C6F">
        <w:rPr>
          <w:lang w:eastAsia="en-US"/>
        </w:rPr>
        <w:t xml:space="preserve"> and </w:t>
      </w:r>
      <w:r>
        <w:rPr>
          <w:lang w:eastAsia="en-US"/>
        </w:rPr>
        <w:t xml:space="preserve">as </w:t>
      </w:r>
      <w:r w:rsidRPr="004C6C6F">
        <w:rPr>
          <w:lang w:eastAsia="en-US"/>
        </w:rPr>
        <w:t xml:space="preserve">surface </w:t>
      </w:r>
      <w:r>
        <w:rPr>
          <w:lang w:eastAsia="en-US"/>
        </w:rPr>
        <w:t>disinfection in animal houses.</w:t>
      </w:r>
    </w:p>
    <w:p w14:paraId="7F4CB519" w14:textId="77777777" w:rsidR="00411C91" w:rsidRPr="00371BE4" w:rsidRDefault="00411C91" w:rsidP="00411C91">
      <w:pPr>
        <w:jc w:val="both"/>
        <w:rPr>
          <w:lang w:eastAsia="en-US"/>
        </w:rPr>
      </w:pPr>
    </w:p>
    <w:p w14:paraId="3CCC8D2C" w14:textId="77777777" w:rsidR="00411C91" w:rsidRDefault="00411C91" w:rsidP="00411C91">
      <w:pPr>
        <w:jc w:val="both"/>
        <w:rPr>
          <w:lang w:eastAsia="en-US"/>
        </w:rPr>
      </w:pPr>
      <w:r>
        <w:rPr>
          <w:lang w:eastAsia="en-US"/>
        </w:rPr>
        <w:t>Iodine is a natural and essential compound:</w:t>
      </w:r>
    </w:p>
    <w:p w14:paraId="0E50AC07" w14:textId="77777777" w:rsidR="00411C91" w:rsidRPr="00371BE4" w:rsidRDefault="00411C91" w:rsidP="00411C91">
      <w:pPr>
        <w:pStyle w:val="Paragraphedeliste"/>
        <w:numPr>
          <w:ilvl w:val="0"/>
          <w:numId w:val="10"/>
        </w:numPr>
        <w:suppressAutoHyphens w:val="0"/>
        <w:spacing w:line="260" w:lineRule="atLeast"/>
        <w:contextualSpacing/>
        <w:jc w:val="both"/>
        <w:rPr>
          <w:lang w:eastAsia="en-US"/>
        </w:rPr>
      </w:pPr>
      <w:r w:rsidRPr="00371BE4">
        <w:rPr>
          <w:lang w:eastAsia="en-US"/>
        </w:rPr>
        <w:lastRenderedPageBreak/>
        <w:t xml:space="preserve">Iodine is an essential dietary trace element for mammals. It is required for the synthesis of the thyroid hormones, which control metabolism and play an important role in reproduction, growth and development. </w:t>
      </w:r>
    </w:p>
    <w:p w14:paraId="47E43041" w14:textId="77777777" w:rsidR="00411C91" w:rsidRPr="00371BE4" w:rsidRDefault="00411C91" w:rsidP="00411C91">
      <w:pPr>
        <w:pStyle w:val="Paragraphedeliste"/>
        <w:numPr>
          <w:ilvl w:val="0"/>
          <w:numId w:val="10"/>
        </w:numPr>
        <w:suppressAutoHyphens w:val="0"/>
        <w:spacing w:line="260" w:lineRule="atLeast"/>
        <w:contextualSpacing/>
        <w:jc w:val="both"/>
        <w:rPr>
          <w:lang w:eastAsia="en-US"/>
        </w:rPr>
      </w:pPr>
      <w:r w:rsidRPr="00371BE4">
        <w:rPr>
          <w:lang w:eastAsia="en-US"/>
        </w:rPr>
        <w:t>Background values between 0.5 and 20 mg iodine/kg are found in soil, whereas in groundwater a mean concentration of 1</w:t>
      </w:r>
      <w:r w:rsidR="0019006A">
        <w:rPr>
          <w:lang w:eastAsia="en-US"/>
        </w:rPr>
        <w:t xml:space="preserve"> </w:t>
      </w:r>
      <w:r w:rsidRPr="00371BE4">
        <w:rPr>
          <w:lang w:eastAsia="en-US"/>
        </w:rPr>
        <w:t>μg/L is reported. The background values in surface water (0.5 to 20 μg iodine/L) are considerably lower than in marine water (45 to 60 μg iodine/L). The levels in rain water (0.1 to 15 μg/L) are comparable to those of surface water</w:t>
      </w:r>
      <w:r w:rsidRPr="00FA5C4D">
        <w:rPr>
          <w:lang w:eastAsia="en-US"/>
        </w:rPr>
        <w:t xml:space="preserve"> </w:t>
      </w:r>
      <w:r>
        <w:rPr>
          <w:lang w:eastAsia="en-US"/>
        </w:rPr>
        <w:t xml:space="preserve">(Iodine Assessment Report, SE, </w:t>
      </w:r>
      <w:proofErr w:type="gramStart"/>
      <w:r>
        <w:rPr>
          <w:lang w:eastAsia="en-US"/>
        </w:rPr>
        <w:t>September</w:t>
      </w:r>
      <w:proofErr w:type="gramEnd"/>
      <w:r>
        <w:rPr>
          <w:lang w:eastAsia="en-US"/>
        </w:rPr>
        <w:t xml:space="preserve"> 2013)</w:t>
      </w:r>
      <w:r w:rsidRPr="00371BE4">
        <w:rPr>
          <w:lang w:eastAsia="en-US"/>
        </w:rPr>
        <w:t xml:space="preserve">. </w:t>
      </w:r>
    </w:p>
    <w:p w14:paraId="181C11CC" w14:textId="77777777" w:rsidR="00411C91" w:rsidRDefault="00411C91" w:rsidP="00411C91">
      <w:pPr>
        <w:jc w:val="both"/>
        <w:rPr>
          <w:lang w:eastAsia="en-US"/>
        </w:rPr>
      </w:pPr>
    </w:p>
    <w:p w14:paraId="07E36CF8" w14:textId="77777777" w:rsidR="00411C91" w:rsidRPr="00371BE4" w:rsidRDefault="00411C91" w:rsidP="00411C91">
      <w:pPr>
        <w:jc w:val="both"/>
        <w:rPr>
          <w:lang w:eastAsia="en-US"/>
        </w:rPr>
      </w:pPr>
      <w:r w:rsidRPr="00371BE4">
        <w:rPr>
          <w:lang w:eastAsia="en-US"/>
        </w:rPr>
        <w:t xml:space="preserve">The reduction of iodine background concentrations in soil by leaching has an impact on the iodine level in crops and animals, and consequently in human food. For this reason, recommendations for the daily intake for humans were established. e.g. by the World Health Organisation (WHO) </w:t>
      </w:r>
      <w:r w:rsidR="006F1C90">
        <w:rPr>
          <w:lang w:eastAsia="en-US"/>
        </w:rPr>
        <w:t>at</w:t>
      </w:r>
      <w:r w:rsidR="006F1C90" w:rsidRPr="00371BE4">
        <w:rPr>
          <w:lang w:eastAsia="en-US"/>
        </w:rPr>
        <w:t xml:space="preserve"> </w:t>
      </w:r>
      <w:r w:rsidRPr="00371BE4">
        <w:rPr>
          <w:lang w:eastAsia="en-US"/>
        </w:rPr>
        <w:t xml:space="preserve">150 – 200 μg/day and the fortification of table salt with iodine has become a mean to prevent </w:t>
      </w:r>
      <w:r w:rsidR="006F1C90">
        <w:t xml:space="preserve">a deficiency </w:t>
      </w:r>
      <w:r w:rsidRPr="00371BE4">
        <w:rPr>
          <w:lang w:eastAsia="en-US"/>
        </w:rPr>
        <w:t>for this essential dietary trace element.</w:t>
      </w:r>
    </w:p>
    <w:p w14:paraId="3AD81FDD" w14:textId="77777777" w:rsidR="00411C91" w:rsidRDefault="00411C91" w:rsidP="00411C91"/>
    <w:p w14:paraId="104B3CDA" w14:textId="77777777" w:rsidR="009D0C0B" w:rsidRDefault="00FA480B">
      <w:pPr>
        <w:pStyle w:val="Titre4"/>
      </w:pPr>
      <w:bookmarkStart w:id="70" w:name="_Toc516669787"/>
      <w:r>
        <w:t>Assessment of effects on Human Health</w:t>
      </w:r>
      <w:bookmarkEnd w:id="70"/>
      <w:r>
        <w:t xml:space="preserve"> </w:t>
      </w:r>
    </w:p>
    <w:p w14:paraId="316A2953" w14:textId="77777777" w:rsidR="00E600AE" w:rsidRPr="00E600AE" w:rsidRDefault="00E600AE" w:rsidP="00E600AE">
      <w:pPr>
        <w:pStyle w:val="Corpsdetexte"/>
        <w:rPr>
          <w:lang w:val="de-DE"/>
        </w:rPr>
      </w:pPr>
    </w:p>
    <w:p w14:paraId="50C01C7C"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corrosion and irritation</w:t>
      </w:r>
    </w:p>
    <w:p w14:paraId="751197E3" w14:textId="77777777" w:rsidR="00E600AE" w:rsidRPr="00DC12AC" w:rsidRDefault="00E600AE" w:rsidP="00E600AE">
      <w:pPr>
        <w:jc w:val="both"/>
        <w:rPr>
          <w:iCs/>
          <w:lang w:eastAsia="en-US"/>
        </w:rPr>
      </w:pPr>
      <w:r w:rsidRPr="004743C4">
        <w:rPr>
          <w:iCs/>
          <w:lang w:eastAsia="en-US"/>
        </w:rPr>
        <w:t xml:space="preserve">In order to avoid unnecessary animal experiment, no skin irritation/corrosion study was conducted. Classification is </w:t>
      </w:r>
      <w:r>
        <w:rPr>
          <w:iCs/>
          <w:lang w:eastAsia="en-US"/>
        </w:rPr>
        <w:t xml:space="preserve">determined </w:t>
      </w:r>
      <w:r w:rsidRPr="009A52EC">
        <w:rPr>
          <w:iCs/>
          <w:lang w:eastAsia="en-US"/>
        </w:rPr>
        <w:t>by calculation according to the CLP Regulation (Regulation (EC) No.1272/2008)</w:t>
      </w:r>
      <w:r>
        <w:rPr>
          <w:iCs/>
          <w:lang w:eastAsia="en-US"/>
        </w:rPr>
        <w:t xml:space="preserve"> </w:t>
      </w:r>
      <w:r w:rsidRPr="004743C4">
        <w:rPr>
          <w:iCs/>
          <w:lang w:eastAsia="en-US"/>
        </w:rPr>
        <w:t>based on the available data on each component</w:t>
      </w:r>
      <w:r w:rsidRPr="00DC12AC">
        <w:rPr>
          <w:iCs/>
          <w:lang w:eastAsia="en-US"/>
        </w:rPr>
        <w:t>.</w:t>
      </w:r>
    </w:p>
    <w:p w14:paraId="3EFCCD4F" w14:textId="77777777" w:rsidR="00E600AE" w:rsidRPr="00492007" w:rsidRDefault="00E600AE" w:rsidP="00E600AE">
      <w:pPr>
        <w:rPr>
          <w:i/>
          <w:iCs/>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8"/>
        <w:gridCol w:w="6946"/>
      </w:tblGrid>
      <w:tr w:rsidR="00E600AE" w:rsidRPr="00492007" w14:paraId="29B8D1AB" w14:textId="77777777" w:rsidTr="00E600AE">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35D34A2" w14:textId="77777777" w:rsidR="00E600AE" w:rsidRPr="00492007" w:rsidRDefault="00E600AE" w:rsidP="00D641F2">
            <w:pPr>
              <w:rPr>
                <w:b/>
                <w:bCs/>
                <w:lang w:eastAsia="en-US"/>
              </w:rPr>
            </w:pPr>
            <w:r w:rsidRPr="00492007">
              <w:rPr>
                <w:b/>
                <w:bCs/>
                <w:lang w:eastAsia="en-US"/>
              </w:rPr>
              <w:t>Conclusion used in Risk Assessment – Skin corrosion and irritation</w:t>
            </w:r>
          </w:p>
        </w:tc>
      </w:tr>
      <w:tr w:rsidR="00E600AE" w:rsidRPr="00492007" w14:paraId="165640FA" w14:textId="77777777" w:rsidTr="00E600AE">
        <w:trPr>
          <w:trHeight w:val="298"/>
        </w:trPr>
        <w:tc>
          <w:tcPr>
            <w:tcW w:w="1231" w:type="pct"/>
            <w:tcBorders>
              <w:top w:val="single" w:sz="6" w:space="0" w:color="auto"/>
              <w:left w:val="single" w:sz="4" w:space="0" w:color="auto"/>
              <w:bottom w:val="single" w:sz="6" w:space="0" w:color="auto"/>
              <w:right w:val="single" w:sz="6" w:space="0" w:color="auto"/>
            </w:tcBorders>
            <w:shd w:val="clear" w:color="auto" w:fill="auto"/>
          </w:tcPr>
          <w:p w14:paraId="3250440B" w14:textId="77777777" w:rsidR="00E600AE" w:rsidRPr="00492007" w:rsidRDefault="00E600AE" w:rsidP="00D641F2">
            <w:pPr>
              <w:rPr>
                <w:lang w:eastAsia="en-US"/>
              </w:rPr>
            </w:pPr>
            <w:r w:rsidRPr="00492007">
              <w:rPr>
                <w:lang w:eastAsia="en-US"/>
              </w:rPr>
              <w:t>Value/conclusion</w:t>
            </w:r>
          </w:p>
        </w:tc>
        <w:tc>
          <w:tcPr>
            <w:tcW w:w="3769" w:type="pct"/>
            <w:tcBorders>
              <w:top w:val="single" w:sz="6" w:space="0" w:color="auto"/>
              <w:left w:val="single" w:sz="6" w:space="0" w:color="auto"/>
              <w:bottom w:val="single" w:sz="6" w:space="0" w:color="auto"/>
              <w:right w:val="single" w:sz="6" w:space="0" w:color="auto"/>
            </w:tcBorders>
          </w:tcPr>
          <w:p w14:paraId="4C4F394E" w14:textId="77777777" w:rsidR="00E600AE" w:rsidRPr="00492007" w:rsidRDefault="00E600AE" w:rsidP="00E600AE">
            <w:pPr>
              <w:jc w:val="both"/>
              <w:rPr>
                <w:lang w:eastAsia="en-US"/>
              </w:rPr>
            </w:pPr>
            <w:r w:rsidRPr="004743C4">
              <w:rPr>
                <w:lang w:eastAsia="en-US"/>
              </w:rPr>
              <w:t>According to the composition, none of the component is toxicologically relevant for skin irritation or corrosion.</w:t>
            </w:r>
          </w:p>
        </w:tc>
      </w:tr>
      <w:tr w:rsidR="00E600AE" w:rsidRPr="00492007" w14:paraId="24762459" w14:textId="77777777" w:rsidTr="00E600AE">
        <w:tc>
          <w:tcPr>
            <w:tcW w:w="1231" w:type="pct"/>
            <w:tcBorders>
              <w:top w:val="single" w:sz="6" w:space="0" w:color="auto"/>
              <w:left w:val="single" w:sz="4" w:space="0" w:color="auto"/>
              <w:bottom w:val="single" w:sz="6" w:space="0" w:color="auto"/>
              <w:right w:val="single" w:sz="6" w:space="0" w:color="auto"/>
            </w:tcBorders>
            <w:shd w:val="clear" w:color="auto" w:fill="auto"/>
          </w:tcPr>
          <w:p w14:paraId="06076FEB" w14:textId="77777777" w:rsidR="00E600AE" w:rsidRPr="00492007" w:rsidRDefault="00E600AE" w:rsidP="00D641F2">
            <w:pPr>
              <w:rPr>
                <w:lang w:eastAsia="en-US"/>
              </w:rPr>
            </w:pPr>
            <w:r w:rsidRPr="00492007">
              <w:rPr>
                <w:lang w:eastAsia="en-US"/>
              </w:rPr>
              <w:t xml:space="preserve">Classification of the product according to CLP </w:t>
            </w:r>
          </w:p>
        </w:tc>
        <w:tc>
          <w:tcPr>
            <w:tcW w:w="3769" w:type="pct"/>
            <w:tcBorders>
              <w:top w:val="single" w:sz="6" w:space="0" w:color="auto"/>
              <w:left w:val="single" w:sz="6" w:space="0" w:color="auto"/>
              <w:bottom w:val="single" w:sz="6" w:space="0" w:color="auto"/>
              <w:right w:val="single" w:sz="6" w:space="0" w:color="auto"/>
            </w:tcBorders>
          </w:tcPr>
          <w:p w14:paraId="665D4D94" w14:textId="77777777" w:rsidR="00E600AE" w:rsidRPr="00492007" w:rsidRDefault="00E600AE" w:rsidP="00D641F2">
            <w:pPr>
              <w:rPr>
                <w:lang w:eastAsia="en-US"/>
              </w:rPr>
            </w:pPr>
            <w:r w:rsidRPr="00492007">
              <w:rPr>
                <w:lang w:eastAsia="en-US"/>
              </w:rPr>
              <w:t>Not classified</w:t>
            </w:r>
          </w:p>
        </w:tc>
      </w:tr>
    </w:tbl>
    <w:p w14:paraId="635D2E4A" w14:textId="77777777" w:rsidR="009D0C0B" w:rsidRDefault="009D0C0B">
      <w:pPr>
        <w:spacing w:line="260" w:lineRule="atLeast"/>
        <w:rPr>
          <w:rFonts w:ascii="Times New Roman" w:eastAsia="Calibri" w:hAnsi="Times New Roman" w:cs="Times New Roman"/>
          <w:i/>
          <w:iCs/>
          <w:lang w:eastAsia="en-US"/>
        </w:rPr>
      </w:pPr>
    </w:p>
    <w:p w14:paraId="08C5C36C"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Eye irritation</w:t>
      </w:r>
    </w:p>
    <w:p w14:paraId="25E6C759" w14:textId="77777777" w:rsidR="00E600AE" w:rsidRPr="00492007" w:rsidRDefault="00E600AE" w:rsidP="00E600AE">
      <w:pPr>
        <w:jc w:val="both"/>
        <w:rPr>
          <w:iCs/>
          <w:lang w:eastAsia="en-US"/>
        </w:rPr>
      </w:pPr>
      <w:r w:rsidRPr="00492007">
        <w:rPr>
          <w:iCs/>
          <w:lang w:eastAsia="en-US"/>
        </w:rPr>
        <w:t>Bovine Corneal Opacity and Permeability (BCOP) Assay was conducted for the product I</w:t>
      </w:r>
      <w:r>
        <w:rPr>
          <w:iCs/>
          <w:lang w:eastAsia="en-US"/>
        </w:rPr>
        <w:t>odiguard</w:t>
      </w:r>
      <w:r w:rsidRPr="00492007">
        <w:rPr>
          <w:iCs/>
          <w:lang w:eastAsia="en-US"/>
        </w:rPr>
        <w:t>:</w:t>
      </w:r>
    </w:p>
    <w:p w14:paraId="217A7541" w14:textId="77777777" w:rsidR="00E600AE" w:rsidRPr="00492007" w:rsidRDefault="00E600AE" w:rsidP="00E600AE">
      <w:pPr>
        <w:rPr>
          <w:lang w:eastAsia="en-US"/>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1418"/>
        <w:gridCol w:w="2126"/>
        <w:gridCol w:w="1843"/>
        <w:gridCol w:w="1134"/>
        <w:gridCol w:w="1417"/>
      </w:tblGrid>
      <w:tr w:rsidR="00E600AE" w:rsidRPr="00492007" w14:paraId="4608110F" w14:textId="77777777" w:rsidTr="00E600AE">
        <w:trPr>
          <w:tblHeader/>
        </w:trPr>
        <w:tc>
          <w:tcPr>
            <w:tcW w:w="9214" w:type="dxa"/>
            <w:gridSpan w:val="6"/>
            <w:shd w:val="clear" w:color="auto" w:fill="FFFFCC"/>
          </w:tcPr>
          <w:p w14:paraId="71F102DF" w14:textId="77777777" w:rsidR="00E600AE" w:rsidRPr="00492007" w:rsidRDefault="00E600AE" w:rsidP="00D641F2">
            <w:pPr>
              <w:keepNext/>
              <w:widowControl w:val="0"/>
              <w:tabs>
                <w:tab w:val="center" w:pos="4536"/>
                <w:tab w:val="right" w:pos="9072"/>
              </w:tabs>
              <w:jc w:val="center"/>
              <w:rPr>
                <w:b/>
                <w:bCs/>
                <w:color w:val="000000"/>
                <w:lang w:eastAsia="en-GB"/>
              </w:rPr>
            </w:pPr>
            <w:r w:rsidRPr="00492007">
              <w:rPr>
                <w:b/>
                <w:bCs/>
                <w:color w:val="000000"/>
                <w:lang w:eastAsia="en-GB"/>
              </w:rPr>
              <w:lastRenderedPageBreak/>
              <w:t xml:space="preserve">Summary table of in vitro studies on serious eye damage and eye irritation </w:t>
            </w:r>
          </w:p>
        </w:tc>
      </w:tr>
      <w:tr w:rsidR="00E600AE" w:rsidRPr="00492007" w14:paraId="7A92183D" w14:textId="77777777" w:rsidTr="00E600AE">
        <w:trPr>
          <w:tblHeader/>
        </w:trPr>
        <w:tc>
          <w:tcPr>
            <w:tcW w:w="1276" w:type="dxa"/>
            <w:shd w:val="clear" w:color="auto" w:fill="auto"/>
            <w:tcMar>
              <w:top w:w="57" w:type="dxa"/>
              <w:bottom w:w="57" w:type="dxa"/>
            </w:tcMar>
          </w:tcPr>
          <w:p w14:paraId="3E834397" w14:textId="77777777" w:rsidR="00E600AE" w:rsidRPr="00492007" w:rsidRDefault="00E600AE" w:rsidP="00D641F2">
            <w:pPr>
              <w:keepNext/>
              <w:widowControl w:val="0"/>
              <w:tabs>
                <w:tab w:val="center" w:pos="4536"/>
                <w:tab w:val="right" w:pos="9072"/>
              </w:tabs>
              <w:rPr>
                <w:b/>
                <w:bCs/>
                <w:color w:val="000000"/>
                <w:lang w:eastAsia="en-GB"/>
              </w:rPr>
            </w:pPr>
            <w:r w:rsidRPr="00492007">
              <w:rPr>
                <w:b/>
                <w:bCs/>
                <w:color w:val="000000"/>
                <w:lang w:eastAsia="en-GB"/>
              </w:rPr>
              <w:t>Method,</w:t>
            </w:r>
            <w:r w:rsidRPr="00492007">
              <w:rPr>
                <w:b/>
                <w:bCs/>
                <w:color w:val="000000"/>
                <w:lang w:eastAsia="en-GB"/>
              </w:rPr>
              <w:br/>
              <w:t>Guideline,</w:t>
            </w:r>
          </w:p>
          <w:p w14:paraId="4CC4DB36" w14:textId="77777777" w:rsidR="00E600AE" w:rsidRPr="00492007" w:rsidRDefault="00E600AE" w:rsidP="00D641F2">
            <w:pPr>
              <w:keepNext/>
              <w:widowControl w:val="0"/>
              <w:tabs>
                <w:tab w:val="center" w:pos="4536"/>
                <w:tab w:val="right" w:pos="9072"/>
              </w:tabs>
              <w:rPr>
                <w:b/>
                <w:bCs/>
                <w:color w:val="000000"/>
                <w:lang w:eastAsia="en-GB"/>
              </w:rPr>
            </w:pPr>
            <w:r w:rsidRPr="00492007">
              <w:rPr>
                <w:b/>
                <w:lang w:eastAsia="en-GB"/>
              </w:rPr>
              <w:t>GLP status</w:t>
            </w:r>
            <w:r w:rsidRPr="00492007">
              <w:rPr>
                <w:b/>
                <w:bCs/>
                <w:color w:val="000000"/>
                <w:lang w:eastAsia="en-GB"/>
              </w:rPr>
              <w:t>, Reliability</w:t>
            </w:r>
          </w:p>
        </w:tc>
        <w:tc>
          <w:tcPr>
            <w:tcW w:w="1418" w:type="dxa"/>
            <w:shd w:val="clear" w:color="auto" w:fill="auto"/>
            <w:tcMar>
              <w:top w:w="57" w:type="dxa"/>
              <w:bottom w:w="57" w:type="dxa"/>
            </w:tcMar>
          </w:tcPr>
          <w:p w14:paraId="371A7AEA" w14:textId="77777777" w:rsidR="00E600AE" w:rsidRPr="00492007" w:rsidRDefault="00E600AE" w:rsidP="00D641F2">
            <w:pPr>
              <w:keepNext/>
              <w:widowControl w:val="0"/>
              <w:tabs>
                <w:tab w:val="center" w:pos="4536"/>
                <w:tab w:val="right" w:pos="9072"/>
              </w:tabs>
              <w:rPr>
                <w:b/>
                <w:bCs/>
                <w:color w:val="000000"/>
                <w:lang w:eastAsia="en-GB"/>
              </w:rPr>
            </w:pPr>
            <w:r w:rsidRPr="00492007">
              <w:rPr>
                <w:b/>
                <w:bCs/>
                <w:color w:val="000000"/>
                <w:lang w:eastAsia="en-GB"/>
              </w:rPr>
              <w:t>Test substance, Doses</w:t>
            </w:r>
          </w:p>
        </w:tc>
        <w:tc>
          <w:tcPr>
            <w:tcW w:w="2126" w:type="dxa"/>
            <w:shd w:val="clear" w:color="auto" w:fill="auto"/>
            <w:tcMar>
              <w:top w:w="57" w:type="dxa"/>
              <w:bottom w:w="57" w:type="dxa"/>
            </w:tcMar>
          </w:tcPr>
          <w:p w14:paraId="0DEA23C0" w14:textId="77777777" w:rsidR="00E600AE" w:rsidRPr="00492007" w:rsidRDefault="00E600AE" w:rsidP="00D641F2">
            <w:pPr>
              <w:keepNext/>
              <w:widowControl w:val="0"/>
              <w:tabs>
                <w:tab w:val="center" w:pos="4536"/>
                <w:tab w:val="right" w:pos="9072"/>
              </w:tabs>
              <w:rPr>
                <w:b/>
                <w:bCs/>
                <w:color w:val="000000"/>
                <w:lang w:eastAsia="en-GB"/>
              </w:rPr>
            </w:pPr>
            <w:r w:rsidRPr="00492007">
              <w:rPr>
                <w:b/>
                <w:bCs/>
                <w:color w:val="000000"/>
                <w:lang w:eastAsia="en-GB"/>
              </w:rPr>
              <w:t>Relevant information about the study</w:t>
            </w:r>
          </w:p>
        </w:tc>
        <w:tc>
          <w:tcPr>
            <w:tcW w:w="1843" w:type="dxa"/>
            <w:shd w:val="clear" w:color="auto" w:fill="auto"/>
            <w:tcMar>
              <w:top w:w="57" w:type="dxa"/>
              <w:bottom w:w="57" w:type="dxa"/>
            </w:tcMar>
          </w:tcPr>
          <w:p w14:paraId="6A6A2DD3" w14:textId="77777777" w:rsidR="00E600AE" w:rsidRPr="00492007" w:rsidRDefault="00E600AE" w:rsidP="00D641F2">
            <w:pPr>
              <w:keepNext/>
              <w:widowControl w:val="0"/>
              <w:tabs>
                <w:tab w:val="center" w:pos="4536"/>
                <w:tab w:val="right" w:pos="9072"/>
              </w:tabs>
              <w:rPr>
                <w:b/>
                <w:bCs/>
                <w:color w:val="000000"/>
                <w:lang w:eastAsia="en-GB"/>
              </w:rPr>
            </w:pPr>
            <w:r w:rsidRPr="00492007">
              <w:rPr>
                <w:b/>
                <w:bCs/>
                <w:color w:val="000000"/>
                <w:lang w:eastAsia="en-GB"/>
              </w:rPr>
              <w:t>Results</w:t>
            </w:r>
          </w:p>
          <w:p w14:paraId="066CF6E2" w14:textId="77777777" w:rsidR="00E600AE" w:rsidRPr="00492007" w:rsidRDefault="00E600AE" w:rsidP="00D641F2">
            <w:pPr>
              <w:keepNext/>
              <w:widowControl w:val="0"/>
              <w:tabs>
                <w:tab w:val="center" w:pos="4536"/>
                <w:tab w:val="right" w:pos="9072"/>
              </w:tabs>
              <w:rPr>
                <w:bCs/>
                <w:i/>
                <w:color w:val="000000"/>
                <w:lang w:eastAsia="en-GB"/>
              </w:rPr>
            </w:pPr>
            <w:r w:rsidRPr="00492007">
              <w:rPr>
                <w:bCs/>
                <w:i/>
                <w:color w:val="000000"/>
                <w:lang w:eastAsia="en-GB"/>
              </w:rPr>
              <w:t>(In vitro Irritancy score)</w:t>
            </w:r>
          </w:p>
        </w:tc>
        <w:tc>
          <w:tcPr>
            <w:tcW w:w="1134" w:type="dxa"/>
          </w:tcPr>
          <w:p w14:paraId="1D47FFEA" w14:textId="77777777" w:rsidR="00E600AE" w:rsidRPr="00492007" w:rsidRDefault="00E600AE" w:rsidP="00D641F2">
            <w:pPr>
              <w:keepNext/>
              <w:widowControl w:val="0"/>
              <w:tabs>
                <w:tab w:val="center" w:pos="4536"/>
                <w:tab w:val="right" w:pos="9072"/>
              </w:tabs>
              <w:rPr>
                <w:b/>
                <w:bCs/>
                <w:color w:val="000000"/>
                <w:lang w:eastAsia="en-GB"/>
              </w:rPr>
            </w:pPr>
            <w:r w:rsidRPr="00492007">
              <w:rPr>
                <w:b/>
                <w:lang w:eastAsia="en-GB"/>
              </w:rPr>
              <w:t xml:space="preserve">Remarks </w:t>
            </w:r>
          </w:p>
        </w:tc>
        <w:tc>
          <w:tcPr>
            <w:tcW w:w="1417" w:type="dxa"/>
            <w:shd w:val="clear" w:color="auto" w:fill="auto"/>
            <w:tcMar>
              <w:top w:w="57" w:type="dxa"/>
              <w:bottom w:w="57" w:type="dxa"/>
            </w:tcMar>
          </w:tcPr>
          <w:p w14:paraId="6E31763E" w14:textId="77777777" w:rsidR="00E600AE" w:rsidRPr="00492007" w:rsidRDefault="00E600AE" w:rsidP="00D641F2">
            <w:pPr>
              <w:keepNext/>
              <w:widowControl w:val="0"/>
              <w:tabs>
                <w:tab w:val="center" w:pos="4536"/>
                <w:tab w:val="right" w:pos="9072"/>
              </w:tabs>
              <w:rPr>
                <w:b/>
                <w:bCs/>
                <w:color w:val="000000"/>
                <w:lang w:eastAsia="en-GB"/>
              </w:rPr>
            </w:pPr>
            <w:r w:rsidRPr="00492007">
              <w:rPr>
                <w:b/>
                <w:bCs/>
                <w:color w:val="000000"/>
                <w:lang w:eastAsia="en-GB"/>
              </w:rPr>
              <w:t>Reference</w:t>
            </w:r>
          </w:p>
        </w:tc>
      </w:tr>
      <w:tr w:rsidR="00E600AE" w:rsidRPr="00492007" w14:paraId="7EC77914" w14:textId="77777777" w:rsidTr="00E600AE">
        <w:trPr>
          <w:tblHeader/>
        </w:trPr>
        <w:tc>
          <w:tcPr>
            <w:tcW w:w="1276" w:type="dxa"/>
            <w:shd w:val="clear" w:color="auto" w:fill="auto"/>
            <w:tcMar>
              <w:top w:w="57" w:type="dxa"/>
              <w:bottom w:w="57" w:type="dxa"/>
            </w:tcMar>
          </w:tcPr>
          <w:p w14:paraId="51B8D5C5" w14:textId="77777777" w:rsidR="00E600AE" w:rsidRPr="00E600AE" w:rsidRDefault="00E600AE" w:rsidP="00D641F2">
            <w:pPr>
              <w:keepNext/>
              <w:widowControl w:val="0"/>
              <w:tabs>
                <w:tab w:val="center" w:pos="4536"/>
                <w:tab w:val="right" w:pos="9072"/>
              </w:tabs>
              <w:spacing w:line="276" w:lineRule="auto"/>
              <w:rPr>
                <w:color w:val="000000"/>
                <w:lang w:eastAsia="en-GB"/>
              </w:rPr>
            </w:pPr>
            <w:r w:rsidRPr="00E600AE">
              <w:rPr>
                <w:color w:val="000000"/>
                <w:lang w:eastAsia="en-GB"/>
              </w:rPr>
              <w:t>OECD 437</w:t>
            </w:r>
          </w:p>
          <w:p w14:paraId="3AEDB8EA" w14:textId="77777777" w:rsidR="00E600AE" w:rsidRPr="00E600AE" w:rsidRDefault="00E600AE" w:rsidP="00D641F2">
            <w:pPr>
              <w:keepNext/>
              <w:widowControl w:val="0"/>
              <w:tabs>
                <w:tab w:val="center" w:pos="4536"/>
                <w:tab w:val="right" w:pos="9072"/>
              </w:tabs>
              <w:spacing w:line="276" w:lineRule="auto"/>
              <w:rPr>
                <w:color w:val="000000"/>
                <w:lang w:eastAsia="en-GB"/>
              </w:rPr>
            </w:pPr>
            <w:r w:rsidRPr="00E600AE">
              <w:rPr>
                <w:color w:val="000000"/>
                <w:lang w:eastAsia="en-GB"/>
              </w:rPr>
              <w:t>GLP</w:t>
            </w:r>
          </w:p>
        </w:tc>
        <w:tc>
          <w:tcPr>
            <w:tcW w:w="1418" w:type="dxa"/>
            <w:tcMar>
              <w:top w:w="57" w:type="dxa"/>
              <w:bottom w:w="57" w:type="dxa"/>
            </w:tcMar>
          </w:tcPr>
          <w:p w14:paraId="4CDBB463" w14:textId="77777777" w:rsidR="00E600AE" w:rsidRPr="00E600AE" w:rsidRDefault="00E600AE" w:rsidP="00D641F2">
            <w:pPr>
              <w:keepNext/>
              <w:widowControl w:val="0"/>
              <w:tabs>
                <w:tab w:val="center" w:pos="4536"/>
                <w:tab w:val="right" w:pos="9072"/>
              </w:tabs>
              <w:spacing w:line="276" w:lineRule="auto"/>
              <w:rPr>
                <w:color w:val="000000"/>
                <w:lang w:eastAsia="en-GB"/>
              </w:rPr>
            </w:pPr>
            <w:r w:rsidRPr="00E600AE">
              <w:rPr>
                <w:color w:val="000000"/>
                <w:lang w:eastAsia="en-GB"/>
              </w:rPr>
              <w:t>Iodiguard</w:t>
            </w:r>
          </w:p>
          <w:p w14:paraId="23A40977" w14:textId="77777777" w:rsidR="00E600AE" w:rsidRPr="00E600AE" w:rsidRDefault="00E600AE" w:rsidP="00D641F2">
            <w:pPr>
              <w:keepNext/>
              <w:widowControl w:val="0"/>
              <w:tabs>
                <w:tab w:val="center" w:pos="4536"/>
                <w:tab w:val="right" w:pos="9072"/>
              </w:tabs>
              <w:spacing w:line="276" w:lineRule="auto"/>
              <w:rPr>
                <w:color w:val="000000"/>
                <w:lang w:eastAsia="en-GB"/>
              </w:rPr>
            </w:pPr>
            <w:r w:rsidRPr="00E600AE">
              <w:rPr>
                <w:color w:val="000000"/>
                <w:lang w:eastAsia="en-GB"/>
              </w:rPr>
              <w:t>0.75 mL</w:t>
            </w:r>
          </w:p>
        </w:tc>
        <w:tc>
          <w:tcPr>
            <w:tcW w:w="2126" w:type="dxa"/>
            <w:shd w:val="clear" w:color="auto" w:fill="auto"/>
            <w:tcMar>
              <w:top w:w="57" w:type="dxa"/>
              <w:bottom w:w="57" w:type="dxa"/>
            </w:tcMar>
          </w:tcPr>
          <w:p w14:paraId="670BE95A" w14:textId="77777777" w:rsidR="00E600AE" w:rsidRPr="00E600AE" w:rsidRDefault="00E600AE" w:rsidP="00D641F2">
            <w:pPr>
              <w:keepNext/>
              <w:widowControl w:val="0"/>
              <w:tabs>
                <w:tab w:val="center" w:pos="4536"/>
                <w:tab w:val="right" w:pos="9072"/>
              </w:tabs>
              <w:spacing w:line="276" w:lineRule="auto"/>
              <w:rPr>
                <w:color w:val="000000"/>
                <w:lang w:eastAsia="en-GB"/>
              </w:rPr>
            </w:pPr>
            <w:r w:rsidRPr="00E600AE">
              <w:rPr>
                <w:color w:val="000000"/>
                <w:lang w:eastAsia="en-GB"/>
              </w:rPr>
              <w:t>Negative control: 0.9% w/w sodium chloride</w:t>
            </w:r>
          </w:p>
          <w:p w14:paraId="4F041AB4" w14:textId="77777777" w:rsidR="00E600AE" w:rsidRPr="00E600AE" w:rsidRDefault="00E600AE" w:rsidP="00D641F2">
            <w:pPr>
              <w:keepNext/>
              <w:widowControl w:val="0"/>
              <w:tabs>
                <w:tab w:val="center" w:pos="4536"/>
                <w:tab w:val="right" w:pos="9072"/>
              </w:tabs>
              <w:spacing w:line="276" w:lineRule="auto"/>
              <w:rPr>
                <w:color w:val="000000"/>
                <w:lang w:eastAsia="en-GB"/>
              </w:rPr>
            </w:pPr>
            <w:r w:rsidRPr="00E600AE">
              <w:rPr>
                <w:color w:val="000000"/>
                <w:lang w:eastAsia="en-GB"/>
              </w:rPr>
              <w:t>Positive control: neat ethanol</w:t>
            </w:r>
          </w:p>
        </w:tc>
        <w:tc>
          <w:tcPr>
            <w:tcW w:w="1843" w:type="dxa"/>
            <w:shd w:val="clear" w:color="auto" w:fill="auto"/>
            <w:tcMar>
              <w:top w:w="57" w:type="dxa"/>
              <w:bottom w:w="57" w:type="dxa"/>
            </w:tcMar>
          </w:tcPr>
          <w:p w14:paraId="6B8152A4" w14:textId="77777777" w:rsidR="00E600AE" w:rsidRPr="00E600AE" w:rsidRDefault="00E600AE" w:rsidP="00D641F2">
            <w:pPr>
              <w:rPr>
                <w:lang w:eastAsia="en-US"/>
              </w:rPr>
            </w:pPr>
            <w:r w:rsidRPr="00E600AE">
              <w:rPr>
                <w:lang w:eastAsia="en-US"/>
              </w:rPr>
              <w:t>Test Item: 1.6</w:t>
            </w:r>
          </w:p>
          <w:p w14:paraId="5B4C42F4" w14:textId="77777777" w:rsidR="00E600AE" w:rsidRPr="00E600AE" w:rsidRDefault="00E600AE" w:rsidP="00D641F2">
            <w:pPr>
              <w:rPr>
                <w:lang w:eastAsia="en-US"/>
              </w:rPr>
            </w:pPr>
            <w:r w:rsidRPr="00E600AE">
              <w:rPr>
                <w:lang w:eastAsia="en-US"/>
              </w:rPr>
              <w:t>Negative control: 1.4</w:t>
            </w:r>
          </w:p>
          <w:p w14:paraId="17B181B4" w14:textId="77777777" w:rsidR="00E600AE" w:rsidRPr="00E600AE" w:rsidRDefault="00E600AE" w:rsidP="00D641F2">
            <w:pPr>
              <w:rPr>
                <w:lang w:eastAsia="en-US"/>
              </w:rPr>
            </w:pPr>
            <w:r w:rsidRPr="00E600AE">
              <w:rPr>
                <w:lang w:eastAsia="en-US"/>
              </w:rPr>
              <w:t>Positive control: 39.7</w:t>
            </w:r>
          </w:p>
        </w:tc>
        <w:tc>
          <w:tcPr>
            <w:tcW w:w="1134" w:type="dxa"/>
          </w:tcPr>
          <w:p w14:paraId="0FC9A1EC" w14:textId="77777777" w:rsidR="00E600AE" w:rsidRPr="00E600AE" w:rsidRDefault="00E600AE" w:rsidP="00D641F2">
            <w:pPr>
              <w:keepNext/>
              <w:widowControl w:val="0"/>
              <w:tabs>
                <w:tab w:val="center" w:pos="4536"/>
                <w:tab w:val="right" w:pos="9072"/>
              </w:tabs>
              <w:spacing w:line="276" w:lineRule="auto"/>
              <w:jc w:val="center"/>
              <w:rPr>
                <w:color w:val="000000"/>
                <w:lang w:eastAsia="en-GB"/>
              </w:rPr>
            </w:pPr>
            <w:r w:rsidRPr="00E600AE">
              <w:rPr>
                <w:color w:val="000000"/>
                <w:lang w:eastAsia="en-GB"/>
              </w:rPr>
              <w:t>None</w:t>
            </w:r>
          </w:p>
        </w:tc>
        <w:tc>
          <w:tcPr>
            <w:tcW w:w="1417" w:type="dxa"/>
            <w:shd w:val="clear" w:color="auto" w:fill="auto"/>
            <w:tcMar>
              <w:top w:w="57" w:type="dxa"/>
              <w:bottom w:w="57" w:type="dxa"/>
            </w:tcMar>
          </w:tcPr>
          <w:p w14:paraId="455591CF" w14:textId="77777777" w:rsidR="00E600AE" w:rsidRPr="00E600AE" w:rsidRDefault="00E600AE" w:rsidP="00D641F2">
            <w:pPr>
              <w:keepNext/>
              <w:widowControl w:val="0"/>
              <w:tabs>
                <w:tab w:val="center" w:pos="4536"/>
                <w:tab w:val="right" w:pos="9072"/>
              </w:tabs>
              <w:spacing w:line="276" w:lineRule="auto"/>
              <w:jc w:val="center"/>
              <w:rPr>
                <w:color w:val="000000"/>
                <w:lang w:eastAsia="en-GB"/>
              </w:rPr>
            </w:pPr>
            <w:r w:rsidRPr="0072604A">
              <w:rPr>
                <w:highlight w:val="yellow"/>
                <w:lang w:eastAsia="en-US"/>
              </w:rPr>
              <w:t>N. Warren</w:t>
            </w:r>
            <w:r w:rsidRPr="00E600AE">
              <w:rPr>
                <w:lang w:eastAsia="en-US"/>
              </w:rPr>
              <w:t>, 2015</w:t>
            </w:r>
          </w:p>
        </w:tc>
      </w:tr>
    </w:tbl>
    <w:p w14:paraId="457CEE06" w14:textId="77777777" w:rsidR="00E600AE" w:rsidRPr="00492007" w:rsidRDefault="00E600AE" w:rsidP="00E600AE">
      <w:pPr>
        <w:rPr>
          <w:lang w:eastAsia="en-US"/>
        </w:rPr>
      </w:pPr>
    </w:p>
    <w:p w14:paraId="64C43C76" w14:textId="77777777" w:rsidR="00E600AE" w:rsidRPr="00492007" w:rsidRDefault="00E600AE" w:rsidP="00E600AE">
      <w:pPr>
        <w:rPr>
          <w:i/>
          <w:iCs/>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8"/>
        <w:gridCol w:w="6946"/>
      </w:tblGrid>
      <w:tr w:rsidR="00E600AE" w:rsidRPr="00492007" w14:paraId="42273A66" w14:textId="77777777" w:rsidTr="00E600AE">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750645D" w14:textId="77777777" w:rsidR="00E600AE" w:rsidRPr="00492007" w:rsidRDefault="00E600AE" w:rsidP="00D641F2">
            <w:pPr>
              <w:rPr>
                <w:b/>
                <w:bCs/>
                <w:lang w:eastAsia="en-US"/>
              </w:rPr>
            </w:pPr>
            <w:r w:rsidRPr="00492007">
              <w:rPr>
                <w:b/>
                <w:bCs/>
                <w:lang w:eastAsia="en-US"/>
              </w:rPr>
              <w:t xml:space="preserve">Conclusion used in Risk Assessment – Eye irritation </w:t>
            </w:r>
          </w:p>
        </w:tc>
      </w:tr>
      <w:tr w:rsidR="00E600AE" w:rsidRPr="00492007" w14:paraId="0D6E1DAA" w14:textId="77777777" w:rsidTr="00E600AE">
        <w:trPr>
          <w:trHeight w:val="298"/>
        </w:trPr>
        <w:tc>
          <w:tcPr>
            <w:tcW w:w="1231" w:type="pct"/>
            <w:tcBorders>
              <w:top w:val="single" w:sz="6" w:space="0" w:color="auto"/>
              <w:left w:val="single" w:sz="4" w:space="0" w:color="auto"/>
              <w:bottom w:val="single" w:sz="6" w:space="0" w:color="auto"/>
              <w:right w:val="single" w:sz="6" w:space="0" w:color="auto"/>
            </w:tcBorders>
            <w:shd w:val="clear" w:color="auto" w:fill="auto"/>
          </w:tcPr>
          <w:p w14:paraId="75F82322" w14:textId="77777777" w:rsidR="00E600AE" w:rsidRPr="00492007" w:rsidRDefault="00E600AE" w:rsidP="00D641F2">
            <w:pPr>
              <w:rPr>
                <w:lang w:eastAsia="en-US"/>
              </w:rPr>
            </w:pPr>
            <w:r w:rsidRPr="00492007">
              <w:rPr>
                <w:lang w:eastAsia="en-US"/>
              </w:rPr>
              <w:t>Value/conclusion</w:t>
            </w:r>
          </w:p>
        </w:tc>
        <w:tc>
          <w:tcPr>
            <w:tcW w:w="3769" w:type="pct"/>
            <w:tcBorders>
              <w:top w:val="single" w:sz="6" w:space="0" w:color="auto"/>
              <w:left w:val="single" w:sz="6" w:space="0" w:color="auto"/>
              <w:bottom w:val="single" w:sz="6" w:space="0" w:color="auto"/>
              <w:right w:val="single" w:sz="6" w:space="0" w:color="auto"/>
            </w:tcBorders>
          </w:tcPr>
          <w:p w14:paraId="4B68C583" w14:textId="77777777" w:rsidR="00E600AE" w:rsidRPr="00492007" w:rsidRDefault="00E600AE" w:rsidP="00D641F2">
            <w:pPr>
              <w:rPr>
                <w:lang w:eastAsia="en-US"/>
              </w:rPr>
            </w:pPr>
            <w:r w:rsidRPr="00492007">
              <w:rPr>
                <w:i/>
                <w:lang w:eastAsia="en-US"/>
              </w:rPr>
              <w:t>In vitro</w:t>
            </w:r>
            <w:r w:rsidRPr="00492007">
              <w:rPr>
                <w:lang w:eastAsia="en-US"/>
              </w:rPr>
              <w:t xml:space="preserve"> irritancy score of the test item: 1.6</w:t>
            </w:r>
            <w:r>
              <w:rPr>
                <w:lang w:eastAsia="en-US"/>
              </w:rPr>
              <w:t xml:space="preserve">. </w:t>
            </w:r>
          </w:p>
        </w:tc>
      </w:tr>
      <w:tr w:rsidR="00E600AE" w:rsidRPr="00492007" w14:paraId="70437862" w14:textId="77777777" w:rsidTr="00E600AE">
        <w:tc>
          <w:tcPr>
            <w:tcW w:w="1231" w:type="pct"/>
            <w:tcBorders>
              <w:top w:val="single" w:sz="6" w:space="0" w:color="auto"/>
              <w:left w:val="single" w:sz="4" w:space="0" w:color="auto"/>
              <w:bottom w:val="single" w:sz="6" w:space="0" w:color="auto"/>
              <w:right w:val="single" w:sz="6" w:space="0" w:color="auto"/>
            </w:tcBorders>
            <w:shd w:val="clear" w:color="auto" w:fill="auto"/>
          </w:tcPr>
          <w:p w14:paraId="5474CBE3" w14:textId="77777777" w:rsidR="00E600AE" w:rsidRPr="00492007" w:rsidRDefault="00E600AE" w:rsidP="00D641F2">
            <w:pPr>
              <w:rPr>
                <w:lang w:eastAsia="en-US"/>
              </w:rPr>
            </w:pPr>
            <w:r w:rsidRPr="00492007">
              <w:rPr>
                <w:lang w:eastAsia="en-US"/>
              </w:rPr>
              <w:t xml:space="preserve">Classification of the product according to CLP </w:t>
            </w:r>
          </w:p>
        </w:tc>
        <w:tc>
          <w:tcPr>
            <w:tcW w:w="3769" w:type="pct"/>
            <w:tcBorders>
              <w:top w:val="single" w:sz="6" w:space="0" w:color="auto"/>
              <w:left w:val="single" w:sz="6" w:space="0" w:color="auto"/>
              <w:bottom w:val="single" w:sz="6" w:space="0" w:color="auto"/>
              <w:right w:val="single" w:sz="6" w:space="0" w:color="auto"/>
            </w:tcBorders>
          </w:tcPr>
          <w:p w14:paraId="1FBEA819" w14:textId="77777777" w:rsidR="00E600AE" w:rsidRPr="00492007" w:rsidRDefault="00E600AE" w:rsidP="00E75423">
            <w:pPr>
              <w:jc w:val="both"/>
              <w:rPr>
                <w:lang w:eastAsia="en-US"/>
              </w:rPr>
            </w:pPr>
            <w:r>
              <w:rPr>
                <w:lang w:eastAsia="en-US"/>
              </w:rPr>
              <w:t>A</w:t>
            </w:r>
            <w:r w:rsidR="00E75423">
              <w:rPr>
                <w:lang w:eastAsia="en-US"/>
              </w:rPr>
              <w:t>n</w:t>
            </w:r>
            <w:r>
              <w:rPr>
                <w:lang w:eastAsia="en-US"/>
              </w:rPr>
              <w:t xml:space="preserve"> </w:t>
            </w:r>
            <w:r w:rsidRPr="00DC12AC">
              <w:rPr>
                <w:i/>
                <w:lang w:eastAsia="en-US"/>
              </w:rPr>
              <w:t>in vitro</w:t>
            </w:r>
            <w:r>
              <w:rPr>
                <w:lang w:eastAsia="en-US"/>
              </w:rPr>
              <w:t xml:space="preserve"> assay was provided by applicant.</w:t>
            </w:r>
            <w:r w:rsidR="005B142E">
              <w:rPr>
                <w:lang w:eastAsia="en-US"/>
              </w:rPr>
              <w:t xml:space="preserve"> No classification is needed for this endpoint. </w:t>
            </w:r>
          </w:p>
        </w:tc>
      </w:tr>
    </w:tbl>
    <w:p w14:paraId="676E355F" w14:textId="77777777" w:rsidR="002033E4" w:rsidRDefault="002033E4">
      <w:pPr>
        <w:rPr>
          <w:rFonts w:ascii="Times New Roman" w:eastAsia="Calibri" w:hAnsi="Times New Roman" w:cs="Times New Roman"/>
          <w:i/>
          <w:iCs/>
          <w:lang w:eastAsia="en-US"/>
        </w:rPr>
      </w:pPr>
    </w:p>
    <w:p w14:paraId="0A025B67"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 xml:space="preserve">Respiratory tract irritation </w:t>
      </w:r>
    </w:p>
    <w:p w14:paraId="17792263" w14:textId="77777777" w:rsidR="00E600AE" w:rsidRDefault="00E600AE" w:rsidP="00E600AE">
      <w:pPr>
        <w:jc w:val="both"/>
        <w:rPr>
          <w:iCs/>
          <w:lang w:eastAsia="en-US"/>
        </w:rPr>
      </w:pPr>
      <w:r w:rsidRPr="004743C4">
        <w:rPr>
          <w:iCs/>
          <w:lang w:eastAsia="en-US"/>
        </w:rPr>
        <w:t>In order to avoid unnecessary animal experiment, no study of respiratory tract irritation is available</w:t>
      </w:r>
      <w:r w:rsidRPr="004743C4">
        <w:rPr>
          <w:lang w:eastAsia="en-US"/>
        </w:rPr>
        <w:t xml:space="preserve">. </w:t>
      </w:r>
      <w:r w:rsidRPr="004743C4">
        <w:rPr>
          <w:iCs/>
          <w:lang w:eastAsia="en-US"/>
        </w:rPr>
        <w:t xml:space="preserve">Classification is </w:t>
      </w:r>
      <w:r>
        <w:rPr>
          <w:iCs/>
          <w:lang w:eastAsia="en-US"/>
        </w:rPr>
        <w:t xml:space="preserve">determined </w:t>
      </w:r>
      <w:r w:rsidRPr="009A52EC">
        <w:rPr>
          <w:iCs/>
          <w:lang w:eastAsia="en-US"/>
        </w:rPr>
        <w:t>by calculation according to the CLP Regulation (Regulation (EC) No.1272/2008)</w:t>
      </w:r>
      <w:r>
        <w:rPr>
          <w:iCs/>
          <w:lang w:eastAsia="en-US"/>
        </w:rPr>
        <w:t xml:space="preserve"> </w:t>
      </w:r>
      <w:r w:rsidRPr="004743C4">
        <w:rPr>
          <w:iCs/>
          <w:lang w:eastAsia="en-US"/>
        </w:rPr>
        <w:t>based on the available data on each component</w:t>
      </w:r>
      <w:r>
        <w:rPr>
          <w:iCs/>
          <w:lang w:eastAsia="en-US"/>
        </w:rPr>
        <w:t>.</w:t>
      </w:r>
    </w:p>
    <w:p w14:paraId="1D28EAA3" w14:textId="77777777" w:rsidR="00E600AE" w:rsidRPr="00492007" w:rsidRDefault="00E600AE" w:rsidP="00E600AE">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8"/>
        <w:gridCol w:w="6946"/>
      </w:tblGrid>
      <w:tr w:rsidR="00E600AE" w:rsidRPr="00492007" w14:paraId="2B90431A" w14:textId="77777777" w:rsidTr="00E600AE">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5BE2B4F" w14:textId="77777777" w:rsidR="00E600AE" w:rsidRPr="00492007" w:rsidRDefault="00E600AE" w:rsidP="00D641F2">
            <w:pPr>
              <w:keepNext/>
              <w:keepLines/>
              <w:spacing w:before="60" w:after="60"/>
              <w:jc w:val="center"/>
              <w:rPr>
                <w:b/>
                <w:lang w:eastAsia="da-DK"/>
              </w:rPr>
            </w:pPr>
            <w:r w:rsidRPr="00492007">
              <w:rPr>
                <w:b/>
                <w:bCs/>
                <w:lang w:eastAsia="en-US"/>
              </w:rPr>
              <w:t>Conclusion used in the Risk Assessment – Respiratory tract irritation</w:t>
            </w:r>
          </w:p>
        </w:tc>
      </w:tr>
      <w:tr w:rsidR="00E600AE" w:rsidRPr="00492007" w14:paraId="516497A3" w14:textId="77777777" w:rsidTr="002033E4">
        <w:tc>
          <w:tcPr>
            <w:tcW w:w="1231" w:type="pct"/>
            <w:tcBorders>
              <w:top w:val="single" w:sz="6" w:space="0" w:color="auto"/>
              <w:left w:val="single" w:sz="4" w:space="0" w:color="auto"/>
              <w:bottom w:val="single" w:sz="6" w:space="0" w:color="auto"/>
              <w:right w:val="single" w:sz="6" w:space="0" w:color="auto"/>
            </w:tcBorders>
            <w:shd w:val="clear" w:color="auto" w:fill="auto"/>
          </w:tcPr>
          <w:p w14:paraId="586B0846" w14:textId="77777777" w:rsidR="00E600AE" w:rsidRPr="00492007" w:rsidRDefault="00E600AE" w:rsidP="00D641F2">
            <w:pPr>
              <w:keepNext/>
              <w:keepLines/>
              <w:spacing w:before="60" w:after="60"/>
              <w:rPr>
                <w:bCs/>
                <w:lang w:eastAsia="en-US"/>
              </w:rPr>
            </w:pPr>
            <w:r w:rsidRPr="00492007">
              <w:rPr>
                <w:bCs/>
                <w:lang w:eastAsia="en-US"/>
              </w:rPr>
              <w:t>Classification of the product according to CLP</w:t>
            </w:r>
          </w:p>
        </w:tc>
        <w:tc>
          <w:tcPr>
            <w:tcW w:w="3769" w:type="pct"/>
            <w:tcBorders>
              <w:top w:val="single" w:sz="6" w:space="0" w:color="auto"/>
              <w:left w:val="single" w:sz="6" w:space="0" w:color="auto"/>
              <w:bottom w:val="single" w:sz="6" w:space="0" w:color="auto"/>
              <w:right w:val="single" w:sz="6" w:space="0" w:color="auto"/>
            </w:tcBorders>
          </w:tcPr>
          <w:p w14:paraId="1D293861" w14:textId="77777777" w:rsidR="00E600AE" w:rsidRPr="00492007" w:rsidRDefault="00E600AE" w:rsidP="00D641F2">
            <w:pPr>
              <w:keepNext/>
              <w:keepLines/>
              <w:spacing w:before="60" w:after="60"/>
              <w:rPr>
                <w:bCs/>
                <w:lang w:eastAsia="en-US"/>
              </w:rPr>
            </w:pPr>
            <w:r w:rsidRPr="00492007">
              <w:rPr>
                <w:bCs/>
                <w:lang w:eastAsia="en-US"/>
              </w:rPr>
              <w:t>Not classified</w:t>
            </w:r>
          </w:p>
        </w:tc>
      </w:tr>
    </w:tbl>
    <w:p w14:paraId="1B1A1D1C" w14:textId="77777777" w:rsidR="009D0C0B" w:rsidRDefault="009D0C0B">
      <w:pPr>
        <w:spacing w:line="260" w:lineRule="atLeast"/>
        <w:rPr>
          <w:rFonts w:eastAsia="Calibri"/>
          <w:lang w:eastAsia="en-US"/>
        </w:rPr>
      </w:pPr>
    </w:p>
    <w:p w14:paraId="53DB8D4B"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sensitization</w:t>
      </w:r>
    </w:p>
    <w:p w14:paraId="28C85316" w14:textId="77777777" w:rsidR="00E600AE" w:rsidRPr="004743C4" w:rsidRDefault="00E600AE" w:rsidP="00E600AE">
      <w:pPr>
        <w:jc w:val="both"/>
        <w:rPr>
          <w:i/>
          <w:iCs/>
          <w:lang w:eastAsia="en-US"/>
        </w:rPr>
      </w:pPr>
      <w:r w:rsidRPr="004743C4">
        <w:rPr>
          <w:iCs/>
          <w:lang w:eastAsia="en-US"/>
        </w:rPr>
        <w:t xml:space="preserve">In order to avoid unnecessary animal experiment, skin sensitization study was not conducted. Classification is </w:t>
      </w:r>
      <w:r>
        <w:rPr>
          <w:iCs/>
          <w:lang w:eastAsia="en-US"/>
        </w:rPr>
        <w:t xml:space="preserve">determined </w:t>
      </w:r>
      <w:r w:rsidRPr="009A52EC">
        <w:rPr>
          <w:iCs/>
          <w:lang w:eastAsia="en-US"/>
        </w:rPr>
        <w:t>by calculation according to the CLP Regulation (Regulation (EC) No.1272/2008)</w:t>
      </w:r>
      <w:r>
        <w:rPr>
          <w:iCs/>
          <w:lang w:eastAsia="en-US"/>
        </w:rPr>
        <w:t xml:space="preserve"> </w:t>
      </w:r>
      <w:r w:rsidRPr="004743C4">
        <w:rPr>
          <w:iCs/>
          <w:lang w:eastAsia="en-US"/>
        </w:rPr>
        <w:t>based on the available data on each component</w:t>
      </w:r>
      <w:r w:rsidRPr="004743C4">
        <w:rPr>
          <w:lang w:eastAsia="en-US"/>
        </w:rPr>
        <w:t>.</w:t>
      </w:r>
    </w:p>
    <w:p w14:paraId="2828287E" w14:textId="77777777" w:rsidR="00E600AE" w:rsidRPr="00492007" w:rsidRDefault="00E600AE" w:rsidP="00E600AE">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8"/>
        <w:gridCol w:w="6946"/>
      </w:tblGrid>
      <w:tr w:rsidR="00E600AE" w:rsidRPr="00492007" w14:paraId="2EB68424" w14:textId="77777777" w:rsidTr="002033E4">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7A637C7" w14:textId="77777777" w:rsidR="00E600AE" w:rsidRPr="00492007" w:rsidRDefault="00E600AE" w:rsidP="00D641F2">
            <w:pPr>
              <w:rPr>
                <w:b/>
                <w:bCs/>
                <w:lang w:eastAsia="en-US"/>
              </w:rPr>
            </w:pPr>
            <w:r w:rsidRPr="00492007">
              <w:rPr>
                <w:b/>
                <w:bCs/>
                <w:lang w:eastAsia="en-US"/>
              </w:rPr>
              <w:t>Conclusion used in Risk Assessment – Skin sensitisation</w:t>
            </w:r>
          </w:p>
        </w:tc>
      </w:tr>
      <w:tr w:rsidR="00E600AE" w:rsidRPr="00492007" w14:paraId="4720C092" w14:textId="77777777" w:rsidTr="002033E4">
        <w:trPr>
          <w:trHeight w:val="298"/>
        </w:trPr>
        <w:tc>
          <w:tcPr>
            <w:tcW w:w="1231" w:type="pct"/>
            <w:tcBorders>
              <w:top w:val="single" w:sz="6" w:space="0" w:color="auto"/>
              <w:left w:val="single" w:sz="4" w:space="0" w:color="auto"/>
              <w:bottom w:val="single" w:sz="6" w:space="0" w:color="auto"/>
              <w:right w:val="single" w:sz="6" w:space="0" w:color="auto"/>
            </w:tcBorders>
            <w:shd w:val="clear" w:color="auto" w:fill="auto"/>
          </w:tcPr>
          <w:p w14:paraId="2AF8316C" w14:textId="77777777" w:rsidR="00E600AE" w:rsidRPr="00492007" w:rsidRDefault="00E600AE" w:rsidP="00D641F2">
            <w:pPr>
              <w:rPr>
                <w:lang w:eastAsia="en-US"/>
              </w:rPr>
            </w:pPr>
            <w:r w:rsidRPr="00492007">
              <w:rPr>
                <w:lang w:eastAsia="en-US"/>
              </w:rPr>
              <w:t>Value/conclusion</w:t>
            </w:r>
          </w:p>
        </w:tc>
        <w:tc>
          <w:tcPr>
            <w:tcW w:w="3769" w:type="pct"/>
            <w:tcBorders>
              <w:top w:val="single" w:sz="6" w:space="0" w:color="auto"/>
              <w:left w:val="single" w:sz="6" w:space="0" w:color="auto"/>
              <w:bottom w:val="single" w:sz="6" w:space="0" w:color="auto"/>
              <w:right w:val="single" w:sz="6" w:space="0" w:color="auto"/>
            </w:tcBorders>
          </w:tcPr>
          <w:p w14:paraId="0E8CB5A2" w14:textId="77777777" w:rsidR="00E600AE" w:rsidRPr="00492007" w:rsidRDefault="00E600AE" w:rsidP="00705A8C">
            <w:pPr>
              <w:jc w:val="both"/>
              <w:rPr>
                <w:lang w:eastAsia="en-US"/>
              </w:rPr>
            </w:pPr>
            <w:r w:rsidRPr="00492007">
              <w:rPr>
                <w:lang w:eastAsia="en-US"/>
              </w:rPr>
              <w:t>According to the composition, none of the component is toxicologically relevant for skin sensitisation.</w:t>
            </w:r>
          </w:p>
        </w:tc>
      </w:tr>
      <w:tr w:rsidR="00E600AE" w:rsidRPr="00492007" w14:paraId="09447270" w14:textId="77777777" w:rsidTr="002033E4">
        <w:tc>
          <w:tcPr>
            <w:tcW w:w="1231" w:type="pct"/>
            <w:tcBorders>
              <w:top w:val="single" w:sz="6" w:space="0" w:color="auto"/>
              <w:left w:val="single" w:sz="4" w:space="0" w:color="auto"/>
              <w:bottom w:val="single" w:sz="6" w:space="0" w:color="auto"/>
              <w:right w:val="single" w:sz="6" w:space="0" w:color="auto"/>
            </w:tcBorders>
            <w:shd w:val="clear" w:color="auto" w:fill="auto"/>
          </w:tcPr>
          <w:p w14:paraId="4E888E22" w14:textId="77777777" w:rsidR="00E600AE" w:rsidRPr="00492007" w:rsidRDefault="00E600AE" w:rsidP="00D641F2">
            <w:pPr>
              <w:rPr>
                <w:lang w:eastAsia="en-US"/>
              </w:rPr>
            </w:pPr>
            <w:r w:rsidRPr="00492007">
              <w:rPr>
                <w:lang w:eastAsia="en-US"/>
              </w:rPr>
              <w:t>Classification of the product according to CLP</w:t>
            </w:r>
          </w:p>
        </w:tc>
        <w:tc>
          <w:tcPr>
            <w:tcW w:w="3769" w:type="pct"/>
            <w:tcBorders>
              <w:top w:val="single" w:sz="6" w:space="0" w:color="auto"/>
              <w:left w:val="single" w:sz="6" w:space="0" w:color="auto"/>
              <w:bottom w:val="single" w:sz="6" w:space="0" w:color="auto"/>
              <w:right w:val="single" w:sz="6" w:space="0" w:color="auto"/>
            </w:tcBorders>
          </w:tcPr>
          <w:p w14:paraId="67C19A2C" w14:textId="77777777" w:rsidR="00E600AE" w:rsidRPr="00492007" w:rsidRDefault="00E600AE" w:rsidP="00D641F2">
            <w:pPr>
              <w:rPr>
                <w:lang w:eastAsia="en-US"/>
              </w:rPr>
            </w:pPr>
            <w:r w:rsidRPr="00492007">
              <w:rPr>
                <w:lang w:eastAsia="en-US"/>
              </w:rPr>
              <w:t>Not classified</w:t>
            </w:r>
          </w:p>
        </w:tc>
      </w:tr>
    </w:tbl>
    <w:p w14:paraId="21E6EE1C" w14:textId="77777777" w:rsidR="002033E4" w:rsidRDefault="002033E4" w:rsidP="002033E4">
      <w:pPr>
        <w:rPr>
          <w:rFonts w:eastAsia="Calibri"/>
          <w:b/>
          <w:i/>
          <w:sz w:val="22"/>
          <w:szCs w:val="22"/>
          <w:lang w:eastAsia="en-US"/>
        </w:rPr>
      </w:pPr>
    </w:p>
    <w:p w14:paraId="33495D39" w14:textId="77777777" w:rsidR="009D0C0B" w:rsidRDefault="00FA480B" w:rsidP="002033E4">
      <w:pPr>
        <w:rPr>
          <w:rFonts w:ascii="Times New Roman" w:eastAsia="Calibri" w:hAnsi="Times New Roman" w:cs="Times New Roman"/>
          <w:i/>
          <w:iCs/>
          <w:lang w:eastAsia="en-US"/>
        </w:rPr>
      </w:pPr>
      <w:r>
        <w:rPr>
          <w:rFonts w:eastAsia="Calibri"/>
          <w:b/>
          <w:i/>
          <w:sz w:val="22"/>
          <w:szCs w:val="22"/>
          <w:lang w:eastAsia="en-US"/>
        </w:rPr>
        <w:t>Respiratory sensitization (ADS)</w:t>
      </w:r>
    </w:p>
    <w:p w14:paraId="208A1E43" w14:textId="77777777" w:rsidR="002033E4" w:rsidRPr="004743C4" w:rsidRDefault="0019006A" w:rsidP="002033E4">
      <w:pPr>
        <w:jc w:val="both"/>
        <w:rPr>
          <w:lang w:eastAsia="en-US"/>
        </w:rPr>
      </w:pPr>
      <w:r>
        <w:rPr>
          <w:iCs/>
          <w:lang w:eastAsia="en-US"/>
        </w:rPr>
        <w:lastRenderedPageBreak/>
        <w:t>S</w:t>
      </w:r>
      <w:r w:rsidR="002033E4" w:rsidRPr="004743C4">
        <w:rPr>
          <w:iCs/>
          <w:lang w:eastAsia="en-US"/>
        </w:rPr>
        <w:t xml:space="preserve">ensitisation is available. Classification is </w:t>
      </w:r>
      <w:r w:rsidR="002033E4">
        <w:rPr>
          <w:iCs/>
          <w:lang w:eastAsia="en-US"/>
        </w:rPr>
        <w:t xml:space="preserve">determined </w:t>
      </w:r>
      <w:r w:rsidR="002033E4" w:rsidRPr="009A52EC">
        <w:rPr>
          <w:iCs/>
          <w:lang w:eastAsia="en-US"/>
        </w:rPr>
        <w:t>by calculation according to the CLP Regulation (Regulation (EC) No.1272/2008)</w:t>
      </w:r>
      <w:r w:rsidR="002033E4">
        <w:rPr>
          <w:iCs/>
          <w:lang w:eastAsia="en-US"/>
        </w:rPr>
        <w:t xml:space="preserve"> </w:t>
      </w:r>
      <w:r w:rsidR="002033E4" w:rsidRPr="004743C4">
        <w:rPr>
          <w:iCs/>
          <w:lang w:eastAsia="en-US"/>
        </w:rPr>
        <w:t>based on the available data on each component.</w:t>
      </w:r>
    </w:p>
    <w:p w14:paraId="6DB7BFE9" w14:textId="77777777" w:rsidR="002033E4" w:rsidRPr="00492007" w:rsidRDefault="002033E4" w:rsidP="002033E4">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68"/>
        <w:gridCol w:w="6946"/>
      </w:tblGrid>
      <w:tr w:rsidR="002033E4" w:rsidRPr="00492007" w14:paraId="6609960B" w14:textId="77777777" w:rsidTr="002033E4">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D4A4A1A" w14:textId="77777777" w:rsidR="002033E4" w:rsidRPr="00492007" w:rsidRDefault="002033E4" w:rsidP="00D641F2">
            <w:pPr>
              <w:rPr>
                <w:lang w:eastAsia="en-US"/>
              </w:rPr>
            </w:pPr>
            <w:r w:rsidRPr="00492007">
              <w:rPr>
                <w:b/>
                <w:bCs/>
                <w:lang w:eastAsia="en-US"/>
              </w:rPr>
              <w:t>Conclusion</w:t>
            </w:r>
            <w:r w:rsidRPr="00492007">
              <w:rPr>
                <w:lang w:eastAsia="en-US"/>
              </w:rPr>
              <w:t xml:space="preserve"> </w:t>
            </w:r>
            <w:r w:rsidRPr="00492007">
              <w:rPr>
                <w:b/>
                <w:bCs/>
                <w:lang w:eastAsia="en-US"/>
              </w:rPr>
              <w:t>used in Risk Assessment – Respiratory sensitisation</w:t>
            </w:r>
          </w:p>
        </w:tc>
      </w:tr>
      <w:tr w:rsidR="002033E4" w:rsidRPr="00492007" w14:paraId="46D26B9C" w14:textId="77777777" w:rsidTr="002033E4">
        <w:trPr>
          <w:trHeight w:val="298"/>
        </w:trPr>
        <w:tc>
          <w:tcPr>
            <w:tcW w:w="1231" w:type="pct"/>
            <w:tcBorders>
              <w:top w:val="single" w:sz="6" w:space="0" w:color="auto"/>
              <w:left w:val="single" w:sz="4" w:space="0" w:color="auto"/>
              <w:bottom w:val="single" w:sz="6" w:space="0" w:color="auto"/>
              <w:right w:val="single" w:sz="6" w:space="0" w:color="auto"/>
            </w:tcBorders>
            <w:shd w:val="clear" w:color="auto" w:fill="auto"/>
          </w:tcPr>
          <w:p w14:paraId="18CE1298" w14:textId="77777777" w:rsidR="002033E4" w:rsidRPr="00492007" w:rsidRDefault="002033E4" w:rsidP="00D641F2">
            <w:pPr>
              <w:rPr>
                <w:lang w:eastAsia="en-US"/>
              </w:rPr>
            </w:pPr>
            <w:r w:rsidRPr="00492007">
              <w:rPr>
                <w:lang w:eastAsia="en-US"/>
              </w:rPr>
              <w:t>Value/conclusion</w:t>
            </w:r>
          </w:p>
        </w:tc>
        <w:tc>
          <w:tcPr>
            <w:tcW w:w="3769" w:type="pct"/>
            <w:tcBorders>
              <w:top w:val="single" w:sz="6" w:space="0" w:color="auto"/>
              <w:left w:val="single" w:sz="6" w:space="0" w:color="auto"/>
              <w:bottom w:val="single" w:sz="6" w:space="0" w:color="auto"/>
              <w:right w:val="single" w:sz="6" w:space="0" w:color="auto"/>
            </w:tcBorders>
          </w:tcPr>
          <w:p w14:paraId="34AC0897" w14:textId="77777777" w:rsidR="002033E4" w:rsidRPr="00492007" w:rsidRDefault="002033E4" w:rsidP="00705A8C">
            <w:pPr>
              <w:jc w:val="both"/>
              <w:rPr>
                <w:lang w:eastAsia="en-US"/>
              </w:rPr>
            </w:pPr>
            <w:r w:rsidRPr="00492007">
              <w:rPr>
                <w:lang w:eastAsia="en-US"/>
              </w:rPr>
              <w:t>According to the composition, none of the component is toxicologically relevant for respiratory sensitisation.</w:t>
            </w:r>
          </w:p>
        </w:tc>
      </w:tr>
      <w:tr w:rsidR="002033E4" w:rsidRPr="00492007" w14:paraId="4E938135" w14:textId="77777777" w:rsidTr="002033E4">
        <w:tc>
          <w:tcPr>
            <w:tcW w:w="1231" w:type="pct"/>
            <w:tcBorders>
              <w:top w:val="single" w:sz="6" w:space="0" w:color="auto"/>
              <w:left w:val="single" w:sz="4" w:space="0" w:color="auto"/>
              <w:bottom w:val="single" w:sz="6" w:space="0" w:color="auto"/>
              <w:right w:val="single" w:sz="6" w:space="0" w:color="auto"/>
            </w:tcBorders>
            <w:shd w:val="clear" w:color="auto" w:fill="auto"/>
          </w:tcPr>
          <w:p w14:paraId="117728F3" w14:textId="77777777" w:rsidR="002033E4" w:rsidRPr="00492007" w:rsidRDefault="002033E4" w:rsidP="00D641F2">
            <w:pPr>
              <w:rPr>
                <w:lang w:eastAsia="en-US"/>
              </w:rPr>
            </w:pPr>
            <w:r w:rsidRPr="00492007">
              <w:rPr>
                <w:lang w:eastAsia="en-US"/>
              </w:rPr>
              <w:t xml:space="preserve">Classification of the product according to CLP </w:t>
            </w:r>
          </w:p>
        </w:tc>
        <w:tc>
          <w:tcPr>
            <w:tcW w:w="3769" w:type="pct"/>
            <w:tcBorders>
              <w:top w:val="single" w:sz="6" w:space="0" w:color="auto"/>
              <w:left w:val="single" w:sz="6" w:space="0" w:color="auto"/>
              <w:bottom w:val="single" w:sz="6" w:space="0" w:color="auto"/>
              <w:right w:val="single" w:sz="6" w:space="0" w:color="auto"/>
            </w:tcBorders>
          </w:tcPr>
          <w:p w14:paraId="236AAD9F" w14:textId="77777777" w:rsidR="002033E4" w:rsidRPr="00492007" w:rsidRDefault="002033E4" w:rsidP="00D641F2">
            <w:pPr>
              <w:rPr>
                <w:lang w:eastAsia="en-US"/>
              </w:rPr>
            </w:pPr>
            <w:r w:rsidRPr="00492007">
              <w:rPr>
                <w:lang w:eastAsia="en-US"/>
              </w:rPr>
              <w:t>Not classified</w:t>
            </w:r>
          </w:p>
        </w:tc>
      </w:tr>
    </w:tbl>
    <w:p w14:paraId="0BD09CEF" w14:textId="77777777" w:rsidR="002033E4" w:rsidRDefault="002033E4" w:rsidP="002033E4">
      <w:pPr>
        <w:rPr>
          <w:b/>
          <w:i/>
          <w:szCs w:val="22"/>
          <w:lang w:eastAsia="en-US"/>
        </w:rPr>
      </w:pPr>
      <w:bookmarkStart w:id="71" w:name="_Toc389729054"/>
      <w:bookmarkStart w:id="72" w:name="_Toc403472759"/>
    </w:p>
    <w:p w14:paraId="5D2125A9" w14:textId="77777777" w:rsidR="002033E4" w:rsidRPr="00492007" w:rsidRDefault="002033E4" w:rsidP="002033E4">
      <w:pPr>
        <w:rPr>
          <w:b/>
          <w:i/>
          <w:szCs w:val="22"/>
          <w:lang w:eastAsia="en-US"/>
        </w:rPr>
      </w:pPr>
      <w:r w:rsidRPr="00492007">
        <w:rPr>
          <w:b/>
          <w:i/>
          <w:szCs w:val="22"/>
          <w:lang w:eastAsia="en-US"/>
        </w:rPr>
        <w:t>Acute toxicity</w:t>
      </w:r>
      <w:bookmarkEnd w:id="71"/>
      <w:bookmarkEnd w:id="72"/>
    </w:p>
    <w:p w14:paraId="5BAE9E02" w14:textId="77777777" w:rsidR="002033E4" w:rsidRPr="00492007" w:rsidRDefault="002033E4" w:rsidP="002033E4">
      <w:pPr>
        <w:jc w:val="both"/>
        <w:rPr>
          <w:i/>
          <w:u w:val="single"/>
          <w:lang w:eastAsia="en-US"/>
        </w:rPr>
      </w:pPr>
      <w:bookmarkStart w:id="73" w:name="_Toc389729055"/>
      <w:r w:rsidRPr="004743C4">
        <w:rPr>
          <w:iCs/>
          <w:lang w:eastAsia="en-US"/>
        </w:rPr>
        <w:t xml:space="preserve">In order to avoid unnecessary animal experiment, no acute toxicity studies were conducted. Classification is </w:t>
      </w:r>
      <w:r>
        <w:rPr>
          <w:iCs/>
          <w:lang w:eastAsia="en-US"/>
        </w:rPr>
        <w:t xml:space="preserve">determined </w:t>
      </w:r>
      <w:r w:rsidRPr="009A52EC">
        <w:rPr>
          <w:iCs/>
          <w:lang w:eastAsia="en-US"/>
        </w:rPr>
        <w:t xml:space="preserve">by calculation </w:t>
      </w:r>
      <w:r w:rsidRPr="004743C4">
        <w:rPr>
          <w:iCs/>
          <w:lang w:eastAsia="en-US"/>
        </w:rPr>
        <w:t>(oral, inhalation and dermal route)</w:t>
      </w:r>
      <w:r w:rsidRPr="00DF0EA4">
        <w:rPr>
          <w:iCs/>
          <w:lang w:eastAsia="en-US"/>
        </w:rPr>
        <w:t xml:space="preserve"> </w:t>
      </w:r>
      <w:r w:rsidRPr="009A52EC">
        <w:rPr>
          <w:iCs/>
          <w:lang w:eastAsia="en-US"/>
        </w:rPr>
        <w:t>according to the CLP Regulation (Regulation (EC) No.1272/2008)</w:t>
      </w:r>
      <w:r>
        <w:rPr>
          <w:iCs/>
          <w:lang w:eastAsia="en-US"/>
        </w:rPr>
        <w:t xml:space="preserve"> </w:t>
      </w:r>
      <w:r w:rsidRPr="004743C4">
        <w:rPr>
          <w:iCs/>
          <w:lang w:eastAsia="en-US"/>
        </w:rPr>
        <w:t>based on the available data on each component.</w:t>
      </w:r>
    </w:p>
    <w:p w14:paraId="54F095DB" w14:textId="77777777" w:rsidR="002033E4" w:rsidRPr="00492007" w:rsidRDefault="002033E4" w:rsidP="002033E4">
      <w:pPr>
        <w:rPr>
          <w:i/>
          <w:u w:val="single"/>
          <w:lang w:eastAsia="en-US"/>
        </w:rPr>
      </w:pPr>
    </w:p>
    <w:p w14:paraId="2CB1D850" w14:textId="77777777" w:rsidR="002033E4" w:rsidRPr="00492007" w:rsidRDefault="002033E4" w:rsidP="002033E4">
      <w:pPr>
        <w:rPr>
          <w:i/>
          <w:u w:val="single"/>
          <w:lang w:eastAsia="en-US"/>
        </w:rPr>
      </w:pPr>
      <w:r w:rsidRPr="00492007">
        <w:rPr>
          <w:i/>
          <w:u w:val="single"/>
          <w:lang w:eastAsia="en-US"/>
        </w:rPr>
        <w:t>Acute toxicity by oral route</w:t>
      </w:r>
      <w:bookmarkEnd w:id="73"/>
    </w:p>
    <w:p w14:paraId="3DC4422A" w14:textId="77777777" w:rsidR="002033E4" w:rsidRPr="00492007" w:rsidRDefault="002033E4" w:rsidP="002033E4">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3"/>
        <w:gridCol w:w="7371"/>
      </w:tblGrid>
      <w:tr w:rsidR="002033E4" w:rsidRPr="00492007" w14:paraId="69CDB9D4" w14:textId="77777777" w:rsidTr="002033E4">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D2B1B94" w14:textId="77777777" w:rsidR="002033E4" w:rsidRPr="00492007" w:rsidRDefault="002033E4" w:rsidP="00D641F2">
            <w:pPr>
              <w:rPr>
                <w:b/>
                <w:bCs/>
                <w:lang w:eastAsia="en-US"/>
              </w:rPr>
            </w:pPr>
            <w:r w:rsidRPr="00492007">
              <w:rPr>
                <w:b/>
                <w:bCs/>
                <w:lang w:eastAsia="en-US"/>
              </w:rPr>
              <w:t>Value used in the Risk Assessment – Acute oral toxicity</w:t>
            </w:r>
          </w:p>
        </w:tc>
      </w:tr>
      <w:tr w:rsidR="002033E4" w:rsidRPr="00492007" w14:paraId="6A2436C3" w14:textId="77777777" w:rsidTr="002033E4">
        <w:tc>
          <w:tcPr>
            <w:tcW w:w="1000" w:type="pct"/>
            <w:tcBorders>
              <w:top w:val="single" w:sz="6" w:space="0" w:color="auto"/>
              <w:left w:val="single" w:sz="4" w:space="0" w:color="auto"/>
              <w:bottom w:val="single" w:sz="6" w:space="0" w:color="auto"/>
              <w:right w:val="single" w:sz="6" w:space="0" w:color="auto"/>
            </w:tcBorders>
            <w:shd w:val="clear" w:color="auto" w:fill="auto"/>
          </w:tcPr>
          <w:p w14:paraId="145EFBA5" w14:textId="77777777" w:rsidR="002033E4" w:rsidRPr="00492007" w:rsidRDefault="002033E4" w:rsidP="00D641F2">
            <w:pPr>
              <w:rPr>
                <w:lang w:eastAsia="en-US"/>
              </w:rPr>
            </w:pPr>
            <w:r w:rsidRPr="00492007">
              <w:rPr>
                <w:lang w:eastAsia="en-US"/>
              </w:rPr>
              <w:t>Classification of the product according to CLP</w:t>
            </w:r>
          </w:p>
        </w:tc>
        <w:tc>
          <w:tcPr>
            <w:tcW w:w="4000" w:type="pct"/>
            <w:tcBorders>
              <w:top w:val="single" w:sz="6" w:space="0" w:color="auto"/>
              <w:left w:val="single" w:sz="6" w:space="0" w:color="auto"/>
              <w:bottom w:val="single" w:sz="6" w:space="0" w:color="auto"/>
              <w:right w:val="single" w:sz="6" w:space="0" w:color="auto"/>
            </w:tcBorders>
          </w:tcPr>
          <w:p w14:paraId="1AE8A590" w14:textId="77777777" w:rsidR="002033E4" w:rsidRPr="00492007" w:rsidRDefault="002033E4" w:rsidP="00D641F2">
            <w:pPr>
              <w:rPr>
                <w:lang w:eastAsia="en-US"/>
              </w:rPr>
            </w:pPr>
            <w:r w:rsidRPr="00492007">
              <w:rPr>
                <w:lang w:eastAsia="en-US"/>
              </w:rPr>
              <w:t>Not classified</w:t>
            </w:r>
          </w:p>
        </w:tc>
      </w:tr>
    </w:tbl>
    <w:p w14:paraId="0A55D28D" w14:textId="77777777" w:rsidR="002033E4" w:rsidRPr="00492007" w:rsidRDefault="002033E4" w:rsidP="002033E4">
      <w:pPr>
        <w:rPr>
          <w:lang w:eastAsia="en-US"/>
        </w:rPr>
      </w:pPr>
    </w:p>
    <w:p w14:paraId="197B1A6E" w14:textId="77777777" w:rsidR="002033E4" w:rsidRPr="00492007" w:rsidRDefault="002033E4" w:rsidP="002033E4">
      <w:pPr>
        <w:rPr>
          <w:i/>
          <w:u w:val="single"/>
          <w:lang w:eastAsia="en-US"/>
        </w:rPr>
      </w:pPr>
      <w:bookmarkStart w:id="74" w:name="_Toc389729056"/>
      <w:r w:rsidRPr="00492007">
        <w:rPr>
          <w:i/>
          <w:u w:val="single"/>
          <w:lang w:eastAsia="en-US"/>
        </w:rPr>
        <w:t>Acute toxicity by inhalation</w:t>
      </w:r>
      <w:bookmarkEnd w:id="74"/>
    </w:p>
    <w:p w14:paraId="22B1B213" w14:textId="77777777" w:rsidR="002033E4" w:rsidRPr="00492007" w:rsidRDefault="002033E4" w:rsidP="002033E4">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3"/>
        <w:gridCol w:w="7371"/>
      </w:tblGrid>
      <w:tr w:rsidR="002033E4" w:rsidRPr="00492007" w14:paraId="7B1BD189" w14:textId="77777777" w:rsidTr="002033E4">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6093AA7" w14:textId="77777777" w:rsidR="002033E4" w:rsidRPr="00492007" w:rsidRDefault="002033E4" w:rsidP="00D641F2">
            <w:pPr>
              <w:rPr>
                <w:b/>
                <w:bCs/>
                <w:lang w:eastAsia="en-US"/>
              </w:rPr>
            </w:pPr>
            <w:r w:rsidRPr="00492007">
              <w:rPr>
                <w:b/>
                <w:bCs/>
                <w:lang w:eastAsia="en-US"/>
              </w:rPr>
              <w:t>Value used in the Risk Assessment – Acute inhalation toxicity</w:t>
            </w:r>
          </w:p>
        </w:tc>
      </w:tr>
      <w:tr w:rsidR="002033E4" w:rsidRPr="00492007" w14:paraId="61306EBD" w14:textId="77777777" w:rsidTr="002033E4">
        <w:tc>
          <w:tcPr>
            <w:tcW w:w="1000" w:type="pct"/>
            <w:tcBorders>
              <w:top w:val="single" w:sz="6" w:space="0" w:color="auto"/>
              <w:left w:val="single" w:sz="4" w:space="0" w:color="auto"/>
              <w:bottom w:val="single" w:sz="6" w:space="0" w:color="auto"/>
              <w:right w:val="single" w:sz="6" w:space="0" w:color="auto"/>
            </w:tcBorders>
            <w:shd w:val="clear" w:color="auto" w:fill="auto"/>
          </w:tcPr>
          <w:p w14:paraId="75426FCD" w14:textId="77777777" w:rsidR="002033E4" w:rsidRPr="00492007" w:rsidRDefault="002033E4" w:rsidP="00D641F2">
            <w:pPr>
              <w:rPr>
                <w:lang w:eastAsia="en-US"/>
              </w:rPr>
            </w:pPr>
            <w:r w:rsidRPr="00492007">
              <w:rPr>
                <w:lang w:eastAsia="en-US"/>
              </w:rPr>
              <w:t xml:space="preserve">Classification of the product according to CLP </w:t>
            </w:r>
          </w:p>
        </w:tc>
        <w:tc>
          <w:tcPr>
            <w:tcW w:w="4000" w:type="pct"/>
            <w:tcBorders>
              <w:top w:val="single" w:sz="6" w:space="0" w:color="auto"/>
              <w:left w:val="single" w:sz="6" w:space="0" w:color="auto"/>
              <w:bottom w:val="single" w:sz="6" w:space="0" w:color="auto"/>
              <w:right w:val="single" w:sz="6" w:space="0" w:color="auto"/>
            </w:tcBorders>
          </w:tcPr>
          <w:p w14:paraId="10C7EF35" w14:textId="77777777" w:rsidR="002033E4" w:rsidRPr="00492007" w:rsidRDefault="002033E4" w:rsidP="00D641F2">
            <w:pPr>
              <w:rPr>
                <w:lang w:eastAsia="en-US"/>
              </w:rPr>
            </w:pPr>
            <w:r w:rsidRPr="00492007">
              <w:rPr>
                <w:lang w:eastAsia="en-US"/>
              </w:rPr>
              <w:t>Not classified</w:t>
            </w:r>
          </w:p>
        </w:tc>
      </w:tr>
    </w:tbl>
    <w:p w14:paraId="1A152221" w14:textId="77777777" w:rsidR="002033E4" w:rsidRPr="00492007" w:rsidRDefault="002033E4" w:rsidP="002033E4">
      <w:pPr>
        <w:rPr>
          <w:lang w:eastAsia="en-US"/>
        </w:rPr>
      </w:pPr>
    </w:p>
    <w:p w14:paraId="37CAFAD2" w14:textId="77777777" w:rsidR="002033E4" w:rsidRPr="00492007" w:rsidRDefault="002033E4" w:rsidP="002033E4">
      <w:pPr>
        <w:rPr>
          <w:i/>
          <w:u w:val="single"/>
          <w:lang w:eastAsia="en-US"/>
        </w:rPr>
      </w:pPr>
      <w:bookmarkStart w:id="75" w:name="_Toc389729057"/>
      <w:r w:rsidRPr="00492007">
        <w:rPr>
          <w:i/>
          <w:u w:val="single"/>
          <w:lang w:eastAsia="en-US"/>
        </w:rPr>
        <w:t>Acute toxicity by dermal route</w:t>
      </w:r>
      <w:bookmarkEnd w:id="75"/>
    </w:p>
    <w:p w14:paraId="010511ED" w14:textId="77777777" w:rsidR="002033E4" w:rsidRPr="00492007" w:rsidRDefault="002033E4" w:rsidP="002033E4">
      <w:pPr>
        <w:rPr>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3"/>
        <w:gridCol w:w="7371"/>
      </w:tblGrid>
      <w:tr w:rsidR="002033E4" w:rsidRPr="00492007" w14:paraId="5B52C45A" w14:textId="77777777" w:rsidTr="002033E4">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A8D5716" w14:textId="77777777" w:rsidR="002033E4" w:rsidRPr="00492007" w:rsidRDefault="002033E4" w:rsidP="00D641F2">
            <w:pPr>
              <w:rPr>
                <w:b/>
                <w:bCs/>
                <w:lang w:eastAsia="en-US"/>
              </w:rPr>
            </w:pPr>
            <w:r w:rsidRPr="00492007">
              <w:rPr>
                <w:b/>
                <w:bCs/>
                <w:lang w:eastAsia="en-US"/>
              </w:rPr>
              <w:t>Value used in the Risk Assessment – Acute dermal toxicity</w:t>
            </w:r>
          </w:p>
        </w:tc>
      </w:tr>
      <w:tr w:rsidR="002033E4" w:rsidRPr="00492007" w14:paraId="34186A90" w14:textId="77777777" w:rsidTr="002033E4">
        <w:tc>
          <w:tcPr>
            <w:tcW w:w="1000" w:type="pct"/>
            <w:tcBorders>
              <w:top w:val="single" w:sz="6" w:space="0" w:color="auto"/>
              <w:left w:val="single" w:sz="4" w:space="0" w:color="auto"/>
              <w:bottom w:val="single" w:sz="6" w:space="0" w:color="auto"/>
              <w:right w:val="single" w:sz="6" w:space="0" w:color="auto"/>
            </w:tcBorders>
            <w:shd w:val="clear" w:color="auto" w:fill="auto"/>
          </w:tcPr>
          <w:p w14:paraId="1143A271" w14:textId="77777777" w:rsidR="002033E4" w:rsidRPr="00492007" w:rsidRDefault="002033E4" w:rsidP="00D641F2">
            <w:pPr>
              <w:rPr>
                <w:lang w:eastAsia="en-US"/>
              </w:rPr>
            </w:pPr>
            <w:r w:rsidRPr="00492007">
              <w:rPr>
                <w:lang w:eastAsia="en-US"/>
              </w:rPr>
              <w:t xml:space="preserve">Classification of the product according to CLP </w:t>
            </w:r>
          </w:p>
        </w:tc>
        <w:tc>
          <w:tcPr>
            <w:tcW w:w="4000" w:type="pct"/>
            <w:tcBorders>
              <w:top w:val="single" w:sz="6" w:space="0" w:color="auto"/>
              <w:left w:val="single" w:sz="6" w:space="0" w:color="auto"/>
              <w:bottom w:val="single" w:sz="6" w:space="0" w:color="auto"/>
              <w:right w:val="single" w:sz="6" w:space="0" w:color="auto"/>
            </w:tcBorders>
          </w:tcPr>
          <w:p w14:paraId="6ABB722F" w14:textId="77777777" w:rsidR="002033E4" w:rsidRPr="00492007" w:rsidRDefault="002033E4" w:rsidP="00D641F2">
            <w:pPr>
              <w:rPr>
                <w:lang w:eastAsia="en-US"/>
              </w:rPr>
            </w:pPr>
            <w:r w:rsidRPr="00492007">
              <w:rPr>
                <w:lang w:eastAsia="en-US"/>
              </w:rPr>
              <w:t>Not classified</w:t>
            </w:r>
          </w:p>
        </w:tc>
      </w:tr>
    </w:tbl>
    <w:p w14:paraId="27BCE8F6" w14:textId="77777777" w:rsidR="002033E4" w:rsidRPr="004743C4" w:rsidRDefault="002033E4" w:rsidP="002033E4">
      <w:pPr>
        <w:rPr>
          <w:lang w:eastAsia="en-US"/>
        </w:rPr>
      </w:pPr>
    </w:p>
    <w:p w14:paraId="1541E642" w14:textId="77777777" w:rsidR="002033E4" w:rsidRPr="00492007" w:rsidRDefault="002033E4" w:rsidP="002033E4">
      <w:pPr>
        <w:jc w:val="both"/>
        <w:rPr>
          <w:b/>
          <w:i/>
          <w:szCs w:val="22"/>
          <w:lang w:eastAsia="en-US"/>
        </w:rPr>
      </w:pPr>
      <w:r w:rsidRPr="00492007">
        <w:rPr>
          <w:iCs/>
          <w:lang w:eastAsia="en-US"/>
        </w:rPr>
        <w:t xml:space="preserve">The sentence </w:t>
      </w:r>
      <w:r w:rsidR="009109EB">
        <w:rPr>
          <w:iCs/>
          <w:lang w:eastAsia="en-US"/>
        </w:rPr>
        <w:t>“The product contains p</w:t>
      </w:r>
      <w:r w:rsidR="009109EB" w:rsidRPr="003A55D5">
        <w:rPr>
          <w:iCs/>
          <w:lang w:eastAsia="en-US"/>
        </w:rPr>
        <w:t>yrrolidones derivatives. Do not use in case of known hypersensitivity.</w:t>
      </w:r>
      <w:r w:rsidR="009109EB">
        <w:rPr>
          <w:iCs/>
          <w:lang w:eastAsia="en-US"/>
        </w:rPr>
        <w:t xml:space="preserve">” </w:t>
      </w:r>
      <w:r w:rsidRPr="00492007">
        <w:rPr>
          <w:iCs/>
          <w:lang w:eastAsia="en-US"/>
        </w:rPr>
        <w:t xml:space="preserve">should be </w:t>
      </w:r>
      <w:r w:rsidRPr="00EE0F94">
        <w:rPr>
          <w:iCs/>
          <w:lang w:eastAsia="en-US"/>
        </w:rPr>
        <w:t>mentioned</w:t>
      </w:r>
      <w:r w:rsidRPr="00492007">
        <w:rPr>
          <w:iCs/>
          <w:lang w:eastAsia="en-US"/>
        </w:rPr>
        <w:t>.</w:t>
      </w:r>
    </w:p>
    <w:p w14:paraId="1C2B30FE" w14:textId="77777777" w:rsidR="009D0C0B" w:rsidRDefault="009D0C0B">
      <w:pPr>
        <w:spacing w:line="260" w:lineRule="atLeast"/>
        <w:rPr>
          <w:rFonts w:eastAsia="Calibri"/>
          <w:lang w:eastAsia="en-US"/>
        </w:rPr>
      </w:pPr>
    </w:p>
    <w:p w14:paraId="400350E6" w14:textId="77777777" w:rsidR="002033E4" w:rsidRDefault="002033E4">
      <w:pPr>
        <w:spacing w:line="260" w:lineRule="atLeast"/>
        <w:rPr>
          <w:rFonts w:eastAsia="Calibri"/>
          <w:lang w:eastAsia="en-US"/>
        </w:rPr>
      </w:pPr>
    </w:p>
    <w:p w14:paraId="5A434C1D"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Information on dermal absorption</w:t>
      </w:r>
    </w:p>
    <w:p w14:paraId="62CBD617" w14:textId="77777777" w:rsidR="009E44BC" w:rsidRPr="00492007" w:rsidRDefault="009E44BC" w:rsidP="009E44BC">
      <w:pPr>
        <w:jc w:val="both"/>
        <w:rPr>
          <w:iCs/>
          <w:lang w:eastAsia="en-US"/>
        </w:rPr>
      </w:pPr>
      <w:r>
        <w:rPr>
          <w:iCs/>
          <w:lang w:eastAsia="en-US"/>
        </w:rPr>
        <w:t xml:space="preserve">No dermal absorption study was provided on the product </w:t>
      </w:r>
      <w:r w:rsidR="00533CC9">
        <w:rPr>
          <w:iCs/>
          <w:lang w:eastAsia="en-US"/>
        </w:rPr>
        <w:t>IODIGARD</w:t>
      </w:r>
      <w:r>
        <w:rPr>
          <w:iCs/>
          <w:lang w:eastAsia="en-US"/>
        </w:rPr>
        <w:t>. However, a read across with the value available in the CAR (12%) is proposed</w:t>
      </w:r>
      <w:r w:rsidR="00AE1FFC">
        <w:rPr>
          <w:iCs/>
          <w:lang w:eastAsia="en-US"/>
        </w:rPr>
        <w:t xml:space="preserve"> and accepted by eCA considering the two formulation</w:t>
      </w:r>
      <w:r w:rsidR="003852AC">
        <w:rPr>
          <w:iCs/>
          <w:lang w:eastAsia="en-US"/>
        </w:rPr>
        <w:t>s</w:t>
      </w:r>
      <w:r w:rsidR="00AE1FFC">
        <w:rPr>
          <w:iCs/>
          <w:lang w:eastAsia="en-US"/>
        </w:rPr>
        <w:t xml:space="preserve"> are very similar</w:t>
      </w:r>
      <w:r>
        <w:rPr>
          <w:iCs/>
          <w:lang w:eastAsia="en-US"/>
        </w:rPr>
        <w:t>.</w:t>
      </w:r>
    </w:p>
    <w:p w14:paraId="40E11D3A" w14:textId="77777777" w:rsidR="009E44BC" w:rsidRPr="00492007" w:rsidRDefault="009E44BC" w:rsidP="009E44BC">
      <w:pPr>
        <w:rPr>
          <w:lang w:eastAsia="en-US"/>
        </w:rPr>
      </w:pPr>
      <w:r w:rsidRPr="00492007">
        <w:rPr>
          <w:i/>
          <w:iCs/>
          <w:lang w:eastAsia="en-US"/>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29"/>
        <w:gridCol w:w="7305"/>
      </w:tblGrid>
      <w:tr w:rsidR="009E44BC" w:rsidRPr="00492007" w14:paraId="6A37885C" w14:textId="77777777" w:rsidTr="009E44BC">
        <w:tc>
          <w:tcPr>
            <w:tcW w:w="9134" w:type="dxa"/>
            <w:gridSpan w:val="2"/>
            <w:tcBorders>
              <w:top w:val="single" w:sz="4" w:space="0" w:color="auto"/>
              <w:left w:val="single" w:sz="4" w:space="0" w:color="auto"/>
              <w:bottom w:val="single" w:sz="6" w:space="0" w:color="auto"/>
              <w:right w:val="single" w:sz="6" w:space="0" w:color="auto"/>
            </w:tcBorders>
            <w:shd w:val="clear" w:color="auto" w:fill="CCFFCC"/>
          </w:tcPr>
          <w:p w14:paraId="172B10FD" w14:textId="77777777" w:rsidR="009E44BC" w:rsidRPr="00492007" w:rsidRDefault="009E44BC" w:rsidP="00D641F2">
            <w:pPr>
              <w:rPr>
                <w:b/>
                <w:bCs/>
                <w:lang w:eastAsia="en-US"/>
              </w:rPr>
            </w:pPr>
            <w:r w:rsidRPr="00492007">
              <w:rPr>
                <w:b/>
                <w:bCs/>
                <w:lang w:eastAsia="en-US"/>
              </w:rPr>
              <w:t>Value(s) used in the Risk Assessment – Dermal absorption</w:t>
            </w:r>
          </w:p>
        </w:tc>
      </w:tr>
      <w:tr w:rsidR="009E44BC" w:rsidRPr="00492007" w14:paraId="26A17F9B" w14:textId="77777777" w:rsidTr="009E44BC">
        <w:tc>
          <w:tcPr>
            <w:tcW w:w="1829" w:type="dxa"/>
            <w:tcBorders>
              <w:top w:val="single" w:sz="6" w:space="0" w:color="auto"/>
              <w:left w:val="single" w:sz="4" w:space="0" w:color="auto"/>
              <w:bottom w:val="single" w:sz="6" w:space="0" w:color="auto"/>
              <w:right w:val="single" w:sz="6" w:space="0" w:color="auto"/>
            </w:tcBorders>
            <w:shd w:val="clear" w:color="auto" w:fill="auto"/>
          </w:tcPr>
          <w:p w14:paraId="6F771214" w14:textId="77777777" w:rsidR="009E44BC" w:rsidRPr="00492007" w:rsidRDefault="009E44BC" w:rsidP="00D641F2">
            <w:pPr>
              <w:rPr>
                <w:lang w:eastAsia="en-US"/>
              </w:rPr>
            </w:pPr>
            <w:r w:rsidRPr="00492007">
              <w:rPr>
                <w:lang w:eastAsia="en-US"/>
              </w:rPr>
              <w:t>Substance</w:t>
            </w:r>
          </w:p>
        </w:tc>
        <w:tc>
          <w:tcPr>
            <w:tcW w:w="7305" w:type="dxa"/>
            <w:tcBorders>
              <w:top w:val="single" w:sz="6" w:space="0" w:color="auto"/>
              <w:left w:val="single" w:sz="6" w:space="0" w:color="auto"/>
              <w:right w:val="single" w:sz="6" w:space="0" w:color="auto"/>
            </w:tcBorders>
          </w:tcPr>
          <w:p w14:paraId="45FD6F3E" w14:textId="77777777" w:rsidR="009E44BC" w:rsidRPr="0029459A" w:rsidRDefault="009E44BC" w:rsidP="00D641F2">
            <w:pPr>
              <w:rPr>
                <w:lang w:eastAsia="en-US"/>
              </w:rPr>
            </w:pPr>
            <w:r w:rsidRPr="0029459A">
              <w:rPr>
                <w:iCs/>
                <w:lang w:eastAsia="en-US"/>
              </w:rPr>
              <w:t>Iodine</w:t>
            </w:r>
          </w:p>
        </w:tc>
      </w:tr>
      <w:tr w:rsidR="009E44BC" w:rsidRPr="00492007" w14:paraId="6506AEB8" w14:textId="77777777" w:rsidTr="009E44BC">
        <w:tc>
          <w:tcPr>
            <w:tcW w:w="1829" w:type="dxa"/>
            <w:tcBorders>
              <w:top w:val="single" w:sz="6" w:space="0" w:color="auto"/>
              <w:left w:val="single" w:sz="4" w:space="0" w:color="auto"/>
              <w:bottom w:val="single" w:sz="6" w:space="0" w:color="auto"/>
              <w:right w:val="single" w:sz="6" w:space="0" w:color="auto"/>
            </w:tcBorders>
            <w:shd w:val="clear" w:color="auto" w:fill="auto"/>
          </w:tcPr>
          <w:p w14:paraId="1CA92E3C" w14:textId="77777777" w:rsidR="009E44BC" w:rsidRPr="00492007" w:rsidRDefault="009E44BC" w:rsidP="00D641F2">
            <w:pPr>
              <w:rPr>
                <w:lang w:eastAsia="en-US"/>
              </w:rPr>
            </w:pPr>
            <w:r w:rsidRPr="00492007">
              <w:rPr>
                <w:lang w:eastAsia="en-US"/>
              </w:rPr>
              <w:t>Value(s)</w:t>
            </w:r>
          </w:p>
        </w:tc>
        <w:tc>
          <w:tcPr>
            <w:tcW w:w="7305" w:type="dxa"/>
            <w:tcBorders>
              <w:left w:val="single" w:sz="6" w:space="0" w:color="auto"/>
              <w:right w:val="single" w:sz="6" w:space="0" w:color="auto"/>
            </w:tcBorders>
          </w:tcPr>
          <w:p w14:paraId="215F6DDE" w14:textId="77777777" w:rsidR="009E44BC" w:rsidRPr="0029459A" w:rsidRDefault="009E44BC" w:rsidP="00D641F2">
            <w:pPr>
              <w:rPr>
                <w:lang w:eastAsia="en-US"/>
              </w:rPr>
            </w:pPr>
            <w:r w:rsidRPr="0029459A">
              <w:rPr>
                <w:iCs/>
                <w:lang w:eastAsia="en-US"/>
              </w:rPr>
              <w:t>12</w:t>
            </w:r>
            <w:r w:rsidR="00AB21D9">
              <w:rPr>
                <w:iCs/>
                <w:lang w:eastAsia="en-US"/>
              </w:rPr>
              <w:t xml:space="preserve"> </w:t>
            </w:r>
            <w:r w:rsidRPr="0029459A">
              <w:rPr>
                <w:iCs/>
                <w:lang w:eastAsia="en-US"/>
              </w:rPr>
              <w:t>%</w:t>
            </w:r>
          </w:p>
        </w:tc>
      </w:tr>
      <w:tr w:rsidR="009E44BC" w:rsidRPr="00492007" w14:paraId="24CED152" w14:textId="77777777" w:rsidTr="009E44BC">
        <w:tc>
          <w:tcPr>
            <w:tcW w:w="1829" w:type="dxa"/>
            <w:tcBorders>
              <w:top w:val="single" w:sz="6" w:space="0" w:color="auto"/>
              <w:left w:val="single" w:sz="4" w:space="0" w:color="auto"/>
              <w:bottom w:val="single" w:sz="6" w:space="0" w:color="auto"/>
              <w:right w:val="single" w:sz="6" w:space="0" w:color="auto"/>
            </w:tcBorders>
            <w:shd w:val="clear" w:color="auto" w:fill="auto"/>
          </w:tcPr>
          <w:p w14:paraId="4C69B736" w14:textId="77777777" w:rsidR="009E44BC" w:rsidRPr="00492007" w:rsidRDefault="009E44BC" w:rsidP="00D641F2">
            <w:pPr>
              <w:rPr>
                <w:lang w:eastAsia="en-US"/>
              </w:rPr>
            </w:pPr>
            <w:r w:rsidRPr="00492007">
              <w:rPr>
                <w:lang w:eastAsia="en-US"/>
              </w:rPr>
              <w:t>Justification for the selected value(s)</w:t>
            </w:r>
          </w:p>
        </w:tc>
        <w:tc>
          <w:tcPr>
            <w:tcW w:w="7305" w:type="dxa"/>
            <w:tcBorders>
              <w:left w:val="single" w:sz="6" w:space="0" w:color="auto"/>
              <w:bottom w:val="single" w:sz="6" w:space="0" w:color="auto"/>
              <w:right w:val="single" w:sz="6" w:space="0" w:color="auto"/>
            </w:tcBorders>
          </w:tcPr>
          <w:p w14:paraId="0EA681D0" w14:textId="77777777" w:rsidR="009E44BC" w:rsidRPr="0029459A" w:rsidRDefault="009E44BC" w:rsidP="00D641F2">
            <w:pPr>
              <w:rPr>
                <w:lang w:eastAsia="en-US"/>
              </w:rPr>
            </w:pPr>
            <w:r w:rsidRPr="0029459A">
              <w:rPr>
                <w:iCs/>
                <w:lang w:eastAsia="en-US"/>
              </w:rPr>
              <w:t>CAR value</w:t>
            </w:r>
          </w:p>
        </w:tc>
      </w:tr>
    </w:tbl>
    <w:p w14:paraId="2D40F894" w14:textId="77777777" w:rsidR="009E44BC" w:rsidRPr="00492007" w:rsidRDefault="009E44BC" w:rsidP="009E44BC">
      <w:pPr>
        <w:rPr>
          <w:i/>
          <w:iCs/>
          <w:lang w:eastAsia="en-US"/>
        </w:rPr>
      </w:pPr>
    </w:p>
    <w:p w14:paraId="308D0BAD" w14:textId="77777777" w:rsidR="00AE1FFC" w:rsidRDefault="00AE1FFC" w:rsidP="009E44BC">
      <w:pPr>
        <w:jc w:val="both"/>
        <w:rPr>
          <w:b/>
          <w:i/>
          <w:szCs w:val="22"/>
          <w:lang w:eastAsia="en-US"/>
        </w:rPr>
      </w:pPr>
    </w:p>
    <w:p w14:paraId="2E05B162" w14:textId="77777777" w:rsidR="009E44BC" w:rsidRPr="004743C4" w:rsidRDefault="009E44BC" w:rsidP="009E44BC">
      <w:pPr>
        <w:jc w:val="both"/>
        <w:rPr>
          <w:b/>
          <w:i/>
          <w:szCs w:val="22"/>
          <w:lang w:eastAsia="en-US"/>
        </w:rPr>
      </w:pPr>
      <w:r w:rsidRPr="004743C4">
        <w:rPr>
          <w:b/>
          <w:i/>
          <w:szCs w:val="22"/>
          <w:lang w:eastAsia="en-US"/>
        </w:rPr>
        <w:t>Available toxicological data relating to non active substance(s) (i.e. substance(s) of concern)</w:t>
      </w:r>
    </w:p>
    <w:p w14:paraId="2B72C5A9" w14:textId="77777777" w:rsidR="009E44BC" w:rsidRPr="004743C4" w:rsidRDefault="009E44BC" w:rsidP="009E44BC">
      <w:pPr>
        <w:rPr>
          <w:i/>
          <w:iCs/>
          <w:lang w:eastAsia="en-US"/>
        </w:rPr>
      </w:pPr>
    </w:p>
    <w:p w14:paraId="6D159BB0" w14:textId="77777777" w:rsidR="000B2183" w:rsidRPr="00DC12AC" w:rsidRDefault="005B142E" w:rsidP="00E75423">
      <w:pPr>
        <w:suppressAutoHyphens w:val="0"/>
        <w:spacing w:line="260" w:lineRule="atLeast"/>
        <w:contextualSpacing/>
        <w:rPr>
          <w:lang w:eastAsia="en-US"/>
        </w:rPr>
      </w:pPr>
      <w:r>
        <w:rPr>
          <w:lang w:eastAsia="en-US"/>
        </w:rPr>
        <w:t xml:space="preserve">No substance of concern is identified. </w:t>
      </w:r>
    </w:p>
    <w:p w14:paraId="7102B116" w14:textId="77777777" w:rsidR="009D0C0B" w:rsidRDefault="00FA480B">
      <w:pPr>
        <w:pStyle w:val="Titre4"/>
        <w:rPr>
          <w:rFonts w:ascii="Times New Roman" w:hAnsi="Times New Roman" w:cs="Times New Roman"/>
          <w:i/>
          <w:iCs/>
          <w:lang w:eastAsia="en-US"/>
        </w:rPr>
      </w:pPr>
      <w:bookmarkStart w:id="76" w:name="_Toc516669788"/>
      <w:r>
        <w:t>Exposure assessment</w:t>
      </w:r>
      <w:bookmarkEnd w:id="76"/>
    </w:p>
    <w:p w14:paraId="0F508677" w14:textId="77777777" w:rsidR="009D0C0B" w:rsidRDefault="009D0C0B">
      <w:pPr>
        <w:spacing w:line="260" w:lineRule="atLeast"/>
        <w:rPr>
          <w:rFonts w:ascii="Times New Roman" w:eastAsia="Calibri" w:hAnsi="Times New Roman" w:cs="Times New Roman"/>
          <w:i/>
          <w:iCs/>
          <w:lang w:eastAsia="en-US"/>
        </w:rPr>
      </w:pPr>
    </w:p>
    <w:p w14:paraId="1F43453F" w14:textId="77777777" w:rsidR="00D641F2" w:rsidRPr="00492007" w:rsidRDefault="00D641F2" w:rsidP="00D641F2">
      <w:pPr>
        <w:jc w:val="both"/>
        <w:rPr>
          <w:iCs/>
          <w:lang w:eastAsia="en-US"/>
        </w:rPr>
      </w:pPr>
      <w:r w:rsidRPr="00492007">
        <w:rPr>
          <w:iCs/>
          <w:lang w:eastAsia="en-US"/>
        </w:rPr>
        <w:t>IOD</w:t>
      </w:r>
      <w:r>
        <w:rPr>
          <w:iCs/>
          <w:lang w:eastAsia="en-US"/>
        </w:rPr>
        <w:t>IGUARD is ready-to-use product</w:t>
      </w:r>
      <w:r w:rsidRPr="008B3C52">
        <w:rPr>
          <w:iCs/>
          <w:lang w:eastAsia="en-US"/>
        </w:rPr>
        <w:t xml:space="preserve"> packaged in </w:t>
      </w:r>
      <w:r w:rsidRPr="00492007">
        <w:rPr>
          <w:iCs/>
          <w:lang w:eastAsia="en-US"/>
        </w:rPr>
        <w:t xml:space="preserve">jerry cans of </w:t>
      </w:r>
      <w:r>
        <w:rPr>
          <w:iCs/>
          <w:lang w:eastAsia="en-US"/>
        </w:rPr>
        <w:t>20</w:t>
      </w:r>
      <w:r w:rsidRPr="00492007">
        <w:rPr>
          <w:iCs/>
          <w:lang w:eastAsia="en-US"/>
        </w:rPr>
        <w:t xml:space="preserve"> L</w:t>
      </w:r>
      <w:r w:rsidR="006F4499">
        <w:rPr>
          <w:iCs/>
          <w:lang w:eastAsia="en-US"/>
        </w:rPr>
        <w:t>,</w:t>
      </w:r>
      <w:r w:rsidRPr="00492007">
        <w:rPr>
          <w:iCs/>
          <w:lang w:eastAsia="en-US"/>
        </w:rPr>
        <w:t xml:space="preserve"> </w:t>
      </w:r>
      <w:r>
        <w:rPr>
          <w:iCs/>
          <w:lang w:eastAsia="en-US"/>
        </w:rPr>
        <w:t>6</w:t>
      </w:r>
      <w:r w:rsidRPr="00492007">
        <w:rPr>
          <w:iCs/>
          <w:lang w:eastAsia="en-US"/>
        </w:rPr>
        <w:t xml:space="preserve">0 L </w:t>
      </w:r>
      <w:r w:rsidR="006F4499">
        <w:rPr>
          <w:iCs/>
          <w:lang w:eastAsia="en-US"/>
        </w:rPr>
        <w:t xml:space="preserve">and 220 L </w:t>
      </w:r>
      <w:r>
        <w:rPr>
          <w:iCs/>
          <w:lang w:eastAsia="en-US"/>
        </w:rPr>
        <w:t>black</w:t>
      </w:r>
      <w:r w:rsidRPr="00492007">
        <w:rPr>
          <w:iCs/>
          <w:lang w:eastAsia="en-US"/>
        </w:rPr>
        <w:t xml:space="preserve"> HDPE. </w:t>
      </w:r>
    </w:p>
    <w:p w14:paraId="72C43655" w14:textId="77777777" w:rsidR="00D641F2" w:rsidRDefault="00D641F2" w:rsidP="00D641F2">
      <w:pPr>
        <w:jc w:val="both"/>
        <w:rPr>
          <w:iCs/>
          <w:lang w:eastAsia="en-US"/>
        </w:rPr>
      </w:pPr>
      <w:r w:rsidRPr="00492007">
        <w:rPr>
          <w:iCs/>
          <w:lang w:eastAsia="en-US"/>
        </w:rPr>
        <w:t>It is intended to be used by professional</w:t>
      </w:r>
      <w:r>
        <w:rPr>
          <w:iCs/>
          <w:lang w:eastAsia="en-US"/>
        </w:rPr>
        <w:t>s</w:t>
      </w:r>
      <w:r w:rsidRPr="00492007">
        <w:rPr>
          <w:iCs/>
          <w:lang w:eastAsia="en-US"/>
        </w:rPr>
        <w:t xml:space="preserve"> </w:t>
      </w:r>
      <w:r>
        <w:rPr>
          <w:iCs/>
          <w:lang w:eastAsia="en-US"/>
        </w:rPr>
        <w:t>to</w:t>
      </w:r>
      <w:r w:rsidRPr="00492007">
        <w:rPr>
          <w:iCs/>
          <w:lang w:eastAsia="en-US"/>
        </w:rPr>
        <w:t xml:space="preserve"> disinfect</w:t>
      </w:r>
      <w:r>
        <w:rPr>
          <w:iCs/>
          <w:lang w:eastAsia="en-US"/>
        </w:rPr>
        <w:t xml:space="preserve"> teats </w:t>
      </w:r>
      <w:r w:rsidRPr="008B3C52">
        <w:rPr>
          <w:iCs/>
          <w:lang w:eastAsia="en-US"/>
        </w:rPr>
        <w:t xml:space="preserve">of cows, </w:t>
      </w:r>
      <w:r w:rsidR="00AB21D9">
        <w:rPr>
          <w:iCs/>
          <w:lang w:eastAsia="en-US"/>
        </w:rPr>
        <w:t>ewe</w:t>
      </w:r>
      <w:r w:rsidR="00AB21D9" w:rsidRPr="008B3C52">
        <w:rPr>
          <w:iCs/>
          <w:lang w:eastAsia="en-US"/>
        </w:rPr>
        <w:t xml:space="preserve"> </w:t>
      </w:r>
      <w:r w:rsidR="00AB21D9">
        <w:rPr>
          <w:iCs/>
          <w:lang w:eastAsia="en-US"/>
        </w:rPr>
        <w:t>and</w:t>
      </w:r>
      <w:r w:rsidR="00AB21D9" w:rsidRPr="008B3C52">
        <w:rPr>
          <w:iCs/>
          <w:lang w:eastAsia="en-US"/>
        </w:rPr>
        <w:t xml:space="preserve"> </w:t>
      </w:r>
      <w:r w:rsidRPr="008B3C52">
        <w:rPr>
          <w:iCs/>
          <w:lang w:eastAsia="en-US"/>
        </w:rPr>
        <w:t>goats</w:t>
      </w:r>
      <w:r>
        <w:rPr>
          <w:iCs/>
          <w:lang w:eastAsia="en-US"/>
        </w:rPr>
        <w:t xml:space="preserve"> after the milking</w:t>
      </w:r>
      <w:r w:rsidRPr="00492007">
        <w:rPr>
          <w:iCs/>
          <w:lang w:eastAsia="en-US"/>
        </w:rPr>
        <w:t xml:space="preserve"> </w:t>
      </w:r>
      <w:r w:rsidRPr="008B3C52">
        <w:rPr>
          <w:iCs/>
          <w:lang w:eastAsia="en-US"/>
        </w:rPr>
        <w:t>(PT</w:t>
      </w:r>
      <w:r w:rsidRPr="00492007">
        <w:rPr>
          <w:iCs/>
          <w:lang w:eastAsia="en-US"/>
        </w:rPr>
        <w:t xml:space="preserve">3). </w:t>
      </w:r>
      <w:r w:rsidRPr="008B3C52">
        <w:rPr>
          <w:iCs/>
          <w:lang w:eastAsia="en-US"/>
        </w:rPr>
        <w:t>Teat dips are filled in with 500</w:t>
      </w:r>
      <w:r>
        <w:rPr>
          <w:iCs/>
          <w:lang w:eastAsia="en-US"/>
        </w:rPr>
        <w:t xml:space="preserve"> </w:t>
      </w:r>
      <w:r w:rsidRPr="008B3C52">
        <w:rPr>
          <w:iCs/>
          <w:lang w:eastAsia="en-US"/>
        </w:rPr>
        <w:t>mL of I</w:t>
      </w:r>
      <w:r>
        <w:rPr>
          <w:iCs/>
          <w:lang w:eastAsia="en-US"/>
        </w:rPr>
        <w:t>ODIGUARD</w:t>
      </w:r>
      <w:r w:rsidRPr="008B3C52">
        <w:rPr>
          <w:iCs/>
          <w:lang w:eastAsia="en-US"/>
        </w:rPr>
        <w:t>, the top of the dip is screwed.</w:t>
      </w:r>
      <w:r>
        <w:rPr>
          <w:iCs/>
          <w:lang w:eastAsia="en-US"/>
        </w:rPr>
        <w:t xml:space="preserve"> Method of application is d</w:t>
      </w:r>
      <w:r w:rsidRPr="00594637">
        <w:rPr>
          <w:iCs/>
          <w:lang w:eastAsia="en-US"/>
        </w:rPr>
        <w:t>ipping into teat dips</w:t>
      </w:r>
      <w:r>
        <w:rPr>
          <w:iCs/>
          <w:lang w:eastAsia="en-US"/>
        </w:rPr>
        <w:t xml:space="preserve"> and the application dose is </w:t>
      </w:r>
      <w:r w:rsidRPr="00594637">
        <w:rPr>
          <w:iCs/>
          <w:lang w:eastAsia="en-US"/>
        </w:rPr>
        <w:t>2 mL/teat/event</w:t>
      </w:r>
      <w:r>
        <w:rPr>
          <w:iCs/>
          <w:lang w:eastAsia="en-US"/>
        </w:rPr>
        <w:t xml:space="preserve"> r</w:t>
      </w:r>
      <w:r w:rsidRPr="00594637">
        <w:rPr>
          <w:iCs/>
          <w:lang w:eastAsia="en-US"/>
        </w:rPr>
        <w:t>esulting in 16</w:t>
      </w:r>
      <w:r>
        <w:rPr>
          <w:iCs/>
          <w:lang w:eastAsia="en-US"/>
        </w:rPr>
        <w:t xml:space="preserve"> </w:t>
      </w:r>
      <w:r w:rsidRPr="00594637">
        <w:rPr>
          <w:iCs/>
          <w:lang w:eastAsia="en-US"/>
        </w:rPr>
        <w:t>mL/animal/day</w:t>
      </w:r>
      <w:r>
        <w:rPr>
          <w:iCs/>
          <w:lang w:eastAsia="en-US"/>
        </w:rPr>
        <w:t xml:space="preserve"> (</w:t>
      </w:r>
      <w:r w:rsidRPr="00594637">
        <w:rPr>
          <w:iCs/>
          <w:lang w:eastAsia="en-US"/>
        </w:rPr>
        <w:t>8</w:t>
      </w:r>
      <w:r>
        <w:rPr>
          <w:iCs/>
          <w:lang w:eastAsia="en-US"/>
        </w:rPr>
        <w:t xml:space="preserve"> </w:t>
      </w:r>
      <w:r w:rsidRPr="00594637">
        <w:rPr>
          <w:iCs/>
          <w:lang w:eastAsia="en-US"/>
        </w:rPr>
        <w:t xml:space="preserve">mL </w:t>
      </w:r>
      <w:r>
        <w:rPr>
          <w:iCs/>
          <w:lang w:eastAsia="en-US"/>
        </w:rPr>
        <w:t>for</w:t>
      </w:r>
      <w:r w:rsidRPr="00594637">
        <w:rPr>
          <w:iCs/>
          <w:lang w:eastAsia="en-US"/>
        </w:rPr>
        <w:t xml:space="preserve"> treat</w:t>
      </w:r>
      <w:r>
        <w:rPr>
          <w:iCs/>
          <w:lang w:eastAsia="en-US"/>
        </w:rPr>
        <w:t>ing</w:t>
      </w:r>
      <w:r w:rsidRPr="00594637">
        <w:rPr>
          <w:iCs/>
          <w:lang w:eastAsia="en-US"/>
        </w:rPr>
        <w:t xml:space="preserve"> the four teats of a cow</w:t>
      </w:r>
      <w:r>
        <w:rPr>
          <w:iCs/>
          <w:lang w:eastAsia="en-US"/>
        </w:rPr>
        <w:t xml:space="preserve"> two times a day).</w:t>
      </w:r>
    </w:p>
    <w:p w14:paraId="6C6560C6" w14:textId="77777777" w:rsidR="008028B7" w:rsidRPr="007B44E3" w:rsidRDefault="00191251" w:rsidP="008028B7">
      <w:pPr>
        <w:jc w:val="both"/>
        <w:rPr>
          <w:rFonts w:cs="Arial"/>
        </w:rPr>
      </w:pPr>
      <w:r w:rsidRPr="007B44E3">
        <w:rPr>
          <w:rFonts w:cs="Arial"/>
        </w:rPr>
        <w:t>In IODIGUARD formulation</w:t>
      </w:r>
      <w:r w:rsidR="008028B7" w:rsidRPr="007B44E3">
        <w:rPr>
          <w:rFonts w:cs="Arial"/>
        </w:rPr>
        <w:t xml:space="preserve"> there are two sources of </w:t>
      </w:r>
      <w:proofErr w:type="gramStart"/>
      <w:r w:rsidR="008028B7" w:rsidRPr="007B44E3">
        <w:rPr>
          <w:rFonts w:cs="Arial"/>
        </w:rPr>
        <w:t>I2/I-</w:t>
      </w:r>
      <w:proofErr w:type="gramEnd"/>
      <w:r w:rsidR="008028B7" w:rsidRPr="007B44E3">
        <w:rPr>
          <w:rFonts w:cs="Arial"/>
        </w:rPr>
        <w:t>:</w:t>
      </w:r>
      <w:r w:rsidRPr="007B44E3">
        <w:rPr>
          <w:rFonts w:cs="Arial"/>
        </w:rPr>
        <w:t xml:space="preserve"> </w:t>
      </w:r>
    </w:p>
    <w:p w14:paraId="083E7C8D" w14:textId="77777777" w:rsidR="008028B7" w:rsidRPr="007B44E3" w:rsidRDefault="008028B7" w:rsidP="006357A4">
      <w:pPr>
        <w:pStyle w:val="Paragraphedeliste"/>
        <w:numPr>
          <w:ilvl w:val="0"/>
          <w:numId w:val="10"/>
        </w:numPr>
        <w:jc w:val="both"/>
        <w:rPr>
          <w:rFonts w:cs="Arial"/>
        </w:rPr>
      </w:pPr>
      <w:r w:rsidRPr="007B44E3">
        <w:rPr>
          <w:rFonts w:cs="Arial"/>
        </w:rPr>
        <w:t>total iodine from PVP at a content of 0.255% considering it represents 17%</w:t>
      </w:r>
      <w:r w:rsidR="00747F06" w:rsidRPr="00747F06">
        <w:rPr>
          <w:rStyle w:val="Appelnotedebasdep"/>
          <w:rFonts w:cs="Arial"/>
        </w:rPr>
        <w:footnoteReference w:id="4"/>
      </w:r>
      <w:r w:rsidRPr="007B44E3">
        <w:rPr>
          <w:rFonts w:cs="Arial"/>
        </w:rPr>
        <w:t xml:space="preserve"> of PVPI and </w:t>
      </w:r>
    </w:p>
    <w:p w14:paraId="603CE0FF" w14:textId="77777777" w:rsidR="00191251" w:rsidRPr="007B44E3" w:rsidRDefault="008028B7" w:rsidP="006357A4">
      <w:pPr>
        <w:pStyle w:val="Paragraphedeliste"/>
        <w:numPr>
          <w:ilvl w:val="0"/>
          <w:numId w:val="10"/>
        </w:numPr>
        <w:jc w:val="both"/>
        <w:rPr>
          <w:rFonts w:cs="Arial"/>
        </w:rPr>
      </w:pPr>
      <w:r w:rsidRPr="007B44E3">
        <w:rPr>
          <w:rFonts w:cs="Arial"/>
        </w:rPr>
        <w:t xml:space="preserve">I- from KI at a content of 0.038%.  </w:t>
      </w:r>
    </w:p>
    <w:p w14:paraId="1A90842F" w14:textId="77777777" w:rsidR="00C61F6A" w:rsidRPr="007B44E3" w:rsidRDefault="00C61F6A" w:rsidP="00400CB5">
      <w:pPr>
        <w:jc w:val="both"/>
        <w:rPr>
          <w:rFonts w:cs="Arial"/>
        </w:rPr>
      </w:pPr>
    </w:p>
    <w:p w14:paraId="352BC7FB" w14:textId="77777777" w:rsidR="00400CB5" w:rsidRPr="00DC4AD8" w:rsidRDefault="00191251" w:rsidP="00400CB5">
      <w:pPr>
        <w:jc w:val="both"/>
        <w:rPr>
          <w:rFonts w:cs="Arial"/>
        </w:rPr>
      </w:pPr>
      <w:r w:rsidRPr="007B44E3">
        <w:rPr>
          <w:rFonts w:cs="Arial"/>
        </w:rPr>
        <w:t>Thus, the quantity of the various forms of iodine in IODIGUARD is: 0.</w:t>
      </w:r>
      <w:r w:rsidR="00C61F6A" w:rsidRPr="007B44E3">
        <w:rPr>
          <w:rFonts w:cs="Arial"/>
        </w:rPr>
        <w:t xml:space="preserve">255 </w:t>
      </w:r>
      <w:r w:rsidRPr="007B44E3">
        <w:rPr>
          <w:rFonts w:cs="Arial"/>
        </w:rPr>
        <w:t>+ 0.</w:t>
      </w:r>
      <w:r w:rsidR="00C61F6A" w:rsidRPr="007B44E3">
        <w:rPr>
          <w:rFonts w:cs="Arial"/>
        </w:rPr>
        <w:t xml:space="preserve">038 </w:t>
      </w:r>
      <w:r w:rsidRPr="007B44E3">
        <w:rPr>
          <w:rFonts w:cs="Arial"/>
        </w:rPr>
        <w:t>=</w:t>
      </w:r>
      <w:r w:rsidR="001606B8" w:rsidRPr="007B44E3">
        <w:rPr>
          <w:rFonts w:cs="Arial"/>
        </w:rPr>
        <w:t xml:space="preserve"> </w:t>
      </w:r>
      <w:r w:rsidRPr="007B44E3">
        <w:rPr>
          <w:rFonts w:cs="Arial"/>
        </w:rPr>
        <w:t>0.</w:t>
      </w:r>
      <w:r w:rsidR="00C61F6A" w:rsidRPr="007B44E3">
        <w:rPr>
          <w:rFonts w:cs="Arial"/>
        </w:rPr>
        <w:t>29</w:t>
      </w:r>
      <w:r w:rsidRPr="007B44E3">
        <w:rPr>
          <w:rFonts w:cs="Arial"/>
        </w:rPr>
        <w:t xml:space="preserve">% </w:t>
      </w:r>
      <w:r w:rsidR="008028B7" w:rsidRPr="007B44E3">
        <w:rPr>
          <w:rFonts w:cs="Arial"/>
        </w:rPr>
        <w:t xml:space="preserve">(m/m) </w:t>
      </w:r>
      <w:r w:rsidRPr="007B44E3">
        <w:rPr>
          <w:rFonts w:cs="Arial"/>
        </w:rPr>
        <w:t>for the human risk assessment</w:t>
      </w:r>
      <w:r w:rsidR="00C61F6A" w:rsidRPr="007B44E3">
        <w:rPr>
          <w:rFonts w:cs="Arial"/>
        </w:rPr>
        <w:t>.</w:t>
      </w:r>
    </w:p>
    <w:p w14:paraId="6BA3B7E8" w14:textId="77777777" w:rsidR="00191251" w:rsidRDefault="00191251" w:rsidP="00D641F2">
      <w:pPr>
        <w:jc w:val="both"/>
        <w:rPr>
          <w:iCs/>
          <w:lang w:eastAsia="en-US"/>
        </w:rPr>
      </w:pPr>
    </w:p>
    <w:p w14:paraId="02D32351" w14:textId="77777777" w:rsidR="00D641F2" w:rsidRPr="00492007" w:rsidRDefault="00D641F2" w:rsidP="00D641F2">
      <w:pPr>
        <w:jc w:val="both"/>
        <w:rPr>
          <w:iCs/>
          <w:lang w:eastAsia="en-US"/>
        </w:rPr>
      </w:pPr>
    </w:p>
    <w:p w14:paraId="78FE7A6B" w14:textId="77777777" w:rsidR="00D641F2" w:rsidRPr="00492007" w:rsidRDefault="00D641F2" w:rsidP="00D641F2">
      <w:pPr>
        <w:jc w:val="both"/>
        <w:rPr>
          <w:b/>
          <w:bCs/>
          <w:lang w:eastAsia="en-US"/>
        </w:rPr>
      </w:pPr>
      <w:r w:rsidRPr="00492007">
        <w:rPr>
          <w:b/>
          <w:bCs/>
          <w:lang w:eastAsia="en-US"/>
        </w:rPr>
        <w:t>Identification of main paths of human exposure towards active substance(s) and substances of concern from its use in biocidal product</w:t>
      </w:r>
    </w:p>
    <w:p w14:paraId="55AB4A37" w14:textId="77777777" w:rsidR="00D641F2" w:rsidRPr="00492007" w:rsidRDefault="00D641F2" w:rsidP="00D641F2">
      <w:pPr>
        <w:jc w:val="both"/>
        <w:rPr>
          <w:b/>
          <w:bCs/>
          <w:lang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53"/>
        <w:gridCol w:w="1116"/>
        <w:gridCol w:w="1242"/>
        <w:gridCol w:w="1410"/>
        <w:gridCol w:w="1252"/>
        <w:gridCol w:w="1534"/>
        <w:gridCol w:w="1322"/>
      </w:tblGrid>
      <w:tr w:rsidR="00D641F2" w:rsidRPr="00492007" w14:paraId="055B5C90" w14:textId="77777777" w:rsidTr="00D641F2">
        <w:trPr>
          <w:tblHeader/>
        </w:trPr>
        <w:tc>
          <w:tcPr>
            <w:tcW w:w="5000" w:type="pct"/>
            <w:gridSpan w:val="7"/>
            <w:shd w:val="clear" w:color="auto" w:fill="FFFFCC"/>
          </w:tcPr>
          <w:p w14:paraId="274B0DC1" w14:textId="77777777" w:rsidR="00D641F2" w:rsidRPr="00492007" w:rsidRDefault="00D641F2" w:rsidP="00D641F2">
            <w:pPr>
              <w:jc w:val="center"/>
              <w:rPr>
                <w:b/>
                <w:lang w:eastAsia="en-US"/>
              </w:rPr>
            </w:pPr>
            <w:r w:rsidRPr="00492007">
              <w:rPr>
                <w:b/>
                <w:lang w:eastAsia="en-US"/>
              </w:rPr>
              <w:lastRenderedPageBreak/>
              <w:t>Summary table: relevant paths of human exposure</w:t>
            </w:r>
          </w:p>
        </w:tc>
      </w:tr>
      <w:tr w:rsidR="00D641F2" w:rsidRPr="00492007" w14:paraId="2638F989" w14:textId="77777777" w:rsidTr="00D641F2">
        <w:trPr>
          <w:tblHeader/>
        </w:trPr>
        <w:tc>
          <w:tcPr>
            <w:tcW w:w="687" w:type="pct"/>
            <w:vMerge w:val="restart"/>
            <w:shd w:val="clear" w:color="auto" w:fill="auto"/>
            <w:tcMar>
              <w:top w:w="57" w:type="dxa"/>
              <w:bottom w:w="57" w:type="dxa"/>
            </w:tcMar>
            <w:vAlign w:val="center"/>
          </w:tcPr>
          <w:p w14:paraId="1CFAC3AD" w14:textId="77777777" w:rsidR="00D641F2" w:rsidRPr="00492007" w:rsidRDefault="00D641F2" w:rsidP="00D641F2">
            <w:pPr>
              <w:rPr>
                <w:b/>
                <w:lang w:eastAsia="en-US"/>
              </w:rPr>
            </w:pPr>
            <w:r w:rsidRPr="00492007">
              <w:rPr>
                <w:b/>
                <w:lang w:eastAsia="en-US"/>
              </w:rPr>
              <w:t>Exposure path</w:t>
            </w:r>
          </w:p>
        </w:tc>
        <w:tc>
          <w:tcPr>
            <w:tcW w:w="2063" w:type="pct"/>
            <w:gridSpan w:val="3"/>
            <w:shd w:val="clear" w:color="auto" w:fill="auto"/>
            <w:tcMar>
              <w:top w:w="57" w:type="dxa"/>
              <w:bottom w:w="57" w:type="dxa"/>
            </w:tcMar>
            <w:vAlign w:val="center"/>
          </w:tcPr>
          <w:p w14:paraId="5B3182A3" w14:textId="77777777" w:rsidR="00D641F2" w:rsidRPr="00492007" w:rsidRDefault="00D641F2" w:rsidP="00D641F2">
            <w:pPr>
              <w:rPr>
                <w:b/>
                <w:lang w:eastAsia="en-US"/>
              </w:rPr>
            </w:pPr>
            <w:r w:rsidRPr="00492007">
              <w:rPr>
                <w:b/>
                <w:lang w:eastAsia="en-US"/>
              </w:rPr>
              <w:t xml:space="preserve">Primary (direct) exposure </w:t>
            </w:r>
          </w:p>
        </w:tc>
        <w:tc>
          <w:tcPr>
            <w:tcW w:w="2250" w:type="pct"/>
            <w:gridSpan w:val="3"/>
          </w:tcPr>
          <w:p w14:paraId="156D894D" w14:textId="77777777" w:rsidR="00D641F2" w:rsidRPr="00492007" w:rsidRDefault="00D641F2" w:rsidP="00D641F2">
            <w:pPr>
              <w:rPr>
                <w:b/>
                <w:lang w:eastAsia="en-US"/>
              </w:rPr>
            </w:pPr>
            <w:r w:rsidRPr="00492007">
              <w:rPr>
                <w:b/>
                <w:lang w:eastAsia="en-US"/>
              </w:rPr>
              <w:t xml:space="preserve">Secondary (indirect) exposure </w:t>
            </w:r>
          </w:p>
        </w:tc>
      </w:tr>
      <w:tr w:rsidR="00AB21D9" w:rsidRPr="00492007" w14:paraId="192B013F" w14:textId="77777777" w:rsidTr="00AB21D9">
        <w:trPr>
          <w:trHeight w:val="592"/>
          <w:tblHeader/>
        </w:trPr>
        <w:tc>
          <w:tcPr>
            <w:tcW w:w="687" w:type="pct"/>
            <w:vMerge/>
            <w:shd w:val="clear" w:color="auto" w:fill="auto"/>
            <w:tcMar>
              <w:top w:w="57" w:type="dxa"/>
              <w:bottom w:w="57" w:type="dxa"/>
            </w:tcMar>
          </w:tcPr>
          <w:p w14:paraId="72C9B6D6" w14:textId="77777777" w:rsidR="00AB21D9" w:rsidRPr="00492007" w:rsidRDefault="00AB21D9" w:rsidP="00D641F2">
            <w:pPr>
              <w:rPr>
                <w:lang w:eastAsia="en-US"/>
              </w:rPr>
            </w:pPr>
          </w:p>
        </w:tc>
        <w:tc>
          <w:tcPr>
            <w:tcW w:w="611" w:type="pct"/>
            <w:shd w:val="clear" w:color="auto" w:fill="auto"/>
            <w:tcMar>
              <w:top w:w="57" w:type="dxa"/>
              <w:bottom w:w="57" w:type="dxa"/>
            </w:tcMar>
          </w:tcPr>
          <w:p w14:paraId="3F78272E" w14:textId="77777777" w:rsidR="00AB21D9" w:rsidRPr="00E75423" w:rsidRDefault="00AB21D9" w:rsidP="00AB21D9">
            <w:pPr>
              <w:jc w:val="center"/>
              <w:rPr>
                <w:b/>
                <w:lang w:eastAsia="en-US"/>
              </w:rPr>
            </w:pPr>
            <w:r w:rsidRPr="00E75423">
              <w:rPr>
                <w:b/>
                <w:lang w:eastAsia="en-US"/>
              </w:rPr>
              <w:t>Industrial use</w:t>
            </w:r>
          </w:p>
        </w:tc>
        <w:tc>
          <w:tcPr>
            <w:tcW w:w="680" w:type="pct"/>
            <w:shd w:val="clear" w:color="auto" w:fill="auto"/>
            <w:tcMar>
              <w:top w:w="57" w:type="dxa"/>
              <w:bottom w:w="57" w:type="dxa"/>
            </w:tcMar>
          </w:tcPr>
          <w:p w14:paraId="7F83D7DD" w14:textId="77777777" w:rsidR="00AB21D9" w:rsidRPr="00E75423" w:rsidRDefault="00AB21D9" w:rsidP="00AB21D9">
            <w:pPr>
              <w:jc w:val="center"/>
              <w:rPr>
                <w:b/>
                <w:lang w:eastAsia="en-US"/>
              </w:rPr>
            </w:pPr>
            <w:r w:rsidRPr="00E75423">
              <w:rPr>
                <w:b/>
                <w:lang w:eastAsia="en-US"/>
              </w:rPr>
              <w:t>Professional use</w:t>
            </w:r>
          </w:p>
        </w:tc>
        <w:tc>
          <w:tcPr>
            <w:tcW w:w="772" w:type="pct"/>
            <w:shd w:val="clear" w:color="auto" w:fill="auto"/>
            <w:tcMar>
              <w:top w:w="57" w:type="dxa"/>
              <w:bottom w:w="57" w:type="dxa"/>
            </w:tcMar>
          </w:tcPr>
          <w:p w14:paraId="7FFD3669" w14:textId="77777777" w:rsidR="00AB21D9" w:rsidRPr="00E75423" w:rsidRDefault="00AB21D9" w:rsidP="00AB21D9">
            <w:pPr>
              <w:jc w:val="center"/>
              <w:rPr>
                <w:b/>
                <w:lang w:eastAsia="en-US"/>
              </w:rPr>
            </w:pPr>
            <w:r w:rsidRPr="00E75423">
              <w:rPr>
                <w:b/>
                <w:lang w:eastAsia="en-US"/>
              </w:rPr>
              <w:t>Non-professional use</w:t>
            </w:r>
          </w:p>
        </w:tc>
        <w:tc>
          <w:tcPr>
            <w:tcW w:w="686" w:type="pct"/>
          </w:tcPr>
          <w:p w14:paraId="301D6789" w14:textId="77777777" w:rsidR="00AB21D9" w:rsidRPr="00E75423" w:rsidRDefault="00AB21D9" w:rsidP="00AB21D9">
            <w:pPr>
              <w:jc w:val="center"/>
              <w:rPr>
                <w:b/>
                <w:lang w:eastAsia="en-US"/>
              </w:rPr>
            </w:pPr>
            <w:r w:rsidRPr="00E75423">
              <w:rPr>
                <w:b/>
                <w:lang w:eastAsia="en-US"/>
              </w:rPr>
              <w:t>Industrial use</w:t>
            </w:r>
          </w:p>
        </w:tc>
        <w:tc>
          <w:tcPr>
            <w:tcW w:w="840" w:type="pct"/>
          </w:tcPr>
          <w:p w14:paraId="7319C351" w14:textId="77777777" w:rsidR="00AB21D9" w:rsidRPr="00E75423" w:rsidRDefault="00AB21D9" w:rsidP="00AB21D9">
            <w:pPr>
              <w:jc w:val="center"/>
              <w:rPr>
                <w:b/>
                <w:lang w:eastAsia="en-US"/>
              </w:rPr>
            </w:pPr>
            <w:r w:rsidRPr="00E75423">
              <w:rPr>
                <w:b/>
                <w:lang w:eastAsia="en-US"/>
              </w:rPr>
              <w:t>Professional use</w:t>
            </w:r>
          </w:p>
        </w:tc>
        <w:tc>
          <w:tcPr>
            <w:tcW w:w="725" w:type="pct"/>
          </w:tcPr>
          <w:p w14:paraId="3E66DE61" w14:textId="77777777" w:rsidR="00AB21D9" w:rsidRPr="00E75423" w:rsidRDefault="00AB21D9" w:rsidP="00AB21D9">
            <w:pPr>
              <w:jc w:val="center"/>
              <w:rPr>
                <w:b/>
                <w:lang w:eastAsia="en-US"/>
              </w:rPr>
            </w:pPr>
            <w:r w:rsidRPr="00E75423">
              <w:rPr>
                <w:b/>
                <w:lang w:eastAsia="en-US"/>
              </w:rPr>
              <w:t>General public</w:t>
            </w:r>
          </w:p>
          <w:p w14:paraId="0B6E1512" w14:textId="77777777" w:rsidR="00AB21D9" w:rsidRPr="00E75423" w:rsidRDefault="00AB21D9" w:rsidP="00AB21D9">
            <w:pPr>
              <w:jc w:val="center"/>
              <w:rPr>
                <w:b/>
                <w:lang w:eastAsia="en-US"/>
              </w:rPr>
            </w:pPr>
          </w:p>
        </w:tc>
      </w:tr>
      <w:tr w:rsidR="00AB21D9" w:rsidRPr="00492007" w14:paraId="2460AEBC" w14:textId="77777777" w:rsidTr="00AB21D9">
        <w:trPr>
          <w:tblHeader/>
        </w:trPr>
        <w:tc>
          <w:tcPr>
            <w:tcW w:w="687" w:type="pct"/>
            <w:shd w:val="clear" w:color="auto" w:fill="auto"/>
            <w:tcMar>
              <w:top w:w="57" w:type="dxa"/>
              <w:bottom w:w="57" w:type="dxa"/>
            </w:tcMar>
          </w:tcPr>
          <w:p w14:paraId="21DBA016" w14:textId="77777777" w:rsidR="00AB21D9" w:rsidRPr="00492007" w:rsidRDefault="00AB21D9" w:rsidP="00D641F2">
            <w:pPr>
              <w:rPr>
                <w:lang w:eastAsia="en-US"/>
              </w:rPr>
            </w:pPr>
            <w:r w:rsidRPr="00492007">
              <w:rPr>
                <w:lang w:eastAsia="en-US"/>
              </w:rPr>
              <w:t>Inhalation</w:t>
            </w:r>
          </w:p>
        </w:tc>
        <w:tc>
          <w:tcPr>
            <w:tcW w:w="611" w:type="pct"/>
            <w:tcMar>
              <w:top w:w="57" w:type="dxa"/>
              <w:bottom w:w="57" w:type="dxa"/>
            </w:tcMar>
          </w:tcPr>
          <w:p w14:paraId="01992970" w14:textId="77777777" w:rsidR="00AB21D9" w:rsidRPr="00E75423" w:rsidRDefault="00AB21D9" w:rsidP="00D641F2">
            <w:pPr>
              <w:jc w:val="center"/>
              <w:rPr>
                <w:lang w:eastAsia="en-US"/>
              </w:rPr>
            </w:pPr>
            <w:r w:rsidRPr="00E75423">
              <w:rPr>
                <w:lang w:eastAsia="en-US"/>
              </w:rPr>
              <w:t>n.a.</w:t>
            </w:r>
          </w:p>
        </w:tc>
        <w:tc>
          <w:tcPr>
            <w:tcW w:w="680" w:type="pct"/>
            <w:shd w:val="clear" w:color="auto" w:fill="auto"/>
            <w:tcMar>
              <w:top w:w="57" w:type="dxa"/>
              <w:bottom w:w="57" w:type="dxa"/>
            </w:tcMar>
          </w:tcPr>
          <w:p w14:paraId="6BD75F10" w14:textId="77777777" w:rsidR="00AB21D9" w:rsidRPr="00E75423" w:rsidRDefault="006F33CF" w:rsidP="00D641F2">
            <w:pPr>
              <w:jc w:val="center"/>
              <w:rPr>
                <w:lang w:eastAsia="en-US"/>
              </w:rPr>
            </w:pPr>
            <w:r w:rsidRPr="00E75423">
              <w:rPr>
                <w:lang w:eastAsia="en-US"/>
              </w:rPr>
              <w:t>No</w:t>
            </w:r>
          </w:p>
        </w:tc>
        <w:tc>
          <w:tcPr>
            <w:tcW w:w="772" w:type="pct"/>
            <w:shd w:val="clear" w:color="auto" w:fill="auto"/>
            <w:tcMar>
              <w:top w:w="57" w:type="dxa"/>
              <w:bottom w:w="57" w:type="dxa"/>
            </w:tcMar>
          </w:tcPr>
          <w:p w14:paraId="4066DD8D" w14:textId="77777777" w:rsidR="00AB21D9" w:rsidRPr="00E75423" w:rsidRDefault="00AB21D9" w:rsidP="00D641F2">
            <w:pPr>
              <w:jc w:val="center"/>
              <w:rPr>
                <w:lang w:eastAsia="en-US"/>
              </w:rPr>
            </w:pPr>
            <w:r w:rsidRPr="00E75423">
              <w:rPr>
                <w:lang w:eastAsia="en-US"/>
              </w:rPr>
              <w:t>n.a.</w:t>
            </w:r>
          </w:p>
        </w:tc>
        <w:tc>
          <w:tcPr>
            <w:tcW w:w="686" w:type="pct"/>
          </w:tcPr>
          <w:p w14:paraId="454E4F73" w14:textId="77777777" w:rsidR="00AB21D9" w:rsidRPr="00E75423" w:rsidRDefault="00AB21D9" w:rsidP="00D641F2">
            <w:pPr>
              <w:jc w:val="center"/>
              <w:rPr>
                <w:lang w:eastAsia="en-US"/>
              </w:rPr>
            </w:pPr>
            <w:r w:rsidRPr="00E75423">
              <w:rPr>
                <w:lang w:eastAsia="en-US"/>
              </w:rPr>
              <w:t>n.a.</w:t>
            </w:r>
          </w:p>
        </w:tc>
        <w:tc>
          <w:tcPr>
            <w:tcW w:w="840" w:type="pct"/>
          </w:tcPr>
          <w:p w14:paraId="684AD7D3" w14:textId="77777777" w:rsidR="00AB21D9" w:rsidRPr="00E75423" w:rsidRDefault="006F33CF" w:rsidP="00D641F2">
            <w:pPr>
              <w:jc w:val="center"/>
              <w:rPr>
                <w:lang w:eastAsia="en-US"/>
              </w:rPr>
            </w:pPr>
            <w:r w:rsidRPr="00E75423">
              <w:rPr>
                <w:lang w:eastAsia="en-US"/>
              </w:rPr>
              <w:t>No</w:t>
            </w:r>
          </w:p>
        </w:tc>
        <w:tc>
          <w:tcPr>
            <w:tcW w:w="725" w:type="pct"/>
          </w:tcPr>
          <w:p w14:paraId="1A46ACD2" w14:textId="77777777" w:rsidR="00AB21D9" w:rsidRPr="00E75423" w:rsidRDefault="00AB21D9" w:rsidP="00AB21D9">
            <w:pPr>
              <w:jc w:val="center"/>
              <w:rPr>
                <w:lang w:eastAsia="en-US"/>
              </w:rPr>
            </w:pPr>
            <w:r w:rsidRPr="00E75423">
              <w:rPr>
                <w:lang w:eastAsia="en-US"/>
              </w:rPr>
              <w:t>n.a.</w:t>
            </w:r>
          </w:p>
        </w:tc>
      </w:tr>
      <w:tr w:rsidR="00AB21D9" w:rsidRPr="00492007" w14:paraId="454521E3" w14:textId="77777777" w:rsidTr="00AB21D9">
        <w:trPr>
          <w:tblHeader/>
        </w:trPr>
        <w:tc>
          <w:tcPr>
            <w:tcW w:w="687" w:type="pct"/>
            <w:shd w:val="clear" w:color="auto" w:fill="auto"/>
            <w:tcMar>
              <w:top w:w="57" w:type="dxa"/>
              <w:bottom w:w="57" w:type="dxa"/>
            </w:tcMar>
          </w:tcPr>
          <w:p w14:paraId="2C1C2FD9" w14:textId="77777777" w:rsidR="00AB21D9" w:rsidRPr="00492007" w:rsidRDefault="00AB21D9" w:rsidP="00D641F2">
            <w:pPr>
              <w:rPr>
                <w:lang w:eastAsia="en-US"/>
              </w:rPr>
            </w:pPr>
            <w:r w:rsidRPr="00492007">
              <w:rPr>
                <w:lang w:eastAsia="en-US"/>
              </w:rPr>
              <w:t>Dermal</w:t>
            </w:r>
          </w:p>
        </w:tc>
        <w:tc>
          <w:tcPr>
            <w:tcW w:w="611" w:type="pct"/>
            <w:tcMar>
              <w:top w:w="57" w:type="dxa"/>
              <w:bottom w:w="57" w:type="dxa"/>
            </w:tcMar>
          </w:tcPr>
          <w:p w14:paraId="50647198" w14:textId="77777777" w:rsidR="00AB21D9" w:rsidRPr="00E75423" w:rsidRDefault="00AB21D9" w:rsidP="00D641F2">
            <w:pPr>
              <w:jc w:val="center"/>
              <w:rPr>
                <w:lang w:eastAsia="en-US"/>
              </w:rPr>
            </w:pPr>
            <w:r w:rsidRPr="00E75423">
              <w:rPr>
                <w:lang w:eastAsia="en-US"/>
              </w:rPr>
              <w:t>n.a.</w:t>
            </w:r>
          </w:p>
        </w:tc>
        <w:tc>
          <w:tcPr>
            <w:tcW w:w="680" w:type="pct"/>
            <w:shd w:val="clear" w:color="auto" w:fill="auto"/>
            <w:tcMar>
              <w:top w:w="57" w:type="dxa"/>
              <w:bottom w:w="57" w:type="dxa"/>
            </w:tcMar>
          </w:tcPr>
          <w:p w14:paraId="3866C549" w14:textId="77777777" w:rsidR="00AB21D9" w:rsidRPr="00E75423" w:rsidRDefault="00AB21D9" w:rsidP="00D641F2">
            <w:pPr>
              <w:jc w:val="center"/>
              <w:rPr>
                <w:lang w:eastAsia="en-US"/>
              </w:rPr>
            </w:pPr>
            <w:r w:rsidRPr="00E75423">
              <w:rPr>
                <w:lang w:eastAsia="en-US"/>
              </w:rPr>
              <w:t>Yes</w:t>
            </w:r>
          </w:p>
        </w:tc>
        <w:tc>
          <w:tcPr>
            <w:tcW w:w="772" w:type="pct"/>
            <w:shd w:val="clear" w:color="auto" w:fill="auto"/>
            <w:tcMar>
              <w:top w:w="57" w:type="dxa"/>
              <w:bottom w:w="57" w:type="dxa"/>
            </w:tcMar>
          </w:tcPr>
          <w:p w14:paraId="59AB5F07" w14:textId="77777777" w:rsidR="00AB21D9" w:rsidRPr="00E75423" w:rsidRDefault="00AB21D9" w:rsidP="00D641F2">
            <w:pPr>
              <w:jc w:val="center"/>
              <w:rPr>
                <w:lang w:eastAsia="en-US"/>
              </w:rPr>
            </w:pPr>
            <w:r w:rsidRPr="00E75423">
              <w:rPr>
                <w:lang w:eastAsia="en-US"/>
              </w:rPr>
              <w:t>n.a.</w:t>
            </w:r>
          </w:p>
        </w:tc>
        <w:tc>
          <w:tcPr>
            <w:tcW w:w="686" w:type="pct"/>
          </w:tcPr>
          <w:p w14:paraId="1E6983C2" w14:textId="77777777" w:rsidR="00AB21D9" w:rsidRPr="00E75423" w:rsidRDefault="00AB21D9" w:rsidP="00D641F2">
            <w:pPr>
              <w:jc w:val="center"/>
              <w:rPr>
                <w:lang w:eastAsia="en-US"/>
              </w:rPr>
            </w:pPr>
            <w:r w:rsidRPr="00E75423">
              <w:rPr>
                <w:lang w:eastAsia="en-US"/>
              </w:rPr>
              <w:t>n.a.</w:t>
            </w:r>
          </w:p>
        </w:tc>
        <w:tc>
          <w:tcPr>
            <w:tcW w:w="840" w:type="pct"/>
          </w:tcPr>
          <w:p w14:paraId="50F078C0" w14:textId="77777777" w:rsidR="00AB21D9" w:rsidRPr="00E75423" w:rsidRDefault="00AB21D9" w:rsidP="00D641F2">
            <w:pPr>
              <w:jc w:val="center"/>
              <w:rPr>
                <w:lang w:eastAsia="en-US"/>
              </w:rPr>
            </w:pPr>
            <w:r w:rsidRPr="00E75423">
              <w:rPr>
                <w:lang w:eastAsia="en-US"/>
              </w:rPr>
              <w:t>Yes</w:t>
            </w:r>
          </w:p>
        </w:tc>
        <w:tc>
          <w:tcPr>
            <w:tcW w:w="725" w:type="pct"/>
          </w:tcPr>
          <w:p w14:paraId="34553E55" w14:textId="77777777" w:rsidR="00AB21D9" w:rsidRPr="00E75423" w:rsidRDefault="00AB21D9" w:rsidP="00AB21D9">
            <w:pPr>
              <w:jc w:val="center"/>
              <w:rPr>
                <w:lang w:eastAsia="en-US"/>
              </w:rPr>
            </w:pPr>
            <w:r w:rsidRPr="00E75423">
              <w:rPr>
                <w:lang w:eastAsia="en-US"/>
              </w:rPr>
              <w:t>n.a.</w:t>
            </w:r>
          </w:p>
        </w:tc>
      </w:tr>
      <w:tr w:rsidR="00AB21D9" w:rsidRPr="00492007" w14:paraId="2A5FE933" w14:textId="77777777" w:rsidTr="00AB21D9">
        <w:trPr>
          <w:tblHeader/>
        </w:trPr>
        <w:tc>
          <w:tcPr>
            <w:tcW w:w="687" w:type="pct"/>
            <w:shd w:val="clear" w:color="auto" w:fill="auto"/>
            <w:tcMar>
              <w:top w:w="57" w:type="dxa"/>
              <w:bottom w:w="57" w:type="dxa"/>
            </w:tcMar>
          </w:tcPr>
          <w:p w14:paraId="0831E799" w14:textId="77777777" w:rsidR="00AB21D9" w:rsidRPr="00492007" w:rsidRDefault="00AB21D9" w:rsidP="00D641F2">
            <w:pPr>
              <w:rPr>
                <w:lang w:eastAsia="en-US"/>
              </w:rPr>
            </w:pPr>
            <w:r w:rsidRPr="00492007">
              <w:rPr>
                <w:lang w:eastAsia="en-US"/>
              </w:rPr>
              <w:t>Oral</w:t>
            </w:r>
          </w:p>
        </w:tc>
        <w:tc>
          <w:tcPr>
            <w:tcW w:w="611" w:type="pct"/>
            <w:tcMar>
              <w:top w:w="57" w:type="dxa"/>
              <w:bottom w:w="57" w:type="dxa"/>
            </w:tcMar>
          </w:tcPr>
          <w:p w14:paraId="7D8E7BCB" w14:textId="77777777" w:rsidR="00AB21D9" w:rsidRPr="00E75423" w:rsidRDefault="00AB21D9" w:rsidP="00D641F2">
            <w:pPr>
              <w:jc w:val="center"/>
              <w:rPr>
                <w:lang w:eastAsia="en-US"/>
              </w:rPr>
            </w:pPr>
            <w:r w:rsidRPr="00E75423">
              <w:rPr>
                <w:lang w:eastAsia="en-US"/>
              </w:rPr>
              <w:t>n.a.</w:t>
            </w:r>
          </w:p>
        </w:tc>
        <w:tc>
          <w:tcPr>
            <w:tcW w:w="680" w:type="pct"/>
            <w:shd w:val="clear" w:color="auto" w:fill="auto"/>
            <w:tcMar>
              <w:top w:w="57" w:type="dxa"/>
              <w:bottom w:w="57" w:type="dxa"/>
            </w:tcMar>
          </w:tcPr>
          <w:p w14:paraId="5E30292F" w14:textId="77777777" w:rsidR="00AB21D9" w:rsidRPr="00E75423" w:rsidRDefault="00AB21D9" w:rsidP="00D641F2">
            <w:pPr>
              <w:jc w:val="center"/>
              <w:rPr>
                <w:lang w:eastAsia="en-US"/>
              </w:rPr>
            </w:pPr>
            <w:r w:rsidRPr="00E75423">
              <w:rPr>
                <w:lang w:eastAsia="en-US"/>
              </w:rPr>
              <w:t>No</w:t>
            </w:r>
          </w:p>
        </w:tc>
        <w:tc>
          <w:tcPr>
            <w:tcW w:w="772" w:type="pct"/>
            <w:shd w:val="clear" w:color="auto" w:fill="auto"/>
            <w:tcMar>
              <w:top w:w="57" w:type="dxa"/>
              <w:bottom w:w="57" w:type="dxa"/>
            </w:tcMar>
          </w:tcPr>
          <w:p w14:paraId="78A8D573" w14:textId="77777777" w:rsidR="00AB21D9" w:rsidRPr="00E75423" w:rsidRDefault="00AB21D9" w:rsidP="00D641F2">
            <w:pPr>
              <w:jc w:val="center"/>
              <w:rPr>
                <w:lang w:eastAsia="en-US"/>
              </w:rPr>
            </w:pPr>
            <w:r w:rsidRPr="00E75423">
              <w:rPr>
                <w:lang w:eastAsia="en-US"/>
              </w:rPr>
              <w:t>n.a.</w:t>
            </w:r>
          </w:p>
        </w:tc>
        <w:tc>
          <w:tcPr>
            <w:tcW w:w="686" w:type="pct"/>
          </w:tcPr>
          <w:p w14:paraId="001193C5" w14:textId="77777777" w:rsidR="00AB21D9" w:rsidRPr="00E75423" w:rsidRDefault="00AB21D9" w:rsidP="00D641F2">
            <w:pPr>
              <w:jc w:val="center"/>
              <w:rPr>
                <w:lang w:eastAsia="en-US"/>
              </w:rPr>
            </w:pPr>
            <w:r w:rsidRPr="00E75423">
              <w:rPr>
                <w:lang w:eastAsia="en-US"/>
              </w:rPr>
              <w:t>n.a.</w:t>
            </w:r>
          </w:p>
        </w:tc>
        <w:tc>
          <w:tcPr>
            <w:tcW w:w="840" w:type="pct"/>
          </w:tcPr>
          <w:p w14:paraId="3D5E8AC3" w14:textId="77777777" w:rsidR="00AB21D9" w:rsidRPr="00E75423" w:rsidRDefault="00AB21D9" w:rsidP="00D641F2">
            <w:pPr>
              <w:jc w:val="center"/>
              <w:rPr>
                <w:lang w:eastAsia="en-US"/>
              </w:rPr>
            </w:pPr>
            <w:r w:rsidRPr="00E75423">
              <w:rPr>
                <w:lang w:eastAsia="en-US"/>
              </w:rPr>
              <w:t>No</w:t>
            </w:r>
          </w:p>
        </w:tc>
        <w:tc>
          <w:tcPr>
            <w:tcW w:w="725" w:type="pct"/>
          </w:tcPr>
          <w:p w14:paraId="6EFE3C65" w14:textId="77777777" w:rsidR="00AB21D9" w:rsidRPr="00E75423" w:rsidRDefault="00AB21D9" w:rsidP="00AB21D9">
            <w:pPr>
              <w:jc w:val="center"/>
              <w:rPr>
                <w:lang w:eastAsia="en-US"/>
              </w:rPr>
            </w:pPr>
            <w:r w:rsidRPr="00E75423">
              <w:rPr>
                <w:lang w:eastAsia="en-US"/>
              </w:rPr>
              <w:t>n.a.</w:t>
            </w:r>
          </w:p>
        </w:tc>
      </w:tr>
    </w:tbl>
    <w:p w14:paraId="3C8222C4" w14:textId="77777777" w:rsidR="00D641F2" w:rsidRPr="00492007" w:rsidRDefault="00D641F2" w:rsidP="00D641F2">
      <w:pPr>
        <w:rPr>
          <w:lang w:eastAsia="en-US"/>
        </w:rPr>
      </w:pPr>
      <w:r w:rsidRPr="00492007">
        <w:rPr>
          <w:iCs/>
          <w:sz w:val="16"/>
          <w:lang w:eastAsia="en-US"/>
        </w:rPr>
        <w:t>n.a.: not applicable</w:t>
      </w:r>
    </w:p>
    <w:p w14:paraId="677C9FDA" w14:textId="77777777" w:rsidR="00D641F2" w:rsidRPr="001A1803" w:rsidRDefault="00D641F2" w:rsidP="00D641F2">
      <w:pPr>
        <w:rPr>
          <w:szCs w:val="22"/>
          <w:lang w:eastAsia="en-US"/>
        </w:rPr>
      </w:pPr>
      <w:bookmarkStart w:id="77" w:name="_Toc367976935"/>
      <w:bookmarkStart w:id="78" w:name="_Toc387138973"/>
      <w:bookmarkStart w:id="79" w:name="_Toc387142780"/>
      <w:bookmarkStart w:id="80" w:name="_Toc387146344"/>
      <w:bookmarkStart w:id="81" w:name="_Toc389729063"/>
      <w:bookmarkStart w:id="82" w:name="_Toc403472765"/>
    </w:p>
    <w:p w14:paraId="330D688E" w14:textId="77777777" w:rsidR="006F33CF" w:rsidRPr="007B44E3" w:rsidRDefault="006F33CF" w:rsidP="008B4D23">
      <w:pPr>
        <w:jc w:val="both"/>
        <w:rPr>
          <w:rFonts w:eastAsia="Calibri"/>
          <w:lang w:eastAsia="en-US"/>
        </w:rPr>
      </w:pPr>
      <w:r>
        <w:rPr>
          <w:rFonts w:eastAsia="Calibri"/>
          <w:lang w:eastAsia="en-US"/>
        </w:rPr>
        <w:t>Inhalation exposure of iodine from this type of product (teat disinfectant) was a point of discussion at the WG</w:t>
      </w:r>
      <w:r w:rsidR="006250F5">
        <w:rPr>
          <w:rFonts w:eastAsia="Calibri"/>
          <w:lang w:eastAsia="en-US"/>
        </w:rPr>
        <w:t xml:space="preserve"> </w:t>
      </w:r>
      <w:r>
        <w:rPr>
          <w:rFonts w:eastAsia="Calibri"/>
          <w:lang w:eastAsia="en-US"/>
        </w:rPr>
        <w:t>IV</w:t>
      </w:r>
      <w:r w:rsidR="006250F5">
        <w:rPr>
          <w:rFonts w:eastAsia="Calibri"/>
          <w:lang w:eastAsia="en-US"/>
        </w:rPr>
        <w:t>-2017</w:t>
      </w:r>
      <w:r>
        <w:rPr>
          <w:rFonts w:eastAsia="Calibri"/>
          <w:lang w:eastAsia="en-US"/>
        </w:rPr>
        <w:t xml:space="preserve">, and it was concluded </w:t>
      </w:r>
      <w:r w:rsidRPr="007B44E3">
        <w:rPr>
          <w:rFonts w:eastAsia="Calibri"/>
          <w:lang w:eastAsia="en-US"/>
        </w:rPr>
        <w:t xml:space="preserve">that inhalation exposure to vapours could be considered as negligible </w:t>
      </w:r>
      <w:r w:rsidR="00891703" w:rsidRPr="007B44E3">
        <w:rPr>
          <w:rFonts w:eastAsia="Calibri"/>
          <w:lang w:eastAsia="en-US"/>
        </w:rPr>
        <w:t xml:space="preserve">for this type of formulation </w:t>
      </w:r>
      <w:r w:rsidRPr="007B44E3">
        <w:rPr>
          <w:rFonts w:eastAsia="Calibri"/>
          <w:lang w:eastAsia="en-US"/>
        </w:rPr>
        <w:t xml:space="preserve">and therefore inhalation exposure to vapours does not need to be assessed. </w:t>
      </w:r>
    </w:p>
    <w:p w14:paraId="2470DAD1" w14:textId="77777777" w:rsidR="006F33CF" w:rsidRDefault="006F33CF" w:rsidP="00D641F2">
      <w:pPr>
        <w:jc w:val="both"/>
        <w:rPr>
          <w:iCs/>
          <w:lang w:eastAsia="en-US"/>
        </w:rPr>
      </w:pPr>
    </w:p>
    <w:p w14:paraId="1887457E" w14:textId="77777777" w:rsidR="00D641F2" w:rsidRPr="00492007" w:rsidRDefault="006F33CF" w:rsidP="00D641F2">
      <w:pPr>
        <w:jc w:val="both"/>
        <w:rPr>
          <w:iCs/>
          <w:lang w:eastAsia="en-US"/>
        </w:rPr>
      </w:pPr>
      <w:r>
        <w:rPr>
          <w:iCs/>
          <w:lang w:eastAsia="en-US"/>
        </w:rPr>
        <w:t>Therefore</w:t>
      </w:r>
      <w:r w:rsidR="003044A1">
        <w:rPr>
          <w:iCs/>
          <w:lang w:eastAsia="en-US"/>
        </w:rPr>
        <w:t xml:space="preserve"> only</w:t>
      </w:r>
      <w:r>
        <w:rPr>
          <w:iCs/>
          <w:lang w:eastAsia="en-US"/>
        </w:rPr>
        <w:t xml:space="preserve"> dermal</w:t>
      </w:r>
      <w:r w:rsidR="00D641F2">
        <w:rPr>
          <w:iCs/>
          <w:lang w:eastAsia="en-US"/>
        </w:rPr>
        <w:t xml:space="preserve"> exposure </w:t>
      </w:r>
      <w:r>
        <w:rPr>
          <w:iCs/>
          <w:lang w:eastAsia="en-US"/>
        </w:rPr>
        <w:t xml:space="preserve">is </w:t>
      </w:r>
      <w:r w:rsidR="00D641F2">
        <w:rPr>
          <w:iCs/>
          <w:lang w:eastAsia="en-US"/>
        </w:rPr>
        <w:t>considered for the following phases:</w:t>
      </w:r>
    </w:p>
    <w:p w14:paraId="1881A3C7" w14:textId="77777777" w:rsidR="00D641F2" w:rsidRDefault="00D641F2" w:rsidP="00D641F2">
      <w:pPr>
        <w:jc w:val="both"/>
        <w:rPr>
          <w:iCs/>
          <w:lang w:eastAsia="en-US"/>
        </w:rPr>
      </w:pPr>
    </w:p>
    <w:p w14:paraId="4074DB31" w14:textId="77777777" w:rsidR="00D641F2" w:rsidRDefault="00D641F2" w:rsidP="00D641F2">
      <w:pPr>
        <w:jc w:val="both"/>
        <w:rPr>
          <w:b/>
          <w:iCs/>
          <w:lang w:eastAsia="en-US"/>
        </w:rPr>
      </w:pPr>
      <w:r w:rsidRPr="00B557B8">
        <w:rPr>
          <w:b/>
          <w:iCs/>
          <w:lang w:eastAsia="en-US"/>
        </w:rPr>
        <w:t>Primary exposure</w:t>
      </w:r>
      <w:r>
        <w:rPr>
          <w:b/>
          <w:iCs/>
          <w:lang w:eastAsia="en-US"/>
        </w:rPr>
        <w:t>:</w:t>
      </w:r>
    </w:p>
    <w:p w14:paraId="5E09AEBB" w14:textId="77777777" w:rsidR="00D641F2" w:rsidRDefault="00D641F2" w:rsidP="00D641F2">
      <w:pPr>
        <w:jc w:val="both"/>
        <w:rPr>
          <w:iCs/>
          <w:lang w:eastAsia="en-US"/>
        </w:rPr>
      </w:pPr>
      <w:r w:rsidRPr="00594637">
        <w:rPr>
          <w:iCs/>
          <w:lang w:eastAsia="en-US"/>
        </w:rPr>
        <w:t>I</w:t>
      </w:r>
      <w:r>
        <w:rPr>
          <w:iCs/>
          <w:lang w:eastAsia="en-US"/>
        </w:rPr>
        <w:t>ODIGUARD</w:t>
      </w:r>
      <w:r w:rsidRPr="00594637">
        <w:rPr>
          <w:iCs/>
          <w:lang w:eastAsia="en-US"/>
        </w:rPr>
        <w:t xml:space="preserve"> </w:t>
      </w:r>
      <w:r>
        <w:rPr>
          <w:iCs/>
          <w:lang w:eastAsia="en-US"/>
        </w:rPr>
        <w:t>was designed as</w:t>
      </w:r>
      <w:r w:rsidRPr="00594637">
        <w:rPr>
          <w:iCs/>
          <w:lang w:eastAsia="en-US"/>
        </w:rPr>
        <w:t xml:space="preserve"> viscous solution for two purposes: </w:t>
      </w:r>
    </w:p>
    <w:p w14:paraId="34812429" w14:textId="77777777" w:rsidR="00D641F2" w:rsidRPr="00D8115F" w:rsidRDefault="00D641F2" w:rsidP="00D641F2">
      <w:pPr>
        <w:pStyle w:val="Paragraphedeliste"/>
        <w:numPr>
          <w:ilvl w:val="1"/>
          <w:numId w:val="15"/>
        </w:numPr>
        <w:tabs>
          <w:tab w:val="left" w:pos="709"/>
        </w:tabs>
        <w:suppressAutoHyphens w:val="0"/>
        <w:spacing w:line="260" w:lineRule="atLeast"/>
        <w:ind w:left="0" w:firstLine="426"/>
        <w:contextualSpacing/>
        <w:jc w:val="both"/>
        <w:rPr>
          <w:iCs/>
          <w:lang w:eastAsia="en-US"/>
        </w:rPr>
      </w:pPr>
      <w:r w:rsidRPr="00D8115F">
        <w:rPr>
          <w:iCs/>
          <w:lang w:eastAsia="en-US"/>
        </w:rPr>
        <w:t xml:space="preserve">to adhere to the teats and stay on it (the total drying time is approximately 50 minutes); </w:t>
      </w:r>
    </w:p>
    <w:p w14:paraId="595505C5" w14:textId="77777777" w:rsidR="00D641F2" w:rsidRPr="00D8115F" w:rsidRDefault="00D641F2" w:rsidP="00D641F2">
      <w:pPr>
        <w:pStyle w:val="Paragraphedeliste"/>
        <w:numPr>
          <w:ilvl w:val="1"/>
          <w:numId w:val="15"/>
        </w:numPr>
        <w:tabs>
          <w:tab w:val="left" w:pos="709"/>
        </w:tabs>
        <w:suppressAutoHyphens w:val="0"/>
        <w:spacing w:line="260" w:lineRule="atLeast"/>
        <w:ind w:left="0" w:firstLine="426"/>
        <w:contextualSpacing/>
        <w:jc w:val="both"/>
        <w:rPr>
          <w:iCs/>
          <w:lang w:eastAsia="en-US"/>
        </w:rPr>
      </w:pPr>
      <w:proofErr w:type="gramStart"/>
      <w:r w:rsidRPr="00D8115F">
        <w:rPr>
          <w:iCs/>
          <w:lang w:eastAsia="en-US"/>
        </w:rPr>
        <w:t>to</w:t>
      </w:r>
      <w:proofErr w:type="gramEnd"/>
      <w:r w:rsidRPr="00D8115F">
        <w:rPr>
          <w:iCs/>
          <w:lang w:eastAsia="en-US"/>
        </w:rPr>
        <w:t xml:space="preserve"> avoid any spill during manipulation by the operator.</w:t>
      </w:r>
    </w:p>
    <w:p w14:paraId="2DCB3E58" w14:textId="77777777" w:rsidR="00D641F2" w:rsidRDefault="00D641F2" w:rsidP="00D641F2">
      <w:pPr>
        <w:jc w:val="both"/>
        <w:rPr>
          <w:iCs/>
          <w:lang w:eastAsia="en-US"/>
        </w:rPr>
      </w:pPr>
    </w:p>
    <w:p w14:paraId="69237F65" w14:textId="77777777" w:rsidR="00D641F2" w:rsidRDefault="00D641F2" w:rsidP="00D641F2">
      <w:pPr>
        <w:jc w:val="both"/>
        <w:rPr>
          <w:iCs/>
          <w:lang w:eastAsia="en-US"/>
        </w:rPr>
      </w:pPr>
      <w:r>
        <w:rPr>
          <w:iCs/>
          <w:lang w:eastAsia="en-US"/>
        </w:rPr>
        <w:t xml:space="preserve">Furthermore, a qualitative test showed that </w:t>
      </w:r>
      <w:r w:rsidRPr="00B557B8">
        <w:rPr>
          <w:iCs/>
          <w:lang w:eastAsia="en-US"/>
        </w:rPr>
        <w:t>I</w:t>
      </w:r>
      <w:r>
        <w:rPr>
          <w:iCs/>
          <w:lang w:eastAsia="en-US"/>
        </w:rPr>
        <w:t>ODIGUARD</w:t>
      </w:r>
      <w:r w:rsidRPr="00B557B8">
        <w:rPr>
          <w:iCs/>
          <w:lang w:eastAsia="en-US"/>
        </w:rPr>
        <w:t xml:space="preserve"> does not drip</w:t>
      </w:r>
      <w:r>
        <w:rPr>
          <w:iCs/>
          <w:lang w:eastAsia="en-US"/>
        </w:rPr>
        <w:t xml:space="preserve"> during its application</w:t>
      </w:r>
      <w:r w:rsidRPr="00B557B8">
        <w:rPr>
          <w:iCs/>
          <w:lang w:eastAsia="en-US"/>
        </w:rPr>
        <w:t>.</w:t>
      </w:r>
    </w:p>
    <w:p w14:paraId="11DB4632" w14:textId="77777777" w:rsidR="00D641F2" w:rsidRPr="001A1803" w:rsidRDefault="00D641F2" w:rsidP="00D641F2">
      <w:pPr>
        <w:jc w:val="both"/>
        <w:rPr>
          <w:iCs/>
          <w:lang w:eastAsia="en-US"/>
        </w:rPr>
      </w:pPr>
    </w:p>
    <w:p w14:paraId="2420B359" w14:textId="77777777" w:rsidR="00D641F2" w:rsidRDefault="00D641F2" w:rsidP="00D641F2">
      <w:pPr>
        <w:jc w:val="both"/>
        <w:rPr>
          <w:b/>
          <w:iCs/>
          <w:u w:val="single"/>
          <w:lang w:eastAsia="en-US"/>
        </w:rPr>
      </w:pPr>
      <w:r w:rsidRPr="0029459A">
        <w:rPr>
          <w:b/>
          <w:iCs/>
          <w:u w:val="single"/>
          <w:lang w:eastAsia="en-US"/>
        </w:rPr>
        <w:t>Mixing/loading phase:</w:t>
      </w:r>
    </w:p>
    <w:p w14:paraId="158D263D" w14:textId="77777777" w:rsidR="00D641F2" w:rsidRPr="00AB21D9" w:rsidRDefault="00D641F2" w:rsidP="00D641F2">
      <w:pPr>
        <w:jc w:val="both"/>
        <w:rPr>
          <w:iCs/>
          <w:lang w:eastAsia="en-US"/>
        </w:rPr>
      </w:pPr>
      <w:r w:rsidRPr="00AB21D9">
        <w:rPr>
          <w:iCs/>
          <w:lang w:eastAsia="en-US"/>
        </w:rPr>
        <w:t>The jerry cans of product are sold with a tap to facilitate loading of the teat dip.</w:t>
      </w:r>
    </w:p>
    <w:p w14:paraId="6300C1E2" w14:textId="77777777" w:rsidR="00D641F2" w:rsidRPr="001A1803" w:rsidRDefault="00D641F2" w:rsidP="00D641F2">
      <w:pPr>
        <w:jc w:val="both"/>
        <w:rPr>
          <w:iCs/>
          <w:u w:val="single"/>
          <w:lang w:eastAsia="en-US"/>
        </w:rPr>
      </w:pPr>
    </w:p>
    <w:p w14:paraId="2F1ADF22" w14:textId="77777777" w:rsidR="00D641F2" w:rsidRPr="00492007" w:rsidRDefault="00D641F2" w:rsidP="00D641F2">
      <w:pPr>
        <w:ind w:left="426"/>
        <w:jc w:val="both"/>
        <w:rPr>
          <w:b/>
          <w:iCs/>
          <w:lang w:eastAsia="en-US"/>
        </w:rPr>
      </w:pPr>
      <w:r w:rsidRPr="00492007">
        <w:rPr>
          <w:b/>
          <w:iCs/>
          <w:lang w:eastAsia="en-US"/>
        </w:rPr>
        <w:t>Dermal exposure:</w:t>
      </w:r>
      <w:r>
        <w:rPr>
          <w:b/>
          <w:iCs/>
          <w:lang w:eastAsia="en-US"/>
        </w:rPr>
        <w:t xml:space="preserve"> </w:t>
      </w:r>
    </w:p>
    <w:p w14:paraId="34EEE1A3" w14:textId="77777777" w:rsidR="00D641F2" w:rsidRDefault="00D641F2" w:rsidP="00D641F2">
      <w:pPr>
        <w:jc w:val="both"/>
        <w:rPr>
          <w:iCs/>
          <w:lang w:eastAsia="en-US"/>
        </w:rPr>
      </w:pPr>
      <w:r>
        <w:rPr>
          <w:iCs/>
          <w:lang w:eastAsia="en-US"/>
        </w:rPr>
        <w:t xml:space="preserve">Based on the properties of </w:t>
      </w:r>
      <w:r w:rsidR="00AE5162">
        <w:rPr>
          <w:iCs/>
          <w:lang w:eastAsia="en-US"/>
        </w:rPr>
        <w:t xml:space="preserve">IODIGUARD </w:t>
      </w:r>
      <w:r>
        <w:rPr>
          <w:iCs/>
          <w:lang w:eastAsia="en-US"/>
        </w:rPr>
        <w:t>avoiding spills and drops from the product and the use of a tap, exposure will be limited.</w:t>
      </w:r>
    </w:p>
    <w:p w14:paraId="4B52EC3A" w14:textId="77777777" w:rsidR="00D641F2" w:rsidRDefault="00D641F2" w:rsidP="00D641F2">
      <w:pPr>
        <w:jc w:val="both"/>
        <w:rPr>
          <w:iCs/>
          <w:lang w:eastAsia="en-US"/>
        </w:rPr>
      </w:pPr>
      <w:r>
        <w:rPr>
          <w:iCs/>
          <w:lang w:eastAsia="en-US"/>
        </w:rPr>
        <w:t>In the HeadHoc recommendation 13</w:t>
      </w:r>
      <w:r w:rsidR="006F4499">
        <w:rPr>
          <w:iCs/>
          <w:lang w:eastAsia="en-US"/>
        </w:rPr>
        <w:t xml:space="preserve"> (2017)</w:t>
      </w:r>
      <w:r w:rsidR="006F4499">
        <w:rPr>
          <w:rStyle w:val="Appelnotedebasdep"/>
          <w:iCs/>
          <w:lang w:eastAsia="en-US"/>
        </w:rPr>
        <w:footnoteReference w:id="5"/>
      </w:r>
      <w:r>
        <w:rPr>
          <w:iCs/>
          <w:lang w:eastAsia="en-US"/>
        </w:rPr>
        <w:t xml:space="preserve">, two approaches are presented: mixing and model 4 or the layer approach. To take into consideration reduction of exposure by using a tap, the </w:t>
      </w:r>
      <w:r w:rsidRPr="0029459A">
        <w:rPr>
          <w:iCs/>
          <w:lang w:eastAsia="en-US"/>
        </w:rPr>
        <w:t xml:space="preserve">ConsExpo </w:t>
      </w:r>
      <w:r>
        <w:rPr>
          <w:iCs/>
          <w:lang w:eastAsia="en-US"/>
        </w:rPr>
        <w:t>cleaning product factsheet equivalent to mixing and loading model 4 was chosen as a reasonable worst-case scenario as it leads to the lower exposure than the layer approach.</w:t>
      </w:r>
    </w:p>
    <w:p w14:paraId="473D47E2" w14:textId="77777777" w:rsidR="00D641F2" w:rsidRPr="0029459A" w:rsidRDefault="00D641F2" w:rsidP="00D641F2">
      <w:pPr>
        <w:autoSpaceDE w:val="0"/>
        <w:autoSpaceDN w:val="0"/>
        <w:adjustRightInd w:val="0"/>
        <w:ind w:left="708"/>
        <w:jc w:val="both"/>
        <w:rPr>
          <w:rFonts w:eastAsiaTheme="minorHAnsi"/>
          <w:color w:val="000000"/>
          <w:lang w:eastAsia="en-US"/>
        </w:rPr>
      </w:pPr>
    </w:p>
    <w:p w14:paraId="14FB88A3" w14:textId="77777777" w:rsidR="00D641F2" w:rsidRDefault="00D641F2" w:rsidP="00D641F2">
      <w:pPr>
        <w:autoSpaceDE w:val="0"/>
        <w:autoSpaceDN w:val="0"/>
        <w:adjustRightInd w:val="0"/>
        <w:ind w:left="426"/>
        <w:jc w:val="both"/>
        <w:rPr>
          <w:rFonts w:eastAsiaTheme="minorHAnsi"/>
          <w:b/>
          <w:color w:val="000000"/>
          <w:lang w:val="en-US" w:eastAsia="en-US"/>
        </w:rPr>
      </w:pPr>
    </w:p>
    <w:p w14:paraId="10B59F66" w14:textId="77777777" w:rsidR="00D641F2" w:rsidRPr="00492007" w:rsidRDefault="00D641F2" w:rsidP="00D641F2">
      <w:pPr>
        <w:autoSpaceDE w:val="0"/>
        <w:autoSpaceDN w:val="0"/>
        <w:adjustRightInd w:val="0"/>
        <w:ind w:left="426"/>
        <w:jc w:val="center"/>
        <w:rPr>
          <w:rFonts w:eastAsiaTheme="minorHAnsi"/>
          <w:b/>
          <w:color w:val="000000"/>
          <w:lang w:val="en-US" w:eastAsia="en-US"/>
        </w:rPr>
      </w:pPr>
      <w:r>
        <w:rPr>
          <w:noProof/>
          <w:lang w:val="fr-FR" w:eastAsia="fr-FR"/>
        </w:rPr>
        <w:lastRenderedPageBreak/>
        <w:drawing>
          <wp:inline distT="0" distB="0" distL="0" distR="0" wp14:anchorId="178DA4AA" wp14:editId="2FF2D504">
            <wp:extent cx="1504950" cy="1998199"/>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04950" cy="1998199"/>
                    </a:xfrm>
                    <a:prstGeom prst="rect">
                      <a:avLst/>
                    </a:prstGeom>
                  </pic:spPr>
                </pic:pic>
              </a:graphicData>
            </a:graphic>
          </wp:inline>
        </w:drawing>
      </w:r>
      <w:r>
        <w:rPr>
          <w:noProof/>
          <w:lang w:val="fr-FR" w:eastAsia="fr-FR"/>
        </w:rPr>
        <w:drawing>
          <wp:inline distT="0" distB="0" distL="0" distR="0" wp14:anchorId="11E2CA54" wp14:editId="4478C41E">
            <wp:extent cx="1497511" cy="1990725"/>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97511" cy="1990725"/>
                    </a:xfrm>
                    <a:prstGeom prst="rect">
                      <a:avLst/>
                    </a:prstGeom>
                  </pic:spPr>
                </pic:pic>
              </a:graphicData>
            </a:graphic>
          </wp:inline>
        </w:drawing>
      </w:r>
    </w:p>
    <w:p w14:paraId="22B0B8CA" w14:textId="77777777" w:rsidR="00D641F2" w:rsidRDefault="00D641F2" w:rsidP="00D641F2">
      <w:pPr>
        <w:jc w:val="both"/>
        <w:rPr>
          <w:b/>
          <w:iCs/>
          <w:u w:val="single"/>
          <w:lang w:eastAsia="en-US"/>
        </w:rPr>
      </w:pPr>
    </w:p>
    <w:p w14:paraId="70ADE1B7" w14:textId="77777777" w:rsidR="00D641F2" w:rsidRDefault="00D641F2" w:rsidP="00D641F2">
      <w:pPr>
        <w:keepNext/>
        <w:jc w:val="both"/>
        <w:rPr>
          <w:b/>
          <w:iCs/>
          <w:u w:val="single"/>
          <w:lang w:eastAsia="en-US"/>
        </w:rPr>
      </w:pPr>
      <w:r>
        <w:rPr>
          <w:b/>
          <w:iCs/>
          <w:u w:val="single"/>
          <w:lang w:eastAsia="en-US"/>
        </w:rPr>
        <w:t>Application phase:</w:t>
      </w:r>
    </w:p>
    <w:p w14:paraId="59B91C7F" w14:textId="77777777" w:rsidR="006F33CF" w:rsidRDefault="006F33CF" w:rsidP="00D641F2">
      <w:pPr>
        <w:ind w:left="426"/>
        <w:jc w:val="both"/>
        <w:rPr>
          <w:b/>
          <w:iCs/>
          <w:lang w:eastAsia="en-US"/>
        </w:rPr>
      </w:pPr>
    </w:p>
    <w:p w14:paraId="2D870715" w14:textId="77777777" w:rsidR="00D641F2" w:rsidRPr="00492007" w:rsidRDefault="00D641F2" w:rsidP="00D641F2">
      <w:pPr>
        <w:ind w:left="426"/>
        <w:jc w:val="both"/>
        <w:rPr>
          <w:b/>
          <w:iCs/>
          <w:lang w:eastAsia="en-US"/>
        </w:rPr>
      </w:pPr>
      <w:r w:rsidRPr="00492007">
        <w:rPr>
          <w:b/>
          <w:iCs/>
          <w:lang w:eastAsia="en-US"/>
        </w:rPr>
        <w:t>Dermal exposure:</w:t>
      </w:r>
      <w:r>
        <w:rPr>
          <w:b/>
          <w:iCs/>
          <w:lang w:eastAsia="en-US"/>
        </w:rPr>
        <w:t xml:space="preserve"> </w:t>
      </w:r>
    </w:p>
    <w:p w14:paraId="30278D64" w14:textId="77777777" w:rsidR="00D641F2" w:rsidRDefault="00D641F2" w:rsidP="00D641F2">
      <w:pPr>
        <w:jc w:val="both"/>
        <w:rPr>
          <w:iCs/>
          <w:lang w:eastAsia="en-US"/>
        </w:rPr>
      </w:pPr>
      <w:r>
        <w:rPr>
          <w:iCs/>
          <w:lang w:eastAsia="en-US"/>
        </w:rPr>
        <w:t>Teat of animals will be dipped in the cup of the upper part of the teat dip. Due to the nature of the product, very few drips are expected and exposure should be lower than mixing and loading.</w:t>
      </w:r>
    </w:p>
    <w:p w14:paraId="78680A38" w14:textId="77777777" w:rsidR="00D641F2" w:rsidRDefault="00D641F2" w:rsidP="00D641F2">
      <w:pPr>
        <w:jc w:val="both"/>
        <w:rPr>
          <w:iCs/>
          <w:lang w:eastAsia="en-US"/>
        </w:rPr>
      </w:pPr>
      <w:r>
        <w:rPr>
          <w:iCs/>
          <w:lang w:eastAsia="en-US"/>
        </w:rPr>
        <w:t xml:space="preserve">So application by dipping is covered by the mixing and loading step for dermal exposure. </w:t>
      </w:r>
    </w:p>
    <w:p w14:paraId="4A5CFED4" w14:textId="77777777" w:rsidR="00D641F2" w:rsidRDefault="00D641F2" w:rsidP="00D641F2">
      <w:pPr>
        <w:autoSpaceDE w:val="0"/>
        <w:autoSpaceDN w:val="0"/>
        <w:adjustRightInd w:val="0"/>
        <w:ind w:left="426"/>
        <w:jc w:val="both"/>
        <w:rPr>
          <w:rFonts w:eastAsiaTheme="minorHAnsi"/>
          <w:b/>
          <w:color w:val="000000"/>
          <w:lang w:val="en-US" w:eastAsia="en-US"/>
        </w:rPr>
      </w:pPr>
    </w:p>
    <w:p w14:paraId="6CA8E7D9" w14:textId="77777777" w:rsidR="00D641F2" w:rsidRDefault="00D641F2" w:rsidP="00D641F2">
      <w:pPr>
        <w:jc w:val="both"/>
        <w:rPr>
          <w:b/>
          <w:iCs/>
          <w:u w:val="single"/>
          <w:lang w:eastAsia="en-US"/>
        </w:rPr>
      </w:pPr>
      <w:r w:rsidRPr="00DC12AC">
        <w:rPr>
          <w:b/>
          <w:iCs/>
          <w:u w:val="single"/>
          <w:lang w:eastAsia="en-US"/>
        </w:rPr>
        <w:t>Cleaning phase:</w:t>
      </w:r>
    </w:p>
    <w:p w14:paraId="26D3720F" w14:textId="77777777" w:rsidR="006F33CF" w:rsidRPr="00DC12AC" w:rsidRDefault="006F33CF" w:rsidP="00D641F2">
      <w:pPr>
        <w:jc w:val="both"/>
        <w:rPr>
          <w:b/>
          <w:iCs/>
          <w:u w:val="single"/>
          <w:lang w:eastAsia="en-US"/>
        </w:rPr>
      </w:pPr>
    </w:p>
    <w:p w14:paraId="18CB779A" w14:textId="77777777" w:rsidR="00D641F2" w:rsidRPr="00DC12AC" w:rsidRDefault="00D641F2" w:rsidP="00D641F2">
      <w:pPr>
        <w:ind w:left="426"/>
        <w:jc w:val="both"/>
        <w:rPr>
          <w:b/>
          <w:iCs/>
          <w:lang w:eastAsia="en-US"/>
        </w:rPr>
      </w:pPr>
      <w:r w:rsidRPr="00DC12AC">
        <w:rPr>
          <w:b/>
          <w:iCs/>
          <w:lang w:eastAsia="en-US"/>
        </w:rPr>
        <w:t xml:space="preserve">Dermal exposure: </w:t>
      </w:r>
    </w:p>
    <w:p w14:paraId="50B813BB" w14:textId="77777777" w:rsidR="007724F5" w:rsidRDefault="00D641F2" w:rsidP="006357A4">
      <w:pPr>
        <w:jc w:val="both"/>
        <w:rPr>
          <w:rFonts w:eastAsiaTheme="minorHAnsi"/>
          <w:color w:val="000000"/>
          <w:lang w:val="en-US" w:eastAsia="en-US"/>
        </w:rPr>
      </w:pPr>
      <w:r w:rsidRPr="00DC12AC">
        <w:rPr>
          <w:rFonts w:eastAsiaTheme="minorHAnsi"/>
          <w:color w:val="000000"/>
          <w:lang w:eastAsia="en-US"/>
        </w:rPr>
        <w:t>B</w:t>
      </w:r>
      <w:r w:rsidRPr="00DC12AC">
        <w:rPr>
          <w:rFonts w:eastAsiaTheme="minorHAnsi"/>
          <w:color w:val="000000"/>
          <w:lang w:val="en-US" w:eastAsia="en-US"/>
        </w:rPr>
        <w:t>efore the next milking, the potential remaining product must be washed with a gentle foaming soap and wipes. Workers may be directly exposed to the remaining product on teat skin.</w:t>
      </w:r>
      <w:r w:rsidR="007724F5">
        <w:rPr>
          <w:rFonts w:eastAsiaTheme="minorHAnsi"/>
          <w:color w:val="000000"/>
          <w:lang w:val="en-US" w:eastAsia="en-US"/>
        </w:rPr>
        <w:t xml:space="preserve"> </w:t>
      </w:r>
    </w:p>
    <w:p w14:paraId="40D9BD08" w14:textId="77777777" w:rsidR="00D641F2" w:rsidRPr="006357A4" w:rsidRDefault="007724F5" w:rsidP="006357A4">
      <w:pPr>
        <w:jc w:val="both"/>
        <w:rPr>
          <w:rFonts w:eastAsiaTheme="minorHAnsi"/>
          <w:color w:val="000000"/>
          <w:szCs w:val="18"/>
          <w:lang w:val="en-US" w:eastAsia="en-US"/>
        </w:rPr>
      </w:pPr>
      <w:r w:rsidRPr="000A1359">
        <w:rPr>
          <w:lang w:eastAsia="en-US"/>
        </w:rPr>
        <w:t>After application, a small amount of diluted product will remain in the application equipment; however this will be highly diluted by the wash-water.</w:t>
      </w:r>
      <w:r>
        <w:rPr>
          <w:lang w:eastAsia="en-US"/>
        </w:rPr>
        <w:t xml:space="preserve"> </w:t>
      </w:r>
    </w:p>
    <w:p w14:paraId="7C35BC69" w14:textId="77777777" w:rsidR="00D641F2" w:rsidRPr="00DC12AC" w:rsidRDefault="00D641F2" w:rsidP="00D641F2">
      <w:pPr>
        <w:ind w:left="426"/>
        <w:jc w:val="both"/>
        <w:rPr>
          <w:iCs/>
          <w:lang w:eastAsia="en-US"/>
        </w:rPr>
      </w:pPr>
    </w:p>
    <w:p w14:paraId="348A068D" w14:textId="77777777" w:rsidR="00D641F2" w:rsidRPr="00DC12AC" w:rsidRDefault="00D641F2" w:rsidP="00D641F2">
      <w:pPr>
        <w:jc w:val="both"/>
        <w:rPr>
          <w:b/>
          <w:i/>
          <w:szCs w:val="22"/>
          <w:lang w:eastAsia="en-US"/>
        </w:rPr>
      </w:pPr>
    </w:p>
    <w:p w14:paraId="2E2A132F" w14:textId="77777777" w:rsidR="00D641F2" w:rsidRPr="00DC12AC" w:rsidRDefault="00D641F2" w:rsidP="00D641F2">
      <w:pPr>
        <w:jc w:val="both"/>
        <w:rPr>
          <w:b/>
          <w:iCs/>
          <w:lang w:eastAsia="en-US"/>
        </w:rPr>
      </w:pPr>
      <w:r w:rsidRPr="00DC12AC">
        <w:rPr>
          <w:b/>
          <w:iCs/>
          <w:lang w:eastAsia="en-US"/>
        </w:rPr>
        <w:t xml:space="preserve">Secondary exposure: </w:t>
      </w:r>
    </w:p>
    <w:p w14:paraId="1F2EC240" w14:textId="77777777" w:rsidR="00C609A1" w:rsidRDefault="00C609A1" w:rsidP="00D641F2">
      <w:pPr>
        <w:rPr>
          <w:rFonts w:eastAsia="Calibri"/>
          <w:lang w:eastAsia="en-US"/>
        </w:rPr>
      </w:pPr>
      <w:r w:rsidRPr="006027C1">
        <w:rPr>
          <w:rFonts w:eastAsia="Calibri"/>
          <w:lang w:eastAsia="en-US"/>
        </w:rPr>
        <w:t xml:space="preserve">Exposure of the general public is not relevant. </w:t>
      </w:r>
    </w:p>
    <w:p w14:paraId="5FDED25C" w14:textId="77777777" w:rsidR="00D641F2" w:rsidRPr="00492007" w:rsidRDefault="00D641F2" w:rsidP="00D641F2">
      <w:pPr>
        <w:rPr>
          <w:b/>
          <w:i/>
          <w:szCs w:val="22"/>
          <w:lang w:eastAsia="en-US"/>
        </w:rPr>
      </w:pPr>
    </w:p>
    <w:p w14:paraId="02390DB5" w14:textId="77777777" w:rsidR="00D641F2" w:rsidRPr="00492007" w:rsidRDefault="00D641F2" w:rsidP="00D641F2">
      <w:pPr>
        <w:keepNext/>
        <w:rPr>
          <w:b/>
          <w:i/>
          <w:szCs w:val="22"/>
          <w:lang w:eastAsia="en-US"/>
        </w:rPr>
      </w:pPr>
      <w:r w:rsidRPr="00492007">
        <w:rPr>
          <w:b/>
          <w:i/>
          <w:szCs w:val="22"/>
          <w:lang w:eastAsia="en-US"/>
        </w:rPr>
        <w:lastRenderedPageBreak/>
        <w:t>List of scenarios</w:t>
      </w:r>
      <w:bookmarkEnd w:id="77"/>
      <w:bookmarkEnd w:id="78"/>
      <w:bookmarkEnd w:id="79"/>
      <w:bookmarkEnd w:id="80"/>
      <w:bookmarkEnd w:id="81"/>
      <w:bookmarkEnd w:id="82"/>
    </w:p>
    <w:p w14:paraId="61CF9D03" w14:textId="77777777" w:rsidR="00D641F2" w:rsidRPr="00492007" w:rsidRDefault="00D641F2" w:rsidP="00D641F2">
      <w:pPr>
        <w:keepNext/>
        <w:rPr>
          <w:b/>
          <w:lang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16"/>
        <w:gridCol w:w="1535"/>
        <w:gridCol w:w="5019"/>
        <w:gridCol w:w="1459"/>
      </w:tblGrid>
      <w:tr w:rsidR="00D641F2" w:rsidRPr="00492007" w14:paraId="20F2F4B6" w14:textId="77777777" w:rsidTr="00AE5162">
        <w:trPr>
          <w:tblHeader/>
        </w:trPr>
        <w:tc>
          <w:tcPr>
            <w:tcW w:w="5000" w:type="pct"/>
            <w:gridSpan w:val="4"/>
            <w:shd w:val="clear" w:color="auto" w:fill="FFFFCC"/>
          </w:tcPr>
          <w:p w14:paraId="74C76823" w14:textId="77777777" w:rsidR="00D641F2" w:rsidRPr="00492007" w:rsidRDefault="00D641F2" w:rsidP="00D641F2">
            <w:pPr>
              <w:keepNext/>
              <w:widowControl w:val="0"/>
              <w:tabs>
                <w:tab w:val="center" w:pos="4536"/>
                <w:tab w:val="right" w:pos="9072"/>
              </w:tabs>
              <w:spacing w:before="60" w:after="60"/>
              <w:jc w:val="center"/>
              <w:rPr>
                <w:b/>
                <w:bCs/>
                <w:color w:val="000000"/>
                <w:sz w:val="18"/>
                <w:szCs w:val="18"/>
                <w:lang w:eastAsia="en-GB"/>
              </w:rPr>
            </w:pPr>
            <w:r w:rsidRPr="00492007">
              <w:rPr>
                <w:b/>
                <w:bCs/>
                <w:color w:val="000000"/>
                <w:sz w:val="18"/>
                <w:szCs w:val="18"/>
                <w:lang w:eastAsia="en-GB"/>
              </w:rPr>
              <w:t>Summary table: scenarios</w:t>
            </w:r>
          </w:p>
        </w:tc>
      </w:tr>
      <w:tr w:rsidR="00D641F2" w:rsidRPr="00492007" w14:paraId="71430515" w14:textId="77777777" w:rsidTr="00E75423">
        <w:trPr>
          <w:tblHeader/>
        </w:trPr>
        <w:tc>
          <w:tcPr>
            <w:tcW w:w="611" w:type="pct"/>
            <w:shd w:val="clear" w:color="auto" w:fill="auto"/>
            <w:tcMar>
              <w:top w:w="57" w:type="dxa"/>
              <w:bottom w:w="57" w:type="dxa"/>
            </w:tcMar>
          </w:tcPr>
          <w:p w14:paraId="23A2B679" w14:textId="77777777" w:rsidR="00D641F2" w:rsidRPr="00E75423" w:rsidRDefault="00D641F2" w:rsidP="00AB21D9">
            <w:pPr>
              <w:keepNext/>
              <w:widowControl w:val="0"/>
              <w:tabs>
                <w:tab w:val="center" w:pos="4536"/>
                <w:tab w:val="right" w:pos="9072"/>
              </w:tabs>
              <w:ind w:right="-70"/>
              <w:rPr>
                <w:b/>
                <w:bCs/>
                <w:color w:val="000000"/>
                <w:szCs w:val="18"/>
                <w:lang w:eastAsia="en-GB"/>
              </w:rPr>
            </w:pPr>
            <w:r w:rsidRPr="00E75423">
              <w:rPr>
                <w:b/>
                <w:bCs/>
                <w:color w:val="000000"/>
                <w:szCs w:val="18"/>
                <w:lang w:eastAsia="en-GB"/>
              </w:rPr>
              <w:t>Scenario number</w:t>
            </w:r>
          </w:p>
        </w:tc>
        <w:tc>
          <w:tcPr>
            <w:tcW w:w="841" w:type="pct"/>
            <w:shd w:val="clear" w:color="auto" w:fill="auto"/>
            <w:tcMar>
              <w:top w:w="57" w:type="dxa"/>
              <w:bottom w:w="57" w:type="dxa"/>
            </w:tcMar>
          </w:tcPr>
          <w:p w14:paraId="343EF6F5" w14:textId="77777777" w:rsidR="00D641F2" w:rsidRPr="00E75423" w:rsidRDefault="00D641F2" w:rsidP="00D641F2">
            <w:pPr>
              <w:keepNext/>
              <w:widowControl w:val="0"/>
              <w:tabs>
                <w:tab w:val="center" w:pos="4536"/>
                <w:tab w:val="right" w:pos="9072"/>
              </w:tabs>
              <w:rPr>
                <w:b/>
                <w:bCs/>
                <w:color w:val="000000"/>
                <w:szCs w:val="18"/>
                <w:lang w:eastAsia="en-GB"/>
              </w:rPr>
            </w:pPr>
            <w:r w:rsidRPr="00E75423">
              <w:rPr>
                <w:b/>
                <w:bCs/>
                <w:color w:val="000000"/>
                <w:szCs w:val="18"/>
                <w:lang w:eastAsia="en-GB"/>
              </w:rPr>
              <w:t>Scenario</w:t>
            </w:r>
          </w:p>
          <w:p w14:paraId="6E94D4EA" w14:textId="77777777" w:rsidR="00D641F2" w:rsidRPr="00E75423" w:rsidRDefault="00D641F2" w:rsidP="00D641F2">
            <w:pPr>
              <w:keepNext/>
              <w:widowControl w:val="0"/>
              <w:tabs>
                <w:tab w:val="center" w:pos="4536"/>
                <w:tab w:val="right" w:pos="9072"/>
              </w:tabs>
              <w:rPr>
                <w:bCs/>
                <w:color w:val="000000"/>
                <w:szCs w:val="18"/>
                <w:lang w:eastAsia="en-GB"/>
              </w:rPr>
            </w:pPr>
          </w:p>
        </w:tc>
        <w:tc>
          <w:tcPr>
            <w:tcW w:w="2749" w:type="pct"/>
            <w:shd w:val="clear" w:color="auto" w:fill="auto"/>
            <w:tcMar>
              <w:top w:w="57" w:type="dxa"/>
              <w:bottom w:w="57" w:type="dxa"/>
            </w:tcMar>
          </w:tcPr>
          <w:p w14:paraId="5EB912E3" w14:textId="77777777" w:rsidR="00D641F2" w:rsidRPr="00E75423" w:rsidRDefault="00D641F2" w:rsidP="00D641F2">
            <w:pPr>
              <w:keepNext/>
              <w:widowControl w:val="0"/>
              <w:tabs>
                <w:tab w:val="center" w:pos="4536"/>
                <w:tab w:val="right" w:pos="9072"/>
              </w:tabs>
              <w:rPr>
                <w:b/>
                <w:bCs/>
                <w:color w:val="000000"/>
                <w:szCs w:val="18"/>
                <w:lang w:eastAsia="en-GB"/>
              </w:rPr>
            </w:pPr>
            <w:r w:rsidRPr="00E75423">
              <w:rPr>
                <w:b/>
                <w:bCs/>
                <w:color w:val="000000"/>
                <w:szCs w:val="18"/>
                <w:lang w:eastAsia="en-GB"/>
              </w:rPr>
              <w:t xml:space="preserve">Primary or secondary exposure </w:t>
            </w:r>
          </w:p>
          <w:p w14:paraId="7D166E4B" w14:textId="77777777" w:rsidR="00D641F2" w:rsidRPr="00E75423" w:rsidRDefault="00D641F2" w:rsidP="00D641F2">
            <w:pPr>
              <w:keepNext/>
              <w:widowControl w:val="0"/>
              <w:tabs>
                <w:tab w:val="center" w:pos="4536"/>
                <w:tab w:val="right" w:pos="9072"/>
              </w:tabs>
              <w:rPr>
                <w:bCs/>
                <w:color w:val="000000"/>
                <w:szCs w:val="18"/>
                <w:lang w:eastAsia="en-GB"/>
              </w:rPr>
            </w:pPr>
            <w:r w:rsidRPr="00E75423">
              <w:rPr>
                <w:b/>
                <w:bCs/>
                <w:color w:val="000000"/>
                <w:szCs w:val="18"/>
                <w:lang w:eastAsia="en-GB"/>
              </w:rPr>
              <w:t>Description of scenario</w:t>
            </w:r>
          </w:p>
        </w:tc>
        <w:tc>
          <w:tcPr>
            <w:tcW w:w="799" w:type="pct"/>
            <w:shd w:val="clear" w:color="auto" w:fill="auto"/>
            <w:tcMar>
              <w:top w:w="57" w:type="dxa"/>
              <w:bottom w:w="57" w:type="dxa"/>
            </w:tcMar>
          </w:tcPr>
          <w:p w14:paraId="60923FA9" w14:textId="77777777" w:rsidR="00D641F2" w:rsidRPr="00E75423" w:rsidRDefault="00D641F2" w:rsidP="00D641F2">
            <w:pPr>
              <w:keepNext/>
              <w:widowControl w:val="0"/>
              <w:tabs>
                <w:tab w:val="center" w:pos="4536"/>
                <w:tab w:val="right" w:pos="9072"/>
              </w:tabs>
              <w:rPr>
                <w:b/>
                <w:bCs/>
                <w:color w:val="000000"/>
                <w:szCs w:val="18"/>
                <w:lang w:eastAsia="en-GB"/>
              </w:rPr>
            </w:pPr>
            <w:r w:rsidRPr="00E75423">
              <w:rPr>
                <w:b/>
                <w:bCs/>
                <w:color w:val="000000"/>
                <w:szCs w:val="18"/>
                <w:lang w:eastAsia="en-GB"/>
              </w:rPr>
              <w:t>Exposed group</w:t>
            </w:r>
          </w:p>
          <w:p w14:paraId="65A11F84" w14:textId="77777777" w:rsidR="00D641F2" w:rsidRPr="00E75423" w:rsidRDefault="00D641F2" w:rsidP="00D641F2">
            <w:pPr>
              <w:keepNext/>
              <w:widowControl w:val="0"/>
              <w:tabs>
                <w:tab w:val="center" w:pos="4536"/>
                <w:tab w:val="right" w:pos="9072"/>
              </w:tabs>
              <w:rPr>
                <w:bCs/>
                <w:color w:val="000000"/>
                <w:szCs w:val="18"/>
                <w:lang w:eastAsia="en-GB"/>
              </w:rPr>
            </w:pPr>
          </w:p>
        </w:tc>
      </w:tr>
      <w:tr w:rsidR="00D641F2" w:rsidRPr="00492007" w14:paraId="479865B6" w14:textId="77777777" w:rsidTr="00E75423">
        <w:trPr>
          <w:trHeight w:val="794"/>
          <w:tblHeader/>
        </w:trPr>
        <w:tc>
          <w:tcPr>
            <w:tcW w:w="611" w:type="pct"/>
            <w:tcMar>
              <w:top w:w="57" w:type="dxa"/>
              <w:bottom w:w="57" w:type="dxa"/>
            </w:tcMar>
          </w:tcPr>
          <w:p w14:paraId="3326F9AE" w14:textId="77777777" w:rsidR="00D641F2" w:rsidRPr="00E75423" w:rsidRDefault="00D641F2" w:rsidP="00D641F2">
            <w:pPr>
              <w:keepNext/>
              <w:rPr>
                <w:szCs w:val="18"/>
              </w:rPr>
            </w:pPr>
            <w:r w:rsidRPr="00E75423">
              <w:rPr>
                <w:szCs w:val="18"/>
              </w:rPr>
              <w:t>1.</w:t>
            </w:r>
          </w:p>
        </w:tc>
        <w:tc>
          <w:tcPr>
            <w:tcW w:w="841" w:type="pct"/>
            <w:shd w:val="clear" w:color="auto" w:fill="auto"/>
            <w:tcMar>
              <w:top w:w="57" w:type="dxa"/>
              <w:bottom w:w="57" w:type="dxa"/>
            </w:tcMar>
          </w:tcPr>
          <w:p w14:paraId="79455635" w14:textId="77777777" w:rsidR="00D641F2" w:rsidRPr="00E75423" w:rsidRDefault="00D641F2" w:rsidP="00D641F2">
            <w:pPr>
              <w:keepNext/>
              <w:widowControl w:val="0"/>
              <w:tabs>
                <w:tab w:val="center" w:pos="4536"/>
                <w:tab w:val="right" w:pos="9072"/>
              </w:tabs>
              <w:rPr>
                <w:bCs/>
                <w:color w:val="000000"/>
                <w:lang w:eastAsia="en-GB"/>
              </w:rPr>
            </w:pPr>
            <w:r w:rsidRPr="00E75423">
              <w:rPr>
                <w:bCs/>
                <w:color w:val="000000"/>
                <w:lang w:eastAsia="en-GB"/>
              </w:rPr>
              <w:t>Mixing/loading</w:t>
            </w:r>
          </w:p>
          <w:p w14:paraId="740932D3" w14:textId="77777777" w:rsidR="00D641F2" w:rsidRPr="00E75423" w:rsidRDefault="00D641F2" w:rsidP="00D641F2">
            <w:pPr>
              <w:keepNext/>
              <w:widowControl w:val="0"/>
              <w:tabs>
                <w:tab w:val="center" w:pos="4536"/>
                <w:tab w:val="right" w:pos="9072"/>
              </w:tabs>
              <w:rPr>
                <w:i/>
                <w:color w:val="000000"/>
                <w:lang w:eastAsia="en-GB"/>
              </w:rPr>
            </w:pPr>
          </w:p>
        </w:tc>
        <w:tc>
          <w:tcPr>
            <w:tcW w:w="2749" w:type="pct"/>
            <w:tcMar>
              <w:top w:w="57" w:type="dxa"/>
              <w:bottom w:w="57" w:type="dxa"/>
            </w:tcMar>
          </w:tcPr>
          <w:p w14:paraId="1FEFC75C" w14:textId="77777777" w:rsidR="00D641F2" w:rsidRPr="00E75423" w:rsidRDefault="00D641F2" w:rsidP="00D641F2">
            <w:pPr>
              <w:keepNext/>
              <w:widowControl w:val="0"/>
              <w:tabs>
                <w:tab w:val="center" w:pos="4536"/>
                <w:tab w:val="right" w:pos="9072"/>
              </w:tabs>
              <w:rPr>
                <w:b/>
                <w:color w:val="000000"/>
                <w:szCs w:val="18"/>
                <w:lang w:eastAsia="en-GB"/>
              </w:rPr>
            </w:pPr>
            <w:r w:rsidRPr="00E75423">
              <w:rPr>
                <w:b/>
                <w:color w:val="000000"/>
                <w:szCs w:val="18"/>
                <w:lang w:eastAsia="en-GB"/>
              </w:rPr>
              <w:t>Primary exposure – dermal route</w:t>
            </w:r>
          </w:p>
          <w:p w14:paraId="4CBFCDE4" w14:textId="77777777" w:rsidR="00D641F2" w:rsidRPr="00E75423" w:rsidRDefault="00D641F2" w:rsidP="00AE5162">
            <w:pPr>
              <w:keepNext/>
              <w:widowControl w:val="0"/>
              <w:tabs>
                <w:tab w:val="center" w:pos="4536"/>
                <w:tab w:val="right" w:pos="9072"/>
              </w:tabs>
              <w:rPr>
                <w:color w:val="000000"/>
                <w:szCs w:val="18"/>
                <w:lang w:eastAsia="en-GB"/>
              </w:rPr>
            </w:pPr>
            <w:r w:rsidRPr="00E75423">
              <w:rPr>
                <w:color w:val="000000"/>
                <w:szCs w:val="18"/>
                <w:lang w:eastAsia="en-GB"/>
              </w:rPr>
              <w:t>Exposure to droplets direct to the skin is considered</w:t>
            </w:r>
            <w:r w:rsidRPr="00E75423">
              <w:rPr>
                <w:rFonts w:eastAsiaTheme="minorHAnsi"/>
                <w:szCs w:val="18"/>
                <w:lang w:val="en-US" w:eastAsia="en-US"/>
              </w:rPr>
              <w:t xml:space="preserve"> during loading</w:t>
            </w:r>
            <w:r w:rsidRPr="00E75423">
              <w:rPr>
                <w:color w:val="000000"/>
                <w:szCs w:val="18"/>
                <w:lang w:eastAsia="en-GB"/>
              </w:rPr>
              <w:t>.</w:t>
            </w:r>
          </w:p>
        </w:tc>
        <w:tc>
          <w:tcPr>
            <w:tcW w:w="799" w:type="pct"/>
            <w:shd w:val="clear" w:color="auto" w:fill="auto"/>
            <w:tcMar>
              <w:top w:w="57" w:type="dxa"/>
              <w:bottom w:w="57" w:type="dxa"/>
            </w:tcMar>
          </w:tcPr>
          <w:p w14:paraId="754A89E1" w14:textId="77777777" w:rsidR="00D641F2" w:rsidRPr="00E75423" w:rsidRDefault="00D641F2" w:rsidP="00D641F2">
            <w:pPr>
              <w:keepNext/>
              <w:widowControl w:val="0"/>
              <w:tabs>
                <w:tab w:val="center" w:pos="4536"/>
                <w:tab w:val="right" w:pos="9072"/>
              </w:tabs>
              <w:rPr>
                <w:color w:val="000000"/>
                <w:szCs w:val="18"/>
                <w:lang w:eastAsia="en-GB"/>
              </w:rPr>
            </w:pPr>
            <w:r w:rsidRPr="00E75423">
              <w:rPr>
                <w:color w:val="000000"/>
                <w:szCs w:val="18"/>
                <w:lang w:eastAsia="en-GB"/>
              </w:rPr>
              <w:t xml:space="preserve">Professionals </w:t>
            </w:r>
          </w:p>
        </w:tc>
      </w:tr>
      <w:tr w:rsidR="00D641F2" w:rsidRPr="00492007" w14:paraId="6F9A262A" w14:textId="77777777" w:rsidTr="00E75423">
        <w:trPr>
          <w:tblHeader/>
        </w:trPr>
        <w:tc>
          <w:tcPr>
            <w:tcW w:w="611" w:type="pct"/>
            <w:tcMar>
              <w:top w:w="57" w:type="dxa"/>
              <w:bottom w:w="57" w:type="dxa"/>
            </w:tcMar>
          </w:tcPr>
          <w:p w14:paraId="3C82E364" w14:textId="77777777" w:rsidR="00D641F2" w:rsidRPr="00E75423" w:rsidRDefault="00D641F2" w:rsidP="00D641F2">
            <w:pPr>
              <w:keepNext/>
              <w:rPr>
                <w:szCs w:val="18"/>
              </w:rPr>
            </w:pPr>
            <w:r w:rsidRPr="00E75423">
              <w:rPr>
                <w:szCs w:val="18"/>
              </w:rPr>
              <w:t>2.</w:t>
            </w:r>
          </w:p>
        </w:tc>
        <w:tc>
          <w:tcPr>
            <w:tcW w:w="841" w:type="pct"/>
            <w:shd w:val="clear" w:color="auto" w:fill="auto"/>
            <w:tcMar>
              <w:top w:w="57" w:type="dxa"/>
              <w:bottom w:w="57" w:type="dxa"/>
            </w:tcMar>
          </w:tcPr>
          <w:p w14:paraId="045A38DE" w14:textId="77777777" w:rsidR="00D641F2" w:rsidRPr="00E75423" w:rsidRDefault="00D641F2" w:rsidP="00D641F2">
            <w:pPr>
              <w:keepNext/>
              <w:widowControl w:val="0"/>
              <w:tabs>
                <w:tab w:val="center" w:pos="4536"/>
                <w:tab w:val="right" w:pos="9072"/>
              </w:tabs>
              <w:rPr>
                <w:bCs/>
                <w:color w:val="000000"/>
                <w:lang w:eastAsia="en-GB"/>
              </w:rPr>
            </w:pPr>
            <w:r w:rsidRPr="00E75423">
              <w:rPr>
                <w:bCs/>
                <w:color w:val="000000"/>
                <w:lang w:eastAsia="en-GB"/>
              </w:rPr>
              <w:t>Application by dipping</w:t>
            </w:r>
          </w:p>
        </w:tc>
        <w:tc>
          <w:tcPr>
            <w:tcW w:w="2749" w:type="pct"/>
            <w:tcMar>
              <w:top w:w="57" w:type="dxa"/>
              <w:bottom w:w="57" w:type="dxa"/>
            </w:tcMar>
          </w:tcPr>
          <w:p w14:paraId="14443F58" w14:textId="77777777" w:rsidR="00D641F2" w:rsidRPr="00E75423" w:rsidRDefault="00D641F2" w:rsidP="00D641F2">
            <w:pPr>
              <w:keepNext/>
              <w:widowControl w:val="0"/>
              <w:tabs>
                <w:tab w:val="center" w:pos="4536"/>
                <w:tab w:val="right" w:pos="9072"/>
              </w:tabs>
              <w:rPr>
                <w:b/>
                <w:color w:val="000000"/>
                <w:szCs w:val="18"/>
                <w:lang w:eastAsia="en-GB"/>
              </w:rPr>
            </w:pPr>
            <w:r w:rsidRPr="00E75423">
              <w:rPr>
                <w:b/>
                <w:color w:val="000000"/>
                <w:szCs w:val="18"/>
                <w:lang w:eastAsia="en-GB"/>
              </w:rPr>
              <w:t>Primary exposure – dermal route</w:t>
            </w:r>
          </w:p>
          <w:p w14:paraId="193ECA45" w14:textId="77777777" w:rsidR="00D641F2" w:rsidRPr="00E75423" w:rsidRDefault="00D641F2" w:rsidP="00D641F2">
            <w:pPr>
              <w:keepNext/>
              <w:widowControl w:val="0"/>
              <w:tabs>
                <w:tab w:val="center" w:pos="4536"/>
                <w:tab w:val="right" w:pos="9072"/>
              </w:tabs>
              <w:rPr>
                <w:iCs/>
                <w:szCs w:val="18"/>
                <w:lang w:eastAsia="en-US"/>
              </w:rPr>
            </w:pPr>
            <w:r w:rsidRPr="00E75423">
              <w:rPr>
                <w:iCs/>
                <w:szCs w:val="18"/>
                <w:lang w:eastAsia="en-US"/>
              </w:rPr>
              <w:t>Worker can be exposed to some drip on the hands.</w:t>
            </w:r>
          </w:p>
          <w:p w14:paraId="18E26E7E" w14:textId="77777777" w:rsidR="00D641F2" w:rsidRPr="00E75423" w:rsidRDefault="00D641F2" w:rsidP="008B4D23">
            <w:pPr>
              <w:keepNext/>
              <w:widowControl w:val="0"/>
              <w:tabs>
                <w:tab w:val="center" w:pos="4536"/>
                <w:tab w:val="right" w:pos="9072"/>
              </w:tabs>
              <w:rPr>
                <w:b/>
                <w:color w:val="000000"/>
                <w:szCs w:val="18"/>
                <w:lang w:eastAsia="en-GB"/>
              </w:rPr>
            </w:pPr>
            <w:r w:rsidRPr="00E75423">
              <w:rPr>
                <w:iCs/>
                <w:szCs w:val="18"/>
                <w:lang w:eastAsia="en-US"/>
              </w:rPr>
              <w:t>Application by dipping is covered by the mixing and loading step for dermal exposure</w:t>
            </w:r>
            <w:r w:rsidR="008B4D23" w:rsidRPr="00E75423">
              <w:rPr>
                <w:iCs/>
                <w:szCs w:val="18"/>
                <w:lang w:eastAsia="en-US"/>
              </w:rPr>
              <w:t>.</w:t>
            </w:r>
          </w:p>
        </w:tc>
        <w:tc>
          <w:tcPr>
            <w:tcW w:w="799" w:type="pct"/>
            <w:shd w:val="clear" w:color="auto" w:fill="auto"/>
            <w:tcMar>
              <w:top w:w="57" w:type="dxa"/>
              <w:bottom w:w="57" w:type="dxa"/>
            </w:tcMar>
          </w:tcPr>
          <w:p w14:paraId="41B59ECE" w14:textId="77777777" w:rsidR="00D641F2" w:rsidRPr="00E75423" w:rsidRDefault="00D641F2" w:rsidP="00D641F2">
            <w:pPr>
              <w:keepNext/>
              <w:widowControl w:val="0"/>
              <w:tabs>
                <w:tab w:val="center" w:pos="4536"/>
                <w:tab w:val="right" w:pos="9072"/>
              </w:tabs>
              <w:rPr>
                <w:color w:val="000000"/>
                <w:szCs w:val="18"/>
                <w:lang w:eastAsia="en-GB"/>
              </w:rPr>
            </w:pPr>
            <w:r w:rsidRPr="00E75423">
              <w:rPr>
                <w:color w:val="000000"/>
                <w:szCs w:val="18"/>
                <w:lang w:eastAsia="en-GB"/>
              </w:rPr>
              <w:t>Professionals</w:t>
            </w:r>
          </w:p>
        </w:tc>
      </w:tr>
      <w:tr w:rsidR="00D641F2" w:rsidRPr="00492007" w14:paraId="380A5553" w14:textId="77777777" w:rsidTr="00E75423">
        <w:trPr>
          <w:trHeight w:val="1065"/>
          <w:tblHeader/>
        </w:trPr>
        <w:tc>
          <w:tcPr>
            <w:tcW w:w="611" w:type="pct"/>
            <w:tcMar>
              <w:top w:w="57" w:type="dxa"/>
              <w:bottom w:w="57" w:type="dxa"/>
            </w:tcMar>
          </w:tcPr>
          <w:p w14:paraId="07B71797" w14:textId="77777777" w:rsidR="00D641F2" w:rsidRPr="00E75423" w:rsidRDefault="00D641F2" w:rsidP="00D641F2">
            <w:pPr>
              <w:keepNext/>
              <w:rPr>
                <w:szCs w:val="18"/>
              </w:rPr>
            </w:pPr>
            <w:r w:rsidRPr="00E75423">
              <w:rPr>
                <w:szCs w:val="18"/>
              </w:rPr>
              <w:t>3.</w:t>
            </w:r>
          </w:p>
        </w:tc>
        <w:tc>
          <w:tcPr>
            <w:tcW w:w="841" w:type="pct"/>
            <w:shd w:val="clear" w:color="auto" w:fill="auto"/>
            <w:tcMar>
              <w:top w:w="57" w:type="dxa"/>
              <w:bottom w:w="57" w:type="dxa"/>
            </w:tcMar>
          </w:tcPr>
          <w:p w14:paraId="1610B8ED" w14:textId="77777777" w:rsidR="00D641F2" w:rsidRPr="00E75423" w:rsidRDefault="00D641F2" w:rsidP="00B91F70">
            <w:pPr>
              <w:keepNext/>
              <w:widowControl w:val="0"/>
              <w:tabs>
                <w:tab w:val="center" w:pos="4536"/>
                <w:tab w:val="right" w:pos="9072"/>
              </w:tabs>
              <w:rPr>
                <w:bCs/>
                <w:i/>
                <w:color w:val="000000"/>
                <w:lang w:eastAsia="en-GB"/>
              </w:rPr>
            </w:pPr>
            <w:r w:rsidRPr="00E75423">
              <w:rPr>
                <w:bCs/>
                <w:color w:val="000000"/>
                <w:lang w:eastAsia="en-GB"/>
              </w:rPr>
              <w:t>Cleaning of teats, removal of applied product post-milking</w:t>
            </w:r>
          </w:p>
        </w:tc>
        <w:tc>
          <w:tcPr>
            <w:tcW w:w="2749" w:type="pct"/>
            <w:tcMar>
              <w:top w:w="57" w:type="dxa"/>
              <w:bottom w:w="57" w:type="dxa"/>
            </w:tcMar>
          </w:tcPr>
          <w:p w14:paraId="1A931100" w14:textId="77777777" w:rsidR="00D641F2" w:rsidRPr="00E75423" w:rsidRDefault="00D641F2" w:rsidP="00D641F2">
            <w:pPr>
              <w:keepNext/>
              <w:widowControl w:val="0"/>
              <w:tabs>
                <w:tab w:val="center" w:pos="4536"/>
                <w:tab w:val="right" w:pos="9072"/>
              </w:tabs>
              <w:rPr>
                <w:b/>
                <w:color w:val="000000"/>
                <w:szCs w:val="18"/>
                <w:lang w:eastAsia="en-GB"/>
              </w:rPr>
            </w:pPr>
            <w:r w:rsidRPr="00E75423">
              <w:rPr>
                <w:b/>
                <w:color w:val="000000"/>
                <w:szCs w:val="18"/>
                <w:lang w:eastAsia="en-GB"/>
              </w:rPr>
              <w:t>Primary exposure – dermal route</w:t>
            </w:r>
          </w:p>
          <w:p w14:paraId="16FFE99F" w14:textId="77777777" w:rsidR="00D641F2" w:rsidRPr="00E75423" w:rsidRDefault="00D641F2" w:rsidP="00D76654">
            <w:pPr>
              <w:keepNext/>
              <w:widowControl w:val="0"/>
              <w:tabs>
                <w:tab w:val="center" w:pos="4536"/>
                <w:tab w:val="right" w:pos="9072"/>
              </w:tabs>
              <w:rPr>
                <w:b/>
                <w:color w:val="000000"/>
                <w:szCs w:val="18"/>
                <w:lang w:eastAsia="en-GB"/>
              </w:rPr>
            </w:pPr>
            <w:r w:rsidRPr="00E75423">
              <w:rPr>
                <w:rFonts w:eastAsiaTheme="minorHAnsi"/>
                <w:color w:val="000000"/>
                <w:szCs w:val="18"/>
                <w:lang w:val="en-US" w:eastAsia="en-US"/>
              </w:rPr>
              <w:t>Direct skin exposure during cleaning of remaining product on teat skin.</w:t>
            </w:r>
          </w:p>
        </w:tc>
        <w:tc>
          <w:tcPr>
            <w:tcW w:w="799" w:type="pct"/>
            <w:shd w:val="clear" w:color="auto" w:fill="auto"/>
            <w:tcMar>
              <w:top w:w="57" w:type="dxa"/>
              <w:bottom w:w="57" w:type="dxa"/>
            </w:tcMar>
          </w:tcPr>
          <w:p w14:paraId="72B22A36" w14:textId="77777777" w:rsidR="00D641F2" w:rsidRPr="00E75423" w:rsidRDefault="00D641F2" w:rsidP="00D641F2">
            <w:pPr>
              <w:keepNext/>
              <w:widowControl w:val="0"/>
              <w:tabs>
                <w:tab w:val="center" w:pos="4536"/>
                <w:tab w:val="right" w:pos="9072"/>
              </w:tabs>
              <w:rPr>
                <w:color w:val="000000"/>
                <w:szCs w:val="18"/>
                <w:lang w:eastAsia="en-GB"/>
              </w:rPr>
            </w:pPr>
            <w:r w:rsidRPr="00E75423">
              <w:rPr>
                <w:color w:val="000000"/>
                <w:szCs w:val="18"/>
                <w:lang w:eastAsia="en-GB"/>
              </w:rPr>
              <w:t>Professionals</w:t>
            </w:r>
          </w:p>
        </w:tc>
      </w:tr>
      <w:tr w:rsidR="007724F5" w:rsidRPr="00492007" w14:paraId="202B4124" w14:textId="77777777" w:rsidTr="00E75423">
        <w:trPr>
          <w:trHeight w:val="1065"/>
          <w:tblHeader/>
        </w:trPr>
        <w:tc>
          <w:tcPr>
            <w:tcW w:w="611" w:type="pct"/>
            <w:tcMar>
              <w:top w:w="57" w:type="dxa"/>
              <w:bottom w:w="57" w:type="dxa"/>
            </w:tcMar>
          </w:tcPr>
          <w:p w14:paraId="7F7826CB" w14:textId="77777777" w:rsidR="007724F5" w:rsidRPr="00E75423" w:rsidRDefault="007724F5" w:rsidP="00D641F2">
            <w:pPr>
              <w:keepNext/>
              <w:rPr>
                <w:szCs w:val="18"/>
              </w:rPr>
            </w:pPr>
            <w:r>
              <w:rPr>
                <w:szCs w:val="18"/>
              </w:rPr>
              <w:t>4.</w:t>
            </w:r>
          </w:p>
        </w:tc>
        <w:tc>
          <w:tcPr>
            <w:tcW w:w="841" w:type="pct"/>
            <w:shd w:val="clear" w:color="auto" w:fill="auto"/>
            <w:tcMar>
              <w:top w:w="57" w:type="dxa"/>
              <w:bottom w:w="57" w:type="dxa"/>
            </w:tcMar>
          </w:tcPr>
          <w:p w14:paraId="3F752B30" w14:textId="77777777" w:rsidR="007724F5" w:rsidRPr="00E75423" w:rsidRDefault="007724F5" w:rsidP="00D76654">
            <w:pPr>
              <w:keepNext/>
              <w:widowControl w:val="0"/>
              <w:tabs>
                <w:tab w:val="center" w:pos="4536"/>
                <w:tab w:val="right" w:pos="9072"/>
              </w:tabs>
              <w:rPr>
                <w:bCs/>
                <w:color w:val="000000"/>
                <w:lang w:eastAsia="en-GB"/>
              </w:rPr>
            </w:pPr>
            <w:r w:rsidRPr="00E75423">
              <w:rPr>
                <w:bCs/>
                <w:color w:val="000000"/>
                <w:lang w:eastAsia="en-GB"/>
              </w:rPr>
              <w:t xml:space="preserve">Cleaning of </w:t>
            </w:r>
            <w:r>
              <w:rPr>
                <w:bCs/>
                <w:color w:val="000000"/>
                <w:lang w:eastAsia="en-GB"/>
              </w:rPr>
              <w:t>equipment</w:t>
            </w:r>
          </w:p>
        </w:tc>
        <w:tc>
          <w:tcPr>
            <w:tcW w:w="2749" w:type="pct"/>
            <w:tcMar>
              <w:top w:w="57" w:type="dxa"/>
              <w:bottom w:w="57" w:type="dxa"/>
            </w:tcMar>
          </w:tcPr>
          <w:p w14:paraId="0D06AA94" w14:textId="77777777" w:rsidR="007724F5" w:rsidRPr="00E75423" w:rsidRDefault="007724F5" w:rsidP="007724F5">
            <w:pPr>
              <w:keepNext/>
              <w:widowControl w:val="0"/>
              <w:tabs>
                <w:tab w:val="center" w:pos="4536"/>
                <w:tab w:val="right" w:pos="9072"/>
              </w:tabs>
              <w:rPr>
                <w:b/>
                <w:color w:val="000000"/>
                <w:szCs w:val="18"/>
                <w:lang w:eastAsia="en-GB"/>
              </w:rPr>
            </w:pPr>
            <w:r w:rsidRPr="00E75423">
              <w:rPr>
                <w:b/>
                <w:color w:val="000000"/>
                <w:szCs w:val="18"/>
                <w:lang w:eastAsia="en-GB"/>
              </w:rPr>
              <w:t>Primary exposure – dermal route</w:t>
            </w:r>
          </w:p>
          <w:p w14:paraId="53CAB6F2" w14:textId="77777777" w:rsidR="007724F5" w:rsidRDefault="007724F5" w:rsidP="007724F5">
            <w:pPr>
              <w:keepNext/>
              <w:widowControl w:val="0"/>
              <w:tabs>
                <w:tab w:val="center" w:pos="4536"/>
                <w:tab w:val="right" w:pos="9072"/>
              </w:tabs>
              <w:rPr>
                <w:rFonts w:eastAsiaTheme="minorHAnsi"/>
                <w:color w:val="000000"/>
                <w:szCs w:val="18"/>
                <w:lang w:val="en-US" w:eastAsia="en-US"/>
              </w:rPr>
            </w:pPr>
            <w:r w:rsidRPr="00D76654">
              <w:rPr>
                <w:rFonts w:eastAsiaTheme="minorHAnsi"/>
                <w:color w:val="000000"/>
                <w:szCs w:val="18"/>
                <w:lang w:val="en-US" w:eastAsia="en-US"/>
              </w:rPr>
              <w:t>Cleaning of teats by wiping with a dry cloth before milking is only relevant if the cows have received a post-milking treatment.</w:t>
            </w:r>
          </w:p>
          <w:p w14:paraId="22D9512F" w14:textId="77777777" w:rsidR="007724F5" w:rsidRPr="00E75423" w:rsidRDefault="007724F5" w:rsidP="007724F5">
            <w:pPr>
              <w:keepNext/>
              <w:widowControl w:val="0"/>
              <w:tabs>
                <w:tab w:val="center" w:pos="4536"/>
                <w:tab w:val="right" w:pos="9072"/>
              </w:tabs>
              <w:rPr>
                <w:b/>
                <w:color w:val="000000"/>
                <w:szCs w:val="18"/>
                <w:lang w:eastAsia="en-GB"/>
              </w:rPr>
            </w:pPr>
            <w:r w:rsidRPr="00D76654">
              <w:rPr>
                <w:rFonts w:eastAsiaTheme="minorHAnsi"/>
                <w:color w:val="000000"/>
                <w:szCs w:val="18"/>
                <w:lang w:val="en-US" w:eastAsia="en-US"/>
              </w:rPr>
              <w:t>After disinfection the entire dip is cleaned.</w:t>
            </w:r>
          </w:p>
        </w:tc>
        <w:tc>
          <w:tcPr>
            <w:tcW w:w="799" w:type="pct"/>
            <w:shd w:val="clear" w:color="auto" w:fill="auto"/>
            <w:tcMar>
              <w:top w:w="57" w:type="dxa"/>
              <w:bottom w:w="57" w:type="dxa"/>
            </w:tcMar>
          </w:tcPr>
          <w:p w14:paraId="060C47CD" w14:textId="77777777" w:rsidR="007724F5" w:rsidRPr="00E75423" w:rsidRDefault="007724F5" w:rsidP="00D641F2">
            <w:pPr>
              <w:keepNext/>
              <w:widowControl w:val="0"/>
              <w:tabs>
                <w:tab w:val="center" w:pos="4536"/>
                <w:tab w:val="right" w:pos="9072"/>
              </w:tabs>
              <w:rPr>
                <w:color w:val="000000"/>
                <w:szCs w:val="18"/>
                <w:lang w:eastAsia="en-GB"/>
              </w:rPr>
            </w:pPr>
            <w:r>
              <w:rPr>
                <w:color w:val="000000"/>
                <w:szCs w:val="18"/>
                <w:lang w:eastAsia="en-GB"/>
              </w:rPr>
              <w:t>Professionals</w:t>
            </w:r>
          </w:p>
        </w:tc>
      </w:tr>
    </w:tbl>
    <w:p w14:paraId="366EC85D" w14:textId="77777777" w:rsidR="00D641F2" w:rsidRPr="00492007" w:rsidRDefault="00D641F2" w:rsidP="00D641F2">
      <w:pPr>
        <w:rPr>
          <w:lang w:eastAsia="en-US"/>
        </w:rPr>
      </w:pPr>
    </w:p>
    <w:p w14:paraId="530959CC" w14:textId="77777777" w:rsidR="00D641F2" w:rsidRPr="00492007" w:rsidRDefault="00D641F2" w:rsidP="00D641F2">
      <w:pPr>
        <w:rPr>
          <w:b/>
          <w:i/>
          <w:szCs w:val="22"/>
          <w:lang w:eastAsia="en-US"/>
        </w:rPr>
      </w:pPr>
      <w:bookmarkStart w:id="83" w:name="_Toc389729064"/>
      <w:bookmarkStart w:id="84" w:name="_Toc403472766"/>
      <w:r w:rsidRPr="00492007">
        <w:rPr>
          <w:b/>
          <w:i/>
          <w:szCs w:val="22"/>
          <w:lang w:eastAsia="en-US"/>
        </w:rPr>
        <w:t>Industrial exposure</w:t>
      </w:r>
      <w:bookmarkEnd w:id="83"/>
      <w:bookmarkEnd w:id="84"/>
    </w:p>
    <w:p w14:paraId="28C6C1ED" w14:textId="77777777" w:rsidR="00D641F2" w:rsidRPr="004743C4" w:rsidRDefault="00D641F2" w:rsidP="00D641F2">
      <w:pPr>
        <w:jc w:val="both"/>
        <w:rPr>
          <w:lang w:eastAsia="en-US"/>
        </w:rPr>
      </w:pPr>
      <w:r w:rsidRPr="004743C4">
        <w:rPr>
          <w:lang w:eastAsia="en-US"/>
        </w:rPr>
        <w:t xml:space="preserve">No industrial exposure is foreseen. The product </w:t>
      </w:r>
      <w:r w:rsidR="00A11AE3" w:rsidRPr="004743C4">
        <w:rPr>
          <w:lang w:eastAsia="en-US"/>
        </w:rPr>
        <w:t xml:space="preserve">IODIGUARD </w:t>
      </w:r>
      <w:r w:rsidRPr="004743C4">
        <w:rPr>
          <w:lang w:eastAsia="en-US"/>
        </w:rPr>
        <w:t>is a bactericide</w:t>
      </w:r>
      <w:r w:rsidR="00A11AE3">
        <w:rPr>
          <w:lang w:eastAsia="en-US"/>
        </w:rPr>
        <w:t xml:space="preserve"> and yeasticide</w:t>
      </w:r>
      <w:r w:rsidRPr="004743C4">
        <w:rPr>
          <w:lang w:eastAsia="en-US"/>
        </w:rPr>
        <w:t xml:space="preserve"> used as teat disinfectant by professionals.</w:t>
      </w:r>
      <w:r>
        <w:rPr>
          <w:lang w:eastAsia="en-US"/>
        </w:rPr>
        <w:t xml:space="preserve"> </w:t>
      </w:r>
      <w:r w:rsidRPr="004743C4">
        <w:rPr>
          <w:lang w:eastAsia="en-US"/>
        </w:rPr>
        <w:t xml:space="preserve">Therefore the assessment of </w:t>
      </w:r>
      <w:r>
        <w:rPr>
          <w:lang w:eastAsia="en-US"/>
        </w:rPr>
        <w:t>industrial</w:t>
      </w:r>
      <w:r w:rsidRPr="004743C4">
        <w:rPr>
          <w:lang w:eastAsia="en-US"/>
        </w:rPr>
        <w:t xml:space="preserve"> exposure is not relevant.</w:t>
      </w:r>
    </w:p>
    <w:p w14:paraId="6C0A5A44" w14:textId="77777777" w:rsidR="00D641F2" w:rsidRPr="004743C4" w:rsidRDefault="00D641F2" w:rsidP="00D641F2">
      <w:pPr>
        <w:rPr>
          <w:lang w:eastAsia="en-US"/>
        </w:rPr>
      </w:pPr>
    </w:p>
    <w:p w14:paraId="6435D33E" w14:textId="77777777" w:rsidR="00D641F2" w:rsidRPr="00492007" w:rsidRDefault="00D641F2" w:rsidP="00D641F2">
      <w:pPr>
        <w:keepNext/>
        <w:rPr>
          <w:b/>
          <w:i/>
          <w:szCs w:val="22"/>
          <w:lang w:eastAsia="en-US"/>
        </w:rPr>
      </w:pPr>
      <w:bookmarkStart w:id="85" w:name="_Toc389729067"/>
      <w:bookmarkStart w:id="86" w:name="_Toc403472767"/>
      <w:r w:rsidRPr="00492007">
        <w:rPr>
          <w:b/>
          <w:i/>
          <w:szCs w:val="22"/>
          <w:lang w:eastAsia="en-US"/>
        </w:rPr>
        <w:lastRenderedPageBreak/>
        <w:t>Professional exposure</w:t>
      </w:r>
      <w:bookmarkEnd w:id="85"/>
      <w:bookmarkEnd w:id="86"/>
      <w:r w:rsidRPr="00492007">
        <w:rPr>
          <w:b/>
          <w:i/>
          <w:szCs w:val="22"/>
          <w:lang w:eastAsia="en-US"/>
        </w:rPr>
        <w:t xml:space="preserve"> </w:t>
      </w:r>
    </w:p>
    <w:p w14:paraId="7FF5EB21" w14:textId="77777777" w:rsidR="00D641F2" w:rsidRPr="00492007" w:rsidRDefault="00D641F2" w:rsidP="00D641F2">
      <w:pPr>
        <w:keepNext/>
        <w:rPr>
          <w:highlight w:val="cyan"/>
          <w:lang w:eastAsia="en-US"/>
        </w:rPr>
      </w:pPr>
    </w:p>
    <w:p w14:paraId="184A49A0" w14:textId="77777777" w:rsidR="00D641F2" w:rsidRPr="00492007" w:rsidRDefault="00D641F2" w:rsidP="00D641F2">
      <w:pPr>
        <w:keepNext/>
        <w:rPr>
          <w:i/>
          <w:u w:val="single"/>
          <w:lang w:eastAsia="en-US"/>
        </w:rPr>
      </w:pPr>
      <w:bookmarkStart w:id="87" w:name="_Toc389729068"/>
      <w:r w:rsidRPr="00492007">
        <w:rPr>
          <w:i/>
          <w:u w:val="single"/>
          <w:lang w:eastAsia="en-US"/>
        </w:rPr>
        <w:t>Scenario [1]</w:t>
      </w:r>
      <w:bookmarkEnd w:id="87"/>
      <w:r>
        <w:rPr>
          <w:i/>
          <w:u w:val="single"/>
          <w:lang w:eastAsia="en-US"/>
        </w:rPr>
        <w:t xml:space="preserve"> loading of the product in teat dip tank</w:t>
      </w:r>
    </w:p>
    <w:p w14:paraId="74F743AE" w14:textId="77777777" w:rsidR="00D641F2" w:rsidRPr="00492007" w:rsidRDefault="00D641F2" w:rsidP="00D641F2">
      <w:pPr>
        <w:keepNext/>
        <w:rPr>
          <w:i/>
          <w:iCs/>
          <w:lang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6"/>
        <w:gridCol w:w="3067"/>
        <w:gridCol w:w="1116"/>
        <w:gridCol w:w="4250"/>
      </w:tblGrid>
      <w:tr w:rsidR="00D641F2" w:rsidRPr="00492007" w14:paraId="25E34903" w14:textId="77777777" w:rsidTr="00AE5162">
        <w:trPr>
          <w:tblHeader/>
        </w:trPr>
        <w:tc>
          <w:tcPr>
            <w:tcW w:w="5000" w:type="pct"/>
            <w:gridSpan w:val="4"/>
            <w:shd w:val="clear" w:color="auto" w:fill="FFFFCC"/>
            <w:tcMar>
              <w:top w:w="57" w:type="dxa"/>
              <w:bottom w:w="57" w:type="dxa"/>
            </w:tcMar>
          </w:tcPr>
          <w:p w14:paraId="4CEC7221" w14:textId="77777777" w:rsidR="00D641F2" w:rsidRPr="00492007" w:rsidRDefault="00D641F2" w:rsidP="00D641F2">
            <w:pPr>
              <w:keepNext/>
              <w:rPr>
                <w:b/>
                <w:lang w:eastAsia="en-US"/>
              </w:rPr>
            </w:pPr>
            <w:r w:rsidRPr="00492007">
              <w:rPr>
                <w:b/>
                <w:lang w:eastAsia="en-US"/>
              </w:rPr>
              <w:t>Description of Scenario [1]</w:t>
            </w:r>
            <w:r>
              <w:rPr>
                <w:b/>
                <w:lang w:eastAsia="en-US"/>
              </w:rPr>
              <w:t xml:space="preserve"> – Mixing and loading - Dermal exposure</w:t>
            </w:r>
          </w:p>
        </w:tc>
      </w:tr>
      <w:tr w:rsidR="00D641F2" w:rsidRPr="00492007" w14:paraId="00DCF01D" w14:textId="77777777" w:rsidTr="00AE5162">
        <w:trPr>
          <w:tblHeader/>
        </w:trPr>
        <w:tc>
          <w:tcPr>
            <w:tcW w:w="5000" w:type="pct"/>
            <w:gridSpan w:val="4"/>
            <w:shd w:val="clear" w:color="auto" w:fill="auto"/>
            <w:tcMar>
              <w:top w:w="57" w:type="dxa"/>
              <w:bottom w:w="57" w:type="dxa"/>
            </w:tcMar>
          </w:tcPr>
          <w:p w14:paraId="1B74B695" w14:textId="77777777" w:rsidR="00D641F2" w:rsidRDefault="00D641F2" w:rsidP="00D641F2">
            <w:pPr>
              <w:jc w:val="both"/>
              <w:rPr>
                <w:iCs/>
                <w:lang w:eastAsia="en-US"/>
              </w:rPr>
            </w:pPr>
            <w:r>
              <w:rPr>
                <w:iCs/>
                <w:lang w:eastAsia="en-US"/>
              </w:rPr>
              <w:t xml:space="preserve">The </w:t>
            </w:r>
            <w:r w:rsidRPr="0029459A">
              <w:rPr>
                <w:iCs/>
                <w:lang w:eastAsia="en-US"/>
              </w:rPr>
              <w:t xml:space="preserve">ConsExpo </w:t>
            </w:r>
            <w:r>
              <w:rPr>
                <w:iCs/>
                <w:lang w:eastAsia="en-US"/>
              </w:rPr>
              <w:t>cleaning product factsheet equivalent to mixing and loading model 4 as proposed in HeadHoc recommendation 13 was chosen as a reasonable worst-case scenario as it leads to the lower exposure than the layer approach.</w:t>
            </w:r>
          </w:p>
          <w:p w14:paraId="678D3856" w14:textId="77777777" w:rsidR="00D641F2" w:rsidRDefault="00D641F2" w:rsidP="00D641F2">
            <w:pPr>
              <w:keepNext/>
              <w:widowControl w:val="0"/>
              <w:tabs>
                <w:tab w:val="center" w:pos="4536"/>
                <w:tab w:val="right" w:pos="9072"/>
              </w:tabs>
              <w:rPr>
                <w:color w:val="000000"/>
                <w:szCs w:val="18"/>
                <w:lang w:eastAsia="en-GB"/>
              </w:rPr>
            </w:pPr>
          </w:p>
          <w:p w14:paraId="2FB71CA6" w14:textId="77777777" w:rsidR="00D641F2" w:rsidRDefault="00D641F2" w:rsidP="00D641F2">
            <w:pPr>
              <w:keepNext/>
              <w:widowControl w:val="0"/>
              <w:tabs>
                <w:tab w:val="center" w:pos="4536"/>
                <w:tab w:val="right" w:pos="9072"/>
              </w:tabs>
              <w:rPr>
                <w:color w:val="000000"/>
                <w:szCs w:val="18"/>
                <w:lang w:eastAsia="en-GB"/>
              </w:rPr>
            </w:pPr>
            <w:r>
              <w:rPr>
                <w:color w:val="000000"/>
                <w:szCs w:val="18"/>
                <w:lang w:eastAsia="en-GB"/>
              </w:rPr>
              <w:t>E</w:t>
            </w:r>
            <w:r w:rsidRPr="00B557B8">
              <w:rPr>
                <w:color w:val="000000"/>
                <w:szCs w:val="18"/>
                <w:lang w:eastAsia="en-GB"/>
              </w:rPr>
              <w:t>xposure is assessed using instant application mode from the consumer exposure model ConsExpo</w:t>
            </w:r>
            <w:r>
              <w:rPr>
                <w:color w:val="000000"/>
                <w:szCs w:val="18"/>
                <w:lang w:eastAsia="en-GB"/>
              </w:rPr>
              <w:t>Web</w:t>
            </w:r>
            <w:r w:rsidRPr="00B557B8">
              <w:rPr>
                <w:color w:val="000000"/>
                <w:szCs w:val="18"/>
                <w:lang w:eastAsia="en-GB"/>
              </w:rPr>
              <w:t>.</w:t>
            </w:r>
          </w:p>
          <w:p w14:paraId="1ED2EB3E" w14:textId="77777777" w:rsidR="00D641F2" w:rsidRDefault="00D641F2" w:rsidP="00D641F2">
            <w:pPr>
              <w:jc w:val="both"/>
              <w:rPr>
                <w:lang w:eastAsia="en-US"/>
              </w:rPr>
            </w:pPr>
          </w:p>
          <w:p w14:paraId="1C976252" w14:textId="77777777" w:rsidR="00D641F2" w:rsidRDefault="00D641F2" w:rsidP="00D641F2">
            <w:pPr>
              <w:jc w:val="both"/>
              <w:rPr>
                <w:lang w:eastAsia="en-US"/>
              </w:rPr>
            </w:pPr>
            <w:r>
              <w:rPr>
                <w:lang w:eastAsia="en-US"/>
              </w:rPr>
              <w:t>To assess the product amount on skin, the cleaning and product factsheet on page 24 propose the same approach as mixing and model 4:</w:t>
            </w:r>
          </w:p>
          <w:p w14:paraId="76A3B17D" w14:textId="77777777" w:rsidR="00D641F2" w:rsidRPr="00492007" w:rsidRDefault="00D641F2" w:rsidP="00D641F2">
            <w:pPr>
              <w:pStyle w:val="Paragraphedeliste"/>
              <w:numPr>
                <w:ilvl w:val="1"/>
                <w:numId w:val="16"/>
              </w:numPr>
              <w:suppressAutoHyphens w:val="0"/>
              <w:spacing w:line="260" w:lineRule="atLeast"/>
              <w:contextualSpacing/>
              <w:jc w:val="both"/>
              <w:rPr>
                <w:lang w:eastAsia="en-US"/>
              </w:rPr>
            </w:pPr>
            <w:r>
              <w:rPr>
                <w:lang w:eastAsia="en-US"/>
              </w:rPr>
              <w:t xml:space="preserve">0.01 </w:t>
            </w:r>
            <w:r w:rsidRPr="001A1803">
              <w:rPr>
                <w:lang w:eastAsia="en-US"/>
              </w:rPr>
              <w:t>ml of product will land on the skin after the transfer of less than 1L</w:t>
            </w:r>
            <w:r>
              <w:rPr>
                <w:lang w:eastAsia="en-US"/>
              </w:rPr>
              <w:t xml:space="preserve"> to a receiving vessel</w:t>
            </w:r>
            <w:r w:rsidRPr="001A1803">
              <w:rPr>
                <w:lang w:eastAsia="en-US"/>
              </w:rPr>
              <w:t>.</w:t>
            </w:r>
          </w:p>
        </w:tc>
      </w:tr>
      <w:tr w:rsidR="00D641F2" w:rsidRPr="00492007" w14:paraId="217C0D38" w14:textId="77777777" w:rsidTr="00AE5162">
        <w:trPr>
          <w:tblHeader/>
        </w:trPr>
        <w:tc>
          <w:tcPr>
            <w:tcW w:w="381" w:type="pct"/>
            <w:shd w:val="clear" w:color="auto" w:fill="auto"/>
            <w:tcMar>
              <w:top w:w="57" w:type="dxa"/>
              <w:bottom w:w="57" w:type="dxa"/>
            </w:tcMar>
          </w:tcPr>
          <w:p w14:paraId="36F44AFF" w14:textId="77777777" w:rsidR="00D641F2" w:rsidRPr="00492007" w:rsidRDefault="00D641F2" w:rsidP="00D641F2">
            <w:pPr>
              <w:keepNext/>
              <w:rPr>
                <w:lang w:eastAsia="en-US"/>
              </w:rPr>
            </w:pPr>
          </w:p>
        </w:tc>
        <w:tc>
          <w:tcPr>
            <w:tcW w:w="1680" w:type="pct"/>
            <w:shd w:val="clear" w:color="auto" w:fill="auto"/>
            <w:tcMar>
              <w:top w:w="57" w:type="dxa"/>
              <w:bottom w:w="57" w:type="dxa"/>
            </w:tcMar>
          </w:tcPr>
          <w:p w14:paraId="54EDF6E6" w14:textId="77777777" w:rsidR="00D641F2" w:rsidRPr="00492007" w:rsidRDefault="00D641F2" w:rsidP="00D641F2">
            <w:pPr>
              <w:keepNext/>
              <w:rPr>
                <w:lang w:eastAsia="en-US"/>
              </w:rPr>
            </w:pPr>
            <w:r w:rsidRPr="00492007">
              <w:rPr>
                <w:lang w:eastAsia="en-US"/>
              </w:rPr>
              <w:t>Parameters</w:t>
            </w:r>
          </w:p>
        </w:tc>
        <w:tc>
          <w:tcPr>
            <w:tcW w:w="611" w:type="pct"/>
            <w:shd w:val="clear" w:color="auto" w:fill="auto"/>
            <w:tcMar>
              <w:top w:w="57" w:type="dxa"/>
              <w:bottom w:w="57" w:type="dxa"/>
            </w:tcMar>
          </w:tcPr>
          <w:p w14:paraId="4825A7D3" w14:textId="77777777" w:rsidR="00D641F2" w:rsidRPr="00492007" w:rsidRDefault="00D641F2" w:rsidP="00D641F2">
            <w:pPr>
              <w:keepNext/>
              <w:rPr>
                <w:lang w:eastAsia="en-US"/>
              </w:rPr>
            </w:pPr>
            <w:r w:rsidRPr="00492007">
              <w:rPr>
                <w:lang w:eastAsia="en-US"/>
              </w:rPr>
              <w:t>Value</w:t>
            </w:r>
          </w:p>
        </w:tc>
        <w:tc>
          <w:tcPr>
            <w:tcW w:w="2327" w:type="pct"/>
          </w:tcPr>
          <w:p w14:paraId="67A4346C" w14:textId="77777777" w:rsidR="00D641F2" w:rsidRPr="00492007" w:rsidRDefault="00D641F2" w:rsidP="00D641F2">
            <w:pPr>
              <w:keepNext/>
              <w:rPr>
                <w:lang w:eastAsia="en-US"/>
              </w:rPr>
            </w:pPr>
            <w:r w:rsidRPr="00DE186A">
              <w:rPr>
                <w:lang w:eastAsia="en-US"/>
              </w:rPr>
              <w:t>Reference</w:t>
            </w:r>
          </w:p>
        </w:tc>
      </w:tr>
      <w:tr w:rsidR="00D641F2" w:rsidRPr="00492007" w14:paraId="28788276" w14:textId="77777777" w:rsidTr="00AE5162">
        <w:trPr>
          <w:tblHeader/>
        </w:trPr>
        <w:tc>
          <w:tcPr>
            <w:tcW w:w="381" w:type="pct"/>
            <w:vMerge w:val="restart"/>
            <w:shd w:val="clear" w:color="auto" w:fill="auto"/>
            <w:tcMar>
              <w:top w:w="57" w:type="dxa"/>
              <w:bottom w:w="57" w:type="dxa"/>
            </w:tcMar>
          </w:tcPr>
          <w:p w14:paraId="2F13EC18" w14:textId="77777777" w:rsidR="00D641F2" w:rsidRPr="00492007" w:rsidRDefault="00D641F2" w:rsidP="007B44E3">
            <w:pPr>
              <w:rPr>
                <w:lang w:eastAsia="en-US"/>
              </w:rPr>
            </w:pPr>
            <w:r w:rsidRPr="00492007">
              <w:rPr>
                <w:lang w:eastAsia="en-US"/>
              </w:rPr>
              <w:t>Tier1</w:t>
            </w:r>
          </w:p>
        </w:tc>
        <w:tc>
          <w:tcPr>
            <w:tcW w:w="1680" w:type="pct"/>
            <w:shd w:val="clear" w:color="auto" w:fill="auto"/>
            <w:tcMar>
              <w:top w:w="57" w:type="dxa"/>
              <w:bottom w:w="57" w:type="dxa"/>
            </w:tcMar>
          </w:tcPr>
          <w:p w14:paraId="2A552AE3" w14:textId="77777777" w:rsidR="00D641F2" w:rsidRPr="00492007" w:rsidRDefault="00D641F2" w:rsidP="00D641F2">
            <w:pPr>
              <w:rPr>
                <w:lang w:eastAsia="en-US"/>
              </w:rPr>
            </w:pPr>
            <w:r>
              <w:rPr>
                <w:lang w:eastAsia="en-US"/>
              </w:rPr>
              <w:t>Frequency (per day)</w:t>
            </w:r>
          </w:p>
        </w:tc>
        <w:tc>
          <w:tcPr>
            <w:tcW w:w="611" w:type="pct"/>
            <w:shd w:val="clear" w:color="auto" w:fill="auto"/>
            <w:tcMar>
              <w:top w:w="57" w:type="dxa"/>
              <w:bottom w:w="57" w:type="dxa"/>
            </w:tcMar>
          </w:tcPr>
          <w:p w14:paraId="205B1BF6" w14:textId="77777777" w:rsidR="00D641F2" w:rsidRPr="00492007" w:rsidRDefault="00D641F2" w:rsidP="00D641F2">
            <w:pPr>
              <w:rPr>
                <w:lang w:eastAsia="en-US"/>
              </w:rPr>
            </w:pPr>
            <w:r>
              <w:rPr>
                <w:lang w:eastAsia="en-US"/>
              </w:rPr>
              <w:t>2</w:t>
            </w:r>
          </w:p>
        </w:tc>
        <w:tc>
          <w:tcPr>
            <w:tcW w:w="2327" w:type="pct"/>
          </w:tcPr>
          <w:p w14:paraId="624C6982" w14:textId="77777777" w:rsidR="00D641F2" w:rsidRPr="00DE186A" w:rsidRDefault="00D641F2" w:rsidP="00D641F2">
            <w:pPr>
              <w:rPr>
                <w:lang w:eastAsia="en-US"/>
              </w:rPr>
            </w:pPr>
            <w:r>
              <w:rPr>
                <w:lang w:eastAsia="en-US"/>
              </w:rPr>
              <w:t>Applicant data</w:t>
            </w:r>
          </w:p>
        </w:tc>
      </w:tr>
      <w:tr w:rsidR="00D641F2" w:rsidRPr="00EC6BEF" w14:paraId="43D4B844" w14:textId="77777777" w:rsidTr="00AE5162">
        <w:trPr>
          <w:tblHeader/>
        </w:trPr>
        <w:tc>
          <w:tcPr>
            <w:tcW w:w="381" w:type="pct"/>
            <w:vMerge/>
            <w:tcMar>
              <w:top w:w="57" w:type="dxa"/>
              <w:bottom w:w="57" w:type="dxa"/>
            </w:tcMar>
          </w:tcPr>
          <w:p w14:paraId="3231A15D" w14:textId="77777777" w:rsidR="00D641F2" w:rsidRPr="00492007" w:rsidRDefault="00D641F2" w:rsidP="00D641F2">
            <w:pPr>
              <w:rPr>
                <w:lang w:eastAsia="en-US"/>
              </w:rPr>
            </w:pPr>
          </w:p>
        </w:tc>
        <w:tc>
          <w:tcPr>
            <w:tcW w:w="1680" w:type="pct"/>
            <w:shd w:val="clear" w:color="auto" w:fill="auto"/>
            <w:tcMar>
              <w:top w:w="57" w:type="dxa"/>
              <w:bottom w:w="57" w:type="dxa"/>
            </w:tcMar>
          </w:tcPr>
          <w:p w14:paraId="350844FA" w14:textId="77777777" w:rsidR="00D641F2" w:rsidRPr="00492007" w:rsidRDefault="00D641F2" w:rsidP="00D641F2">
            <w:pPr>
              <w:rPr>
                <w:lang w:eastAsia="en-US"/>
              </w:rPr>
            </w:pPr>
            <w:r w:rsidRPr="00DE186A">
              <w:rPr>
                <w:lang w:eastAsia="en-US"/>
              </w:rPr>
              <w:t>Weight fraction compound (%)</w:t>
            </w:r>
          </w:p>
        </w:tc>
        <w:tc>
          <w:tcPr>
            <w:tcW w:w="611" w:type="pct"/>
            <w:shd w:val="clear" w:color="auto" w:fill="auto"/>
            <w:tcMar>
              <w:top w:w="57" w:type="dxa"/>
              <w:bottom w:w="57" w:type="dxa"/>
            </w:tcMar>
          </w:tcPr>
          <w:p w14:paraId="194AFCA5" w14:textId="77777777" w:rsidR="00D641F2" w:rsidRPr="00492007" w:rsidRDefault="00945860" w:rsidP="00D641F2">
            <w:pPr>
              <w:rPr>
                <w:lang w:eastAsia="en-US"/>
              </w:rPr>
            </w:pPr>
            <w:r>
              <w:rPr>
                <w:lang w:eastAsia="en-US"/>
              </w:rPr>
              <w:t>0.29</w:t>
            </w:r>
          </w:p>
        </w:tc>
        <w:tc>
          <w:tcPr>
            <w:tcW w:w="2327" w:type="pct"/>
          </w:tcPr>
          <w:p w14:paraId="6CCB06E7" w14:textId="77777777" w:rsidR="00D641F2" w:rsidRPr="00492007" w:rsidRDefault="00D641F2" w:rsidP="00D641F2">
            <w:pPr>
              <w:rPr>
                <w:lang w:eastAsia="en-US"/>
              </w:rPr>
            </w:pPr>
            <w:r>
              <w:rPr>
                <w:lang w:eastAsia="en-US"/>
              </w:rPr>
              <w:t>Applicant data</w:t>
            </w:r>
          </w:p>
        </w:tc>
      </w:tr>
      <w:tr w:rsidR="00D641F2" w:rsidRPr="00EC6BEF" w14:paraId="3F769CB6" w14:textId="77777777" w:rsidTr="00AE5162">
        <w:trPr>
          <w:tblHeader/>
        </w:trPr>
        <w:tc>
          <w:tcPr>
            <w:tcW w:w="381" w:type="pct"/>
            <w:vMerge/>
            <w:tcMar>
              <w:top w:w="57" w:type="dxa"/>
              <w:bottom w:w="57" w:type="dxa"/>
            </w:tcMar>
          </w:tcPr>
          <w:p w14:paraId="52ADD55B" w14:textId="77777777" w:rsidR="00D641F2" w:rsidRPr="00492007" w:rsidRDefault="00D641F2" w:rsidP="00D641F2">
            <w:pPr>
              <w:rPr>
                <w:lang w:eastAsia="en-US"/>
              </w:rPr>
            </w:pPr>
          </w:p>
        </w:tc>
        <w:tc>
          <w:tcPr>
            <w:tcW w:w="1680" w:type="pct"/>
            <w:shd w:val="clear" w:color="auto" w:fill="auto"/>
            <w:tcMar>
              <w:top w:w="57" w:type="dxa"/>
              <w:bottom w:w="57" w:type="dxa"/>
            </w:tcMar>
          </w:tcPr>
          <w:p w14:paraId="71DED6ED" w14:textId="77777777" w:rsidR="00D641F2" w:rsidRPr="00492007" w:rsidRDefault="00D641F2" w:rsidP="00D641F2">
            <w:pPr>
              <w:rPr>
                <w:lang w:eastAsia="en-US"/>
              </w:rPr>
            </w:pPr>
            <w:r>
              <w:rPr>
                <w:lang w:eastAsia="en-US"/>
              </w:rPr>
              <w:t>Product amount (milligram)</w:t>
            </w:r>
          </w:p>
        </w:tc>
        <w:tc>
          <w:tcPr>
            <w:tcW w:w="611" w:type="pct"/>
            <w:shd w:val="clear" w:color="auto" w:fill="auto"/>
            <w:tcMar>
              <w:top w:w="57" w:type="dxa"/>
              <w:bottom w:w="57" w:type="dxa"/>
            </w:tcMar>
          </w:tcPr>
          <w:p w14:paraId="0CE83E42" w14:textId="77777777" w:rsidR="00D641F2" w:rsidRPr="00BC4E83" w:rsidRDefault="00D641F2" w:rsidP="00D641F2">
            <w:pPr>
              <w:rPr>
                <w:lang w:eastAsia="en-US"/>
              </w:rPr>
            </w:pPr>
            <w:r w:rsidRPr="00BC4E83">
              <w:rPr>
                <w:lang w:eastAsia="en-US"/>
              </w:rPr>
              <w:t>10.3</w:t>
            </w:r>
          </w:p>
        </w:tc>
        <w:tc>
          <w:tcPr>
            <w:tcW w:w="2327" w:type="pct"/>
          </w:tcPr>
          <w:p w14:paraId="44A91CB4" w14:textId="77777777" w:rsidR="00D641F2" w:rsidRDefault="00D641F2" w:rsidP="00D641F2">
            <w:pPr>
              <w:rPr>
                <w:iCs/>
                <w:lang w:eastAsia="en-US"/>
              </w:rPr>
            </w:pPr>
            <w:r>
              <w:rPr>
                <w:iCs/>
                <w:lang w:eastAsia="en-US"/>
              </w:rPr>
              <w:t>Density of Iodiguard = 1.03;</w:t>
            </w:r>
          </w:p>
          <w:p w14:paraId="26BEFE1C" w14:textId="77777777" w:rsidR="00D641F2" w:rsidRDefault="00D641F2" w:rsidP="00D641F2">
            <w:pPr>
              <w:rPr>
                <w:iCs/>
                <w:lang w:eastAsia="en-US"/>
              </w:rPr>
            </w:pPr>
            <w:r>
              <w:rPr>
                <w:iCs/>
                <w:lang w:eastAsia="en-US"/>
              </w:rPr>
              <w:t>C</w:t>
            </w:r>
            <w:r w:rsidRPr="0029459A">
              <w:rPr>
                <w:iCs/>
                <w:lang w:eastAsia="en-US"/>
              </w:rPr>
              <w:t>ontamination</w:t>
            </w:r>
            <w:r>
              <w:rPr>
                <w:iCs/>
                <w:lang w:eastAsia="en-US"/>
              </w:rPr>
              <w:t xml:space="preserve"> for any closure, &lt; 1L container = 0.01 mL/operation</w:t>
            </w:r>
          </w:p>
          <w:p w14:paraId="08272E0D" w14:textId="77777777" w:rsidR="00D641F2" w:rsidRDefault="00D641F2" w:rsidP="00D641F2">
            <w:pPr>
              <w:rPr>
                <w:iCs/>
                <w:lang w:eastAsia="en-US"/>
              </w:rPr>
            </w:pPr>
            <w:r>
              <w:rPr>
                <w:iCs/>
                <w:lang w:eastAsia="en-US"/>
              </w:rPr>
              <w:t>For mixing and loading, d</w:t>
            </w:r>
            <w:r w:rsidRPr="00370E7E">
              <w:rPr>
                <w:iCs/>
                <w:lang w:eastAsia="en-US"/>
              </w:rPr>
              <w:t>efault value for dermal exposure is set at</w:t>
            </w:r>
            <w:r>
              <w:rPr>
                <w:iCs/>
                <w:lang w:eastAsia="en-US"/>
              </w:rPr>
              <w:t xml:space="preserve"> </w:t>
            </w:r>
            <w:r w:rsidRPr="00370E7E">
              <w:rPr>
                <w:iCs/>
                <w:lang w:eastAsia="en-US"/>
              </w:rPr>
              <w:t>0.0</w:t>
            </w:r>
            <w:r>
              <w:rPr>
                <w:iCs/>
                <w:lang w:eastAsia="en-US"/>
              </w:rPr>
              <w:t>1 ml or 0.01 g (when density 1 g/cm</w:t>
            </w:r>
            <w:r w:rsidRPr="009C11F0">
              <w:rPr>
                <w:iCs/>
                <w:vertAlign w:val="superscript"/>
                <w:lang w:eastAsia="en-US"/>
              </w:rPr>
              <w:t>3</w:t>
            </w:r>
            <w:r w:rsidRPr="00370E7E">
              <w:rPr>
                <w:iCs/>
                <w:lang w:eastAsia="en-US"/>
              </w:rPr>
              <w:t>).</w:t>
            </w:r>
          </w:p>
          <w:p w14:paraId="621E4CD6" w14:textId="77777777" w:rsidR="00D641F2" w:rsidRPr="00BC4E83" w:rsidRDefault="00D641F2" w:rsidP="00D641F2">
            <w:pPr>
              <w:rPr>
                <w:iCs/>
                <w:lang w:eastAsia="en-US"/>
              </w:rPr>
            </w:pPr>
            <w:r w:rsidRPr="00EC6BEF">
              <w:rPr>
                <w:iCs/>
                <w:lang w:eastAsia="en-US"/>
              </w:rPr>
              <w:t>Cleaning Products Fact Sheet, 2006</w:t>
            </w:r>
          </w:p>
        </w:tc>
      </w:tr>
      <w:tr w:rsidR="00D641F2" w:rsidRPr="00EC6BEF" w14:paraId="6694998F" w14:textId="77777777" w:rsidTr="00AE5162">
        <w:trPr>
          <w:tblHeader/>
        </w:trPr>
        <w:tc>
          <w:tcPr>
            <w:tcW w:w="381" w:type="pct"/>
            <w:vMerge/>
            <w:tcMar>
              <w:top w:w="57" w:type="dxa"/>
              <w:bottom w:w="57" w:type="dxa"/>
            </w:tcMar>
          </w:tcPr>
          <w:p w14:paraId="4466CC55" w14:textId="77777777" w:rsidR="00D641F2" w:rsidRPr="00492007" w:rsidRDefault="00D641F2" w:rsidP="00D641F2">
            <w:pPr>
              <w:rPr>
                <w:lang w:eastAsia="en-US"/>
              </w:rPr>
            </w:pPr>
          </w:p>
        </w:tc>
        <w:tc>
          <w:tcPr>
            <w:tcW w:w="1680" w:type="pct"/>
            <w:shd w:val="clear" w:color="auto" w:fill="auto"/>
            <w:tcMar>
              <w:top w:w="57" w:type="dxa"/>
              <w:bottom w:w="57" w:type="dxa"/>
            </w:tcMar>
          </w:tcPr>
          <w:p w14:paraId="36B9A708" w14:textId="77777777" w:rsidR="00D641F2" w:rsidRDefault="00D641F2" w:rsidP="00D641F2">
            <w:pPr>
              <w:rPr>
                <w:lang w:eastAsia="en-US"/>
              </w:rPr>
            </w:pPr>
            <w:r>
              <w:rPr>
                <w:lang w:eastAsia="en-US"/>
              </w:rPr>
              <w:t>Body weight (kg)</w:t>
            </w:r>
          </w:p>
        </w:tc>
        <w:tc>
          <w:tcPr>
            <w:tcW w:w="611" w:type="pct"/>
            <w:shd w:val="clear" w:color="auto" w:fill="auto"/>
            <w:tcMar>
              <w:top w:w="57" w:type="dxa"/>
              <w:bottom w:w="57" w:type="dxa"/>
            </w:tcMar>
          </w:tcPr>
          <w:p w14:paraId="0B49A2B2" w14:textId="77777777" w:rsidR="00D641F2" w:rsidRPr="00BC4E83" w:rsidRDefault="00D641F2" w:rsidP="00D641F2">
            <w:pPr>
              <w:rPr>
                <w:lang w:eastAsia="en-US"/>
              </w:rPr>
            </w:pPr>
            <w:r>
              <w:rPr>
                <w:lang w:eastAsia="en-US"/>
              </w:rPr>
              <w:t>60</w:t>
            </w:r>
          </w:p>
        </w:tc>
        <w:tc>
          <w:tcPr>
            <w:tcW w:w="2327" w:type="pct"/>
          </w:tcPr>
          <w:p w14:paraId="22F33067" w14:textId="77777777" w:rsidR="00D641F2" w:rsidRPr="0029459A" w:rsidRDefault="00D641F2" w:rsidP="00D641F2">
            <w:pPr>
              <w:rPr>
                <w:iCs/>
                <w:highlight w:val="yellow"/>
                <w:lang w:eastAsia="en-US"/>
              </w:rPr>
            </w:pPr>
            <w:r w:rsidRPr="00C61AB3">
              <w:rPr>
                <w:iCs/>
                <w:lang w:eastAsia="en-US"/>
              </w:rPr>
              <w:t>HEEG opinion No. 17, 2013</w:t>
            </w:r>
          </w:p>
        </w:tc>
      </w:tr>
      <w:tr w:rsidR="00D641F2" w:rsidRPr="00EC6BEF" w14:paraId="758B1555" w14:textId="77777777" w:rsidTr="00AE5162">
        <w:trPr>
          <w:tblHeader/>
        </w:trPr>
        <w:tc>
          <w:tcPr>
            <w:tcW w:w="381" w:type="pct"/>
            <w:vMerge/>
            <w:tcMar>
              <w:top w:w="57" w:type="dxa"/>
              <w:bottom w:w="57" w:type="dxa"/>
            </w:tcMar>
          </w:tcPr>
          <w:p w14:paraId="6DD4015A" w14:textId="77777777" w:rsidR="00D641F2" w:rsidRPr="0029459A" w:rsidRDefault="00D641F2" w:rsidP="00D641F2">
            <w:pPr>
              <w:rPr>
                <w:lang w:val="en-US" w:eastAsia="en-US"/>
              </w:rPr>
            </w:pPr>
          </w:p>
        </w:tc>
        <w:tc>
          <w:tcPr>
            <w:tcW w:w="1680" w:type="pct"/>
            <w:shd w:val="clear" w:color="auto" w:fill="auto"/>
            <w:tcMar>
              <w:top w:w="57" w:type="dxa"/>
              <w:bottom w:w="57" w:type="dxa"/>
            </w:tcMar>
          </w:tcPr>
          <w:p w14:paraId="7944C3F1" w14:textId="77777777" w:rsidR="00D641F2" w:rsidRDefault="00D641F2" w:rsidP="00D641F2">
            <w:pPr>
              <w:rPr>
                <w:lang w:eastAsia="en-US"/>
              </w:rPr>
            </w:pPr>
            <w:r>
              <w:rPr>
                <w:lang w:eastAsia="en-US"/>
              </w:rPr>
              <w:t>Dermal absorption (%)</w:t>
            </w:r>
          </w:p>
        </w:tc>
        <w:tc>
          <w:tcPr>
            <w:tcW w:w="611" w:type="pct"/>
            <w:shd w:val="clear" w:color="auto" w:fill="auto"/>
            <w:tcMar>
              <w:top w:w="57" w:type="dxa"/>
              <w:bottom w:w="57" w:type="dxa"/>
            </w:tcMar>
          </w:tcPr>
          <w:p w14:paraId="5E1DE444" w14:textId="77777777" w:rsidR="00D641F2" w:rsidRPr="00EC6BEF" w:rsidRDefault="00D641F2" w:rsidP="004B63DB">
            <w:pPr>
              <w:rPr>
                <w:lang w:eastAsia="en-US"/>
              </w:rPr>
            </w:pPr>
            <w:r>
              <w:rPr>
                <w:lang w:eastAsia="en-US"/>
              </w:rPr>
              <w:t>12</w:t>
            </w:r>
            <w:r w:rsidR="00AB21D9">
              <w:rPr>
                <w:lang w:eastAsia="en-US"/>
              </w:rPr>
              <w:t xml:space="preserve"> </w:t>
            </w:r>
          </w:p>
        </w:tc>
        <w:tc>
          <w:tcPr>
            <w:tcW w:w="2327" w:type="pct"/>
          </w:tcPr>
          <w:p w14:paraId="3BCAFE50" w14:textId="77777777" w:rsidR="00D641F2" w:rsidRPr="00EC6BEF" w:rsidRDefault="00D641F2" w:rsidP="00D641F2">
            <w:pPr>
              <w:rPr>
                <w:lang w:eastAsia="en-US"/>
              </w:rPr>
            </w:pPr>
            <w:r>
              <w:rPr>
                <w:iCs/>
                <w:lang w:eastAsia="en-US"/>
              </w:rPr>
              <w:t>CAR</w:t>
            </w:r>
            <w:r w:rsidR="00C21524">
              <w:rPr>
                <w:iCs/>
                <w:lang w:eastAsia="en-US"/>
              </w:rPr>
              <w:t xml:space="preserve"> of the active substance</w:t>
            </w:r>
          </w:p>
        </w:tc>
      </w:tr>
    </w:tbl>
    <w:p w14:paraId="73BE48A6" w14:textId="77777777" w:rsidR="00D641F2" w:rsidRDefault="00D641F2" w:rsidP="00D641F2">
      <w:pPr>
        <w:jc w:val="both"/>
        <w:rPr>
          <w:iCs/>
          <w:sz w:val="18"/>
          <w:vertAlign w:val="superscript"/>
          <w:lang w:eastAsia="en-US"/>
        </w:rPr>
      </w:pPr>
    </w:p>
    <w:p w14:paraId="65F6025C" w14:textId="77777777" w:rsidR="00D641F2" w:rsidRPr="00716EF2" w:rsidRDefault="00D641F2" w:rsidP="00D641F2">
      <w:pPr>
        <w:rPr>
          <w:i/>
          <w:iCs/>
          <w:lang w:eastAsia="en-US"/>
        </w:rPr>
      </w:pPr>
    </w:p>
    <w:p w14:paraId="29C57F94" w14:textId="77777777" w:rsidR="00D641F2" w:rsidRDefault="00D641F2" w:rsidP="00D641F2">
      <w:pPr>
        <w:rPr>
          <w:iCs/>
          <w:sz w:val="18"/>
          <w:vertAlign w:val="superscript"/>
          <w:lang w:eastAsia="en-US"/>
        </w:rPr>
      </w:pPr>
    </w:p>
    <w:p w14:paraId="18BC29C8" w14:textId="77777777" w:rsidR="00D641F2" w:rsidRPr="00492007" w:rsidRDefault="00D641F2" w:rsidP="00D641F2">
      <w:pPr>
        <w:keepNext/>
        <w:rPr>
          <w:b/>
          <w:lang w:eastAsia="en-US"/>
        </w:rPr>
      </w:pPr>
      <w:r w:rsidRPr="00492007">
        <w:rPr>
          <w:b/>
          <w:lang w:eastAsia="en-US"/>
        </w:rPr>
        <w:t>Calculations for Scenario</w:t>
      </w:r>
      <w:r>
        <w:rPr>
          <w:b/>
          <w:lang w:eastAsia="en-US"/>
        </w:rPr>
        <w:t>s</w:t>
      </w:r>
      <w:r w:rsidRPr="00492007">
        <w:rPr>
          <w:b/>
          <w:lang w:eastAsia="en-US"/>
        </w:rPr>
        <w:t xml:space="preserve"> [1]</w:t>
      </w:r>
      <w:r>
        <w:rPr>
          <w:b/>
          <w:lang w:eastAsia="en-US"/>
        </w:rPr>
        <w:t xml:space="preserve"> loading of the product in teat dip tank</w:t>
      </w:r>
    </w:p>
    <w:p w14:paraId="059BAF68" w14:textId="77777777" w:rsidR="00D641F2" w:rsidRDefault="00D641F2" w:rsidP="00D641F2">
      <w:pPr>
        <w:keepNext/>
        <w:rPr>
          <w:i/>
          <w:highlight w:val="green"/>
          <w:u w:val="single"/>
          <w:lang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4"/>
        <w:gridCol w:w="836"/>
        <w:gridCol w:w="1517"/>
        <w:gridCol w:w="1676"/>
        <w:gridCol w:w="1678"/>
        <w:gridCol w:w="1888"/>
      </w:tblGrid>
      <w:tr w:rsidR="00D641F2" w:rsidRPr="00492007" w14:paraId="109CB666" w14:textId="77777777" w:rsidTr="00AE5162">
        <w:trPr>
          <w:cantSplit/>
          <w:tblHeader/>
        </w:trPr>
        <w:tc>
          <w:tcPr>
            <w:tcW w:w="5000" w:type="pct"/>
            <w:gridSpan w:val="6"/>
            <w:shd w:val="clear" w:color="auto" w:fill="FFFFCC"/>
          </w:tcPr>
          <w:p w14:paraId="40A4E2C7" w14:textId="77777777" w:rsidR="00D641F2" w:rsidRPr="00492007" w:rsidRDefault="00D641F2" w:rsidP="00D641F2">
            <w:pPr>
              <w:jc w:val="center"/>
              <w:rPr>
                <w:b/>
                <w:lang w:eastAsia="en-US"/>
              </w:rPr>
            </w:pPr>
            <w:r w:rsidRPr="00492007">
              <w:rPr>
                <w:b/>
                <w:lang w:eastAsia="en-US"/>
              </w:rPr>
              <w:t>Summary table: estimated exposure from professional uses</w:t>
            </w:r>
          </w:p>
        </w:tc>
      </w:tr>
      <w:tr w:rsidR="00D641F2" w:rsidRPr="00492007" w14:paraId="08151259" w14:textId="77777777" w:rsidTr="00AE5162">
        <w:trPr>
          <w:cantSplit/>
          <w:tblHeader/>
        </w:trPr>
        <w:tc>
          <w:tcPr>
            <w:tcW w:w="840" w:type="pct"/>
            <w:shd w:val="clear" w:color="auto" w:fill="auto"/>
          </w:tcPr>
          <w:p w14:paraId="670E332E" w14:textId="77777777" w:rsidR="00D641F2" w:rsidRPr="00492007" w:rsidRDefault="00D641F2" w:rsidP="00D641F2">
            <w:pPr>
              <w:rPr>
                <w:b/>
                <w:lang w:eastAsia="en-US"/>
              </w:rPr>
            </w:pPr>
            <w:r w:rsidRPr="00492007">
              <w:rPr>
                <w:b/>
                <w:lang w:eastAsia="en-US"/>
              </w:rPr>
              <w:t>Exposure scenario</w:t>
            </w:r>
          </w:p>
        </w:tc>
        <w:tc>
          <w:tcPr>
            <w:tcW w:w="458" w:type="pct"/>
          </w:tcPr>
          <w:p w14:paraId="26CE5A88" w14:textId="77777777" w:rsidR="00D641F2" w:rsidRPr="00492007" w:rsidRDefault="00D641F2" w:rsidP="00D641F2">
            <w:pPr>
              <w:rPr>
                <w:b/>
                <w:lang w:eastAsia="en-US"/>
              </w:rPr>
            </w:pPr>
            <w:r w:rsidRPr="00492007">
              <w:rPr>
                <w:b/>
                <w:lang w:eastAsia="en-US"/>
              </w:rPr>
              <w:t>Tier/PPE</w:t>
            </w:r>
          </w:p>
        </w:tc>
        <w:tc>
          <w:tcPr>
            <w:tcW w:w="831" w:type="pct"/>
          </w:tcPr>
          <w:p w14:paraId="5573DFAF" w14:textId="77777777" w:rsidR="00D641F2" w:rsidRPr="00492007" w:rsidRDefault="00D641F2" w:rsidP="00D641F2">
            <w:pPr>
              <w:rPr>
                <w:b/>
                <w:lang w:eastAsia="en-US"/>
              </w:rPr>
            </w:pPr>
            <w:r w:rsidRPr="00492007">
              <w:rPr>
                <w:b/>
                <w:lang w:eastAsia="en-US"/>
              </w:rPr>
              <w:t>Estimated inhalation uptake</w:t>
            </w:r>
            <w:r>
              <w:rPr>
                <w:b/>
                <w:lang w:eastAsia="en-US"/>
              </w:rPr>
              <w:t xml:space="preserve"> (mg/kg/d)</w:t>
            </w:r>
          </w:p>
        </w:tc>
        <w:tc>
          <w:tcPr>
            <w:tcW w:w="918" w:type="pct"/>
            <w:shd w:val="clear" w:color="auto" w:fill="auto"/>
            <w:tcMar>
              <w:top w:w="57" w:type="dxa"/>
              <w:bottom w:w="57" w:type="dxa"/>
            </w:tcMar>
          </w:tcPr>
          <w:p w14:paraId="595912F7" w14:textId="77777777" w:rsidR="00D641F2" w:rsidRPr="00492007" w:rsidRDefault="00D641F2" w:rsidP="00D641F2">
            <w:pPr>
              <w:rPr>
                <w:b/>
                <w:lang w:eastAsia="en-US"/>
              </w:rPr>
            </w:pPr>
            <w:r w:rsidRPr="00492007">
              <w:rPr>
                <w:b/>
                <w:lang w:eastAsia="en-US"/>
              </w:rPr>
              <w:t>Estimated dermal uptake</w:t>
            </w:r>
            <w:r>
              <w:rPr>
                <w:b/>
                <w:lang w:eastAsia="en-US"/>
              </w:rPr>
              <w:t xml:space="preserve"> (mg/kg/d)</w:t>
            </w:r>
          </w:p>
        </w:tc>
        <w:tc>
          <w:tcPr>
            <w:tcW w:w="919" w:type="pct"/>
          </w:tcPr>
          <w:p w14:paraId="49397821" w14:textId="77777777" w:rsidR="00D641F2" w:rsidRPr="00492007" w:rsidRDefault="00D641F2" w:rsidP="00D641F2">
            <w:pPr>
              <w:rPr>
                <w:b/>
                <w:lang w:eastAsia="en-US"/>
              </w:rPr>
            </w:pPr>
            <w:r w:rsidRPr="00492007">
              <w:rPr>
                <w:b/>
                <w:lang w:eastAsia="en-US"/>
              </w:rPr>
              <w:t>Estimated oral uptake</w:t>
            </w:r>
            <w:r>
              <w:rPr>
                <w:b/>
                <w:lang w:eastAsia="en-US"/>
              </w:rPr>
              <w:t xml:space="preserve"> (mg/kg/d)</w:t>
            </w:r>
          </w:p>
        </w:tc>
        <w:tc>
          <w:tcPr>
            <w:tcW w:w="1034" w:type="pct"/>
            <w:shd w:val="clear" w:color="auto" w:fill="auto"/>
            <w:tcMar>
              <w:top w:w="57" w:type="dxa"/>
              <w:bottom w:w="57" w:type="dxa"/>
            </w:tcMar>
          </w:tcPr>
          <w:p w14:paraId="3CC26121" w14:textId="77777777" w:rsidR="00D641F2" w:rsidRPr="00492007" w:rsidRDefault="00D641F2" w:rsidP="00D641F2">
            <w:pPr>
              <w:rPr>
                <w:b/>
                <w:lang w:eastAsia="en-US"/>
              </w:rPr>
            </w:pPr>
            <w:r w:rsidRPr="00492007">
              <w:rPr>
                <w:b/>
                <w:lang w:eastAsia="en-US"/>
              </w:rPr>
              <w:t>Estimated total uptake</w:t>
            </w:r>
            <w:r>
              <w:rPr>
                <w:b/>
                <w:lang w:eastAsia="en-US"/>
              </w:rPr>
              <w:t xml:space="preserve"> (mg/kg/d)</w:t>
            </w:r>
          </w:p>
        </w:tc>
      </w:tr>
      <w:tr w:rsidR="00D641F2" w:rsidRPr="00492007" w14:paraId="16823214" w14:textId="77777777" w:rsidTr="00AE5162">
        <w:trPr>
          <w:cantSplit/>
          <w:tblHeader/>
        </w:trPr>
        <w:tc>
          <w:tcPr>
            <w:tcW w:w="840" w:type="pct"/>
            <w:shd w:val="clear" w:color="auto" w:fill="auto"/>
          </w:tcPr>
          <w:p w14:paraId="2B6D8E44" w14:textId="77777777" w:rsidR="00D641F2" w:rsidRDefault="00D641F2" w:rsidP="00D641F2">
            <w:pPr>
              <w:rPr>
                <w:lang w:eastAsia="en-US"/>
              </w:rPr>
            </w:pPr>
            <w:r w:rsidRPr="00492007">
              <w:rPr>
                <w:lang w:eastAsia="en-US"/>
              </w:rPr>
              <w:t>Scenario [1]</w:t>
            </w:r>
          </w:p>
          <w:p w14:paraId="24F78771" w14:textId="77777777" w:rsidR="00D641F2" w:rsidRPr="00492007" w:rsidRDefault="00D641F2" w:rsidP="00D641F2">
            <w:pPr>
              <w:rPr>
                <w:lang w:eastAsia="en-US"/>
              </w:rPr>
            </w:pPr>
            <w:r>
              <w:rPr>
                <w:lang w:eastAsia="en-US"/>
              </w:rPr>
              <w:t>Loading of the teat dip tank</w:t>
            </w:r>
          </w:p>
        </w:tc>
        <w:tc>
          <w:tcPr>
            <w:tcW w:w="458" w:type="pct"/>
            <w:vAlign w:val="center"/>
          </w:tcPr>
          <w:p w14:paraId="4713D17E" w14:textId="77777777" w:rsidR="00D641F2" w:rsidRPr="00492007" w:rsidRDefault="00D641F2" w:rsidP="00D641F2">
            <w:pPr>
              <w:jc w:val="center"/>
              <w:rPr>
                <w:lang w:eastAsia="en-US"/>
              </w:rPr>
            </w:pPr>
            <w:r>
              <w:rPr>
                <w:lang w:eastAsia="en-US"/>
              </w:rPr>
              <w:t>1</w:t>
            </w:r>
          </w:p>
        </w:tc>
        <w:tc>
          <w:tcPr>
            <w:tcW w:w="831" w:type="pct"/>
            <w:vAlign w:val="center"/>
          </w:tcPr>
          <w:p w14:paraId="5E58A7A3" w14:textId="77777777" w:rsidR="00D641F2" w:rsidRPr="00492007" w:rsidRDefault="00891703" w:rsidP="00D641F2">
            <w:pPr>
              <w:jc w:val="center"/>
              <w:rPr>
                <w:lang w:eastAsia="en-US"/>
              </w:rPr>
            </w:pPr>
            <w:r>
              <w:rPr>
                <w:lang w:eastAsia="en-US"/>
              </w:rPr>
              <w:t>n.a.</w:t>
            </w:r>
          </w:p>
        </w:tc>
        <w:tc>
          <w:tcPr>
            <w:tcW w:w="918" w:type="pct"/>
            <w:shd w:val="clear" w:color="auto" w:fill="auto"/>
            <w:tcMar>
              <w:top w:w="57" w:type="dxa"/>
              <w:bottom w:w="57" w:type="dxa"/>
            </w:tcMar>
            <w:vAlign w:val="center"/>
          </w:tcPr>
          <w:p w14:paraId="0A240264" w14:textId="77777777" w:rsidR="00D641F2" w:rsidRPr="00492007" w:rsidRDefault="00D20232" w:rsidP="00D641F2">
            <w:pPr>
              <w:jc w:val="center"/>
              <w:rPr>
                <w:lang w:eastAsia="en-US"/>
              </w:rPr>
            </w:pPr>
            <w:r>
              <w:rPr>
                <w:lang w:eastAsia="en-US"/>
              </w:rPr>
              <w:t>1.2</w:t>
            </w:r>
            <w:r w:rsidR="00D641F2" w:rsidRPr="003B0A7A">
              <w:rPr>
                <w:lang w:eastAsia="en-US"/>
              </w:rPr>
              <w:t xml:space="preserve"> × 10</w:t>
            </w:r>
            <w:r w:rsidR="00D641F2" w:rsidRPr="003B0A7A">
              <w:rPr>
                <w:rFonts w:ascii="Cambria Math" w:hAnsi="Cambria Math" w:cs="Cambria Math"/>
                <w:lang w:eastAsia="en-US"/>
              </w:rPr>
              <w:t>⁻</w:t>
            </w:r>
            <w:r>
              <w:rPr>
                <w:vertAlign w:val="superscript"/>
                <w:lang w:eastAsia="en-US"/>
              </w:rPr>
              <w:t>4</w:t>
            </w:r>
          </w:p>
        </w:tc>
        <w:tc>
          <w:tcPr>
            <w:tcW w:w="919" w:type="pct"/>
            <w:vAlign w:val="center"/>
          </w:tcPr>
          <w:p w14:paraId="227C7891" w14:textId="77777777" w:rsidR="00D641F2" w:rsidRPr="00492007" w:rsidRDefault="00D641F2" w:rsidP="00D641F2">
            <w:pPr>
              <w:jc w:val="center"/>
              <w:rPr>
                <w:lang w:eastAsia="en-US"/>
              </w:rPr>
            </w:pPr>
            <w:r>
              <w:rPr>
                <w:lang w:eastAsia="en-US"/>
              </w:rPr>
              <w:t>n.a.</w:t>
            </w:r>
          </w:p>
        </w:tc>
        <w:tc>
          <w:tcPr>
            <w:tcW w:w="1034" w:type="pct"/>
            <w:shd w:val="clear" w:color="auto" w:fill="auto"/>
            <w:tcMar>
              <w:top w:w="57" w:type="dxa"/>
              <w:bottom w:w="57" w:type="dxa"/>
            </w:tcMar>
            <w:vAlign w:val="center"/>
          </w:tcPr>
          <w:p w14:paraId="1C2A1C08" w14:textId="77777777" w:rsidR="00D641F2" w:rsidRPr="00492007" w:rsidRDefault="00D20232" w:rsidP="00D641F2">
            <w:pPr>
              <w:jc w:val="center"/>
              <w:rPr>
                <w:lang w:eastAsia="en-US"/>
              </w:rPr>
            </w:pPr>
            <w:r>
              <w:rPr>
                <w:lang w:eastAsia="en-US"/>
              </w:rPr>
              <w:t>1.2</w:t>
            </w:r>
            <w:r w:rsidR="00D641F2" w:rsidRPr="003B0A7A">
              <w:rPr>
                <w:lang w:eastAsia="en-US"/>
              </w:rPr>
              <w:t xml:space="preserve"> × 10</w:t>
            </w:r>
            <w:r w:rsidR="00D641F2" w:rsidRPr="003B0A7A">
              <w:rPr>
                <w:rFonts w:ascii="Cambria Math" w:hAnsi="Cambria Math" w:cs="Cambria Math"/>
                <w:lang w:eastAsia="en-US"/>
              </w:rPr>
              <w:t>⁻</w:t>
            </w:r>
            <w:r>
              <w:rPr>
                <w:vertAlign w:val="superscript"/>
                <w:lang w:eastAsia="en-US"/>
              </w:rPr>
              <w:t>4</w:t>
            </w:r>
          </w:p>
        </w:tc>
      </w:tr>
    </w:tbl>
    <w:p w14:paraId="1BC7F492" w14:textId="77777777" w:rsidR="00D641F2" w:rsidRPr="00DC12AC" w:rsidRDefault="00D641F2" w:rsidP="00D641F2">
      <w:pPr>
        <w:keepNext/>
        <w:rPr>
          <w:i/>
          <w:u w:val="single"/>
          <w:lang w:eastAsia="en-US"/>
        </w:rPr>
      </w:pPr>
    </w:p>
    <w:p w14:paraId="60FE4D91" w14:textId="77777777" w:rsidR="00D641F2" w:rsidRPr="008D5990" w:rsidRDefault="00D641F2" w:rsidP="00D641F2">
      <w:pPr>
        <w:keepNext/>
        <w:rPr>
          <w:i/>
          <w:u w:val="single"/>
          <w:lang w:eastAsia="en-US"/>
        </w:rPr>
      </w:pPr>
      <w:r w:rsidRPr="00DC12AC">
        <w:rPr>
          <w:i/>
          <w:u w:val="single"/>
          <w:lang w:eastAsia="en-US"/>
        </w:rPr>
        <w:t>Scenario [2] Application</w:t>
      </w:r>
      <w:r w:rsidRPr="008D5990">
        <w:rPr>
          <w:i/>
          <w:u w:val="single"/>
          <w:lang w:eastAsia="en-US"/>
        </w:rPr>
        <w:t xml:space="preserve"> </w:t>
      </w:r>
      <w:r w:rsidRPr="00DC12AC">
        <w:rPr>
          <w:i/>
          <w:u w:val="single"/>
          <w:lang w:eastAsia="en-US"/>
        </w:rPr>
        <w:t>by dipping</w:t>
      </w:r>
    </w:p>
    <w:p w14:paraId="16F2AD4A" w14:textId="77777777" w:rsidR="00D641F2" w:rsidRPr="00DC12AC" w:rsidRDefault="00D641F2" w:rsidP="00D641F2">
      <w:pPr>
        <w:keepNext/>
        <w:widowControl w:val="0"/>
        <w:tabs>
          <w:tab w:val="center" w:pos="4536"/>
          <w:tab w:val="right" w:pos="9072"/>
        </w:tabs>
        <w:rPr>
          <w:iCs/>
          <w:lang w:eastAsia="en-US"/>
        </w:rPr>
      </w:pPr>
    </w:p>
    <w:p w14:paraId="76EE9BCA" w14:textId="77777777" w:rsidR="00D641F2" w:rsidRPr="00DC12AC" w:rsidRDefault="00D641F2" w:rsidP="00D641F2">
      <w:pPr>
        <w:keepNext/>
        <w:widowControl w:val="0"/>
        <w:tabs>
          <w:tab w:val="center" w:pos="4536"/>
          <w:tab w:val="right" w:pos="9072"/>
        </w:tabs>
        <w:rPr>
          <w:iCs/>
          <w:lang w:eastAsia="en-US"/>
        </w:rPr>
      </w:pPr>
      <w:r w:rsidRPr="00DC12AC">
        <w:rPr>
          <w:iCs/>
          <w:lang w:eastAsia="en-US"/>
        </w:rPr>
        <w:t>Application by dipping is covered by the mixing and loading step for dermal exposure and inhalation exposure is covered by the cleaning step.</w:t>
      </w:r>
    </w:p>
    <w:p w14:paraId="3ADB7F28" w14:textId="77777777" w:rsidR="00D641F2" w:rsidRPr="0029459A" w:rsidRDefault="00D641F2" w:rsidP="00D641F2">
      <w:pPr>
        <w:jc w:val="both"/>
        <w:rPr>
          <w:iCs/>
          <w:lang w:eastAsia="en-US"/>
        </w:rPr>
      </w:pPr>
      <w:r w:rsidRPr="00DC12AC">
        <w:rPr>
          <w:iCs/>
          <w:lang w:eastAsia="en-US"/>
        </w:rPr>
        <w:t>As dermal and inhalation exposure are covered by other tasks no scenarios will be presented for application.</w:t>
      </w:r>
    </w:p>
    <w:p w14:paraId="11A9F53B" w14:textId="77777777" w:rsidR="00D641F2" w:rsidRDefault="00D641F2" w:rsidP="00D641F2">
      <w:pPr>
        <w:keepNext/>
        <w:widowControl w:val="0"/>
        <w:tabs>
          <w:tab w:val="center" w:pos="4536"/>
          <w:tab w:val="right" w:pos="9072"/>
        </w:tabs>
        <w:rPr>
          <w:iCs/>
          <w:highlight w:val="green"/>
          <w:lang w:eastAsia="en-US"/>
        </w:rPr>
      </w:pPr>
    </w:p>
    <w:p w14:paraId="403187CA" w14:textId="77777777" w:rsidR="00D641F2" w:rsidRPr="0029459A" w:rsidRDefault="00D641F2" w:rsidP="00D641F2">
      <w:pPr>
        <w:keepNext/>
        <w:rPr>
          <w:i/>
          <w:u w:val="single"/>
          <w:lang w:val="en-US" w:eastAsia="en-US"/>
        </w:rPr>
      </w:pPr>
      <w:r w:rsidRPr="00716EF2">
        <w:rPr>
          <w:i/>
          <w:u w:val="single"/>
          <w:lang w:eastAsia="en-US"/>
        </w:rPr>
        <w:t>Scenario [</w:t>
      </w:r>
      <w:r>
        <w:rPr>
          <w:i/>
          <w:u w:val="single"/>
          <w:lang w:eastAsia="en-US"/>
        </w:rPr>
        <w:t>3</w:t>
      </w:r>
      <w:r w:rsidRPr="00716EF2">
        <w:rPr>
          <w:i/>
          <w:u w:val="single"/>
          <w:lang w:eastAsia="en-US"/>
        </w:rPr>
        <w:t>]</w:t>
      </w:r>
      <w:r w:rsidRPr="00DE186A">
        <w:rPr>
          <w:i/>
          <w:u w:val="single"/>
          <w:lang w:eastAsia="en-US"/>
        </w:rPr>
        <w:t xml:space="preserve"> </w:t>
      </w:r>
      <w:r w:rsidRPr="00C50977">
        <w:rPr>
          <w:i/>
          <w:u w:val="single"/>
          <w:lang w:eastAsia="en-US"/>
        </w:rPr>
        <w:t xml:space="preserve">Cleaning of teats, removal of applied product </w:t>
      </w:r>
      <w:r w:rsidRPr="00DC12AC">
        <w:rPr>
          <w:i/>
          <w:u w:val="single"/>
          <w:lang w:eastAsia="en-US"/>
        </w:rPr>
        <w:t>post</w:t>
      </w:r>
      <w:r>
        <w:rPr>
          <w:i/>
          <w:u w:val="single"/>
          <w:lang w:eastAsia="en-US"/>
        </w:rPr>
        <w:t>-</w:t>
      </w:r>
      <w:r w:rsidRPr="00DC12AC">
        <w:rPr>
          <w:i/>
          <w:u w:val="single"/>
          <w:lang w:eastAsia="en-US"/>
        </w:rPr>
        <w:t xml:space="preserve">milking </w:t>
      </w:r>
    </w:p>
    <w:p w14:paraId="4733226E" w14:textId="77777777" w:rsidR="00D641F2" w:rsidRDefault="00D641F2" w:rsidP="00D641F2">
      <w:pPr>
        <w:keepNext/>
        <w:rPr>
          <w:iCs/>
          <w:sz w:val="18"/>
          <w:vertAlign w:val="superscript"/>
          <w:lang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6"/>
        <w:gridCol w:w="3067"/>
        <w:gridCol w:w="1116"/>
        <w:gridCol w:w="4250"/>
      </w:tblGrid>
      <w:tr w:rsidR="00D641F2" w:rsidRPr="00492007" w14:paraId="5418C3FF" w14:textId="77777777" w:rsidTr="00AE5162">
        <w:trPr>
          <w:tblHeader/>
        </w:trPr>
        <w:tc>
          <w:tcPr>
            <w:tcW w:w="5000" w:type="pct"/>
            <w:gridSpan w:val="4"/>
            <w:shd w:val="clear" w:color="auto" w:fill="FFFFCC"/>
            <w:tcMar>
              <w:top w:w="57" w:type="dxa"/>
              <w:bottom w:w="57" w:type="dxa"/>
            </w:tcMar>
          </w:tcPr>
          <w:p w14:paraId="0FBCABD5" w14:textId="77777777" w:rsidR="00D641F2" w:rsidRPr="00492007" w:rsidRDefault="00D641F2" w:rsidP="00D76654">
            <w:pPr>
              <w:keepNext/>
              <w:rPr>
                <w:b/>
                <w:lang w:eastAsia="en-US"/>
              </w:rPr>
            </w:pPr>
            <w:r w:rsidRPr="00492007">
              <w:rPr>
                <w:b/>
                <w:lang w:eastAsia="en-US"/>
              </w:rPr>
              <w:t>Description of Scenario [</w:t>
            </w:r>
            <w:r>
              <w:rPr>
                <w:b/>
                <w:lang w:eastAsia="en-US"/>
              </w:rPr>
              <w:t>3</w:t>
            </w:r>
            <w:r w:rsidRPr="00492007">
              <w:rPr>
                <w:b/>
                <w:lang w:eastAsia="en-US"/>
              </w:rPr>
              <w:t>]</w:t>
            </w:r>
            <w:r>
              <w:rPr>
                <w:b/>
                <w:lang w:eastAsia="en-US"/>
              </w:rPr>
              <w:t xml:space="preserve"> – </w:t>
            </w:r>
            <w:r w:rsidRPr="001A1803">
              <w:rPr>
                <w:b/>
                <w:lang w:eastAsia="en-US"/>
              </w:rPr>
              <w:t xml:space="preserve">Cleaning of </w:t>
            </w:r>
            <w:r>
              <w:rPr>
                <w:b/>
                <w:lang w:eastAsia="en-US"/>
              </w:rPr>
              <w:t xml:space="preserve">animals </w:t>
            </w:r>
            <w:r w:rsidRPr="001A1803">
              <w:rPr>
                <w:b/>
                <w:lang w:eastAsia="en-US"/>
              </w:rPr>
              <w:t>teats</w:t>
            </w:r>
            <w:r>
              <w:rPr>
                <w:b/>
                <w:lang w:eastAsia="en-US"/>
              </w:rPr>
              <w:t xml:space="preserve"> - dermal exposure</w:t>
            </w:r>
          </w:p>
        </w:tc>
      </w:tr>
      <w:tr w:rsidR="00D641F2" w:rsidRPr="00492007" w14:paraId="0B7D4C6D" w14:textId="77777777" w:rsidTr="00AE5162">
        <w:trPr>
          <w:tblHeader/>
        </w:trPr>
        <w:tc>
          <w:tcPr>
            <w:tcW w:w="5000" w:type="pct"/>
            <w:gridSpan w:val="4"/>
            <w:shd w:val="clear" w:color="auto" w:fill="auto"/>
            <w:tcMar>
              <w:top w:w="57" w:type="dxa"/>
              <w:bottom w:w="57" w:type="dxa"/>
            </w:tcMar>
          </w:tcPr>
          <w:p w14:paraId="552401A0" w14:textId="77777777" w:rsidR="00D641F2" w:rsidRDefault="00D641F2" w:rsidP="00D641F2">
            <w:pPr>
              <w:jc w:val="both"/>
              <w:rPr>
                <w:lang w:eastAsia="en-US"/>
              </w:rPr>
            </w:pPr>
            <w:r>
              <w:rPr>
                <w:lang w:eastAsia="en-US"/>
              </w:rPr>
              <w:t xml:space="preserve">As proposed on headhoc recommendation 13 and </w:t>
            </w:r>
            <w:r w:rsidRPr="00C50977">
              <w:rPr>
                <w:lang w:eastAsia="en-US"/>
              </w:rPr>
              <w:t>the Disinfectant Products Fact Sheet (RIVM report 320005003/2006)</w:t>
            </w:r>
            <w:r>
              <w:rPr>
                <w:lang w:eastAsia="en-US"/>
              </w:rPr>
              <w:t xml:space="preserve">, as a </w:t>
            </w:r>
            <w:r w:rsidRPr="00C50977">
              <w:rPr>
                <w:lang w:eastAsia="en-US"/>
              </w:rPr>
              <w:t xml:space="preserve">worst-case </w:t>
            </w:r>
            <w:r>
              <w:rPr>
                <w:lang w:eastAsia="en-US"/>
              </w:rPr>
              <w:t xml:space="preserve">scenario it is consider that </w:t>
            </w:r>
            <w:r w:rsidRPr="00C50977">
              <w:rPr>
                <w:lang w:eastAsia="en-US"/>
              </w:rPr>
              <w:t xml:space="preserve">0.1% of the amount of biocidal product </w:t>
            </w:r>
            <w:r>
              <w:rPr>
                <w:lang w:eastAsia="en-US"/>
              </w:rPr>
              <w:t>applied on animal teats will transfer on worker skin during cleaning.</w:t>
            </w:r>
            <w:r w:rsidR="00945860" w:rsidRPr="007B44E3">
              <w:rPr>
                <w:lang w:eastAsia="en-US"/>
              </w:rPr>
              <w:t xml:space="preserve"> This approach is applied because no information is given about the duration to wait before the next milking and as the product is film forming and will last longer than non-forming film.</w:t>
            </w:r>
          </w:p>
          <w:p w14:paraId="615F37DB" w14:textId="77777777" w:rsidR="00D641F2" w:rsidRDefault="00D641F2" w:rsidP="00D641F2">
            <w:pPr>
              <w:jc w:val="both"/>
              <w:rPr>
                <w:iCs/>
                <w:lang w:eastAsia="en-US"/>
              </w:rPr>
            </w:pPr>
          </w:p>
          <w:p w14:paraId="1CEEB982" w14:textId="77777777" w:rsidR="00D641F2" w:rsidRDefault="00D641F2" w:rsidP="00D641F2">
            <w:pPr>
              <w:jc w:val="both"/>
              <w:rPr>
                <w:iCs/>
                <w:lang w:eastAsia="en-US"/>
              </w:rPr>
            </w:pPr>
            <w:r>
              <w:rPr>
                <w:iCs/>
                <w:lang w:eastAsia="en-US"/>
              </w:rPr>
              <w:t>Dermal exposure per animal cleaning is calculated according to the following formula:</w:t>
            </w:r>
          </w:p>
          <w:p w14:paraId="0D4F67C0" w14:textId="77777777" w:rsidR="00D641F2" w:rsidRDefault="00D641F2" w:rsidP="00D641F2">
            <w:pPr>
              <w:jc w:val="both"/>
              <w:rPr>
                <w:iCs/>
                <w:lang w:eastAsia="en-US"/>
              </w:rPr>
            </w:pPr>
          </w:p>
          <w:p w14:paraId="3A4BFB14" w14:textId="77777777" w:rsidR="00D641F2" w:rsidRDefault="00D641F2" w:rsidP="00D641F2">
            <w:pPr>
              <w:jc w:val="both"/>
              <w:rPr>
                <w:lang w:val="en-US" w:eastAsia="en-US"/>
              </w:rPr>
            </w:pPr>
            <m:oMathPara>
              <m:oMath>
                <m:r>
                  <w:rPr>
                    <w:rFonts w:ascii="Cambria Math" w:hAnsi="Cambria Math"/>
                    <w:sz w:val="24"/>
                    <w:lang w:eastAsia="en-US"/>
                  </w:rPr>
                  <m:t>Dermal exposure=</m:t>
                </m:r>
                <m:f>
                  <m:fPr>
                    <m:ctrlPr>
                      <w:rPr>
                        <w:rFonts w:ascii="Cambria Math" w:hAnsi="Cambria Math"/>
                        <w:iCs/>
                        <w:sz w:val="24"/>
                        <w:lang w:eastAsia="en-US"/>
                      </w:rPr>
                    </m:ctrlPr>
                  </m:fPr>
                  <m:num>
                    <m:r>
                      <w:rPr>
                        <w:rFonts w:ascii="Cambria Math" w:hAnsi="Cambria Math"/>
                        <w:sz w:val="24"/>
                        <w:lang w:eastAsia="en-US"/>
                      </w:rPr>
                      <m:t>AR ×C×d×DA</m:t>
                    </m:r>
                    <m:r>
                      <m:rPr>
                        <m:sty m:val="p"/>
                      </m:rPr>
                      <w:rPr>
                        <w:rFonts w:ascii="Cambria Math" w:hAnsi="Cambria Math"/>
                        <w:sz w:val="24"/>
                        <w:lang w:eastAsia="en-US"/>
                      </w:rPr>
                      <m:t xml:space="preserve"> </m:t>
                    </m:r>
                    <m:r>
                      <w:rPr>
                        <w:rFonts w:ascii="Cambria Math" w:hAnsi="Cambria Math"/>
                        <w:sz w:val="24"/>
                        <w:lang w:eastAsia="en-US"/>
                      </w:rPr>
                      <m:t>×AP</m:t>
                    </m:r>
                  </m:num>
                  <m:den>
                    <m:r>
                      <w:rPr>
                        <w:rFonts w:ascii="Cambria Math" w:hAnsi="Cambria Math"/>
                        <w:sz w:val="24"/>
                        <w:lang w:eastAsia="en-US"/>
                      </w:rPr>
                      <m:t xml:space="preserve">BW </m:t>
                    </m:r>
                  </m:den>
                </m:f>
              </m:oMath>
            </m:oMathPara>
          </w:p>
          <w:p w14:paraId="0FEC0F4D" w14:textId="77777777" w:rsidR="00D641F2" w:rsidRDefault="00D641F2" w:rsidP="00D641F2">
            <w:pPr>
              <w:jc w:val="both"/>
              <w:rPr>
                <w:lang w:val="en-US" w:eastAsia="en-US"/>
              </w:rPr>
            </w:pPr>
          </w:p>
          <w:p w14:paraId="6E13B910" w14:textId="77777777" w:rsidR="00D641F2" w:rsidRPr="00DC12AC" w:rsidRDefault="00D641F2" w:rsidP="00D641F2">
            <w:pPr>
              <w:jc w:val="both"/>
              <w:rPr>
                <w:lang w:val="en-US" w:eastAsia="en-US"/>
              </w:rPr>
            </w:pPr>
            <w:r w:rsidRPr="00DC12AC">
              <w:rPr>
                <w:lang w:val="en-US" w:eastAsia="en-US"/>
              </w:rPr>
              <w:t>Where:</w:t>
            </w:r>
          </w:p>
          <w:p w14:paraId="05AF8E95" w14:textId="77777777" w:rsidR="00D641F2" w:rsidRPr="00DC12AC" w:rsidRDefault="00D641F2" w:rsidP="00D641F2">
            <w:pPr>
              <w:jc w:val="both"/>
              <w:rPr>
                <w:lang w:val="en-US" w:eastAsia="en-US"/>
              </w:rPr>
            </w:pPr>
            <w:r w:rsidRPr="00DC12AC">
              <w:rPr>
                <w:lang w:val="en-US" w:eastAsia="en-US"/>
              </w:rPr>
              <w:t xml:space="preserve">AR: </w:t>
            </w:r>
            <w:r w:rsidRPr="00DC12AC">
              <w:rPr>
                <w:lang w:eastAsia="en-US"/>
              </w:rPr>
              <w:t xml:space="preserve">Application rate (mL/animal/d) </w:t>
            </w:r>
          </w:p>
          <w:p w14:paraId="3AFD8FAB" w14:textId="77777777" w:rsidR="00D641F2" w:rsidRPr="00DC12AC" w:rsidRDefault="00D641F2" w:rsidP="00D641F2">
            <w:pPr>
              <w:jc w:val="both"/>
              <w:rPr>
                <w:lang w:val="en-US" w:eastAsia="en-US"/>
              </w:rPr>
            </w:pPr>
            <w:r w:rsidRPr="00DC12AC">
              <w:rPr>
                <w:lang w:val="en-US" w:eastAsia="en-US"/>
              </w:rPr>
              <w:t>C:</w:t>
            </w:r>
            <w:r w:rsidRPr="00DC12AC">
              <w:rPr>
                <w:lang w:eastAsia="en-US"/>
              </w:rPr>
              <w:t xml:space="preserve"> Weight fraction substance (%)</w:t>
            </w:r>
          </w:p>
          <w:p w14:paraId="2C7D6D09" w14:textId="77777777" w:rsidR="00D641F2" w:rsidRPr="00DC12AC" w:rsidRDefault="00D641F2" w:rsidP="00D641F2">
            <w:pPr>
              <w:jc w:val="both"/>
              <w:rPr>
                <w:lang w:val="en-US" w:eastAsia="en-US"/>
              </w:rPr>
            </w:pPr>
            <w:r w:rsidRPr="00DC12AC">
              <w:rPr>
                <w:lang w:val="en-US" w:eastAsia="en-US"/>
              </w:rPr>
              <w:t xml:space="preserve">d: </w:t>
            </w:r>
            <w:r w:rsidRPr="00DC12AC">
              <w:rPr>
                <w:lang w:eastAsia="en-US"/>
              </w:rPr>
              <w:t>Density</w:t>
            </w:r>
          </w:p>
          <w:p w14:paraId="62CCCAE8" w14:textId="77777777" w:rsidR="00D641F2" w:rsidRDefault="00D641F2" w:rsidP="00D641F2">
            <w:pPr>
              <w:jc w:val="both"/>
              <w:rPr>
                <w:lang w:eastAsia="en-US"/>
              </w:rPr>
            </w:pPr>
            <w:r w:rsidRPr="00DC12AC">
              <w:rPr>
                <w:lang w:val="en-US" w:eastAsia="en-US"/>
              </w:rPr>
              <w:t xml:space="preserve">DA: </w:t>
            </w:r>
            <w:r w:rsidRPr="00DC12AC">
              <w:rPr>
                <w:lang w:eastAsia="en-US"/>
              </w:rPr>
              <w:t>Dermal absorption (%)</w:t>
            </w:r>
          </w:p>
          <w:p w14:paraId="659121E9" w14:textId="77777777" w:rsidR="00EB2D69" w:rsidRPr="00DC12AC" w:rsidRDefault="00EB2D69" w:rsidP="00D641F2">
            <w:pPr>
              <w:jc w:val="both"/>
              <w:rPr>
                <w:lang w:val="en-US" w:eastAsia="en-US"/>
              </w:rPr>
            </w:pPr>
            <w:r>
              <w:rPr>
                <w:lang w:eastAsia="en-US"/>
              </w:rPr>
              <w:t>AP: A</w:t>
            </w:r>
            <w:r w:rsidRPr="00C50977">
              <w:rPr>
                <w:lang w:eastAsia="en-US"/>
              </w:rPr>
              <w:t>mount of product</w:t>
            </w:r>
            <w:r>
              <w:rPr>
                <w:lang w:eastAsia="en-US"/>
              </w:rPr>
              <w:t xml:space="preserve"> considered (0.1%)</w:t>
            </w:r>
          </w:p>
          <w:p w14:paraId="0BCEDC9C" w14:textId="77777777" w:rsidR="00D641F2" w:rsidRPr="00DC12AC" w:rsidRDefault="00D641F2" w:rsidP="00D641F2">
            <w:pPr>
              <w:jc w:val="both"/>
              <w:rPr>
                <w:lang w:val="en-US" w:eastAsia="en-US"/>
              </w:rPr>
            </w:pPr>
            <w:r w:rsidRPr="00DC12AC">
              <w:rPr>
                <w:lang w:val="en-US" w:eastAsia="en-US"/>
              </w:rPr>
              <w:t xml:space="preserve">BW : body weight (kg) </w:t>
            </w:r>
          </w:p>
          <w:p w14:paraId="19F214E8" w14:textId="77777777" w:rsidR="00D641F2" w:rsidRPr="001A1803" w:rsidRDefault="00D641F2" w:rsidP="00D641F2">
            <w:pPr>
              <w:jc w:val="both"/>
              <w:rPr>
                <w:highlight w:val="green"/>
                <w:lang w:val="en-US" w:eastAsia="en-US"/>
              </w:rPr>
            </w:pPr>
          </w:p>
          <w:p w14:paraId="7718BFA6" w14:textId="77777777" w:rsidR="00D641F2" w:rsidRPr="00817461" w:rsidRDefault="00D641F2" w:rsidP="00AE5162">
            <w:pPr>
              <w:jc w:val="both"/>
              <w:rPr>
                <w:lang w:val="en-US" w:eastAsia="en-US"/>
              </w:rPr>
            </w:pPr>
            <w:r>
              <w:rPr>
                <w:lang w:val="en-US" w:eastAsia="en-US"/>
              </w:rPr>
              <w:t>The total exposure takes into account a number of 82 cows/day.</w:t>
            </w:r>
          </w:p>
        </w:tc>
      </w:tr>
      <w:tr w:rsidR="007724F5" w:rsidRPr="00492007" w14:paraId="170DC077" w14:textId="77777777" w:rsidTr="007724F5">
        <w:trPr>
          <w:tblHeader/>
        </w:trPr>
        <w:tc>
          <w:tcPr>
            <w:tcW w:w="381" w:type="pct"/>
            <w:shd w:val="clear" w:color="auto" w:fill="auto"/>
            <w:tcMar>
              <w:top w:w="57" w:type="dxa"/>
              <w:bottom w:w="57" w:type="dxa"/>
            </w:tcMar>
          </w:tcPr>
          <w:p w14:paraId="60E9B4A8" w14:textId="77777777" w:rsidR="007724F5" w:rsidRPr="00492007" w:rsidRDefault="007724F5" w:rsidP="009E5004">
            <w:pPr>
              <w:rPr>
                <w:lang w:eastAsia="en-US"/>
              </w:rPr>
            </w:pPr>
          </w:p>
        </w:tc>
        <w:tc>
          <w:tcPr>
            <w:tcW w:w="1680" w:type="pct"/>
            <w:shd w:val="clear" w:color="auto" w:fill="auto"/>
            <w:tcMar>
              <w:top w:w="57" w:type="dxa"/>
              <w:bottom w:w="57" w:type="dxa"/>
            </w:tcMar>
          </w:tcPr>
          <w:p w14:paraId="00C480AE" w14:textId="77777777" w:rsidR="007724F5" w:rsidRPr="00492007" w:rsidRDefault="007724F5" w:rsidP="009E5004">
            <w:pPr>
              <w:rPr>
                <w:lang w:eastAsia="en-US"/>
              </w:rPr>
            </w:pPr>
            <w:r w:rsidRPr="00492007">
              <w:rPr>
                <w:lang w:eastAsia="en-US"/>
              </w:rPr>
              <w:t>Parameters</w:t>
            </w:r>
          </w:p>
        </w:tc>
        <w:tc>
          <w:tcPr>
            <w:tcW w:w="611" w:type="pct"/>
            <w:shd w:val="clear" w:color="auto" w:fill="auto"/>
            <w:tcMar>
              <w:top w:w="57" w:type="dxa"/>
              <w:bottom w:w="57" w:type="dxa"/>
            </w:tcMar>
          </w:tcPr>
          <w:p w14:paraId="0D89390E" w14:textId="77777777" w:rsidR="007724F5" w:rsidRPr="00492007" w:rsidRDefault="007724F5" w:rsidP="009E5004">
            <w:pPr>
              <w:rPr>
                <w:lang w:eastAsia="en-US"/>
              </w:rPr>
            </w:pPr>
            <w:r w:rsidRPr="00492007">
              <w:rPr>
                <w:lang w:eastAsia="en-US"/>
              </w:rPr>
              <w:t>Value</w:t>
            </w:r>
          </w:p>
        </w:tc>
        <w:tc>
          <w:tcPr>
            <w:tcW w:w="2328" w:type="pct"/>
          </w:tcPr>
          <w:p w14:paraId="645E7725" w14:textId="77777777" w:rsidR="007724F5" w:rsidRPr="00492007" w:rsidRDefault="007724F5" w:rsidP="009E5004">
            <w:pPr>
              <w:rPr>
                <w:lang w:eastAsia="en-US"/>
              </w:rPr>
            </w:pPr>
            <w:r w:rsidRPr="00DE186A">
              <w:rPr>
                <w:lang w:eastAsia="en-US"/>
              </w:rPr>
              <w:t>Reference</w:t>
            </w:r>
          </w:p>
        </w:tc>
      </w:tr>
      <w:tr w:rsidR="007724F5" w:rsidRPr="00DE186A" w14:paraId="6A7FE3A9" w14:textId="77777777" w:rsidTr="007724F5">
        <w:trPr>
          <w:tblHeader/>
        </w:trPr>
        <w:tc>
          <w:tcPr>
            <w:tcW w:w="381" w:type="pct"/>
            <w:vMerge w:val="restart"/>
            <w:shd w:val="clear" w:color="auto" w:fill="auto"/>
            <w:tcMar>
              <w:top w:w="57" w:type="dxa"/>
              <w:bottom w:w="57" w:type="dxa"/>
            </w:tcMar>
          </w:tcPr>
          <w:p w14:paraId="059D5453" w14:textId="77777777" w:rsidR="007724F5" w:rsidRPr="00492007" w:rsidRDefault="007724F5" w:rsidP="009E5004">
            <w:pPr>
              <w:rPr>
                <w:lang w:eastAsia="en-US"/>
              </w:rPr>
            </w:pPr>
            <w:r w:rsidRPr="00492007">
              <w:rPr>
                <w:lang w:eastAsia="en-US"/>
              </w:rPr>
              <w:t>Tier 1</w:t>
            </w:r>
          </w:p>
        </w:tc>
        <w:tc>
          <w:tcPr>
            <w:tcW w:w="1680" w:type="pct"/>
            <w:shd w:val="clear" w:color="auto" w:fill="auto"/>
            <w:tcMar>
              <w:top w:w="57" w:type="dxa"/>
              <w:bottom w:w="57" w:type="dxa"/>
            </w:tcMar>
          </w:tcPr>
          <w:p w14:paraId="7FB8A560" w14:textId="77777777" w:rsidR="007724F5" w:rsidRPr="00492007" w:rsidRDefault="007724F5" w:rsidP="009E5004">
            <w:pPr>
              <w:rPr>
                <w:lang w:eastAsia="en-US"/>
              </w:rPr>
            </w:pPr>
            <w:r>
              <w:rPr>
                <w:lang w:eastAsia="en-US"/>
              </w:rPr>
              <w:t>Frequency (per day)</w:t>
            </w:r>
          </w:p>
        </w:tc>
        <w:tc>
          <w:tcPr>
            <w:tcW w:w="611" w:type="pct"/>
            <w:shd w:val="clear" w:color="auto" w:fill="auto"/>
            <w:tcMar>
              <w:top w:w="57" w:type="dxa"/>
              <w:bottom w:w="57" w:type="dxa"/>
            </w:tcMar>
          </w:tcPr>
          <w:p w14:paraId="69AD610A" w14:textId="77777777" w:rsidR="007724F5" w:rsidRPr="00492007" w:rsidRDefault="007724F5" w:rsidP="009E5004">
            <w:pPr>
              <w:rPr>
                <w:lang w:eastAsia="en-US"/>
              </w:rPr>
            </w:pPr>
            <w:r>
              <w:rPr>
                <w:lang w:eastAsia="en-US"/>
              </w:rPr>
              <w:t>2</w:t>
            </w:r>
          </w:p>
        </w:tc>
        <w:tc>
          <w:tcPr>
            <w:tcW w:w="2328" w:type="pct"/>
          </w:tcPr>
          <w:p w14:paraId="3B709E91" w14:textId="77777777" w:rsidR="007724F5" w:rsidRPr="00DE186A" w:rsidRDefault="007724F5" w:rsidP="009E5004">
            <w:pPr>
              <w:rPr>
                <w:lang w:eastAsia="en-US"/>
              </w:rPr>
            </w:pPr>
            <w:r>
              <w:rPr>
                <w:lang w:eastAsia="en-US"/>
              </w:rPr>
              <w:t>Applicant data</w:t>
            </w:r>
          </w:p>
        </w:tc>
      </w:tr>
      <w:tr w:rsidR="007724F5" w:rsidRPr="00DE186A" w14:paraId="79B21ABD" w14:textId="77777777" w:rsidTr="007724F5">
        <w:trPr>
          <w:tblHeader/>
        </w:trPr>
        <w:tc>
          <w:tcPr>
            <w:tcW w:w="381" w:type="pct"/>
            <w:vMerge/>
            <w:shd w:val="clear" w:color="auto" w:fill="auto"/>
            <w:tcMar>
              <w:top w:w="57" w:type="dxa"/>
              <w:bottom w:w="57" w:type="dxa"/>
            </w:tcMar>
          </w:tcPr>
          <w:p w14:paraId="474DB312" w14:textId="77777777" w:rsidR="007724F5" w:rsidRPr="00492007" w:rsidRDefault="007724F5" w:rsidP="009E5004">
            <w:pPr>
              <w:rPr>
                <w:lang w:eastAsia="en-US"/>
              </w:rPr>
            </w:pPr>
          </w:p>
        </w:tc>
        <w:tc>
          <w:tcPr>
            <w:tcW w:w="1680" w:type="pct"/>
            <w:shd w:val="clear" w:color="auto" w:fill="auto"/>
            <w:tcMar>
              <w:top w:w="57" w:type="dxa"/>
              <w:bottom w:w="57" w:type="dxa"/>
            </w:tcMar>
          </w:tcPr>
          <w:p w14:paraId="0ADB89DE" w14:textId="77777777" w:rsidR="007724F5" w:rsidRPr="00492007" w:rsidRDefault="007724F5" w:rsidP="009E5004">
            <w:pPr>
              <w:rPr>
                <w:lang w:eastAsia="en-US"/>
              </w:rPr>
            </w:pPr>
            <w:r>
              <w:rPr>
                <w:lang w:eastAsia="en-US"/>
              </w:rPr>
              <w:t>Product amount (%)</w:t>
            </w:r>
          </w:p>
        </w:tc>
        <w:tc>
          <w:tcPr>
            <w:tcW w:w="611" w:type="pct"/>
            <w:shd w:val="clear" w:color="auto" w:fill="auto"/>
            <w:tcMar>
              <w:top w:w="57" w:type="dxa"/>
              <w:bottom w:w="57" w:type="dxa"/>
            </w:tcMar>
          </w:tcPr>
          <w:p w14:paraId="2344B256" w14:textId="77777777" w:rsidR="007724F5" w:rsidRPr="00492007" w:rsidRDefault="007724F5" w:rsidP="009E5004">
            <w:pPr>
              <w:rPr>
                <w:lang w:eastAsia="en-US"/>
              </w:rPr>
            </w:pPr>
            <w:r>
              <w:rPr>
                <w:lang w:eastAsia="en-US"/>
              </w:rPr>
              <w:t xml:space="preserve">0.1 </w:t>
            </w:r>
          </w:p>
        </w:tc>
        <w:tc>
          <w:tcPr>
            <w:tcW w:w="2328" w:type="pct"/>
          </w:tcPr>
          <w:p w14:paraId="1D7A58EC" w14:textId="77777777" w:rsidR="007724F5" w:rsidRPr="00DE186A" w:rsidRDefault="007724F5" w:rsidP="009E5004">
            <w:pPr>
              <w:rPr>
                <w:lang w:eastAsia="en-US"/>
              </w:rPr>
            </w:pPr>
            <w:r w:rsidRPr="00C50977">
              <w:rPr>
                <w:lang w:eastAsia="en-US"/>
              </w:rPr>
              <w:t>Disinfectant Products Fact Sheet (RIVM report 320005003/2006)</w:t>
            </w:r>
          </w:p>
        </w:tc>
      </w:tr>
      <w:tr w:rsidR="007724F5" w:rsidRPr="00B557B8" w14:paraId="6C1F4C2D" w14:textId="77777777" w:rsidTr="007724F5">
        <w:trPr>
          <w:tblHeader/>
        </w:trPr>
        <w:tc>
          <w:tcPr>
            <w:tcW w:w="381" w:type="pct"/>
            <w:vMerge/>
            <w:shd w:val="clear" w:color="auto" w:fill="auto"/>
            <w:tcMar>
              <w:top w:w="57" w:type="dxa"/>
              <w:bottom w:w="57" w:type="dxa"/>
            </w:tcMar>
          </w:tcPr>
          <w:p w14:paraId="40B8D007" w14:textId="77777777" w:rsidR="007724F5" w:rsidRPr="00492007" w:rsidRDefault="007724F5" w:rsidP="009E5004">
            <w:pPr>
              <w:rPr>
                <w:lang w:eastAsia="en-US"/>
              </w:rPr>
            </w:pPr>
          </w:p>
        </w:tc>
        <w:tc>
          <w:tcPr>
            <w:tcW w:w="1680" w:type="pct"/>
            <w:shd w:val="clear" w:color="auto" w:fill="auto"/>
            <w:tcMar>
              <w:top w:w="57" w:type="dxa"/>
              <w:bottom w:w="57" w:type="dxa"/>
            </w:tcMar>
          </w:tcPr>
          <w:p w14:paraId="0D1170B1" w14:textId="77777777" w:rsidR="007724F5" w:rsidRPr="00B557B8" w:rsidRDefault="007724F5" w:rsidP="009E5004">
            <w:pPr>
              <w:rPr>
                <w:lang w:eastAsia="en-US"/>
              </w:rPr>
            </w:pPr>
            <w:r w:rsidRPr="00B557B8">
              <w:rPr>
                <w:lang w:eastAsia="en-US"/>
              </w:rPr>
              <w:t>Application rate (mL/animal/d)</w:t>
            </w:r>
          </w:p>
        </w:tc>
        <w:tc>
          <w:tcPr>
            <w:tcW w:w="611" w:type="pct"/>
            <w:shd w:val="clear" w:color="auto" w:fill="auto"/>
            <w:tcMar>
              <w:top w:w="57" w:type="dxa"/>
              <w:bottom w:w="57" w:type="dxa"/>
            </w:tcMar>
          </w:tcPr>
          <w:p w14:paraId="711CE919" w14:textId="77777777" w:rsidR="007724F5" w:rsidRPr="00B557B8" w:rsidRDefault="007724F5" w:rsidP="009E5004">
            <w:pPr>
              <w:rPr>
                <w:lang w:eastAsia="en-US"/>
              </w:rPr>
            </w:pPr>
            <w:r w:rsidRPr="00B557B8">
              <w:rPr>
                <w:lang w:eastAsia="en-US"/>
              </w:rPr>
              <w:t>16</w:t>
            </w:r>
          </w:p>
        </w:tc>
        <w:tc>
          <w:tcPr>
            <w:tcW w:w="2328" w:type="pct"/>
          </w:tcPr>
          <w:p w14:paraId="7D276A20" w14:textId="77777777" w:rsidR="007724F5" w:rsidRPr="00B557B8" w:rsidRDefault="007724F5" w:rsidP="009E5004">
            <w:pPr>
              <w:rPr>
                <w:lang w:eastAsia="en-US"/>
              </w:rPr>
            </w:pPr>
            <w:r w:rsidRPr="00B557B8">
              <w:rPr>
                <w:lang w:eastAsia="en-US"/>
              </w:rPr>
              <w:t>Applicant data</w:t>
            </w:r>
            <w:r>
              <w:rPr>
                <w:lang w:eastAsia="en-US"/>
              </w:rPr>
              <w:t xml:space="preserve"> (2ml per teat, 4 teat per cow and 2 applications per day)</w:t>
            </w:r>
          </w:p>
        </w:tc>
      </w:tr>
      <w:tr w:rsidR="007724F5" w14:paraId="7EBA19E6" w14:textId="77777777" w:rsidTr="007724F5">
        <w:trPr>
          <w:tblHeader/>
        </w:trPr>
        <w:tc>
          <w:tcPr>
            <w:tcW w:w="381" w:type="pct"/>
            <w:vMerge/>
            <w:shd w:val="clear" w:color="auto" w:fill="auto"/>
            <w:tcMar>
              <w:top w:w="57" w:type="dxa"/>
              <w:bottom w:w="57" w:type="dxa"/>
            </w:tcMar>
          </w:tcPr>
          <w:p w14:paraId="07BA529D" w14:textId="77777777" w:rsidR="007724F5" w:rsidRPr="00492007" w:rsidRDefault="007724F5" w:rsidP="009E5004">
            <w:pPr>
              <w:rPr>
                <w:lang w:eastAsia="en-US"/>
              </w:rPr>
            </w:pPr>
          </w:p>
        </w:tc>
        <w:tc>
          <w:tcPr>
            <w:tcW w:w="1680" w:type="pct"/>
            <w:shd w:val="clear" w:color="auto" w:fill="auto"/>
            <w:tcMar>
              <w:top w:w="57" w:type="dxa"/>
              <w:bottom w:w="57" w:type="dxa"/>
            </w:tcMar>
          </w:tcPr>
          <w:p w14:paraId="11FFF2AE" w14:textId="77777777" w:rsidR="007724F5" w:rsidRDefault="007724F5" w:rsidP="009E5004">
            <w:pPr>
              <w:rPr>
                <w:highlight w:val="yellow"/>
                <w:lang w:eastAsia="en-US"/>
              </w:rPr>
            </w:pPr>
            <w:r>
              <w:rPr>
                <w:lang w:eastAsia="en-US"/>
              </w:rPr>
              <w:t>Weight fraction substance (%)</w:t>
            </w:r>
          </w:p>
        </w:tc>
        <w:tc>
          <w:tcPr>
            <w:tcW w:w="611" w:type="pct"/>
            <w:shd w:val="clear" w:color="auto" w:fill="auto"/>
            <w:tcMar>
              <w:top w:w="57" w:type="dxa"/>
              <w:bottom w:w="57" w:type="dxa"/>
            </w:tcMar>
          </w:tcPr>
          <w:p w14:paraId="230DC60B" w14:textId="77777777" w:rsidR="007724F5" w:rsidRDefault="007724F5" w:rsidP="00D20232">
            <w:pPr>
              <w:rPr>
                <w:highlight w:val="yellow"/>
                <w:lang w:eastAsia="en-US"/>
              </w:rPr>
            </w:pPr>
            <w:r>
              <w:rPr>
                <w:lang w:eastAsia="en-US"/>
              </w:rPr>
              <w:t>0.</w:t>
            </w:r>
            <w:r w:rsidR="00D20232">
              <w:rPr>
                <w:lang w:eastAsia="en-US"/>
              </w:rPr>
              <w:t xml:space="preserve">29 </w:t>
            </w:r>
          </w:p>
        </w:tc>
        <w:tc>
          <w:tcPr>
            <w:tcW w:w="2328" w:type="pct"/>
          </w:tcPr>
          <w:p w14:paraId="62735CC0" w14:textId="77777777" w:rsidR="007724F5" w:rsidRDefault="007724F5" w:rsidP="009E5004">
            <w:pPr>
              <w:rPr>
                <w:highlight w:val="yellow"/>
                <w:lang w:eastAsia="en-US"/>
              </w:rPr>
            </w:pPr>
            <w:r>
              <w:rPr>
                <w:lang w:eastAsia="en-US"/>
              </w:rPr>
              <w:t>Applicant data</w:t>
            </w:r>
          </w:p>
        </w:tc>
      </w:tr>
      <w:tr w:rsidR="007724F5" w14:paraId="0F55CF22" w14:textId="77777777" w:rsidTr="007724F5">
        <w:trPr>
          <w:tblHeader/>
        </w:trPr>
        <w:tc>
          <w:tcPr>
            <w:tcW w:w="381" w:type="pct"/>
            <w:vMerge/>
            <w:shd w:val="clear" w:color="auto" w:fill="auto"/>
            <w:tcMar>
              <w:top w:w="57" w:type="dxa"/>
              <w:bottom w:w="57" w:type="dxa"/>
            </w:tcMar>
          </w:tcPr>
          <w:p w14:paraId="448078D3" w14:textId="77777777" w:rsidR="007724F5" w:rsidRPr="00492007" w:rsidRDefault="007724F5" w:rsidP="009E5004">
            <w:pPr>
              <w:rPr>
                <w:lang w:eastAsia="en-US"/>
              </w:rPr>
            </w:pPr>
          </w:p>
        </w:tc>
        <w:tc>
          <w:tcPr>
            <w:tcW w:w="1680" w:type="pct"/>
            <w:shd w:val="clear" w:color="auto" w:fill="auto"/>
            <w:tcMar>
              <w:top w:w="57" w:type="dxa"/>
              <w:bottom w:w="57" w:type="dxa"/>
            </w:tcMar>
          </w:tcPr>
          <w:p w14:paraId="0FA822A1" w14:textId="77777777" w:rsidR="007724F5" w:rsidRDefault="007724F5" w:rsidP="009E5004">
            <w:pPr>
              <w:rPr>
                <w:lang w:eastAsia="en-US"/>
              </w:rPr>
            </w:pPr>
            <w:r>
              <w:rPr>
                <w:lang w:eastAsia="en-US"/>
              </w:rPr>
              <w:t>Density</w:t>
            </w:r>
          </w:p>
        </w:tc>
        <w:tc>
          <w:tcPr>
            <w:tcW w:w="611" w:type="pct"/>
            <w:shd w:val="clear" w:color="auto" w:fill="auto"/>
            <w:tcMar>
              <w:top w:w="57" w:type="dxa"/>
              <w:bottom w:w="57" w:type="dxa"/>
            </w:tcMar>
          </w:tcPr>
          <w:p w14:paraId="40452426" w14:textId="77777777" w:rsidR="007724F5" w:rsidRDefault="007724F5" w:rsidP="009E5004">
            <w:pPr>
              <w:rPr>
                <w:lang w:eastAsia="en-US"/>
              </w:rPr>
            </w:pPr>
            <w:r>
              <w:rPr>
                <w:lang w:eastAsia="en-US"/>
              </w:rPr>
              <w:t>1.03</w:t>
            </w:r>
          </w:p>
        </w:tc>
        <w:tc>
          <w:tcPr>
            <w:tcW w:w="2328" w:type="pct"/>
          </w:tcPr>
          <w:p w14:paraId="37889F58" w14:textId="77777777" w:rsidR="007724F5" w:rsidRDefault="007724F5" w:rsidP="009E5004">
            <w:pPr>
              <w:rPr>
                <w:lang w:eastAsia="en-US"/>
              </w:rPr>
            </w:pPr>
            <w:r>
              <w:rPr>
                <w:lang w:eastAsia="en-US"/>
              </w:rPr>
              <w:t>Properties of Iodiguard</w:t>
            </w:r>
          </w:p>
        </w:tc>
      </w:tr>
      <w:tr w:rsidR="007724F5" w14:paraId="1A498E9D" w14:textId="77777777" w:rsidTr="007724F5">
        <w:trPr>
          <w:tblHeader/>
        </w:trPr>
        <w:tc>
          <w:tcPr>
            <w:tcW w:w="381" w:type="pct"/>
            <w:vMerge/>
            <w:shd w:val="clear" w:color="auto" w:fill="auto"/>
            <w:tcMar>
              <w:top w:w="57" w:type="dxa"/>
              <w:bottom w:w="57" w:type="dxa"/>
            </w:tcMar>
          </w:tcPr>
          <w:p w14:paraId="69F80EDC" w14:textId="77777777" w:rsidR="007724F5" w:rsidRPr="00492007" w:rsidRDefault="007724F5" w:rsidP="009E5004">
            <w:pPr>
              <w:rPr>
                <w:lang w:eastAsia="en-US"/>
              </w:rPr>
            </w:pPr>
          </w:p>
        </w:tc>
        <w:tc>
          <w:tcPr>
            <w:tcW w:w="1680" w:type="pct"/>
            <w:shd w:val="clear" w:color="auto" w:fill="auto"/>
            <w:tcMar>
              <w:top w:w="57" w:type="dxa"/>
              <w:bottom w:w="57" w:type="dxa"/>
            </w:tcMar>
          </w:tcPr>
          <w:p w14:paraId="6C5F0102" w14:textId="77777777" w:rsidR="007724F5" w:rsidRDefault="007724F5" w:rsidP="009E5004">
            <w:pPr>
              <w:rPr>
                <w:lang w:eastAsia="en-US"/>
              </w:rPr>
            </w:pPr>
            <w:r>
              <w:rPr>
                <w:lang w:eastAsia="en-US"/>
              </w:rPr>
              <w:t>Number of cows</w:t>
            </w:r>
          </w:p>
        </w:tc>
        <w:tc>
          <w:tcPr>
            <w:tcW w:w="611" w:type="pct"/>
            <w:shd w:val="clear" w:color="auto" w:fill="auto"/>
            <w:tcMar>
              <w:top w:w="57" w:type="dxa"/>
              <w:bottom w:w="57" w:type="dxa"/>
            </w:tcMar>
          </w:tcPr>
          <w:p w14:paraId="13B6A9EF" w14:textId="77777777" w:rsidR="007724F5" w:rsidRDefault="007724F5" w:rsidP="009E5004">
            <w:pPr>
              <w:rPr>
                <w:lang w:eastAsia="en-US"/>
              </w:rPr>
            </w:pPr>
            <w:r>
              <w:rPr>
                <w:lang w:eastAsia="en-US"/>
              </w:rPr>
              <w:t>82</w:t>
            </w:r>
          </w:p>
        </w:tc>
        <w:tc>
          <w:tcPr>
            <w:tcW w:w="2328" w:type="pct"/>
          </w:tcPr>
          <w:p w14:paraId="61A1E135" w14:textId="77777777" w:rsidR="007724F5" w:rsidRDefault="007724F5" w:rsidP="009E5004">
            <w:pPr>
              <w:rPr>
                <w:lang w:eastAsia="en-US"/>
              </w:rPr>
            </w:pPr>
            <w:r w:rsidRPr="00594637">
              <w:rPr>
                <w:iCs/>
                <w:lang w:eastAsia="en-US"/>
              </w:rPr>
              <w:t>HEAdhoc</w:t>
            </w:r>
            <w:r>
              <w:rPr>
                <w:iCs/>
                <w:lang w:eastAsia="en-US"/>
              </w:rPr>
              <w:t xml:space="preserve"> recommendation N</w:t>
            </w:r>
            <w:r w:rsidRPr="00594637">
              <w:rPr>
                <w:iCs/>
                <w:lang w:eastAsia="en-US"/>
              </w:rPr>
              <w:t>o. 13</w:t>
            </w:r>
            <w:r>
              <w:rPr>
                <w:iCs/>
                <w:lang w:eastAsia="en-US"/>
              </w:rPr>
              <w:t>, 2017</w:t>
            </w:r>
          </w:p>
        </w:tc>
      </w:tr>
      <w:tr w:rsidR="007724F5" w:rsidRPr="00492007" w14:paraId="66715015" w14:textId="77777777" w:rsidTr="007724F5">
        <w:trPr>
          <w:tblHeader/>
        </w:trPr>
        <w:tc>
          <w:tcPr>
            <w:tcW w:w="381" w:type="pct"/>
            <w:vMerge/>
            <w:tcMar>
              <w:top w:w="57" w:type="dxa"/>
              <w:bottom w:w="57" w:type="dxa"/>
            </w:tcMar>
          </w:tcPr>
          <w:p w14:paraId="12F0E724" w14:textId="77777777" w:rsidR="007724F5" w:rsidRPr="00492007" w:rsidRDefault="007724F5" w:rsidP="009E5004">
            <w:pPr>
              <w:rPr>
                <w:lang w:eastAsia="en-US"/>
              </w:rPr>
            </w:pPr>
          </w:p>
        </w:tc>
        <w:tc>
          <w:tcPr>
            <w:tcW w:w="1680" w:type="pct"/>
            <w:shd w:val="clear" w:color="auto" w:fill="auto"/>
            <w:tcMar>
              <w:top w:w="57" w:type="dxa"/>
              <w:bottom w:w="57" w:type="dxa"/>
            </w:tcMar>
          </w:tcPr>
          <w:p w14:paraId="3EE01C35" w14:textId="77777777" w:rsidR="007724F5" w:rsidRPr="00492007" w:rsidRDefault="007724F5" w:rsidP="009E5004">
            <w:pPr>
              <w:rPr>
                <w:lang w:eastAsia="en-US"/>
              </w:rPr>
            </w:pPr>
            <w:r>
              <w:rPr>
                <w:lang w:eastAsia="en-US"/>
              </w:rPr>
              <w:t>Body weight (kg)</w:t>
            </w:r>
          </w:p>
        </w:tc>
        <w:tc>
          <w:tcPr>
            <w:tcW w:w="611" w:type="pct"/>
            <w:shd w:val="clear" w:color="auto" w:fill="auto"/>
            <w:tcMar>
              <w:top w:w="57" w:type="dxa"/>
              <w:bottom w:w="57" w:type="dxa"/>
            </w:tcMar>
          </w:tcPr>
          <w:p w14:paraId="36A6E5B6" w14:textId="77777777" w:rsidR="007724F5" w:rsidRPr="00492007" w:rsidRDefault="007724F5" w:rsidP="009E5004">
            <w:pPr>
              <w:rPr>
                <w:lang w:eastAsia="en-US"/>
              </w:rPr>
            </w:pPr>
            <w:r>
              <w:rPr>
                <w:lang w:eastAsia="en-US"/>
              </w:rPr>
              <w:t>60</w:t>
            </w:r>
          </w:p>
        </w:tc>
        <w:tc>
          <w:tcPr>
            <w:tcW w:w="2328" w:type="pct"/>
          </w:tcPr>
          <w:p w14:paraId="3BC74365" w14:textId="77777777" w:rsidR="007724F5" w:rsidRPr="00492007" w:rsidRDefault="007724F5" w:rsidP="009E5004">
            <w:pPr>
              <w:rPr>
                <w:lang w:eastAsia="en-US"/>
              </w:rPr>
            </w:pPr>
            <w:r w:rsidRPr="00C61AB3">
              <w:rPr>
                <w:lang w:eastAsia="en-US"/>
              </w:rPr>
              <w:t>HEEG opinion No. 17, 2013</w:t>
            </w:r>
          </w:p>
        </w:tc>
      </w:tr>
      <w:tr w:rsidR="007724F5" w:rsidRPr="00BC4E83" w14:paraId="39AE2437" w14:textId="77777777" w:rsidTr="007724F5">
        <w:trPr>
          <w:tblHeader/>
        </w:trPr>
        <w:tc>
          <w:tcPr>
            <w:tcW w:w="381" w:type="pct"/>
            <w:vMerge/>
            <w:tcMar>
              <w:top w:w="57" w:type="dxa"/>
              <w:bottom w:w="57" w:type="dxa"/>
            </w:tcMar>
          </w:tcPr>
          <w:p w14:paraId="241A2007" w14:textId="77777777" w:rsidR="007724F5" w:rsidRPr="00492007" w:rsidRDefault="007724F5" w:rsidP="009E5004">
            <w:pPr>
              <w:rPr>
                <w:lang w:eastAsia="en-US"/>
              </w:rPr>
            </w:pPr>
          </w:p>
        </w:tc>
        <w:tc>
          <w:tcPr>
            <w:tcW w:w="1680" w:type="pct"/>
            <w:shd w:val="clear" w:color="auto" w:fill="auto"/>
            <w:tcMar>
              <w:top w:w="57" w:type="dxa"/>
              <w:bottom w:w="57" w:type="dxa"/>
            </w:tcMar>
          </w:tcPr>
          <w:p w14:paraId="194B83B0" w14:textId="77777777" w:rsidR="007724F5" w:rsidRPr="00492007" w:rsidRDefault="007724F5" w:rsidP="009E5004">
            <w:pPr>
              <w:rPr>
                <w:lang w:eastAsia="en-US"/>
              </w:rPr>
            </w:pPr>
            <w:r>
              <w:rPr>
                <w:lang w:eastAsia="en-US"/>
              </w:rPr>
              <w:t>Dermal absorption (%)</w:t>
            </w:r>
          </w:p>
        </w:tc>
        <w:tc>
          <w:tcPr>
            <w:tcW w:w="611" w:type="pct"/>
            <w:shd w:val="clear" w:color="auto" w:fill="auto"/>
            <w:tcMar>
              <w:top w:w="57" w:type="dxa"/>
              <w:bottom w:w="57" w:type="dxa"/>
            </w:tcMar>
          </w:tcPr>
          <w:p w14:paraId="0107B3EF" w14:textId="77777777" w:rsidR="007724F5" w:rsidRPr="00BC4E83" w:rsidRDefault="007724F5" w:rsidP="009E5004">
            <w:pPr>
              <w:rPr>
                <w:lang w:eastAsia="en-US"/>
              </w:rPr>
            </w:pPr>
            <w:r>
              <w:rPr>
                <w:lang w:eastAsia="en-US"/>
              </w:rPr>
              <w:t xml:space="preserve">12 </w:t>
            </w:r>
          </w:p>
        </w:tc>
        <w:tc>
          <w:tcPr>
            <w:tcW w:w="2328" w:type="pct"/>
          </w:tcPr>
          <w:p w14:paraId="1F8E85C2" w14:textId="77777777" w:rsidR="007724F5" w:rsidRPr="00BC4E83" w:rsidRDefault="007724F5" w:rsidP="009E5004">
            <w:pPr>
              <w:rPr>
                <w:iCs/>
                <w:lang w:eastAsia="en-US"/>
              </w:rPr>
            </w:pPr>
            <w:r>
              <w:rPr>
                <w:iCs/>
                <w:lang w:eastAsia="en-US"/>
              </w:rPr>
              <w:t>CAR of the active substance</w:t>
            </w:r>
          </w:p>
        </w:tc>
      </w:tr>
      <w:tr w:rsidR="00502A62" w:rsidRPr="007B44E3" w14:paraId="7405F293" w14:textId="77777777" w:rsidTr="007724F5">
        <w:trPr>
          <w:tblHeader/>
        </w:trPr>
        <w:tc>
          <w:tcPr>
            <w:tcW w:w="381" w:type="pct"/>
            <w:tcMar>
              <w:top w:w="57" w:type="dxa"/>
              <w:bottom w:w="57" w:type="dxa"/>
            </w:tcMar>
          </w:tcPr>
          <w:p w14:paraId="68B034EC" w14:textId="77777777" w:rsidR="00502A62" w:rsidRPr="007B44E3" w:rsidRDefault="00502A62" w:rsidP="009E5004">
            <w:pPr>
              <w:rPr>
                <w:lang w:eastAsia="en-US"/>
              </w:rPr>
            </w:pPr>
            <w:r w:rsidRPr="007B44E3">
              <w:rPr>
                <w:lang w:eastAsia="en-US"/>
              </w:rPr>
              <w:t>Tier 2</w:t>
            </w:r>
          </w:p>
        </w:tc>
        <w:tc>
          <w:tcPr>
            <w:tcW w:w="1680" w:type="pct"/>
            <w:shd w:val="clear" w:color="auto" w:fill="auto"/>
            <w:tcMar>
              <w:top w:w="57" w:type="dxa"/>
              <w:bottom w:w="57" w:type="dxa"/>
            </w:tcMar>
          </w:tcPr>
          <w:p w14:paraId="4AEB2949" w14:textId="77777777" w:rsidR="00502A62" w:rsidRPr="007B44E3" w:rsidRDefault="00502A62" w:rsidP="009E5004">
            <w:pPr>
              <w:rPr>
                <w:lang w:eastAsia="en-US"/>
              </w:rPr>
            </w:pPr>
            <w:r w:rsidRPr="007B44E3">
              <w:rPr>
                <w:lang w:eastAsia="en-US"/>
              </w:rPr>
              <w:t>Penetration factor (gloves)</w:t>
            </w:r>
          </w:p>
        </w:tc>
        <w:tc>
          <w:tcPr>
            <w:tcW w:w="611" w:type="pct"/>
            <w:shd w:val="clear" w:color="auto" w:fill="auto"/>
            <w:tcMar>
              <w:top w:w="57" w:type="dxa"/>
              <w:bottom w:w="57" w:type="dxa"/>
            </w:tcMar>
          </w:tcPr>
          <w:p w14:paraId="3A9BB069" w14:textId="77777777" w:rsidR="00502A62" w:rsidRPr="007B44E3" w:rsidRDefault="00502A62" w:rsidP="009E5004">
            <w:pPr>
              <w:rPr>
                <w:lang w:eastAsia="en-US"/>
              </w:rPr>
            </w:pPr>
            <w:r w:rsidRPr="007B44E3">
              <w:rPr>
                <w:lang w:eastAsia="en-US"/>
              </w:rPr>
              <w:t>10%</w:t>
            </w:r>
          </w:p>
        </w:tc>
        <w:tc>
          <w:tcPr>
            <w:tcW w:w="2328" w:type="pct"/>
          </w:tcPr>
          <w:p w14:paraId="01CB6C4A" w14:textId="77777777" w:rsidR="00502A62" w:rsidRPr="007B44E3" w:rsidRDefault="00502A62" w:rsidP="009E5004">
            <w:pPr>
              <w:rPr>
                <w:iCs/>
                <w:lang w:eastAsia="en-US"/>
              </w:rPr>
            </w:pPr>
          </w:p>
        </w:tc>
      </w:tr>
    </w:tbl>
    <w:p w14:paraId="2337EB3D" w14:textId="77777777" w:rsidR="00D641F2" w:rsidRDefault="00D641F2" w:rsidP="00D641F2">
      <w:pPr>
        <w:jc w:val="both"/>
        <w:rPr>
          <w:i/>
          <w:iCs/>
          <w:sz w:val="16"/>
          <w:lang w:eastAsia="en-US"/>
        </w:rPr>
      </w:pPr>
    </w:p>
    <w:p w14:paraId="33485B0D" w14:textId="77777777" w:rsidR="00D641F2" w:rsidRPr="00492007" w:rsidRDefault="00D641F2" w:rsidP="00D641F2">
      <w:pPr>
        <w:keepNext/>
        <w:rPr>
          <w:b/>
          <w:lang w:eastAsia="en-US"/>
        </w:rPr>
      </w:pPr>
      <w:r w:rsidRPr="00492007">
        <w:rPr>
          <w:b/>
          <w:lang w:eastAsia="en-US"/>
        </w:rPr>
        <w:lastRenderedPageBreak/>
        <w:t>Calculations for Scenario</w:t>
      </w:r>
      <w:r>
        <w:rPr>
          <w:b/>
          <w:lang w:eastAsia="en-US"/>
        </w:rPr>
        <w:t>s</w:t>
      </w:r>
      <w:r w:rsidRPr="00492007">
        <w:rPr>
          <w:b/>
          <w:lang w:eastAsia="en-US"/>
        </w:rPr>
        <w:t xml:space="preserve"> [</w:t>
      </w:r>
      <w:r>
        <w:rPr>
          <w:b/>
          <w:lang w:eastAsia="en-US"/>
        </w:rPr>
        <w:t>3</w:t>
      </w:r>
      <w:r w:rsidRPr="00492007">
        <w:rPr>
          <w:b/>
          <w:lang w:eastAsia="en-US"/>
        </w:rPr>
        <w:t>]</w:t>
      </w:r>
      <w:r>
        <w:rPr>
          <w:b/>
          <w:lang w:eastAsia="en-US"/>
        </w:rPr>
        <w:t xml:space="preserve"> cleaning of animals teats</w:t>
      </w:r>
    </w:p>
    <w:p w14:paraId="79D9DE08" w14:textId="77777777" w:rsidR="00D641F2" w:rsidRPr="00492007" w:rsidRDefault="00D641F2" w:rsidP="00D641F2">
      <w:pPr>
        <w:keepNext/>
        <w:rPr>
          <w:highlight w:val="cyan"/>
          <w:lang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95"/>
        <w:gridCol w:w="139"/>
        <w:gridCol w:w="836"/>
        <w:gridCol w:w="1517"/>
        <w:gridCol w:w="1676"/>
        <w:gridCol w:w="1678"/>
        <w:gridCol w:w="1888"/>
      </w:tblGrid>
      <w:tr w:rsidR="00D641F2" w:rsidRPr="00492007" w14:paraId="307EE768" w14:textId="77777777" w:rsidTr="00AE5162">
        <w:trPr>
          <w:cantSplit/>
          <w:tblHeader/>
        </w:trPr>
        <w:tc>
          <w:tcPr>
            <w:tcW w:w="5000" w:type="pct"/>
            <w:gridSpan w:val="7"/>
            <w:shd w:val="clear" w:color="auto" w:fill="FFFFCC"/>
          </w:tcPr>
          <w:p w14:paraId="3627D0B8" w14:textId="77777777" w:rsidR="00D641F2" w:rsidRPr="00492007" w:rsidRDefault="00D641F2" w:rsidP="009109EB">
            <w:pPr>
              <w:keepNext/>
              <w:jc w:val="center"/>
              <w:rPr>
                <w:b/>
                <w:lang w:eastAsia="en-US"/>
              </w:rPr>
            </w:pPr>
            <w:r w:rsidRPr="00492007">
              <w:rPr>
                <w:b/>
                <w:lang w:eastAsia="en-US"/>
              </w:rPr>
              <w:t>Summary table: estimated exposure from professional uses</w:t>
            </w:r>
          </w:p>
        </w:tc>
      </w:tr>
      <w:tr w:rsidR="00D641F2" w:rsidRPr="00492007" w14:paraId="1D71129A" w14:textId="77777777" w:rsidTr="00AE5162">
        <w:trPr>
          <w:cantSplit/>
          <w:tblHeader/>
        </w:trPr>
        <w:tc>
          <w:tcPr>
            <w:tcW w:w="840" w:type="pct"/>
            <w:gridSpan w:val="2"/>
            <w:shd w:val="clear" w:color="auto" w:fill="auto"/>
          </w:tcPr>
          <w:p w14:paraId="0F803BFA" w14:textId="77777777" w:rsidR="00D641F2" w:rsidRPr="00492007" w:rsidRDefault="00D641F2" w:rsidP="00D641F2">
            <w:pPr>
              <w:rPr>
                <w:b/>
                <w:lang w:eastAsia="en-US"/>
              </w:rPr>
            </w:pPr>
            <w:r w:rsidRPr="00492007">
              <w:rPr>
                <w:b/>
                <w:lang w:eastAsia="en-US"/>
              </w:rPr>
              <w:t>Exposure scenario</w:t>
            </w:r>
          </w:p>
        </w:tc>
        <w:tc>
          <w:tcPr>
            <w:tcW w:w="458" w:type="pct"/>
          </w:tcPr>
          <w:p w14:paraId="4589AC54" w14:textId="77777777" w:rsidR="00D641F2" w:rsidRPr="00492007" w:rsidRDefault="00D641F2" w:rsidP="00D641F2">
            <w:pPr>
              <w:rPr>
                <w:b/>
                <w:lang w:eastAsia="en-US"/>
              </w:rPr>
            </w:pPr>
            <w:r w:rsidRPr="00492007">
              <w:rPr>
                <w:b/>
                <w:lang w:eastAsia="en-US"/>
              </w:rPr>
              <w:t>Tier/PPE</w:t>
            </w:r>
          </w:p>
        </w:tc>
        <w:tc>
          <w:tcPr>
            <w:tcW w:w="831" w:type="pct"/>
          </w:tcPr>
          <w:p w14:paraId="4DA4E96F" w14:textId="77777777" w:rsidR="00D641F2" w:rsidRPr="00492007" w:rsidRDefault="00D641F2" w:rsidP="00D641F2">
            <w:pPr>
              <w:rPr>
                <w:b/>
                <w:lang w:eastAsia="en-US"/>
              </w:rPr>
            </w:pPr>
            <w:r w:rsidRPr="00492007">
              <w:rPr>
                <w:b/>
                <w:lang w:eastAsia="en-US"/>
              </w:rPr>
              <w:t>Estimated inhalation uptake</w:t>
            </w:r>
            <w:r>
              <w:rPr>
                <w:b/>
                <w:lang w:eastAsia="en-US"/>
              </w:rPr>
              <w:t xml:space="preserve"> (mg/kg/d)</w:t>
            </w:r>
          </w:p>
        </w:tc>
        <w:tc>
          <w:tcPr>
            <w:tcW w:w="918" w:type="pct"/>
            <w:shd w:val="clear" w:color="auto" w:fill="auto"/>
            <w:tcMar>
              <w:top w:w="57" w:type="dxa"/>
              <w:bottom w:w="57" w:type="dxa"/>
            </w:tcMar>
          </w:tcPr>
          <w:p w14:paraId="4A9C15C6" w14:textId="77777777" w:rsidR="00D641F2" w:rsidRPr="00492007" w:rsidRDefault="00D641F2" w:rsidP="00D641F2">
            <w:pPr>
              <w:rPr>
                <w:b/>
                <w:lang w:eastAsia="en-US"/>
              </w:rPr>
            </w:pPr>
            <w:r w:rsidRPr="00492007">
              <w:rPr>
                <w:b/>
                <w:lang w:eastAsia="en-US"/>
              </w:rPr>
              <w:t>Estimated dermal uptake</w:t>
            </w:r>
            <w:r>
              <w:rPr>
                <w:b/>
                <w:lang w:eastAsia="en-US"/>
              </w:rPr>
              <w:t xml:space="preserve"> (mg/kg/d)</w:t>
            </w:r>
          </w:p>
        </w:tc>
        <w:tc>
          <w:tcPr>
            <w:tcW w:w="919" w:type="pct"/>
          </w:tcPr>
          <w:p w14:paraId="60FC2D96" w14:textId="77777777" w:rsidR="00D641F2" w:rsidRPr="00492007" w:rsidRDefault="00D641F2" w:rsidP="00D641F2">
            <w:pPr>
              <w:rPr>
                <w:b/>
                <w:lang w:eastAsia="en-US"/>
              </w:rPr>
            </w:pPr>
            <w:r w:rsidRPr="00492007">
              <w:rPr>
                <w:b/>
                <w:lang w:eastAsia="en-US"/>
              </w:rPr>
              <w:t>Estimated oral uptake</w:t>
            </w:r>
            <w:r>
              <w:rPr>
                <w:b/>
                <w:lang w:eastAsia="en-US"/>
              </w:rPr>
              <w:t xml:space="preserve"> (mg/kg/d)</w:t>
            </w:r>
          </w:p>
        </w:tc>
        <w:tc>
          <w:tcPr>
            <w:tcW w:w="1034" w:type="pct"/>
            <w:shd w:val="clear" w:color="auto" w:fill="auto"/>
            <w:tcMar>
              <w:top w:w="57" w:type="dxa"/>
              <w:bottom w:w="57" w:type="dxa"/>
            </w:tcMar>
          </w:tcPr>
          <w:p w14:paraId="456DB978" w14:textId="77777777" w:rsidR="00D641F2" w:rsidRPr="00492007" w:rsidRDefault="00D641F2" w:rsidP="00D641F2">
            <w:pPr>
              <w:rPr>
                <w:b/>
                <w:lang w:eastAsia="en-US"/>
              </w:rPr>
            </w:pPr>
            <w:r w:rsidRPr="00492007">
              <w:rPr>
                <w:b/>
                <w:lang w:eastAsia="en-US"/>
              </w:rPr>
              <w:t>Estimated total uptake</w:t>
            </w:r>
            <w:r>
              <w:rPr>
                <w:b/>
                <w:lang w:eastAsia="en-US"/>
              </w:rPr>
              <w:t xml:space="preserve"> (mg/kg/d)</w:t>
            </w:r>
          </w:p>
        </w:tc>
      </w:tr>
      <w:tr w:rsidR="00D641F2" w:rsidRPr="00492007" w14:paraId="1A9AEA22" w14:textId="77777777" w:rsidTr="007B44E3">
        <w:trPr>
          <w:cantSplit/>
          <w:tblHeader/>
        </w:trPr>
        <w:tc>
          <w:tcPr>
            <w:tcW w:w="764" w:type="pct"/>
            <w:shd w:val="clear" w:color="auto" w:fill="auto"/>
          </w:tcPr>
          <w:p w14:paraId="15E367E7" w14:textId="77777777" w:rsidR="00D641F2" w:rsidRPr="007B44E3" w:rsidRDefault="00D641F2" w:rsidP="00D76654">
            <w:pPr>
              <w:jc w:val="center"/>
              <w:rPr>
                <w:sz w:val="18"/>
                <w:lang w:eastAsia="en-US"/>
              </w:rPr>
            </w:pPr>
            <w:r w:rsidRPr="007B44E3">
              <w:rPr>
                <w:sz w:val="18"/>
                <w:lang w:eastAsia="en-US"/>
              </w:rPr>
              <w:t>Scenario [3] Cleaning of animals teats</w:t>
            </w:r>
          </w:p>
        </w:tc>
        <w:tc>
          <w:tcPr>
            <w:tcW w:w="534" w:type="pct"/>
            <w:gridSpan w:val="2"/>
            <w:vAlign w:val="center"/>
          </w:tcPr>
          <w:p w14:paraId="5015C71C" w14:textId="77777777" w:rsidR="00D641F2" w:rsidRDefault="00D641F2" w:rsidP="00D641F2">
            <w:pPr>
              <w:jc w:val="center"/>
              <w:rPr>
                <w:lang w:eastAsia="en-US"/>
              </w:rPr>
            </w:pPr>
            <w:r>
              <w:rPr>
                <w:lang w:eastAsia="en-US"/>
              </w:rPr>
              <w:t>1</w:t>
            </w:r>
          </w:p>
        </w:tc>
        <w:tc>
          <w:tcPr>
            <w:tcW w:w="831" w:type="pct"/>
            <w:vAlign w:val="center"/>
          </w:tcPr>
          <w:p w14:paraId="6E844DDE" w14:textId="77777777" w:rsidR="00D641F2" w:rsidRDefault="00891703" w:rsidP="00D641F2">
            <w:pPr>
              <w:jc w:val="center"/>
              <w:rPr>
                <w:lang w:eastAsia="en-US"/>
              </w:rPr>
            </w:pPr>
            <w:r>
              <w:rPr>
                <w:lang w:eastAsia="en-US"/>
              </w:rPr>
              <w:t>n.a.</w:t>
            </w:r>
          </w:p>
        </w:tc>
        <w:tc>
          <w:tcPr>
            <w:tcW w:w="918" w:type="pct"/>
            <w:shd w:val="clear" w:color="auto" w:fill="auto"/>
            <w:tcMar>
              <w:top w:w="57" w:type="dxa"/>
              <w:bottom w:w="57" w:type="dxa"/>
            </w:tcMar>
            <w:vAlign w:val="center"/>
          </w:tcPr>
          <w:p w14:paraId="64AC2F8A" w14:textId="77777777" w:rsidR="00D641F2" w:rsidRDefault="00D20232" w:rsidP="00D641F2">
            <w:pPr>
              <w:jc w:val="center"/>
              <w:rPr>
                <w:lang w:eastAsia="en-US"/>
              </w:rPr>
            </w:pPr>
            <w:r>
              <w:rPr>
                <w:lang w:eastAsia="en-US"/>
              </w:rPr>
              <w:t>7.84</w:t>
            </w:r>
            <w:r w:rsidR="00D641F2" w:rsidRPr="00B94A3F">
              <w:rPr>
                <w:lang w:eastAsia="en-US"/>
              </w:rPr>
              <w:t xml:space="preserve"> × 10</w:t>
            </w:r>
            <w:r w:rsidR="00D641F2" w:rsidRPr="00B94A3F">
              <w:rPr>
                <w:rFonts w:ascii="Cambria Math" w:hAnsi="Cambria Math" w:cs="Cambria Math"/>
                <w:lang w:eastAsia="en-US"/>
              </w:rPr>
              <w:t>⁻</w:t>
            </w:r>
            <w:r w:rsidR="00D641F2" w:rsidRPr="00B557B8">
              <w:rPr>
                <w:rFonts w:ascii="Cambria Math" w:hAnsi="Cambria Math" w:cs="Cambria Math"/>
                <w:vertAlign w:val="superscript"/>
                <w:lang w:eastAsia="en-US"/>
              </w:rPr>
              <w:t>3</w:t>
            </w:r>
          </w:p>
        </w:tc>
        <w:tc>
          <w:tcPr>
            <w:tcW w:w="919" w:type="pct"/>
            <w:vAlign w:val="center"/>
          </w:tcPr>
          <w:p w14:paraId="3CA89E92" w14:textId="77777777" w:rsidR="00D641F2" w:rsidRDefault="00D641F2" w:rsidP="00D641F2">
            <w:pPr>
              <w:jc w:val="center"/>
              <w:rPr>
                <w:lang w:eastAsia="en-US"/>
              </w:rPr>
            </w:pPr>
            <w:r>
              <w:rPr>
                <w:lang w:eastAsia="en-US"/>
              </w:rPr>
              <w:t>n.a.</w:t>
            </w:r>
          </w:p>
        </w:tc>
        <w:tc>
          <w:tcPr>
            <w:tcW w:w="1034" w:type="pct"/>
            <w:shd w:val="clear" w:color="auto" w:fill="auto"/>
            <w:tcMar>
              <w:top w:w="57" w:type="dxa"/>
              <w:bottom w:w="57" w:type="dxa"/>
            </w:tcMar>
            <w:vAlign w:val="center"/>
          </w:tcPr>
          <w:p w14:paraId="2BD80DEC" w14:textId="77777777" w:rsidR="00D641F2" w:rsidRPr="003B0A7A" w:rsidRDefault="00D20232" w:rsidP="00D641F2">
            <w:pPr>
              <w:jc w:val="center"/>
              <w:rPr>
                <w:lang w:eastAsia="en-US"/>
              </w:rPr>
            </w:pPr>
            <w:r>
              <w:rPr>
                <w:lang w:eastAsia="en-US"/>
              </w:rPr>
              <w:t>7.84</w:t>
            </w:r>
            <w:r w:rsidR="00D641F2" w:rsidRPr="00B94A3F">
              <w:rPr>
                <w:lang w:eastAsia="en-US"/>
              </w:rPr>
              <w:t xml:space="preserve"> × 10</w:t>
            </w:r>
            <w:r w:rsidR="00D641F2" w:rsidRPr="00B94A3F">
              <w:rPr>
                <w:rFonts w:ascii="Cambria Math" w:hAnsi="Cambria Math" w:cs="Cambria Math"/>
                <w:lang w:eastAsia="en-US"/>
              </w:rPr>
              <w:t>⁻</w:t>
            </w:r>
            <w:r w:rsidR="00D641F2" w:rsidRPr="001A1803">
              <w:rPr>
                <w:rFonts w:ascii="Cambria Math" w:hAnsi="Cambria Math" w:cs="Cambria Math"/>
                <w:vertAlign w:val="superscript"/>
                <w:lang w:eastAsia="en-US"/>
              </w:rPr>
              <w:t>3</w:t>
            </w:r>
          </w:p>
        </w:tc>
      </w:tr>
      <w:tr w:rsidR="00502A62" w:rsidRPr="00492007" w14:paraId="6AFE395F" w14:textId="77777777" w:rsidTr="007B44E3">
        <w:trPr>
          <w:cantSplit/>
          <w:tblHeader/>
        </w:trPr>
        <w:tc>
          <w:tcPr>
            <w:tcW w:w="764" w:type="pct"/>
            <w:shd w:val="clear" w:color="auto" w:fill="auto"/>
          </w:tcPr>
          <w:p w14:paraId="4414D432" w14:textId="77777777" w:rsidR="00502A62" w:rsidRPr="007B44E3" w:rsidRDefault="00502A62" w:rsidP="00D76654">
            <w:pPr>
              <w:jc w:val="center"/>
              <w:rPr>
                <w:sz w:val="18"/>
                <w:lang w:eastAsia="en-US"/>
              </w:rPr>
            </w:pPr>
            <w:r w:rsidRPr="007B44E3">
              <w:rPr>
                <w:sz w:val="18"/>
                <w:lang w:eastAsia="en-US"/>
              </w:rPr>
              <w:t>Scenario [3] Cleaning of animals teats</w:t>
            </w:r>
          </w:p>
        </w:tc>
        <w:tc>
          <w:tcPr>
            <w:tcW w:w="534" w:type="pct"/>
            <w:gridSpan w:val="2"/>
            <w:vAlign w:val="center"/>
          </w:tcPr>
          <w:p w14:paraId="6E1D64B1" w14:textId="77777777" w:rsidR="00E5583B" w:rsidRPr="007B44E3" w:rsidRDefault="00502A62" w:rsidP="00E5583B">
            <w:pPr>
              <w:jc w:val="center"/>
              <w:rPr>
                <w:lang w:eastAsia="en-US"/>
              </w:rPr>
            </w:pPr>
            <w:r w:rsidRPr="007B44E3">
              <w:rPr>
                <w:lang w:eastAsia="en-US"/>
              </w:rPr>
              <w:t>2</w:t>
            </w:r>
            <w:r w:rsidR="00E5583B" w:rsidRPr="007B44E3">
              <w:rPr>
                <w:lang w:eastAsia="en-US"/>
              </w:rPr>
              <w:t xml:space="preserve"> /</w:t>
            </w:r>
            <w:r w:rsidR="00E5583B" w:rsidRPr="007B44E3">
              <w:rPr>
                <w:sz w:val="16"/>
                <w:lang w:eastAsia="en-US"/>
              </w:rPr>
              <w:t>gloves</w:t>
            </w:r>
          </w:p>
        </w:tc>
        <w:tc>
          <w:tcPr>
            <w:tcW w:w="831" w:type="pct"/>
            <w:vAlign w:val="center"/>
          </w:tcPr>
          <w:p w14:paraId="78ACD508" w14:textId="77777777" w:rsidR="00502A62" w:rsidRPr="007B44E3" w:rsidRDefault="00502A62" w:rsidP="00D641F2">
            <w:pPr>
              <w:jc w:val="center"/>
              <w:rPr>
                <w:lang w:eastAsia="en-US"/>
              </w:rPr>
            </w:pPr>
            <w:r w:rsidRPr="007B44E3">
              <w:rPr>
                <w:lang w:eastAsia="en-US"/>
              </w:rPr>
              <w:t>n.a.</w:t>
            </w:r>
          </w:p>
        </w:tc>
        <w:tc>
          <w:tcPr>
            <w:tcW w:w="918" w:type="pct"/>
            <w:shd w:val="clear" w:color="auto" w:fill="auto"/>
            <w:tcMar>
              <w:top w:w="57" w:type="dxa"/>
              <w:bottom w:w="57" w:type="dxa"/>
            </w:tcMar>
            <w:vAlign w:val="center"/>
          </w:tcPr>
          <w:p w14:paraId="19758221" w14:textId="77777777" w:rsidR="00502A62" w:rsidRPr="007B44E3" w:rsidDel="00D20232" w:rsidRDefault="00502A62" w:rsidP="00D641F2">
            <w:pPr>
              <w:jc w:val="center"/>
              <w:rPr>
                <w:lang w:eastAsia="en-US"/>
              </w:rPr>
            </w:pPr>
            <w:r w:rsidRPr="007B44E3">
              <w:rPr>
                <w:lang w:eastAsia="en-US"/>
              </w:rPr>
              <w:t>7.84 × 10</w:t>
            </w:r>
            <w:r w:rsidRPr="007B44E3">
              <w:rPr>
                <w:rFonts w:ascii="Cambria Math" w:hAnsi="Cambria Math" w:cs="Cambria Math"/>
                <w:lang w:eastAsia="en-US"/>
              </w:rPr>
              <w:t>⁻</w:t>
            </w:r>
            <w:r w:rsidRPr="007B44E3">
              <w:rPr>
                <w:rFonts w:ascii="Cambria Math" w:hAnsi="Cambria Math" w:cs="Cambria Math"/>
                <w:vertAlign w:val="superscript"/>
                <w:lang w:eastAsia="en-US"/>
              </w:rPr>
              <w:t>4</w:t>
            </w:r>
          </w:p>
        </w:tc>
        <w:tc>
          <w:tcPr>
            <w:tcW w:w="919" w:type="pct"/>
            <w:vAlign w:val="center"/>
          </w:tcPr>
          <w:p w14:paraId="4C0DE6F5" w14:textId="77777777" w:rsidR="00502A62" w:rsidRPr="007B44E3" w:rsidRDefault="00502A62" w:rsidP="00D641F2">
            <w:pPr>
              <w:jc w:val="center"/>
              <w:rPr>
                <w:lang w:eastAsia="en-US"/>
              </w:rPr>
            </w:pPr>
            <w:r w:rsidRPr="007B44E3">
              <w:rPr>
                <w:lang w:eastAsia="en-US"/>
              </w:rPr>
              <w:t>n.a.</w:t>
            </w:r>
          </w:p>
        </w:tc>
        <w:tc>
          <w:tcPr>
            <w:tcW w:w="1034" w:type="pct"/>
            <w:shd w:val="clear" w:color="auto" w:fill="auto"/>
            <w:tcMar>
              <w:top w:w="57" w:type="dxa"/>
              <w:bottom w:w="57" w:type="dxa"/>
            </w:tcMar>
            <w:vAlign w:val="center"/>
          </w:tcPr>
          <w:p w14:paraId="4C621CF8" w14:textId="77777777" w:rsidR="00502A62" w:rsidRPr="007B44E3" w:rsidDel="00D20232" w:rsidRDefault="00502A62" w:rsidP="00D641F2">
            <w:pPr>
              <w:jc w:val="center"/>
              <w:rPr>
                <w:lang w:eastAsia="en-US"/>
              </w:rPr>
            </w:pPr>
            <w:r w:rsidRPr="007B44E3">
              <w:rPr>
                <w:lang w:eastAsia="en-US"/>
              </w:rPr>
              <w:t>7.84 × 10</w:t>
            </w:r>
            <w:r w:rsidRPr="007B44E3">
              <w:rPr>
                <w:rFonts w:ascii="Cambria Math" w:hAnsi="Cambria Math" w:cs="Cambria Math"/>
                <w:lang w:eastAsia="en-US"/>
              </w:rPr>
              <w:t>⁻</w:t>
            </w:r>
            <w:r w:rsidRPr="007B44E3">
              <w:rPr>
                <w:rFonts w:ascii="Cambria Math" w:hAnsi="Cambria Math" w:cs="Cambria Math"/>
                <w:vertAlign w:val="superscript"/>
                <w:lang w:eastAsia="en-US"/>
              </w:rPr>
              <w:t>4</w:t>
            </w:r>
          </w:p>
        </w:tc>
      </w:tr>
    </w:tbl>
    <w:p w14:paraId="35EBE534" w14:textId="77777777" w:rsidR="00D641F2" w:rsidRDefault="00D641F2" w:rsidP="00D641F2">
      <w:pPr>
        <w:keepNext/>
        <w:rPr>
          <w:i/>
          <w:highlight w:val="green"/>
          <w:u w:val="single"/>
          <w:lang w:eastAsia="en-US"/>
        </w:rPr>
      </w:pPr>
    </w:p>
    <w:p w14:paraId="35C4C0C0" w14:textId="77777777" w:rsidR="00D641F2" w:rsidRDefault="00D641F2" w:rsidP="00D641F2">
      <w:pPr>
        <w:keepNext/>
        <w:rPr>
          <w:i/>
          <w:highlight w:val="green"/>
          <w:u w:val="single"/>
          <w:lang w:eastAsia="en-US"/>
        </w:rPr>
      </w:pPr>
    </w:p>
    <w:p w14:paraId="58235CD1" w14:textId="77777777" w:rsidR="007724F5" w:rsidRPr="0029459A" w:rsidRDefault="007724F5" w:rsidP="007724F5">
      <w:pPr>
        <w:keepNext/>
        <w:rPr>
          <w:i/>
          <w:u w:val="single"/>
          <w:lang w:val="en-US" w:eastAsia="en-US"/>
        </w:rPr>
      </w:pPr>
      <w:r w:rsidRPr="00716EF2">
        <w:rPr>
          <w:i/>
          <w:u w:val="single"/>
          <w:lang w:eastAsia="en-US"/>
        </w:rPr>
        <w:t>Scenario [</w:t>
      </w:r>
      <w:r>
        <w:rPr>
          <w:i/>
          <w:u w:val="single"/>
          <w:lang w:eastAsia="en-US"/>
        </w:rPr>
        <w:t>4</w:t>
      </w:r>
      <w:r w:rsidRPr="00716EF2">
        <w:rPr>
          <w:i/>
          <w:u w:val="single"/>
          <w:lang w:eastAsia="en-US"/>
        </w:rPr>
        <w:t>]</w:t>
      </w:r>
      <w:r w:rsidRPr="00DE186A">
        <w:rPr>
          <w:i/>
          <w:u w:val="single"/>
          <w:lang w:eastAsia="en-US"/>
        </w:rPr>
        <w:t xml:space="preserve"> </w:t>
      </w:r>
      <w:r w:rsidRPr="00C50977">
        <w:rPr>
          <w:i/>
          <w:u w:val="single"/>
          <w:lang w:eastAsia="en-US"/>
        </w:rPr>
        <w:t xml:space="preserve">Cleaning of </w:t>
      </w:r>
      <w:r>
        <w:rPr>
          <w:i/>
          <w:u w:val="single"/>
          <w:lang w:eastAsia="en-US"/>
        </w:rPr>
        <w:t>equipment</w:t>
      </w:r>
      <w:r w:rsidRPr="00DC12AC">
        <w:rPr>
          <w:i/>
          <w:u w:val="single"/>
          <w:lang w:eastAsia="en-US"/>
        </w:rPr>
        <w:t xml:space="preserve"> </w:t>
      </w:r>
    </w:p>
    <w:p w14:paraId="5FAC9A50" w14:textId="77777777" w:rsidR="007724F5" w:rsidRPr="007724F5" w:rsidRDefault="007724F5" w:rsidP="00D641F2">
      <w:pPr>
        <w:keepNext/>
        <w:rPr>
          <w:i/>
          <w:u w:val="single"/>
          <w:lang w:val="en-US"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6"/>
        <w:gridCol w:w="3067"/>
        <w:gridCol w:w="1116"/>
        <w:gridCol w:w="4250"/>
      </w:tblGrid>
      <w:tr w:rsidR="007724F5" w:rsidRPr="00492007" w14:paraId="14F97A0D" w14:textId="77777777" w:rsidTr="009E5004">
        <w:trPr>
          <w:tblHeader/>
        </w:trPr>
        <w:tc>
          <w:tcPr>
            <w:tcW w:w="5000" w:type="pct"/>
            <w:gridSpan w:val="4"/>
            <w:shd w:val="clear" w:color="auto" w:fill="FFFFCC"/>
            <w:tcMar>
              <w:top w:w="57" w:type="dxa"/>
              <w:bottom w:w="57" w:type="dxa"/>
            </w:tcMar>
          </w:tcPr>
          <w:p w14:paraId="7BA8C779" w14:textId="77777777" w:rsidR="007724F5" w:rsidRPr="00492007" w:rsidRDefault="007724F5" w:rsidP="009E5004">
            <w:pPr>
              <w:keepNext/>
              <w:rPr>
                <w:b/>
                <w:lang w:eastAsia="en-US"/>
              </w:rPr>
            </w:pPr>
            <w:r w:rsidRPr="00492007">
              <w:rPr>
                <w:b/>
                <w:lang w:eastAsia="en-US"/>
              </w:rPr>
              <w:t>Description of Scenario [</w:t>
            </w:r>
            <w:r>
              <w:rPr>
                <w:b/>
                <w:lang w:eastAsia="en-US"/>
              </w:rPr>
              <w:t>4</w:t>
            </w:r>
            <w:r w:rsidRPr="00492007">
              <w:rPr>
                <w:b/>
                <w:lang w:eastAsia="en-US"/>
              </w:rPr>
              <w:t>]</w:t>
            </w:r>
            <w:r>
              <w:rPr>
                <w:b/>
                <w:lang w:eastAsia="en-US"/>
              </w:rPr>
              <w:t xml:space="preserve"> – </w:t>
            </w:r>
            <w:r w:rsidRPr="001A1803">
              <w:rPr>
                <w:b/>
                <w:lang w:eastAsia="en-US"/>
              </w:rPr>
              <w:t xml:space="preserve">Cleaning of </w:t>
            </w:r>
            <w:r>
              <w:rPr>
                <w:b/>
                <w:lang w:eastAsia="en-US"/>
              </w:rPr>
              <w:t>equipment - dermal exposure</w:t>
            </w:r>
          </w:p>
        </w:tc>
      </w:tr>
      <w:tr w:rsidR="007724F5" w:rsidRPr="00492007" w14:paraId="492B8C21" w14:textId="77777777" w:rsidTr="009E5004">
        <w:trPr>
          <w:tblHeader/>
        </w:trPr>
        <w:tc>
          <w:tcPr>
            <w:tcW w:w="5000" w:type="pct"/>
            <w:gridSpan w:val="4"/>
            <w:shd w:val="clear" w:color="auto" w:fill="auto"/>
            <w:tcMar>
              <w:top w:w="57" w:type="dxa"/>
              <w:bottom w:w="57" w:type="dxa"/>
            </w:tcMar>
          </w:tcPr>
          <w:p w14:paraId="41CBF966" w14:textId="77777777" w:rsidR="007724F5" w:rsidRPr="00817461" w:rsidRDefault="007724F5" w:rsidP="009E5004">
            <w:pPr>
              <w:jc w:val="both"/>
              <w:rPr>
                <w:lang w:val="en-US" w:eastAsia="en-US"/>
              </w:rPr>
            </w:pPr>
            <w:r>
              <w:rPr>
                <w:lang w:eastAsia="en-US"/>
              </w:rPr>
              <w:t xml:space="preserve">As proposed on headhoc recommendation 13 and </w:t>
            </w:r>
            <w:r w:rsidRPr="00C50977">
              <w:rPr>
                <w:lang w:eastAsia="en-US"/>
              </w:rPr>
              <w:t>the Disinfectant Products Fact Sheet (RIVM report 320005003/2006)</w:t>
            </w:r>
            <w:r>
              <w:rPr>
                <w:lang w:eastAsia="en-US"/>
              </w:rPr>
              <w:t xml:space="preserve">, </w:t>
            </w:r>
            <w:r w:rsidRPr="00D76654">
              <w:rPr>
                <w:lang w:eastAsia="en-US"/>
              </w:rPr>
              <w:t>for cleaning of equipment, RISKOFDERM ‘Loading liquid, automated or semi-automated’ for the cleaning phase of different equipment (dipping cup,</w:t>
            </w:r>
            <w:r>
              <w:rPr>
                <w:lang w:eastAsia="en-US"/>
              </w:rPr>
              <w:t xml:space="preserve"> spraying nozzle etc.) is used.</w:t>
            </w:r>
            <w:r w:rsidRPr="00D76654">
              <w:rPr>
                <w:lang w:eastAsia="en-US"/>
              </w:rPr>
              <w:t xml:space="preserve"> The indicative value is 0.92 mg/min and a duration of is 5 minutes is considered.</w:t>
            </w:r>
          </w:p>
        </w:tc>
      </w:tr>
      <w:tr w:rsidR="007724F5" w:rsidRPr="00492007" w14:paraId="1A32B7B3" w14:textId="77777777" w:rsidTr="009E5004">
        <w:trPr>
          <w:tblHeader/>
        </w:trPr>
        <w:tc>
          <w:tcPr>
            <w:tcW w:w="381" w:type="pct"/>
            <w:shd w:val="clear" w:color="auto" w:fill="auto"/>
            <w:tcMar>
              <w:top w:w="57" w:type="dxa"/>
              <w:bottom w:w="57" w:type="dxa"/>
            </w:tcMar>
          </w:tcPr>
          <w:p w14:paraId="26ABB22B" w14:textId="77777777" w:rsidR="007724F5" w:rsidRPr="00492007" w:rsidRDefault="007724F5" w:rsidP="009E5004">
            <w:pPr>
              <w:rPr>
                <w:lang w:eastAsia="en-US"/>
              </w:rPr>
            </w:pPr>
          </w:p>
        </w:tc>
        <w:tc>
          <w:tcPr>
            <w:tcW w:w="1680" w:type="pct"/>
            <w:shd w:val="clear" w:color="auto" w:fill="auto"/>
            <w:tcMar>
              <w:top w:w="57" w:type="dxa"/>
              <w:bottom w:w="57" w:type="dxa"/>
            </w:tcMar>
          </w:tcPr>
          <w:p w14:paraId="23DEEFD8" w14:textId="77777777" w:rsidR="007724F5" w:rsidRPr="00492007" w:rsidRDefault="007724F5" w:rsidP="009E5004">
            <w:pPr>
              <w:rPr>
                <w:lang w:eastAsia="en-US"/>
              </w:rPr>
            </w:pPr>
            <w:r w:rsidRPr="00492007">
              <w:rPr>
                <w:lang w:eastAsia="en-US"/>
              </w:rPr>
              <w:t>Parameters</w:t>
            </w:r>
          </w:p>
        </w:tc>
        <w:tc>
          <w:tcPr>
            <w:tcW w:w="611" w:type="pct"/>
            <w:shd w:val="clear" w:color="auto" w:fill="auto"/>
            <w:tcMar>
              <w:top w:w="57" w:type="dxa"/>
              <w:bottom w:w="57" w:type="dxa"/>
            </w:tcMar>
          </w:tcPr>
          <w:p w14:paraId="3AA3EB3D" w14:textId="77777777" w:rsidR="007724F5" w:rsidRPr="00492007" w:rsidRDefault="007724F5" w:rsidP="009E5004">
            <w:pPr>
              <w:rPr>
                <w:lang w:eastAsia="en-US"/>
              </w:rPr>
            </w:pPr>
            <w:r w:rsidRPr="00492007">
              <w:rPr>
                <w:lang w:eastAsia="en-US"/>
              </w:rPr>
              <w:t>Value</w:t>
            </w:r>
          </w:p>
        </w:tc>
        <w:tc>
          <w:tcPr>
            <w:tcW w:w="2328" w:type="pct"/>
          </w:tcPr>
          <w:p w14:paraId="3D845EB9" w14:textId="77777777" w:rsidR="007724F5" w:rsidRPr="00492007" w:rsidRDefault="007724F5" w:rsidP="009E5004">
            <w:pPr>
              <w:rPr>
                <w:lang w:eastAsia="en-US"/>
              </w:rPr>
            </w:pPr>
            <w:r w:rsidRPr="00DE186A">
              <w:rPr>
                <w:lang w:eastAsia="en-US"/>
              </w:rPr>
              <w:t>Reference</w:t>
            </w:r>
          </w:p>
        </w:tc>
      </w:tr>
      <w:tr w:rsidR="007724F5" w:rsidRPr="00492007" w14:paraId="192D60CD" w14:textId="77777777" w:rsidTr="009E5004">
        <w:trPr>
          <w:tblHeader/>
        </w:trPr>
        <w:tc>
          <w:tcPr>
            <w:tcW w:w="381" w:type="pct"/>
            <w:vMerge w:val="restart"/>
            <w:shd w:val="clear" w:color="auto" w:fill="auto"/>
            <w:tcMar>
              <w:top w:w="57" w:type="dxa"/>
              <w:bottom w:w="57" w:type="dxa"/>
            </w:tcMar>
          </w:tcPr>
          <w:p w14:paraId="26BE155C" w14:textId="77777777" w:rsidR="007724F5" w:rsidRPr="00492007" w:rsidRDefault="007724F5" w:rsidP="009E5004">
            <w:pPr>
              <w:rPr>
                <w:lang w:eastAsia="en-US"/>
              </w:rPr>
            </w:pPr>
            <w:r>
              <w:rPr>
                <w:lang w:eastAsia="en-US"/>
              </w:rPr>
              <w:t>Tier 1</w:t>
            </w:r>
          </w:p>
        </w:tc>
        <w:tc>
          <w:tcPr>
            <w:tcW w:w="1680" w:type="pct"/>
            <w:shd w:val="clear" w:color="auto" w:fill="auto"/>
            <w:tcMar>
              <w:top w:w="57" w:type="dxa"/>
              <w:bottom w:w="57" w:type="dxa"/>
            </w:tcMar>
          </w:tcPr>
          <w:p w14:paraId="65464143" w14:textId="77777777" w:rsidR="007724F5" w:rsidRDefault="007724F5" w:rsidP="009E5004">
            <w:pPr>
              <w:rPr>
                <w:highlight w:val="yellow"/>
                <w:lang w:eastAsia="en-US"/>
              </w:rPr>
            </w:pPr>
            <w:r>
              <w:rPr>
                <w:lang w:eastAsia="en-US"/>
              </w:rPr>
              <w:t>Weight fraction substance (%)</w:t>
            </w:r>
          </w:p>
        </w:tc>
        <w:tc>
          <w:tcPr>
            <w:tcW w:w="611" w:type="pct"/>
            <w:shd w:val="clear" w:color="auto" w:fill="auto"/>
            <w:tcMar>
              <w:top w:w="57" w:type="dxa"/>
              <w:bottom w:w="57" w:type="dxa"/>
            </w:tcMar>
          </w:tcPr>
          <w:p w14:paraId="5342952F" w14:textId="77777777" w:rsidR="007724F5" w:rsidRDefault="007724F5" w:rsidP="00D20232">
            <w:pPr>
              <w:rPr>
                <w:highlight w:val="yellow"/>
                <w:lang w:eastAsia="en-US"/>
              </w:rPr>
            </w:pPr>
            <w:r>
              <w:rPr>
                <w:lang w:eastAsia="en-US"/>
              </w:rPr>
              <w:t>0.</w:t>
            </w:r>
            <w:r w:rsidR="00D20232">
              <w:rPr>
                <w:lang w:eastAsia="en-US"/>
              </w:rPr>
              <w:t>29</w:t>
            </w:r>
          </w:p>
        </w:tc>
        <w:tc>
          <w:tcPr>
            <w:tcW w:w="2328" w:type="pct"/>
          </w:tcPr>
          <w:p w14:paraId="3C6210DA" w14:textId="77777777" w:rsidR="007724F5" w:rsidRDefault="007724F5" w:rsidP="009E5004">
            <w:pPr>
              <w:rPr>
                <w:highlight w:val="yellow"/>
                <w:lang w:eastAsia="en-US"/>
              </w:rPr>
            </w:pPr>
            <w:r>
              <w:rPr>
                <w:lang w:eastAsia="en-US"/>
              </w:rPr>
              <w:t>Applicant data</w:t>
            </w:r>
          </w:p>
        </w:tc>
      </w:tr>
      <w:tr w:rsidR="007724F5" w:rsidRPr="00492007" w14:paraId="4F28266E" w14:textId="77777777" w:rsidTr="009E5004">
        <w:trPr>
          <w:tblHeader/>
        </w:trPr>
        <w:tc>
          <w:tcPr>
            <w:tcW w:w="381" w:type="pct"/>
            <w:vMerge/>
            <w:shd w:val="clear" w:color="auto" w:fill="auto"/>
            <w:tcMar>
              <w:top w:w="57" w:type="dxa"/>
              <w:bottom w:w="57" w:type="dxa"/>
            </w:tcMar>
          </w:tcPr>
          <w:p w14:paraId="7CE757A2" w14:textId="77777777" w:rsidR="007724F5" w:rsidRPr="00492007" w:rsidRDefault="007724F5" w:rsidP="009E5004">
            <w:pPr>
              <w:rPr>
                <w:lang w:eastAsia="en-US"/>
              </w:rPr>
            </w:pPr>
          </w:p>
        </w:tc>
        <w:tc>
          <w:tcPr>
            <w:tcW w:w="1680" w:type="pct"/>
            <w:shd w:val="clear" w:color="auto" w:fill="auto"/>
            <w:tcMar>
              <w:top w:w="57" w:type="dxa"/>
              <w:bottom w:w="57" w:type="dxa"/>
            </w:tcMar>
          </w:tcPr>
          <w:p w14:paraId="5219E6C6" w14:textId="77777777" w:rsidR="007724F5" w:rsidRDefault="007724F5" w:rsidP="009E5004">
            <w:pPr>
              <w:rPr>
                <w:lang w:eastAsia="en-US"/>
              </w:rPr>
            </w:pPr>
            <w:r>
              <w:rPr>
                <w:lang w:eastAsia="en-US"/>
              </w:rPr>
              <w:t>Density</w:t>
            </w:r>
          </w:p>
        </w:tc>
        <w:tc>
          <w:tcPr>
            <w:tcW w:w="611" w:type="pct"/>
            <w:shd w:val="clear" w:color="auto" w:fill="auto"/>
            <w:tcMar>
              <w:top w:w="57" w:type="dxa"/>
              <w:bottom w:w="57" w:type="dxa"/>
            </w:tcMar>
          </w:tcPr>
          <w:p w14:paraId="46B71CC3" w14:textId="77777777" w:rsidR="007724F5" w:rsidRDefault="007724F5" w:rsidP="009E5004">
            <w:pPr>
              <w:rPr>
                <w:lang w:eastAsia="en-US"/>
              </w:rPr>
            </w:pPr>
            <w:r>
              <w:rPr>
                <w:lang w:eastAsia="en-US"/>
              </w:rPr>
              <w:t>1.03</w:t>
            </w:r>
          </w:p>
        </w:tc>
        <w:tc>
          <w:tcPr>
            <w:tcW w:w="2328" w:type="pct"/>
          </w:tcPr>
          <w:p w14:paraId="79D72EB7" w14:textId="77777777" w:rsidR="007724F5" w:rsidRDefault="007724F5" w:rsidP="009E5004">
            <w:pPr>
              <w:rPr>
                <w:lang w:eastAsia="en-US"/>
              </w:rPr>
            </w:pPr>
            <w:r>
              <w:rPr>
                <w:lang w:eastAsia="en-US"/>
              </w:rPr>
              <w:t>Properties of Iodiguard</w:t>
            </w:r>
          </w:p>
        </w:tc>
      </w:tr>
      <w:tr w:rsidR="007724F5" w:rsidRPr="00492007" w14:paraId="4B8B5D94" w14:textId="77777777" w:rsidTr="009E5004">
        <w:trPr>
          <w:tblHeader/>
        </w:trPr>
        <w:tc>
          <w:tcPr>
            <w:tcW w:w="381" w:type="pct"/>
            <w:vMerge/>
            <w:shd w:val="clear" w:color="auto" w:fill="auto"/>
            <w:tcMar>
              <w:top w:w="57" w:type="dxa"/>
              <w:bottom w:w="57" w:type="dxa"/>
            </w:tcMar>
          </w:tcPr>
          <w:p w14:paraId="52571EDB" w14:textId="77777777" w:rsidR="007724F5" w:rsidRPr="00492007" w:rsidRDefault="007724F5" w:rsidP="009E5004">
            <w:pPr>
              <w:rPr>
                <w:lang w:eastAsia="en-US"/>
              </w:rPr>
            </w:pPr>
          </w:p>
        </w:tc>
        <w:tc>
          <w:tcPr>
            <w:tcW w:w="1680" w:type="pct"/>
            <w:shd w:val="clear" w:color="auto" w:fill="auto"/>
            <w:tcMar>
              <w:top w:w="57" w:type="dxa"/>
              <w:bottom w:w="57" w:type="dxa"/>
            </w:tcMar>
          </w:tcPr>
          <w:p w14:paraId="734789AD" w14:textId="77777777" w:rsidR="007724F5" w:rsidRDefault="007724F5" w:rsidP="009E5004">
            <w:pPr>
              <w:rPr>
                <w:lang w:eastAsia="en-US"/>
              </w:rPr>
            </w:pPr>
            <w:r>
              <w:rPr>
                <w:lang w:eastAsia="en-US"/>
              </w:rPr>
              <w:t>I</w:t>
            </w:r>
            <w:r w:rsidRPr="00D76654">
              <w:rPr>
                <w:lang w:eastAsia="en-US"/>
              </w:rPr>
              <w:t xml:space="preserve">ndicative value </w:t>
            </w:r>
            <w:r>
              <w:rPr>
                <w:lang w:eastAsia="en-US"/>
              </w:rPr>
              <w:t>(mg/min)</w:t>
            </w:r>
          </w:p>
        </w:tc>
        <w:tc>
          <w:tcPr>
            <w:tcW w:w="611" w:type="pct"/>
            <w:shd w:val="clear" w:color="auto" w:fill="auto"/>
            <w:tcMar>
              <w:top w:w="57" w:type="dxa"/>
              <w:bottom w:w="57" w:type="dxa"/>
            </w:tcMar>
          </w:tcPr>
          <w:p w14:paraId="1A79B50D" w14:textId="77777777" w:rsidR="007724F5" w:rsidRDefault="007724F5" w:rsidP="009E5004">
            <w:pPr>
              <w:rPr>
                <w:lang w:eastAsia="en-US"/>
              </w:rPr>
            </w:pPr>
            <w:r w:rsidRPr="00D76654">
              <w:rPr>
                <w:lang w:eastAsia="en-US"/>
              </w:rPr>
              <w:t>0.92</w:t>
            </w:r>
          </w:p>
        </w:tc>
        <w:tc>
          <w:tcPr>
            <w:tcW w:w="2328" w:type="pct"/>
          </w:tcPr>
          <w:p w14:paraId="4A23694C" w14:textId="77777777" w:rsidR="007724F5" w:rsidRDefault="007724F5" w:rsidP="009E5004">
            <w:pPr>
              <w:rPr>
                <w:lang w:eastAsia="en-US"/>
              </w:rPr>
            </w:pPr>
            <w:r w:rsidRPr="00D76654">
              <w:rPr>
                <w:lang w:eastAsia="en-US"/>
              </w:rPr>
              <w:t>RISKOFDERM ‘Loading liquid, automated or semi-automated’</w:t>
            </w:r>
          </w:p>
        </w:tc>
      </w:tr>
      <w:tr w:rsidR="007724F5" w:rsidRPr="00492007" w14:paraId="64E5908D" w14:textId="77777777" w:rsidTr="009E5004">
        <w:trPr>
          <w:tblHeader/>
        </w:trPr>
        <w:tc>
          <w:tcPr>
            <w:tcW w:w="381" w:type="pct"/>
            <w:vMerge/>
            <w:shd w:val="clear" w:color="auto" w:fill="auto"/>
            <w:tcMar>
              <w:top w:w="57" w:type="dxa"/>
              <w:bottom w:w="57" w:type="dxa"/>
            </w:tcMar>
          </w:tcPr>
          <w:p w14:paraId="3C91CFDB" w14:textId="77777777" w:rsidR="007724F5" w:rsidRPr="00492007" w:rsidRDefault="007724F5" w:rsidP="009E5004">
            <w:pPr>
              <w:rPr>
                <w:lang w:eastAsia="en-US"/>
              </w:rPr>
            </w:pPr>
          </w:p>
        </w:tc>
        <w:tc>
          <w:tcPr>
            <w:tcW w:w="1680" w:type="pct"/>
            <w:shd w:val="clear" w:color="auto" w:fill="auto"/>
            <w:tcMar>
              <w:top w:w="57" w:type="dxa"/>
              <w:bottom w:w="57" w:type="dxa"/>
            </w:tcMar>
          </w:tcPr>
          <w:p w14:paraId="40DFDD46" w14:textId="77777777" w:rsidR="007724F5" w:rsidRDefault="007724F5" w:rsidP="009E5004">
            <w:pPr>
              <w:rPr>
                <w:lang w:eastAsia="en-US"/>
              </w:rPr>
            </w:pPr>
            <w:r w:rsidRPr="00D76654">
              <w:rPr>
                <w:lang w:eastAsia="en-US"/>
              </w:rPr>
              <w:t>Exposure duration</w:t>
            </w:r>
            <w:r>
              <w:rPr>
                <w:lang w:eastAsia="en-US"/>
              </w:rPr>
              <w:t xml:space="preserve"> (minutes)</w:t>
            </w:r>
          </w:p>
        </w:tc>
        <w:tc>
          <w:tcPr>
            <w:tcW w:w="611" w:type="pct"/>
            <w:shd w:val="clear" w:color="auto" w:fill="auto"/>
            <w:tcMar>
              <w:top w:w="57" w:type="dxa"/>
              <w:bottom w:w="57" w:type="dxa"/>
            </w:tcMar>
          </w:tcPr>
          <w:p w14:paraId="6738A2AA" w14:textId="77777777" w:rsidR="007724F5" w:rsidRDefault="007724F5" w:rsidP="009E5004">
            <w:pPr>
              <w:rPr>
                <w:lang w:eastAsia="en-US"/>
              </w:rPr>
            </w:pPr>
            <w:r>
              <w:rPr>
                <w:lang w:eastAsia="en-US"/>
              </w:rPr>
              <w:t>5</w:t>
            </w:r>
          </w:p>
        </w:tc>
        <w:tc>
          <w:tcPr>
            <w:tcW w:w="2328" w:type="pct"/>
          </w:tcPr>
          <w:p w14:paraId="02C5449B" w14:textId="77777777" w:rsidR="007724F5" w:rsidRDefault="007724F5" w:rsidP="009E5004">
            <w:pPr>
              <w:rPr>
                <w:lang w:eastAsia="en-US"/>
              </w:rPr>
            </w:pPr>
          </w:p>
        </w:tc>
      </w:tr>
      <w:tr w:rsidR="007724F5" w:rsidRPr="00EC6BEF" w14:paraId="510469DB" w14:textId="77777777" w:rsidTr="009E5004">
        <w:trPr>
          <w:tblHeader/>
        </w:trPr>
        <w:tc>
          <w:tcPr>
            <w:tcW w:w="381" w:type="pct"/>
            <w:vMerge/>
            <w:tcMar>
              <w:top w:w="57" w:type="dxa"/>
              <w:bottom w:w="57" w:type="dxa"/>
            </w:tcMar>
          </w:tcPr>
          <w:p w14:paraId="55E74B70" w14:textId="77777777" w:rsidR="007724F5" w:rsidRPr="00492007" w:rsidRDefault="007724F5" w:rsidP="009E5004">
            <w:pPr>
              <w:rPr>
                <w:lang w:eastAsia="en-US"/>
              </w:rPr>
            </w:pPr>
          </w:p>
        </w:tc>
        <w:tc>
          <w:tcPr>
            <w:tcW w:w="1680" w:type="pct"/>
            <w:shd w:val="clear" w:color="auto" w:fill="auto"/>
            <w:tcMar>
              <w:top w:w="57" w:type="dxa"/>
              <w:bottom w:w="57" w:type="dxa"/>
            </w:tcMar>
          </w:tcPr>
          <w:p w14:paraId="2545ECD8" w14:textId="77777777" w:rsidR="007724F5" w:rsidRPr="00492007" w:rsidRDefault="007724F5" w:rsidP="009E5004">
            <w:pPr>
              <w:rPr>
                <w:lang w:eastAsia="en-US"/>
              </w:rPr>
            </w:pPr>
            <w:r>
              <w:rPr>
                <w:lang w:eastAsia="en-US"/>
              </w:rPr>
              <w:t>Body weight (kg)</w:t>
            </w:r>
          </w:p>
        </w:tc>
        <w:tc>
          <w:tcPr>
            <w:tcW w:w="611" w:type="pct"/>
            <w:shd w:val="clear" w:color="auto" w:fill="auto"/>
            <w:tcMar>
              <w:top w:w="57" w:type="dxa"/>
              <w:bottom w:w="57" w:type="dxa"/>
            </w:tcMar>
          </w:tcPr>
          <w:p w14:paraId="069BD631" w14:textId="77777777" w:rsidR="007724F5" w:rsidRPr="00492007" w:rsidRDefault="007724F5" w:rsidP="009E5004">
            <w:pPr>
              <w:rPr>
                <w:lang w:eastAsia="en-US"/>
              </w:rPr>
            </w:pPr>
            <w:r>
              <w:rPr>
                <w:lang w:eastAsia="en-US"/>
              </w:rPr>
              <w:t>60</w:t>
            </w:r>
          </w:p>
        </w:tc>
        <w:tc>
          <w:tcPr>
            <w:tcW w:w="2328" w:type="pct"/>
          </w:tcPr>
          <w:p w14:paraId="2374C05D" w14:textId="77777777" w:rsidR="007724F5" w:rsidRPr="00492007" w:rsidRDefault="007724F5" w:rsidP="009E5004">
            <w:pPr>
              <w:rPr>
                <w:lang w:eastAsia="en-US"/>
              </w:rPr>
            </w:pPr>
            <w:r w:rsidRPr="00C61AB3">
              <w:rPr>
                <w:lang w:eastAsia="en-US"/>
              </w:rPr>
              <w:t>HEEG opinion No. 17, 2013</w:t>
            </w:r>
          </w:p>
        </w:tc>
      </w:tr>
      <w:tr w:rsidR="007724F5" w:rsidRPr="00EC6BEF" w14:paraId="75020DDF" w14:textId="77777777" w:rsidTr="009E5004">
        <w:trPr>
          <w:tblHeader/>
        </w:trPr>
        <w:tc>
          <w:tcPr>
            <w:tcW w:w="381" w:type="pct"/>
            <w:vMerge/>
            <w:tcMar>
              <w:top w:w="57" w:type="dxa"/>
              <w:bottom w:w="57" w:type="dxa"/>
            </w:tcMar>
          </w:tcPr>
          <w:p w14:paraId="315DC7A2" w14:textId="77777777" w:rsidR="007724F5" w:rsidRPr="00492007" w:rsidRDefault="007724F5" w:rsidP="009E5004">
            <w:pPr>
              <w:rPr>
                <w:lang w:eastAsia="en-US"/>
              </w:rPr>
            </w:pPr>
          </w:p>
        </w:tc>
        <w:tc>
          <w:tcPr>
            <w:tcW w:w="1680" w:type="pct"/>
            <w:shd w:val="clear" w:color="auto" w:fill="auto"/>
            <w:tcMar>
              <w:top w:w="57" w:type="dxa"/>
              <w:bottom w:w="57" w:type="dxa"/>
            </w:tcMar>
          </w:tcPr>
          <w:p w14:paraId="75C059DB" w14:textId="77777777" w:rsidR="007724F5" w:rsidRPr="00492007" w:rsidRDefault="007724F5" w:rsidP="009E5004">
            <w:pPr>
              <w:rPr>
                <w:lang w:eastAsia="en-US"/>
              </w:rPr>
            </w:pPr>
            <w:r>
              <w:rPr>
                <w:lang w:eastAsia="en-US"/>
              </w:rPr>
              <w:t>Dermal absorption (%)</w:t>
            </w:r>
          </w:p>
        </w:tc>
        <w:tc>
          <w:tcPr>
            <w:tcW w:w="611" w:type="pct"/>
            <w:shd w:val="clear" w:color="auto" w:fill="auto"/>
            <w:tcMar>
              <w:top w:w="57" w:type="dxa"/>
              <w:bottom w:w="57" w:type="dxa"/>
            </w:tcMar>
          </w:tcPr>
          <w:p w14:paraId="6F4415C0" w14:textId="77777777" w:rsidR="007724F5" w:rsidRPr="00BC4E83" w:rsidRDefault="007724F5" w:rsidP="009E5004">
            <w:pPr>
              <w:rPr>
                <w:lang w:eastAsia="en-US"/>
              </w:rPr>
            </w:pPr>
            <w:r>
              <w:rPr>
                <w:lang w:eastAsia="en-US"/>
              </w:rPr>
              <w:t xml:space="preserve">12 </w:t>
            </w:r>
          </w:p>
        </w:tc>
        <w:tc>
          <w:tcPr>
            <w:tcW w:w="2328" w:type="pct"/>
          </w:tcPr>
          <w:p w14:paraId="220355DF" w14:textId="77777777" w:rsidR="007724F5" w:rsidRPr="00BC4E83" w:rsidRDefault="007724F5" w:rsidP="009E5004">
            <w:pPr>
              <w:rPr>
                <w:iCs/>
                <w:lang w:eastAsia="en-US"/>
              </w:rPr>
            </w:pPr>
            <w:r>
              <w:rPr>
                <w:iCs/>
                <w:lang w:eastAsia="en-US"/>
              </w:rPr>
              <w:t>CAR of the active substance</w:t>
            </w:r>
          </w:p>
        </w:tc>
      </w:tr>
      <w:tr w:rsidR="00502A62" w:rsidRPr="007B44E3" w14:paraId="4D5F5FEE" w14:textId="77777777" w:rsidTr="009E5004">
        <w:trPr>
          <w:tblHeader/>
        </w:trPr>
        <w:tc>
          <w:tcPr>
            <w:tcW w:w="381" w:type="pct"/>
            <w:tcMar>
              <w:top w:w="57" w:type="dxa"/>
              <w:bottom w:w="57" w:type="dxa"/>
            </w:tcMar>
          </w:tcPr>
          <w:p w14:paraId="6ADB1740" w14:textId="77777777" w:rsidR="00502A62" w:rsidRPr="007B44E3" w:rsidRDefault="00502A62" w:rsidP="009E5004">
            <w:pPr>
              <w:rPr>
                <w:lang w:eastAsia="en-US"/>
              </w:rPr>
            </w:pPr>
            <w:r w:rsidRPr="007B44E3">
              <w:rPr>
                <w:lang w:eastAsia="en-US"/>
              </w:rPr>
              <w:t>Tier 2</w:t>
            </w:r>
          </w:p>
        </w:tc>
        <w:tc>
          <w:tcPr>
            <w:tcW w:w="1680" w:type="pct"/>
            <w:shd w:val="clear" w:color="auto" w:fill="auto"/>
            <w:tcMar>
              <w:top w:w="57" w:type="dxa"/>
              <w:bottom w:w="57" w:type="dxa"/>
            </w:tcMar>
          </w:tcPr>
          <w:p w14:paraId="7217DA2C" w14:textId="77777777" w:rsidR="00502A62" w:rsidRPr="007B44E3" w:rsidRDefault="00502A62" w:rsidP="009E5004">
            <w:pPr>
              <w:rPr>
                <w:lang w:eastAsia="en-US"/>
              </w:rPr>
            </w:pPr>
            <w:r w:rsidRPr="007B44E3">
              <w:rPr>
                <w:lang w:eastAsia="en-US"/>
              </w:rPr>
              <w:t>Penetration factor (gloves)</w:t>
            </w:r>
          </w:p>
        </w:tc>
        <w:tc>
          <w:tcPr>
            <w:tcW w:w="611" w:type="pct"/>
            <w:shd w:val="clear" w:color="auto" w:fill="auto"/>
            <w:tcMar>
              <w:top w:w="57" w:type="dxa"/>
              <w:bottom w:w="57" w:type="dxa"/>
            </w:tcMar>
          </w:tcPr>
          <w:p w14:paraId="1819C7CB" w14:textId="77777777" w:rsidR="00502A62" w:rsidRPr="007B44E3" w:rsidRDefault="00502A62" w:rsidP="009E5004">
            <w:pPr>
              <w:rPr>
                <w:lang w:eastAsia="en-US"/>
              </w:rPr>
            </w:pPr>
            <w:r w:rsidRPr="007B44E3">
              <w:rPr>
                <w:lang w:eastAsia="en-US"/>
              </w:rPr>
              <w:t>10%</w:t>
            </w:r>
          </w:p>
        </w:tc>
        <w:tc>
          <w:tcPr>
            <w:tcW w:w="2328" w:type="pct"/>
          </w:tcPr>
          <w:p w14:paraId="30126953" w14:textId="77777777" w:rsidR="00502A62" w:rsidRPr="007B44E3" w:rsidRDefault="00502A62" w:rsidP="009E5004">
            <w:pPr>
              <w:rPr>
                <w:iCs/>
                <w:lang w:eastAsia="en-US"/>
              </w:rPr>
            </w:pPr>
          </w:p>
        </w:tc>
      </w:tr>
    </w:tbl>
    <w:p w14:paraId="5EF011F0" w14:textId="77777777" w:rsidR="007724F5" w:rsidRPr="007B44E3" w:rsidRDefault="007724F5" w:rsidP="00D641F2">
      <w:pPr>
        <w:keepNext/>
        <w:rPr>
          <w:i/>
          <w:u w:val="single"/>
          <w:lang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95"/>
        <w:gridCol w:w="975"/>
        <w:gridCol w:w="1517"/>
        <w:gridCol w:w="1676"/>
        <w:gridCol w:w="1678"/>
        <w:gridCol w:w="1888"/>
      </w:tblGrid>
      <w:tr w:rsidR="007724F5" w:rsidRPr="007B44E3" w14:paraId="342FDDCE" w14:textId="77777777" w:rsidTr="009E5004">
        <w:trPr>
          <w:cantSplit/>
          <w:tblHeader/>
        </w:trPr>
        <w:tc>
          <w:tcPr>
            <w:tcW w:w="5000" w:type="pct"/>
            <w:gridSpan w:val="6"/>
            <w:shd w:val="clear" w:color="auto" w:fill="FFFFCC"/>
          </w:tcPr>
          <w:p w14:paraId="3AED1448" w14:textId="77777777" w:rsidR="007724F5" w:rsidRPr="007B44E3" w:rsidRDefault="007724F5" w:rsidP="009E5004">
            <w:pPr>
              <w:keepNext/>
              <w:jc w:val="center"/>
              <w:rPr>
                <w:b/>
                <w:lang w:eastAsia="en-US"/>
              </w:rPr>
            </w:pPr>
            <w:r w:rsidRPr="007B44E3">
              <w:rPr>
                <w:b/>
                <w:lang w:eastAsia="en-US"/>
              </w:rPr>
              <w:t>Summary table: estimated exposure from professional uses</w:t>
            </w:r>
          </w:p>
        </w:tc>
      </w:tr>
      <w:tr w:rsidR="007724F5" w:rsidRPr="007B44E3" w14:paraId="60A208C8" w14:textId="77777777" w:rsidTr="007B44E3">
        <w:trPr>
          <w:cantSplit/>
          <w:tblHeader/>
        </w:trPr>
        <w:tc>
          <w:tcPr>
            <w:tcW w:w="764" w:type="pct"/>
            <w:shd w:val="clear" w:color="auto" w:fill="auto"/>
          </w:tcPr>
          <w:p w14:paraId="2B5D04E6" w14:textId="77777777" w:rsidR="007724F5" w:rsidRPr="007B44E3" w:rsidRDefault="007724F5" w:rsidP="009E5004">
            <w:pPr>
              <w:rPr>
                <w:b/>
                <w:lang w:eastAsia="en-US"/>
              </w:rPr>
            </w:pPr>
            <w:r w:rsidRPr="007B44E3">
              <w:rPr>
                <w:b/>
                <w:lang w:eastAsia="en-US"/>
              </w:rPr>
              <w:t>Exposure scenario</w:t>
            </w:r>
          </w:p>
        </w:tc>
        <w:tc>
          <w:tcPr>
            <w:tcW w:w="534" w:type="pct"/>
          </w:tcPr>
          <w:p w14:paraId="2A91B5F6" w14:textId="77777777" w:rsidR="007724F5" w:rsidRPr="007B44E3" w:rsidRDefault="007724F5" w:rsidP="009E5004">
            <w:pPr>
              <w:rPr>
                <w:b/>
                <w:lang w:eastAsia="en-US"/>
              </w:rPr>
            </w:pPr>
            <w:r w:rsidRPr="007B44E3">
              <w:rPr>
                <w:b/>
                <w:lang w:eastAsia="en-US"/>
              </w:rPr>
              <w:t>Tier/PPE</w:t>
            </w:r>
          </w:p>
        </w:tc>
        <w:tc>
          <w:tcPr>
            <w:tcW w:w="831" w:type="pct"/>
          </w:tcPr>
          <w:p w14:paraId="32FE6001" w14:textId="77777777" w:rsidR="007724F5" w:rsidRPr="007B44E3" w:rsidRDefault="007724F5" w:rsidP="009E5004">
            <w:pPr>
              <w:rPr>
                <w:b/>
                <w:lang w:eastAsia="en-US"/>
              </w:rPr>
            </w:pPr>
            <w:r w:rsidRPr="007B44E3">
              <w:rPr>
                <w:b/>
                <w:lang w:eastAsia="en-US"/>
              </w:rPr>
              <w:t>Estimated inhalation uptake (mg/kg/d)</w:t>
            </w:r>
          </w:p>
        </w:tc>
        <w:tc>
          <w:tcPr>
            <w:tcW w:w="918" w:type="pct"/>
            <w:shd w:val="clear" w:color="auto" w:fill="auto"/>
            <w:tcMar>
              <w:top w:w="57" w:type="dxa"/>
              <w:bottom w:w="57" w:type="dxa"/>
            </w:tcMar>
          </w:tcPr>
          <w:p w14:paraId="63B5E4B2" w14:textId="77777777" w:rsidR="007724F5" w:rsidRPr="007B44E3" w:rsidRDefault="007724F5" w:rsidP="009E5004">
            <w:pPr>
              <w:rPr>
                <w:b/>
                <w:lang w:eastAsia="en-US"/>
              </w:rPr>
            </w:pPr>
            <w:r w:rsidRPr="007B44E3">
              <w:rPr>
                <w:b/>
                <w:lang w:eastAsia="en-US"/>
              </w:rPr>
              <w:t>Estimated dermal uptake (mg/kg/d)</w:t>
            </w:r>
          </w:p>
        </w:tc>
        <w:tc>
          <w:tcPr>
            <w:tcW w:w="919" w:type="pct"/>
          </w:tcPr>
          <w:p w14:paraId="541374CD" w14:textId="77777777" w:rsidR="007724F5" w:rsidRPr="007B44E3" w:rsidRDefault="007724F5" w:rsidP="009E5004">
            <w:pPr>
              <w:rPr>
                <w:b/>
                <w:lang w:eastAsia="en-US"/>
              </w:rPr>
            </w:pPr>
            <w:r w:rsidRPr="007B44E3">
              <w:rPr>
                <w:b/>
                <w:lang w:eastAsia="en-US"/>
              </w:rPr>
              <w:t>Estimated oral uptake (mg/kg/d)</w:t>
            </w:r>
          </w:p>
        </w:tc>
        <w:tc>
          <w:tcPr>
            <w:tcW w:w="1034" w:type="pct"/>
            <w:shd w:val="clear" w:color="auto" w:fill="auto"/>
            <w:tcMar>
              <w:top w:w="57" w:type="dxa"/>
              <w:bottom w:w="57" w:type="dxa"/>
            </w:tcMar>
          </w:tcPr>
          <w:p w14:paraId="0974CB25" w14:textId="77777777" w:rsidR="007724F5" w:rsidRPr="007B44E3" w:rsidRDefault="007724F5" w:rsidP="009E5004">
            <w:pPr>
              <w:rPr>
                <w:b/>
                <w:lang w:eastAsia="en-US"/>
              </w:rPr>
            </w:pPr>
            <w:r w:rsidRPr="007B44E3">
              <w:rPr>
                <w:b/>
                <w:lang w:eastAsia="en-US"/>
              </w:rPr>
              <w:t>Estimated total uptake (mg/kg/d)</w:t>
            </w:r>
          </w:p>
        </w:tc>
      </w:tr>
      <w:tr w:rsidR="007724F5" w:rsidRPr="007B44E3" w14:paraId="60F67888" w14:textId="77777777" w:rsidTr="007B44E3">
        <w:trPr>
          <w:cantSplit/>
          <w:tblHeader/>
        </w:trPr>
        <w:tc>
          <w:tcPr>
            <w:tcW w:w="764" w:type="pct"/>
            <w:shd w:val="clear" w:color="auto" w:fill="auto"/>
          </w:tcPr>
          <w:p w14:paraId="4337BF4A" w14:textId="77777777" w:rsidR="007724F5" w:rsidRPr="007B44E3" w:rsidRDefault="007724F5" w:rsidP="00B24C45">
            <w:pPr>
              <w:jc w:val="center"/>
              <w:rPr>
                <w:lang w:eastAsia="en-US"/>
              </w:rPr>
            </w:pPr>
            <w:r w:rsidRPr="007B44E3">
              <w:rPr>
                <w:lang w:eastAsia="en-US"/>
              </w:rPr>
              <w:t>Scenario [</w:t>
            </w:r>
            <w:r w:rsidR="00B24C45" w:rsidRPr="007B44E3">
              <w:rPr>
                <w:lang w:eastAsia="en-US"/>
              </w:rPr>
              <w:t>4</w:t>
            </w:r>
            <w:r w:rsidRPr="007B44E3">
              <w:rPr>
                <w:lang w:eastAsia="en-US"/>
              </w:rPr>
              <w:t>] Cleaning of equipment</w:t>
            </w:r>
          </w:p>
        </w:tc>
        <w:tc>
          <w:tcPr>
            <w:tcW w:w="534" w:type="pct"/>
            <w:vAlign w:val="center"/>
          </w:tcPr>
          <w:p w14:paraId="4CB26388" w14:textId="77777777" w:rsidR="007724F5" w:rsidRPr="007B44E3" w:rsidRDefault="007724F5" w:rsidP="009E5004">
            <w:pPr>
              <w:jc w:val="center"/>
              <w:rPr>
                <w:lang w:eastAsia="en-US"/>
              </w:rPr>
            </w:pPr>
            <w:r w:rsidRPr="007B44E3">
              <w:rPr>
                <w:lang w:eastAsia="en-US"/>
              </w:rPr>
              <w:t>1</w:t>
            </w:r>
          </w:p>
        </w:tc>
        <w:tc>
          <w:tcPr>
            <w:tcW w:w="831" w:type="pct"/>
            <w:vAlign w:val="center"/>
          </w:tcPr>
          <w:p w14:paraId="72A13697" w14:textId="77777777" w:rsidR="007724F5" w:rsidRPr="007B44E3" w:rsidRDefault="007724F5" w:rsidP="009E5004">
            <w:pPr>
              <w:jc w:val="center"/>
              <w:rPr>
                <w:lang w:eastAsia="en-US"/>
              </w:rPr>
            </w:pPr>
            <w:r w:rsidRPr="007B44E3">
              <w:rPr>
                <w:lang w:eastAsia="en-US"/>
              </w:rPr>
              <w:t>n.a.</w:t>
            </w:r>
          </w:p>
        </w:tc>
        <w:tc>
          <w:tcPr>
            <w:tcW w:w="918" w:type="pct"/>
            <w:shd w:val="clear" w:color="auto" w:fill="auto"/>
            <w:tcMar>
              <w:top w:w="57" w:type="dxa"/>
              <w:bottom w:w="57" w:type="dxa"/>
            </w:tcMar>
            <w:vAlign w:val="center"/>
          </w:tcPr>
          <w:p w14:paraId="2DB8250F" w14:textId="77777777" w:rsidR="007724F5" w:rsidRPr="007B44E3" w:rsidRDefault="007724F5" w:rsidP="00D20232">
            <w:pPr>
              <w:jc w:val="center"/>
              <w:rPr>
                <w:lang w:eastAsia="en-US"/>
              </w:rPr>
            </w:pPr>
            <w:r w:rsidRPr="007B44E3">
              <w:rPr>
                <w:lang w:eastAsia="en-US"/>
              </w:rPr>
              <w:t>1.</w:t>
            </w:r>
            <w:r w:rsidR="00D20232" w:rsidRPr="007B44E3">
              <w:rPr>
                <w:lang w:eastAsia="en-US"/>
              </w:rPr>
              <w:t>6</w:t>
            </w:r>
            <w:r w:rsidR="00B24C45" w:rsidRPr="007B44E3">
              <w:rPr>
                <w:lang w:eastAsia="en-US"/>
              </w:rPr>
              <w:t xml:space="preserve">0 </w:t>
            </w:r>
            <w:r w:rsidRPr="007B44E3">
              <w:rPr>
                <w:lang w:eastAsia="en-US"/>
              </w:rPr>
              <w:t>× 10</w:t>
            </w:r>
            <w:r w:rsidRPr="007B44E3">
              <w:rPr>
                <w:rFonts w:ascii="Cambria Math" w:hAnsi="Cambria Math" w:cs="Cambria Math"/>
                <w:lang w:eastAsia="en-US"/>
              </w:rPr>
              <w:t>⁻</w:t>
            </w:r>
            <w:r w:rsidRPr="007B44E3">
              <w:rPr>
                <w:rFonts w:ascii="Cambria Math" w:hAnsi="Cambria Math" w:cs="Cambria Math"/>
                <w:vertAlign w:val="superscript"/>
                <w:lang w:eastAsia="en-US"/>
              </w:rPr>
              <w:t>3</w:t>
            </w:r>
          </w:p>
        </w:tc>
        <w:tc>
          <w:tcPr>
            <w:tcW w:w="919" w:type="pct"/>
            <w:vAlign w:val="center"/>
          </w:tcPr>
          <w:p w14:paraId="0C728100" w14:textId="77777777" w:rsidR="007724F5" w:rsidRPr="007B44E3" w:rsidRDefault="007724F5" w:rsidP="009E5004">
            <w:pPr>
              <w:jc w:val="center"/>
              <w:rPr>
                <w:lang w:eastAsia="en-US"/>
              </w:rPr>
            </w:pPr>
            <w:r w:rsidRPr="007B44E3">
              <w:rPr>
                <w:lang w:eastAsia="en-US"/>
              </w:rPr>
              <w:t>n.a.</w:t>
            </w:r>
          </w:p>
        </w:tc>
        <w:tc>
          <w:tcPr>
            <w:tcW w:w="1034" w:type="pct"/>
            <w:shd w:val="clear" w:color="auto" w:fill="auto"/>
            <w:tcMar>
              <w:top w:w="57" w:type="dxa"/>
              <w:bottom w:w="57" w:type="dxa"/>
            </w:tcMar>
            <w:vAlign w:val="center"/>
          </w:tcPr>
          <w:p w14:paraId="1FCB9A98" w14:textId="77777777" w:rsidR="007724F5" w:rsidRPr="007B44E3" w:rsidRDefault="007724F5" w:rsidP="00D20232">
            <w:pPr>
              <w:jc w:val="center"/>
              <w:rPr>
                <w:lang w:eastAsia="en-US"/>
              </w:rPr>
            </w:pPr>
            <w:r w:rsidRPr="007B44E3">
              <w:rPr>
                <w:lang w:eastAsia="en-US"/>
              </w:rPr>
              <w:t>1.</w:t>
            </w:r>
            <w:r w:rsidR="00D20232" w:rsidRPr="007B44E3">
              <w:rPr>
                <w:lang w:eastAsia="en-US"/>
              </w:rPr>
              <w:t>6</w:t>
            </w:r>
            <w:r w:rsidR="00B24C45" w:rsidRPr="007B44E3">
              <w:rPr>
                <w:lang w:eastAsia="en-US"/>
              </w:rPr>
              <w:t xml:space="preserve">0 </w:t>
            </w:r>
            <w:r w:rsidRPr="007B44E3">
              <w:rPr>
                <w:lang w:eastAsia="en-US"/>
              </w:rPr>
              <w:t>× 10</w:t>
            </w:r>
            <w:r w:rsidRPr="007B44E3">
              <w:rPr>
                <w:rFonts w:ascii="Cambria Math" w:hAnsi="Cambria Math" w:cs="Cambria Math"/>
                <w:lang w:eastAsia="en-US"/>
              </w:rPr>
              <w:t>⁻</w:t>
            </w:r>
            <w:r w:rsidRPr="007B44E3">
              <w:rPr>
                <w:rFonts w:ascii="Cambria Math" w:hAnsi="Cambria Math" w:cs="Cambria Math"/>
                <w:vertAlign w:val="superscript"/>
                <w:lang w:eastAsia="en-US"/>
              </w:rPr>
              <w:t>3</w:t>
            </w:r>
          </w:p>
        </w:tc>
      </w:tr>
      <w:tr w:rsidR="00502A62" w:rsidRPr="00492007" w14:paraId="085EBFDD" w14:textId="77777777" w:rsidTr="007B44E3">
        <w:trPr>
          <w:cantSplit/>
          <w:tblHeader/>
        </w:trPr>
        <w:tc>
          <w:tcPr>
            <w:tcW w:w="764" w:type="pct"/>
            <w:shd w:val="clear" w:color="auto" w:fill="auto"/>
          </w:tcPr>
          <w:p w14:paraId="6A7AE5E6" w14:textId="77777777" w:rsidR="00502A62" w:rsidRPr="007B44E3" w:rsidRDefault="00502A62" w:rsidP="00B24C45">
            <w:pPr>
              <w:jc w:val="center"/>
              <w:rPr>
                <w:lang w:eastAsia="en-US"/>
              </w:rPr>
            </w:pPr>
            <w:r w:rsidRPr="007B44E3">
              <w:rPr>
                <w:lang w:eastAsia="en-US"/>
              </w:rPr>
              <w:t>Scenario [</w:t>
            </w:r>
            <w:r w:rsidR="00B24C45" w:rsidRPr="007B44E3">
              <w:rPr>
                <w:lang w:eastAsia="en-US"/>
              </w:rPr>
              <w:t>4</w:t>
            </w:r>
            <w:r w:rsidRPr="007B44E3">
              <w:rPr>
                <w:lang w:eastAsia="en-US"/>
              </w:rPr>
              <w:t>] Cleaning of equipment</w:t>
            </w:r>
          </w:p>
        </w:tc>
        <w:tc>
          <w:tcPr>
            <w:tcW w:w="534" w:type="pct"/>
            <w:vAlign w:val="center"/>
          </w:tcPr>
          <w:p w14:paraId="07D2A95C" w14:textId="77777777" w:rsidR="00502A62" w:rsidRPr="007B44E3" w:rsidRDefault="00E5583B" w:rsidP="009E5004">
            <w:pPr>
              <w:jc w:val="center"/>
              <w:rPr>
                <w:lang w:eastAsia="en-US"/>
              </w:rPr>
            </w:pPr>
            <w:r w:rsidRPr="007B44E3">
              <w:rPr>
                <w:lang w:eastAsia="en-US"/>
              </w:rPr>
              <w:t>2 /gloves</w:t>
            </w:r>
          </w:p>
        </w:tc>
        <w:tc>
          <w:tcPr>
            <w:tcW w:w="831" w:type="pct"/>
            <w:vAlign w:val="center"/>
          </w:tcPr>
          <w:p w14:paraId="37B7EB1D" w14:textId="77777777" w:rsidR="00502A62" w:rsidRPr="007B44E3" w:rsidRDefault="00502A62" w:rsidP="009E5004">
            <w:pPr>
              <w:jc w:val="center"/>
              <w:rPr>
                <w:lang w:eastAsia="en-US"/>
              </w:rPr>
            </w:pPr>
            <w:r w:rsidRPr="007B44E3">
              <w:rPr>
                <w:lang w:eastAsia="en-US"/>
              </w:rPr>
              <w:t>n.a.</w:t>
            </w:r>
          </w:p>
        </w:tc>
        <w:tc>
          <w:tcPr>
            <w:tcW w:w="918" w:type="pct"/>
            <w:shd w:val="clear" w:color="auto" w:fill="auto"/>
            <w:tcMar>
              <w:top w:w="57" w:type="dxa"/>
              <w:bottom w:w="57" w:type="dxa"/>
            </w:tcMar>
            <w:vAlign w:val="center"/>
          </w:tcPr>
          <w:p w14:paraId="25C39652" w14:textId="77777777" w:rsidR="00502A62" w:rsidRPr="007B44E3" w:rsidRDefault="00502A62" w:rsidP="00D20232">
            <w:pPr>
              <w:jc w:val="center"/>
              <w:rPr>
                <w:lang w:eastAsia="en-US"/>
              </w:rPr>
            </w:pPr>
            <w:r w:rsidRPr="007B44E3">
              <w:rPr>
                <w:lang w:eastAsia="en-US"/>
              </w:rPr>
              <w:t>1.</w:t>
            </w:r>
            <w:r w:rsidR="00B24C45" w:rsidRPr="007B44E3">
              <w:rPr>
                <w:lang w:eastAsia="en-US"/>
              </w:rPr>
              <w:t>60</w:t>
            </w:r>
            <w:r w:rsidRPr="007B44E3">
              <w:rPr>
                <w:lang w:eastAsia="en-US"/>
              </w:rPr>
              <w:t xml:space="preserve"> × 10</w:t>
            </w:r>
            <w:r w:rsidRPr="007B44E3">
              <w:rPr>
                <w:rFonts w:ascii="Cambria Math" w:hAnsi="Cambria Math" w:cs="Cambria Math"/>
                <w:lang w:eastAsia="en-US"/>
              </w:rPr>
              <w:t>⁻</w:t>
            </w:r>
            <w:r w:rsidRPr="007B44E3">
              <w:rPr>
                <w:rFonts w:ascii="Cambria Math" w:hAnsi="Cambria Math" w:cs="Cambria Math"/>
                <w:vertAlign w:val="superscript"/>
                <w:lang w:eastAsia="en-US"/>
              </w:rPr>
              <w:t>4</w:t>
            </w:r>
          </w:p>
        </w:tc>
        <w:tc>
          <w:tcPr>
            <w:tcW w:w="919" w:type="pct"/>
            <w:vAlign w:val="center"/>
          </w:tcPr>
          <w:p w14:paraId="5B6A9903" w14:textId="77777777" w:rsidR="00502A62" w:rsidRPr="007B44E3" w:rsidRDefault="00502A62" w:rsidP="009E5004">
            <w:pPr>
              <w:jc w:val="center"/>
              <w:rPr>
                <w:lang w:eastAsia="en-US"/>
              </w:rPr>
            </w:pPr>
            <w:r w:rsidRPr="007B44E3">
              <w:rPr>
                <w:lang w:eastAsia="en-US"/>
              </w:rPr>
              <w:t>n.a.</w:t>
            </w:r>
          </w:p>
        </w:tc>
        <w:tc>
          <w:tcPr>
            <w:tcW w:w="1034" w:type="pct"/>
            <w:shd w:val="clear" w:color="auto" w:fill="auto"/>
            <w:tcMar>
              <w:top w:w="57" w:type="dxa"/>
              <w:bottom w:w="57" w:type="dxa"/>
            </w:tcMar>
            <w:vAlign w:val="center"/>
          </w:tcPr>
          <w:p w14:paraId="237CDE09" w14:textId="77777777" w:rsidR="00502A62" w:rsidRDefault="00502A62" w:rsidP="00D20232">
            <w:pPr>
              <w:jc w:val="center"/>
              <w:rPr>
                <w:lang w:eastAsia="en-US"/>
              </w:rPr>
            </w:pPr>
            <w:r w:rsidRPr="007B44E3">
              <w:rPr>
                <w:lang w:eastAsia="en-US"/>
              </w:rPr>
              <w:t>1.</w:t>
            </w:r>
            <w:r w:rsidR="00B24C45" w:rsidRPr="007B44E3">
              <w:rPr>
                <w:lang w:eastAsia="en-US"/>
              </w:rPr>
              <w:t>60</w:t>
            </w:r>
            <w:r w:rsidRPr="007B44E3">
              <w:rPr>
                <w:lang w:eastAsia="en-US"/>
              </w:rPr>
              <w:t xml:space="preserve"> × 10</w:t>
            </w:r>
            <w:r w:rsidRPr="007B44E3">
              <w:rPr>
                <w:rFonts w:ascii="Cambria Math" w:hAnsi="Cambria Math" w:cs="Cambria Math"/>
                <w:lang w:eastAsia="en-US"/>
              </w:rPr>
              <w:t>⁻</w:t>
            </w:r>
            <w:r w:rsidRPr="007B44E3">
              <w:rPr>
                <w:rFonts w:ascii="Cambria Math" w:hAnsi="Cambria Math" w:cs="Cambria Math"/>
                <w:vertAlign w:val="superscript"/>
                <w:lang w:eastAsia="en-US"/>
              </w:rPr>
              <w:t>4</w:t>
            </w:r>
          </w:p>
        </w:tc>
      </w:tr>
    </w:tbl>
    <w:p w14:paraId="35F3246D" w14:textId="77777777" w:rsidR="007724F5" w:rsidRDefault="007724F5" w:rsidP="00D641F2">
      <w:pPr>
        <w:keepNext/>
        <w:rPr>
          <w:i/>
          <w:u w:val="single"/>
          <w:lang w:eastAsia="en-US"/>
        </w:rPr>
      </w:pPr>
    </w:p>
    <w:p w14:paraId="4BC94AB4" w14:textId="77777777" w:rsidR="007724F5" w:rsidRDefault="007724F5" w:rsidP="00D641F2">
      <w:pPr>
        <w:keepNext/>
        <w:rPr>
          <w:i/>
          <w:u w:val="single"/>
          <w:lang w:eastAsia="en-US"/>
        </w:rPr>
      </w:pPr>
    </w:p>
    <w:p w14:paraId="0443C4D2" w14:textId="77777777" w:rsidR="00D641F2" w:rsidRPr="008D5990" w:rsidRDefault="00D641F2" w:rsidP="00D641F2">
      <w:pPr>
        <w:keepNext/>
        <w:rPr>
          <w:i/>
          <w:u w:val="single"/>
          <w:lang w:eastAsia="en-US"/>
        </w:rPr>
      </w:pPr>
      <w:r w:rsidRPr="00DC12AC">
        <w:rPr>
          <w:i/>
          <w:u w:val="single"/>
          <w:lang w:eastAsia="en-US"/>
        </w:rPr>
        <w:t>Scenario [</w:t>
      </w:r>
      <w:r w:rsidR="007724F5">
        <w:rPr>
          <w:i/>
          <w:u w:val="single"/>
          <w:lang w:eastAsia="en-US"/>
        </w:rPr>
        <w:t>5</w:t>
      </w:r>
      <w:r w:rsidRPr="00DC12AC">
        <w:rPr>
          <w:i/>
          <w:u w:val="single"/>
          <w:lang w:eastAsia="en-US"/>
        </w:rPr>
        <w:t>] Secondary exposure</w:t>
      </w:r>
    </w:p>
    <w:p w14:paraId="36E24F35" w14:textId="77777777" w:rsidR="00D641F2" w:rsidRPr="008D5990" w:rsidRDefault="00B60E55" w:rsidP="00D641F2">
      <w:pPr>
        <w:jc w:val="both"/>
        <w:rPr>
          <w:iCs/>
          <w:lang w:eastAsia="en-US"/>
        </w:rPr>
      </w:pPr>
      <w:r>
        <w:rPr>
          <w:iCs/>
          <w:lang w:eastAsia="en-US"/>
        </w:rPr>
        <w:t>Not relevant</w:t>
      </w:r>
      <w:r w:rsidR="00D641F2" w:rsidRPr="00DC12AC">
        <w:rPr>
          <w:iCs/>
          <w:lang w:eastAsia="en-US"/>
        </w:rPr>
        <w:t>.</w:t>
      </w:r>
    </w:p>
    <w:p w14:paraId="23057075" w14:textId="77777777" w:rsidR="00D641F2" w:rsidRPr="00492007" w:rsidRDefault="00D641F2" w:rsidP="00D641F2">
      <w:pPr>
        <w:rPr>
          <w:highlight w:val="cyan"/>
          <w:lang w:eastAsia="en-US"/>
        </w:rPr>
      </w:pPr>
    </w:p>
    <w:p w14:paraId="22B807EE" w14:textId="77777777" w:rsidR="00D641F2" w:rsidRPr="00492007" w:rsidRDefault="00D641F2" w:rsidP="00D641F2">
      <w:pPr>
        <w:rPr>
          <w:highlight w:val="cyan"/>
          <w:lang w:eastAsia="en-US"/>
        </w:rPr>
      </w:pPr>
    </w:p>
    <w:p w14:paraId="0914FD9F" w14:textId="77777777" w:rsidR="00D641F2" w:rsidRPr="00492007" w:rsidRDefault="00D641F2" w:rsidP="00D641F2">
      <w:pPr>
        <w:rPr>
          <w:b/>
          <w:lang w:eastAsia="en-US"/>
        </w:rPr>
      </w:pPr>
      <w:r w:rsidRPr="00492007">
        <w:rPr>
          <w:b/>
          <w:lang w:eastAsia="en-US"/>
        </w:rPr>
        <w:t>Further information and considerations on scenario</w:t>
      </w:r>
      <w:r>
        <w:rPr>
          <w:b/>
          <w:lang w:eastAsia="en-US"/>
        </w:rPr>
        <w:t>s</w:t>
      </w:r>
      <w:r w:rsidRPr="00492007">
        <w:rPr>
          <w:b/>
          <w:lang w:eastAsia="en-US"/>
        </w:rPr>
        <w:t xml:space="preserve"> </w:t>
      </w:r>
    </w:p>
    <w:p w14:paraId="05526D2B" w14:textId="77777777" w:rsidR="00D641F2" w:rsidRPr="0029459A" w:rsidRDefault="00D641F2" w:rsidP="00D641F2">
      <w:pPr>
        <w:jc w:val="both"/>
        <w:rPr>
          <w:iCs/>
          <w:lang w:eastAsia="en-US"/>
        </w:rPr>
      </w:pPr>
      <w:r w:rsidRPr="0029459A">
        <w:rPr>
          <w:iCs/>
          <w:lang w:eastAsia="en-US"/>
        </w:rPr>
        <w:t>None.</w:t>
      </w:r>
    </w:p>
    <w:p w14:paraId="4632CB22" w14:textId="77777777" w:rsidR="00D641F2" w:rsidRPr="00492007" w:rsidRDefault="00D641F2" w:rsidP="00D641F2">
      <w:pPr>
        <w:jc w:val="both"/>
        <w:rPr>
          <w:i/>
          <w:iCs/>
          <w:lang w:eastAsia="en-US"/>
        </w:rPr>
      </w:pPr>
    </w:p>
    <w:p w14:paraId="25A7C041" w14:textId="77777777" w:rsidR="00D641F2" w:rsidRPr="00492007" w:rsidRDefault="00D641F2" w:rsidP="00D641F2">
      <w:pPr>
        <w:rPr>
          <w:i/>
          <w:iCs/>
          <w:sz w:val="16"/>
          <w:lang w:eastAsia="en-US"/>
        </w:rPr>
      </w:pPr>
    </w:p>
    <w:p w14:paraId="2F873C7B" w14:textId="77777777" w:rsidR="00D641F2" w:rsidRPr="00492007" w:rsidRDefault="00D641F2" w:rsidP="00D641F2">
      <w:pPr>
        <w:rPr>
          <w:b/>
          <w:i/>
          <w:szCs w:val="22"/>
          <w:lang w:eastAsia="en-US"/>
        </w:rPr>
      </w:pPr>
      <w:bookmarkStart w:id="88" w:name="_Toc389729070"/>
      <w:bookmarkStart w:id="89" w:name="_Toc403472768"/>
      <w:r w:rsidRPr="00492007">
        <w:rPr>
          <w:b/>
          <w:i/>
          <w:szCs w:val="22"/>
          <w:lang w:eastAsia="en-US"/>
        </w:rPr>
        <w:t>Non-professional exposure</w:t>
      </w:r>
      <w:bookmarkEnd w:id="88"/>
      <w:bookmarkEnd w:id="89"/>
    </w:p>
    <w:p w14:paraId="7227FD5E" w14:textId="77777777" w:rsidR="00D641F2" w:rsidRPr="004743C4" w:rsidRDefault="00D641F2" w:rsidP="00D641F2">
      <w:pPr>
        <w:jc w:val="both"/>
        <w:rPr>
          <w:lang w:eastAsia="en-US"/>
        </w:rPr>
      </w:pPr>
      <w:r w:rsidRPr="004743C4">
        <w:rPr>
          <w:lang w:eastAsia="en-US"/>
        </w:rPr>
        <w:t xml:space="preserve">No non-professional exposure is foreseen. The product </w:t>
      </w:r>
      <w:r w:rsidR="00AE5162" w:rsidRPr="004743C4">
        <w:rPr>
          <w:lang w:eastAsia="en-US"/>
        </w:rPr>
        <w:t xml:space="preserve">IODIGUARD </w:t>
      </w:r>
      <w:r w:rsidRPr="004743C4">
        <w:rPr>
          <w:lang w:eastAsia="en-US"/>
        </w:rPr>
        <w:t xml:space="preserve">is a bactericide </w:t>
      </w:r>
      <w:r w:rsidR="004B63DB">
        <w:rPr>
          <w:lang w:eastAsia="en-US"/>
        </w:rPr>
        <w:t>and yeasticide</w:t>
      </w:r>
      <w:r w:rsidR="004B63DB" w:rsidRPr="004743C4">
        <w:rPr>
          <w:lang w:eastAsia="en-US"/>
        </w:rPr>
        <w:t xml:space="preserve"> </w:t>
      </w:r>
      <w:r w:rsidRPr="004743C4">
        <w:rPr>
          <w:lang w:eastAsia="en-US"/>
        </w:rPr>
        <w:t>used as teat disinfectant by professionals.</w:t>
      </w:r>
      <w:bookmarkStart w:id="90" w:name="_Toc389729071"/>
      <w:r>
        <w:rPr>
          <w:lang w:eastAsia="en-US"/>
        </w:rPr>
        <w:t xml:space="preserve"> </w:t>
      </w:r>
      <w:r w:rsidRPr="004743C4">
        <w:rPr>
          <w:lang w:eastAsia="en-US"/>
        </w:rPr>
        <w:t>Therefore the assessment of non-professional exposure is not relevant.</w:t>
      </w:r>
    </w:p>
    <w:p w14:paraId="032FF251" w14:textId="77777777" w:rsidR="00D641F2" w:rsidRPr="004743C4" w:rsidRDefault="00D641F2" w:rsidP="00D641F2">
      <w:pPr>
        <w:rPr>
          <w:i/>
          <w:szCs w:val="22"/>
          <w:u w:val="single"/>
          <w:lang w:eastAsia="en-US"/>
        </w:rPr>
      </w:pPr>
    </w:p>
    <w:p w14:paraId="616FC7F1" w14:textId="77777777" w:rsidR="00D641F2" w:rsidRPr="00492007" w:rsidRDefault="00D641F2" w:rsidP="00D641F2">
      <w:pPr>
        <w:rPr>
          <w:b/>
          <w:i/>
          <w:szCs w:val="22"/>
          <w:lang w:eastAsia="en-US"/>
        </w:rPr>
      </w:pPr>
      <w:bookmarkStart w:id="91" w:name="_Toc389729073"/>
      <w:bookmarkStart w:id="92" w:name="_Toc403472769"/>
      <w:bookmarkEnd w:id="90"/>
      <w:r w:rsidRPr="00492007">
        <w:rPr>
          <w:b/>
          <w:i/>
          <w:szCs w:val="22"/>
          <w:lang w:eastAsia="en-US"/>
        </w:rPr>
        <w:t>Exposure of the general public</w:t>
      </w:r>
      <w:bookmarkEnd w:id="91"/>
      <w:bookmarkEnd w:id="92"/>
    </w:p>
    <w:p w14:paraId="18566370" w14:textId="77777777" w:rsidR="00D641F2" w:rsidRPr="004743C4" w:rsidRDefault="00D641F2" w:rsidP="00D641F2">
      <w:pPr>
        <w:jc w:val="both"/>
        <w:rPr>
          <w:lang w:eastAsia="en-US"/>
        </w:rPr>
      </w:pPr>
      <w:r w:rsidRPr="004743C4">
        <w:rPr>
          <w:lang w:eastAsia="en-US"/>
        </w:rPr>
        <w:t xml:space="preserve">No general public exposure is foreseen. The product </w:t>
      </w:r>
      <w:r w:rsidR="00AE5162" w:rsidRPr="004743C4">
        <w:rPr>
          <w:lang w:eastAsia="en-US"/>
        </w:rPr>
        <w:t xml:space="preserve">IODIGUARD </w:t>
      </w:r>
      <w:r w:rsidRPr="004743C4">
        <w:rPr>
          <w:lang w:eastAsia="en-US"/>
        </w:rPr>
        <w:t xml:space="preserve">is a bactericide </w:t>
      </w:r>
      <w:r w:rsidR="004B63DB">
        <w:rPr>
          <w:lang w:eastAsia="en-US"/>
        </w:rPr>
        <w:t>and yeasticide</w:t>
      </w:r>
      <w:r w:rsidR="004B63DB" w:rsidRPr="004743C4">
        <w:rPr>
          <w:lang w:eastAsia="en-US"/>
        </w:rPr>
        <w:t xml:space="preserve"> </w:t>
      </w:r>
      <w:r w:rsidRPr="004743C4">
        <w:rPr>
          <w:lang w:eastAsia="en-US"/>
        </w:rPr>
        <w:t>used as teat disinfectant by professionals.</w:t>
      </w:r>
      <w:r>
        <w:rPr>
          <w:lang w:eastAsia="en-US"/>
        </w:rPr>
        <w:t xml:space="preserve"> </w:t>
      </w:r>
      <w:r w:rsidRPr="004743C4">
        <w:rPr>
          <w:lang w:eastAsia="en-US"/>
        </w:rPr>
        <w:t>Therefore the assessment of exposure of general public is not relevant.</w:t>
      </w:r>
    </w:p>
    <w:p w14:paraId="453185F8" w14:textId="77777777" w:rsidR="00D641F2" w:rsidRPr="00492007" w:rsidRDefault="00D641F2" w:rsidP="00D641F2">
      <w:pPr>
        <w:rPr>
          <w:highlight w:val="cyan"/>
          <w:lang w:eastAsia="en-US"/>
        </w:rPr>
      </w:pPr>
    </w:p>
    <w:p w14:paraId="17ED6379" w14:textId="77777777" w:rsidR="00D641F2" w:rsidRPr="00492007" w:rsidRDefault="00D641F2" w:rsidP="00D641F2">
      <w:pPr>
        <w:rPr>
          <w:b/>
          <w:i/>
          <w:szCs w:val="22"/>
          <w:lang w:eastAsia="en-US"/>
        </w:rPr>
      </w:pPr>
      <w:bookmarkStart w:id="93" w:name="_Toc389729076"/>
      <w:bookmarkStart w:id="94" w:name="_Toc403472770"/>
      <w:r w:rsidRPr="00492007">
        <w:rPr>
          <w:b/>
          <w:i/>
          <w:szCs w:val="22"/>
          <w:lang w:eastAsia="en-US"/>
        </w:rPr>
        <w:t>Monitoring data</w:t>
      </w:r>
      <w:bookmarkEnd w:id="93"/>
      <w:bookmarkEnd w:id="94"/>
    </w:p>
    <w:p w14:paraId="090DCD69" w14:textId="77777777" w:rsidR="00D641F2" w:rsidRPr="0029459A" w:rsidRDefault="00D641F2" w:rsidP="00D641F2">
      <w:pPr>
        <w:jc w:val="both"/>
        <w:rPr>
          <w:iCs/>
          <w:lang w:eastAsia="en-US"/>
        </w:rPr>
      </w:pPr>
      <w:r w:rsidRPr="0029459A">
        <w:rPr>
          <w:iCs/>
          <w:lang w:eastAsia="en-US"/>
        </w:rPr>
        <w:t>None.</w:t>
      </w:r>
    </w:p>
    <w:p w14:paraId="718DEE50" w14:textId="77777777" w:rsidR="00D641F2" w:rsidRDefault="00D641F2">
      <w:pPr>
        <w:spacing w:line="260" w:lineRule="atLeast"/>
        <w:rPr>
          <w:rFonts w:ascii="Times New Roman" w:eastAsia="Calibri" w:hAnsi="Times New Roman" w:cs="Times New Roman"/>
          <w:i/>
          <w:iCs/>
          <w:lang w:eastAsia="en-US"/>
        </w:rPr>
      </w:pPr>
    </w:p>
    <w:p w14:paraId="6CFC639A" w14:textId="77777777" w:rsidR="00411C91" w:rsidRDefault="00411C91">
      <w:pPr>
        <w:spacing w:line="260" w:lineRule="atLeast"/>
        <w:rPr>
          <w:rFonts w:ascii="Times New Roman" w:eastAsia="Calibri" w:hAnsi="Times New Roman" w:cs="Times New Roman"/>
          <w:i/>
          <w:iCs/>
          <w:lang w:eastAsia="en-US"/>
        </w:rPr>
      </w:pPr>
    </w:p>
    <w:p w14:paraId="2986048E" w14:textId="77777777" w:rsidR="00411C91" w:rsidRPr="00F84E0D" w:rsidRDefault="00411C91" w:rsidP="00411C91">
      <w:pPr>
        <w:rPr>
          <w:b/>
          <w:i/>
          <w:szCs w:val="22"/>
          <w:lang w:eastAsia="en-US"/>
        </w:rPr>
      </w:pPr>
      <w:r w:rsidRPr="00F84E0D">
        <w:rPr>
          <w:b/>
          <w:i/>
          <w:szCs w:val="22"/>
          <w:lang w:eastAsia="en-US"/>
        </w:rPr>
        <w:t>Dietary exposure</w:t>
      </w:r>
    </w:p>
    <w:p w14:paraId="15698DEF" w14:textId="77777777" w:rsidR="00411C91" w:rsidRDefault="00411C91" w:rsidP="00411C91">
      <w:pPr>
        <w:jc w:val="both"/>
        <w:rPr>
          <w:lang w:eastAsia="en-US"/>
        </w:rPr>
      </w:pPr>
      <w:r w:rsidRPr="00E23C59">
        <w:rPr>
          <w:lang w:eastAsia="en-US"/>
        </w:rPr>
        <w:t>Considering intended uses of the product IODIGUARD, livestock can be exposed to the active substance iodine.</w:t>
      </w:r>
      <w:r>
        <w:rPr>
          <w:lang w:eastAsia="en-US"/>
        </w:rPr>
        <w:t xml:space="preserve"> </w:t>
      </w:r>
      <w:r w:rsidR="00A76CC4">
        <w:rPr>
          <w:lang w:eastAsia="en-US"/>
        </w:rPr>
        <w:t>R</w:t>
      </w:r>
      <w:r>
        <w:rPr>
          <w:lang w:eastAsia="en-US"/>
        </w:rPr>
        <w:t xml:space="preserve">esidue of iodine can be found in food and products from animal origin. As a consequence, the human dietary assessment needs to be performed in this dossier. </w:t>
      </w:r>
    </w:p>
    <w:p w14:paraId="0D76D535" w14:textId="77777777" w:rsidR="00411C91" w:rsidRPr="00F84E0D" w:rsidRDefault="00411C91" w:rsidP="00411C91">
      <w:pPr>
        <w:jc w:val="both"/>
        <w:rPr>
          <w:lang w:eastAsia="en-US"/>
        </w:rPr>
      </w:pPr>
    </w:p>
    <w:p w14:paraId="22DDFB64" w14:textId="77777777" w:rsidR="00411C91" w:rsidRPr="007B44E3" w:rsidRDefault="00411C91" w:rsidP="00411C91">
      <w:pPr>
        <w:rPr>
          <w:i/>
          <w:szCs w:val="22"/>
          <w:u w:val="single"/>
          <w:lang w:eastAsia="en-US"/>
        </w:rPr>
      </w:pPr>
      <w:r w:rsidRPr="007B44E3">
        <w:rPr>
          <w:i/>
          <w:szCs w:val="22"/>
          <w:u w:val="single"/>
          <w:lang w:eastAsia="en-US"/>
        </w:rPr>
        <w:t>Residue definitions</w:t>
      </w:r>
    </w:p>
    <w:p w14:paraId="3901FA74" w14:textId="77777777" w:rsidR="00411C91" w:rsidRDefault="00411C91" w:rsidP="00411C91">
      <w:pPr>
        <w:jc w:val="both"/>
        <w:rPr>
          <w:lang w:eastAsia="en-US"/>
        </w:rPr>
      </w:pPr>
      <w:r w:rsidRPr="002C5603">
        <w:rPr>
          <w:lang w:eastAsia="en-US"/>
        </w:rPr>
        <w:lastRenderedPageBreak/>
        <w:t xml:space="preserve">In water, iodide </w:t>
      </w:r>
      <w:r w:rsidRPr="002932E4">
        <w:rPr>
          <w:lang w:val="en-US" w:eastAsia="en-US"/>
        </w:rPr>
        <w:t>(I</w:t>
      </w:r>
      <w:r w:rsidRPr="002932E4">
        <w:rPr>
          <w:vertAlign w:val="superscript"/>
          <w:lang w:val="en-US" w:eastAsia="en-US"/>
        </w:rPr>
        <w:t>-</w:t>
      </w:r>
      <w:r>
        <w:rPr>
          <w:lang w:val="en-US" w:eastAsia="en-US"/>
        </w:rPr>
        <w:t xml:space="preserve">) </w:t>
      </w:r>
      <w:r w:rsidRPr="002C5603">
        <w:rPr>
          <w:lang w:eastAsia="en-US"/>
        </w:rPr>
        <w:t xml:space="preserve">and iodate </w:t>
      </w:r>
      <w:r w:rsidRPr="002932E4">
        <w:rPr>
          <w:lang w:val="en-US" w:eastAsia="en-US"/>
        </w:rPr>
        <w:t>(I</w:t>
      </w:r>
      <w:r>
        <w:rPr>
          <w:lang w:val="en-US" w:eastAsia="en-US"/>
        </w:rPr>
        <w:t>O</w:t>
      </w:r>
      <w:r w:rsidRPr="00650D7B">
        <w:rPr>
          <w:vertAlign w:val="subscript"/>
          <w:lang w:val="en-US" w:eastAsia="en-US"/>
        </w:rPr>
        <w:t>3</w:t>
      </w:r>
      <w:r w:rsidRPr="00A95AE0">
        <w:rPr>
          <w:vertAlign w:val="superscript"/>
          <w:lang w:val="en-US" w:eastAsia="en-US"/>
        </w:rPr>
        <w:t>-</w:t>
      </w:r>
      <w:r>
        <w:rPr>
          <w:lang w:val="en-US" w:eastAsia="en-US"/>
        </w:rPr>
        <w:t xml:space="preserve">) </w:t>
      </w:r>
      <w:r w:rsidRPr="002C5603">
        <w:rPr>
          <w:lang w:eastAsia="en-US"/>
        </w:rPr>
        <w:t xml:space="preserve">are the predominant species. In addition a natural background level of methyl iodide might also be found in water. At pH values between 4 and 9, iodide is the predominant specie. In alkaline and well oxidized waters iodate is the predominant specie. </w:t>
      </w:r>
    </w:p>
    <w:p w14:paraId="1BF206CA" w14:textId="77777777" w:rsidR="00411C91" w:rsidRPr="002C5603" w:rsidRDefault="00411C91" w:rsidP="00411C91">
      <w:pPr>
        <w:pStyle w:val="Default"/>
        <w:jc w:val="both"/>
        <w:rPr>
          <w:rFonts w:ascii="Verdana" w:hAnsi="Verdana"/>
          <w:color w:val="auto"/>
          <w:sz w:val="20"/>
          <w:lang w:val="sv-SE" w:eastAsia="en-US"/>
        </w:rPr>
      </w:pPr>
    </w:p>
    <w:p w14:paraId="2EFB3446" w14:textId="77777777" w:rsidR="00411C91" w:rsidRPr="002932E4" w:rsidRDefault="00411C91" w:rsidP="00411C91">
      <w:pPr>
        <w:pStyle w:val="Default"/>
        <w:jc w:val="both"/>
        <w:rPr>
          <w:rFonts w:ascii="Verdana" w:hAnsi="Verdana"/>
          <w:color w:val="auto"/>
          <w:sz w:val="20"/>
          <w:lang w:val="sv-SE" w:eastAsia="en-US"/>
        </w:rPr>
      </w:pPr>
      <w:r w:rsidRPr="002932E4">
        <w:rPr>
          <w:rFonts w:ascii="Verdana" w:hAnsi="Verdana"/>
          <w:sz w:val="20"/>
          <w:lang w:val="en-US" w:eastAsia="en-US"/>
        </w:rPr>
        <w:t>The livestock is expected to be exposed to the active substance iodine (I</w:t>
      </w:r>
      <w:r w:rsidRPr="002932E4">
        <w:rPr>
          <w:rFonts w:ascii="Verdana" w:hAnsi="Verdana"/>
          <w:sz w:val="20"/>
          <w:vertAlign w:val="subscript"/>
          <w:lang w:val="en-US" w:eastAsia="en-US"/>
        </w:rPr>
        <w:t>2</w:t>
      </w:r>
      <w:r>
        <w:rPr>
          <w:rFonts w:ascii="Verdana" w:hAnsi="Verdana"/>
          <w:sz w:val="20"/>
          <w:lang w:val="en-US" w:eastAsia="en-US"/>
        </w:rPr>
        <w:t>)</w:t>
      </w:r>
      <w:r w:rsidRPr="002932E4">
        <w:rPr>
          <w:rFonts w:ascii="Verdana" w:hAnsi="Verdana"/>
          <w:sz w:val="20"/>
          <w:lang w:val="en-US" w:eastAsia="en-US"/>
        </w:rPr>
        <w:t xml:space="preserve">. </w:t>
      </w:r>
      <w:r w:rsidRPr="002C5603">
        <w:rPr>
          <w:rFonts w:ascii="Verdana" w:hAnsi="Verdana"/>
          <w:sz w:val="20"/>
          <w:lang w:val="en-US" w:eastAsia="en-US"/>
        </w:rPr>
        <w:t>When absorbed</w:t>
      </w:r>
      <w:r>
        <w:rPr>
          <w:rFonts w:ascii="Verdana" w:hAnsi="Verdana"/>
          <w:sz w:val="20"/>
          <w:lang w:val="en-US" w:eastAsia="en-US"/>
        </w:rPr>
        <w:t>,</w:t>
      </w:r>
      <w:r w:rsidRPr="002C5603">
        <w:rPr>
          <w:rFonts w:ascii="Verdana" w:hAnsi="Verdana"/>
          <w:sz w:val="20"/>
          <w:lang w:val="en-US" w:eastAsia="en-US"/>
        </w:rPr>
        <w:t xml:space="preserve"> i</w:t>
      </w:r>
      <w:r w:rsidRPr="002932E4">
        <w:rPr>
          <w:rFonts w:ascii="Verdana" w:hAnsi="Verdana"/>
          <w:color w:val="auto"/>
          <w:sz w:val="20"/>
          <w:lang w:val="sv-SE" w:eastAsia="en-US"/>
        </w:rPr>
        <w:t xml:space="preserve">odine is quickly reduced to iodide by nonenzymatic reactions. Iodide is readily and (almost) completely absorbed. The bioavailability after oral administration is &gt; 90%. </w:t>
      </w:r>
    </w:p>
    <w:p w14:paraId="76112071" w14:textId="77777777" w:rsidR="00411C91" w:rsidRPr="002932E4" w:rsidRDefault="00411C91" w:rsidP="00411C91">
      <w:pPr>
        <w:jc w:val="both"/>
        <w:rPr>
          <w:lang w:eastAsia="en-US"/>
        </w:rPr>
      </w:pPr>
      <w:r>
        <w:rPr>
          <w:lang w:eastAsia="en-US"/>
        </w:rPr>
        <w:t>The residue of iodine expected in food and products from animal origin is i</w:t>
      </w:r>
      <w:r w:rsidRPr="002932E4">
        <w:rPr>
          <w:lang w:eastAsia="en-US"/>
        </w:rPr>
        <w:t>odi</w:t>
      </w:r>
      <w:r>
        <w:rPr>
          <w:lang w:eastAsia="en-US"/>
        </w:rPr>
        <w:t>d</w:t>
      </w:r>
      <w:r w:rsidRPr="002932E4">
        <w:rPr>
          <w:lang w:eastAsia="en-US"/>
        </w:rPr>
        <w:t>e</w:t>
      </w:r>
      <w:r>
        <w:rPr>
          <w:lang w:eastAsia="en-US"/>
        </w:rPr>
        <w:t xml:space="preserve"> </w:t>
      </w:r>
      <w:r w:rsidRPr="002932E4">
        <w:rPr>
          <w:lang w:val="en-US" w:eastAsia="en-US"/>
        </w:rPr>
        <w:t>(I</w:t>
      </w:r>
      <w:r w:rsidRPr="002932E4">
        <w:rPr>
          <w:vertAlign w:val="superscript"/>
          <w:lang w:val="en-US" w:eastAsia="en-US"/>
        </w:rPr>
        <w:t>-</w:t>
      </w:r>
      <w:r>
        <w:rPr>
          <w:lang w:val="en-US" w:eastAsia="en-US"/>
        </w:rPr>
        <w:t>)</w:t>
      </w:r>
      <w:r w:rsidRPr="002932E4">
        <w:rPr>
          <w:lang w:eastAsia="en-US"/>
        </w:rPr>
        <w:t xml:space="preserve">. </w:t>
      </w:r>
    </w:p>
    <w:p w14:paraId="0A16860A" w14:textId="77777777" w:rsidR="00411C91" w:rsidRDefault="00411C91" w:rsidP="00411C91">
      <w:pPr>
        <w:jc w:val="both"/>
        <w:rPr>
          <w:i/>
          <w:iCs/>
          <w:lang w:eastAsia="en-US"/>
        </w:rPr>
      </w:pPr>
    </w:p>
    <w:p w14:paraId="1D20F232" w14:textId="77777777" w:rsidR="00411C91" w:rsidRPr="00F84E0D" w:rsidRDefault="00411C91" w:rsidP="00411C91">
      <w:pPr>
        <w:rPr>
          <w:i/>
          <w:szCs w:val="22"/>
          <w:u w:val="single"/>
          <w:lang w:eastAsia="en-US"/>
        </w:rPr>
      </w:pPr>
      <w:bookmarkStart w:id="95" w:name="_Toc389729078"/>
      <w:r w:rsidRPr="00F84E0D">
        <w:rPr>
          <w:i/>
          <w:szCs w:val="22"/>
          <w:u w:val="single"/>
          <w:lang w:eastAsia="en-US"/>
        </w:rPr>
        <w:t>List of scenarios</w:t>
      </w:r>
      <w:bookmarkEnd w:id="95"/>
    </w:p>
    <w:p w14:paraId="13F8235C" w14:textId="77777777" w:rsidR="003D6A06" w:rsidRPr="007B44E3" w:rsidRDefault="003D6A06" w:rsidP="003D6A06">
      <w:pPr>
        <w:jc w:val="both"/>
        <w:rPr>
          <w:lang w:val="en-US" w:eastAsia="de-DE"/>
        </w:rPr>
      </w:pPr>
      <w:r w:rsidRPr="007B44E3">
        <w:rPr>
          <w:lang w:val="en-US" w:eastAsia="de-DE"/>
        </w:rPr>
        <w:t xml:space="preserve">In place of </w:t>
      </w:r>
      <w:r w:rsidR="006F1C90" w:rsidRPr="007B44E3">
        <w:rPr>
          <w:lang w:val="en-US" w:eastAsia="de-DE"/>
        </w:rPr>
        <w:t>residue</w:t>
      </w:r>
      <w:r w:rsidRPr="007B44E3">
        <w:rPr>
          <w:lang w:val="en-US" w:eastAsia="de-DE"/>
        </w:rPr>
        <w:t xml:space="preserve"> data to determine residues of iodine in milk following use of IODIGUARD, the consumer exposure followed the harmonized approach developed at EU level (WG TOX II-III-IV 2017, and Webex post WG tox IV 2017 meetings).</w:t>
      </w:r>
    </w:p>
    <w:p w14:paraId="317146EE" w14:textId="77777777" w:rsidR="003D6A06" w:rsidRPr="007B44E3" w:rsidRDefault="003D6A06" w:rsidP="003D6A06">
      <w:pPr>
        <w:jc w:val="both"/>
        <w:rPr>
          <w:lang w:val="en-US" w:eastAsia="de-DE"/>
        </w:rPr>
      </w:pPr>
    </w:p>
    <w:p w14:paraId="61BAEF60" w14:textId="77777777" w:rsidR="003D6A06" w:rsidRPr="007B44E3" w:rsidRDefault="003D6A06" w:rsidP="003D6A06">
      <w:pPr>
        <w:jc w:val="both"/>
        <w:rPr>
          <w:lang w:val="en-US" w:eastAsia="de-DE"/>
        </w:rPr>
      </w:pPr>
      <w:r w:rsidRPr="007B44E3">
        <w:rPr>
          <w:lang w:val="en-US" w:eastAsia="de-DE"/>
        </w:rPr>
        <w:t xml:space="preserve">The applicant (Centre Technique d’Hygiène) has also provided dietary risk assessment in framework of this dossier. Nevertheless, considering the recent EU discussions, the decisions made in the WG TOX and WebEx meetings have been implemented. </w:t>
      </w:r>
    </w:p>
    <w:p w14:paraId="5B7E2AB0" w14:textId="77777777" w:rsidR="003D6A06" w:rsidRPr="007B44E3" w:rsidRDefault="003D6A06" w:rsidP="003D6A06">
      <w:pPr>
        <w:jc w:val="both"/>
        <w:rPr>
          <w:lang w:val="en-US" w:eastAsia="de-DE"/>
        </w:rPr>
      </w:pPr>
    </w:p>
    <w:p w14:paraId="12388299" w14:textId="77777777" w:rsidR="003D6A06" w:rsidRPr="007B44E3" w:rsidRDefault="003D6A06" w:rsidP="003D6A06">
      <w:pPr>
        <w:jc w:val="both"/>
        <w:rPr>
          <w:lang w:val="en-US" w:eastAsia="de-DE"/>
        </w:rPr>
      </w:pPr>
      <w:r w:rsidRPr="007B44E3">
        <w:rPr>
          <w:lang w:val="en-US" w:eastAsia="de-DE"/>
        </w:rPr>
        <w:t>Based on the details below the following three theoretical intakes has been calculated and evaluated:</w:t>
      </w:r>
    </w:p>
    <w:p w14:paraId="1CF6E733" w14:textId="77777777" w:rsidR="003D6A06" w:rsidRPr="007B44E3" w:rsidRDefault="003D6A06" w:rsidP="003D6A06">
      <w:pPr>
        <w:jc w:val="both"/>
        <w:rPr>
          <w:lang w:val="en-US" w:eastAsia="de-DE"/>
        </w:rPr>
      </w:pPr>
    </w:p>
    <w:p w14:paraId="47104B2C" w14:textId="77777777" w:rsidR="003D6A06" w:rsidRPr="007B44E3" w:rsidRDefault="003D6A06" w:rsidP="003D6A06">
      <w:pPr>
        <w:numPr>
          <w:ilvl w:val="0"/>
          <w:numId w:val="29"/>
        </w:numPr>
        <w:suppressAutoHyphens w:val="0"/>
        <w:contextualSpacing/>
        <w:jc w:val="both"/>
        <w:rPr>
          <w:lang w:val="en-US" w:eastAsia="de-DE"/>
        </w:rPr>
      </w:pPr>
      <w:r w:rsidRPr="007B44E3">
        <w:rPr>
          <w:lang w:val="en-US" w:eastAsia="de-DE"/>
        </w:rPr>
        <w:t>Iodine intakes resulting from only the proposed teat treatment.</w:t>
      </w:r>
    </w:p>
    <w:p w14:paraId="5720A0F0" w14:textId="77777777" w:rsidR="003D6A06" w:rsidRPr="007B44E3" w:rsidRDefault="003D6A06" w:rsidP="003D6A06">
      <w:pPr>
        <w:numPr>
          <w:ilvl w:val="0"/>
          <w:numId w:val="29"/>
        </w:numPr>
        <w:suppressAutoHyphens w:val="0"/>
        <w:contextualSpacing/>
        <w:jc w:val="both"/>
        <w:rPr>
          <w:lang w:val="en-US" w:eastAsia="de-DE"/>
        </w:rPr>
      </w:pPr>
      <w:r w:rsidRPr="007B44E3">
        <w:rPr>
          <w:lang w:val="en-US" w:eastAsia="de-DE"/>
        </w:rPr>
        <w:t>Iodine intakes from milk (sum of the proposed teat treatment + background levels in milk (200 µg/L)).</w:t>
      </w:r>
    </w:p>
    <w:p w14:paraId="19CAFBBE" w14:textId="77777777" w:rsidR="003D6A06" w:rsidRPr="007B44E3" w:rsidRDefault="003D6A06" w:rsidP="003D6A06">
      <w:pPr>
        <w:numPr>
          <w:ilvl w:val="0"/>
          <w:numId w:val="29"/>
        </w:numPr>
        <w:suppressAutoHyphens w:val="0"/>
        <w:contextualSpacing/>
        <w:jc w:val="both"/>
        <w:rPr>
          <w:lang w:val="en-US" w:eastAsia="de-DE"/>
        </w:rPr>
      </w:pPr>
      <w:r w:rsidRPr="007B44E3">
        <w:rPr>
          <w:lang w:val="en-US" w:eastAsia="de-DE"/>
        </w:rPr>
        <w:t>Iodine intakes from all dietary sources (sum of the proposed teat treatment + background levels in milk (200 µg/L) + mean intake associated with other dietary sources (adult = 185 µg/day, infant = 96 µg/day)).</w:t>
      </w:r>
    </w:p>
    <w:p w14:paraId="1B2878B9" w14:textId="77777777" w:rsidR="00411C91" w:rsidRPr="007B44E3" w:rsidRDefault="00411C91" w:rsidP="00411C91">
      <w:pPr>
        <w:rPr>
          <w:lang w:val="en-US" w:eastAsia="en-US"/>
        </w:rPr>
      </w:pPr>
    </w:p>
    <w:tbl>
      <w:tblPr>
        <w:tblW w:w="4963"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4"/>
        <w:gridCol w:w="1350"/>
        <w:gridCol w:w="3592"/>
        <w:gridCol w:w="3073"/>
      </w:tblGrid>
      <w:tr w:rsidR="00411C91" w:rsidRPr="00F84E0D" w14:paraId="37D735BC" w14:textId="77777777" w:rsidTr="00411C91">
        <w:trPr>
          <w:tblHeader/>
        </w:trPr>
        <w:tc>
          <w:tcPr>
            <w:tcW w:w="5000" w:type="pct"/>
            <w:gridSpan w:val="4"/>
            <w:shd w:val="clear" w:color="auto" w:fill="FFFFCC"/>
          </w:tcPr>
          <w:p w14:paraId="7AAC1CBB" w14:textId="77777777" w:rsidR="00411C91" w:rsidRPr="00F84E0D" w:rsidRDefault="00411C91" w:rsidP="00AB21D9">
            <w:pPr>
              <w:jc w:val="center"/>
              <w:rPr>
                <w:b/>
                <w:lang w:eastAsia="en-US"/>
              </w:rPr>
            </w:pPr>
            <w:r w:rsidRPr="00F84E0D">
              <w:rPr>
                <w:b/>
                <w:lang w:eastAsia="en-US"/>
              </w:rPr>
              <w:t>Summary table of main representative dietary exposure scenarios</w:t>
            </w:r>
          </w:p>
        </w:tc>
      </w:tr>
      <w:tr w:rsidR="00411C91" w:rsidRPr="00F84E0D" w14:paraId="28FE7649" w14:textId="77777777" w:rsidTr="00411C91">
        <w:trPr>
          <w:tblHeader/>
        </w:trPr>
        <w:tc>
          <w:tcPr>
            <w:tcW w:w="562" w:type="pct"/>
            <w:shd w:val="clear" w:color="auto" w:fill="auto"/>
            <w:tcMar>
              <w:top w:w="57" w:type="dxa"/>
              <w:bottom w:w="57" w:type="dxa"/>
            </w:tcMar>
          </w:tcPr>
          <w:p w14:paraId="56353441" w14:textId="77777777" w:rsidR="00411C91" w:rsidRPr="00F84E0D" w:rsidRDefault="00411C91" w:rsidP="00AB21D9">
            <w:pPr>
              <w:rPr>
                <w:b/>
                <w:lang w:eastAsia="en-US"/>
              </w:rPr>
            </w:pPr>
            <w:r w:rsidRPr="00F84E0D">
              <w:rPr>
                <w:b/>
                <w:lang w:eastAsia="en-US"/>
              </w:rPr>
              <w:t>Scenario number</w:t>
            </w:r>
          </w:p>
        </w:tc>
        <w:tc>
          <w:tcPr>
            <w:tcW w:w="756" w:type="pct"/>
            <w:shd w:val="clear" w:color="auto" w:fill="auto"/>
            <w:tcMar>
              <w:top w:w="57" w:type="dxa"/>
              <w:bottom w:w="57" w:type="dxa"/>
            </w:tcMar>
          </w:tcPr>
          <w:p w14:paraId="52227BFA" w14:textId="77777777" w:rsidR="00411C91" w:rsidRPr="00F84E0D" w:rsidRDefault="00411C91" w:rsidP="00AB21D9">
            <w:pPr>
              <w:rPr>
                <w:b/>
                <w:lang w:eastAsia="en-US"/>
              </w:rPr>
            </w:pPr>
            <w:r w:rsidRPr="00F84E0D">
              <w:rPr>
                <w:b/>
                <w:lang w:eastAsia="en-US"/>
              </w:rPr>
              <w:t>Type of use</w:t>
            </w:r>
          </w:p>
        </w:tc>
        <w:tc>
          <w:tcPr>
            <w:tcW w:w="1983" w:type="pct"/>
            <w:shd w:val="clear" w:color="auto" w:fill="auto"/>
            <w:tcMar>
              <w:top w:w="57" w:type="dxa"/>
              <w:bottom w:w="57" w:type="dxa"/>
            </w:tcMar>
          </w:tcPr>
          <w:p w14:paraId="0FFB01E9" w14:textId="77777777" w:rsidR="00411C91" w:rsidRPr="00F84E0D" w:rsidRDefault="00411C91" w:rsidP="00AB21D9">
            <w:pPr>
              <w:rPr>
                <w:b/>
                <w:lang w:eastAsia="en-US"/>
              </w:rPr>
            </w:pPr>
            <w:r w:rsidRPr="00F84E0D">
              <w:rPr>
                <w:b/>
                <w:lang w:eastAsia="en-US"/>
              </w:rPr>
              <w:t>Description of scenario</w:t>
            </w:r>
          </w:p>
        </w:tc>
        <w:tc>
          <w:tcPr>
            <w:tcW w:w="1699" w:type="pct"/>
            <w:shd w:val="clear" w:color="auto" w:fill="auto"/>
            <w:tcMar>
              <w:top w:w="57" w:type="dxa"/>
              <w:bottom w:w="57" w:type="dxa"/>
            </w:tcMar>
          </w:tcPr>
          <w:p w14:paraId="2B850430" w14:textId="77777777" w:rsidR="00411C91" w:rsidRPr="00F84E0D" w:rsidRDefault="00411C91" w:rsidP="00AB21D9">
            <w:pPr>
              <w:rPr>
                <w:b/>
                <w:lang w:eastAsia="en-US"/>
              </w:rPr>
            </w:pPr>
            <w:r w:rsidRPr="00F84E0D">
              <w:rPr>
                <w:b/>
                <w:lang w:eastAsia="en-US"/>
              </w:rPr>
              <w:t>Subject of exposure</w:t>
            </w:r>
          </w:p>
        </w:tc>
      </w:tr>
      <w:tr w:rsidR="00411C91" w:rsidRPr="00F84E0D" w14:paraId="5EA00056" w14:textId="77777777" w:rsidTr="00411C91">
        <w:trPr>
          <w:tblHeader/>
        </w:trPr>
        <w:tc>
          <w:tcPr>
            <w:tcW w:w="562" w:type="pct"/>
            <w:tcMar>
              <w:top w:w="57" w:type="dxa"/>
              <w:bottom w:w="57" w:type="dxa"/>
            </w:tcMar>
          </w:tcPr>
          <w:p w14:paraId="450CA7FC" w14:textId="77777777" w:rsidR="00411C91" w:rsidRPr="00F84E0D" w:rsidRDefault="00411C91" w:rsidP="00AB21D9">
            <w:pPr>
              <w:rPr>
                <w:lang w:eastAsia="en-US"/>
              </w:rPr>
            </w:pPr>
            <w:r w:rsidRPr="00F84E0D">
              <w:rPr>
                <w:lang w:eastAsia="en-US"/>
              </w:rPr>
              <w:t>1.</w:t>
            </w:r>
          </w:p>
        </w:tc>
        <w:tc>
          <w:tcPr>
            <w:tcW w:w="756" w:type="pct"/>
            <w:shd w:val="clear" w:color="auto" w:fill="auto"/>
            <w:tcMar>
              <w:top w:w="57" w:type="dxa"/>
              <w:bottom w:w="57" w:type="dxa"/>
            </w:tcMar>
          </w:tcPr>
          <w:p w14:paraId="119543BE" w14:textId="77777777" w:rsidR="00411C91" w:rsidRDefault="00411C91" w:rsidP="00AB21D9">
            <w:pPr>
              <w:rPr>
                <w:rFonts w:cs="Arial"/>
                <w:bCs/>
                <w:lang w:eastAsia="de-DE"/>
              </w:rPr>
            </w:pPr>
            <w:r>
              <w:rPr>
                <w:rFonts w:cs="Arial"/>
                <w:bCs/>
                <w:lang w:eastAsia="de-DE"/>
              </w:rPr>
              <w:t>Professional users - indoor</w:t>
            </w:r>
          </w:p>
        </w:tc>
        <w:tc>
          <w:tcPr>
            <w:tcW w:w="1983" w:type="pct"/>
            <w:tcMar>
              <w:top w:w="57" w:type="dxa"/>
              <w:bottom w:w="57" w:type="dxa"/>
            </w:tcMar>
          </w:tcPr>
          <w:p w14:paraId="265497A8" w14:textId="77777777" w:rsidR="00411C91" w:rsidRDefault="00411C91" w:rsidP="00AB21D9">
            <w:pPr>
              <w:rPr>
                <w:rFonts w:cs="Arial"/>
                <w:bCs/>
                <w:lang w:val="de-DE"/>
              </w:rPr>
            </w:pPr>
            <w:r>
              <w:rPr>
                <w:rFonts w:cs="Arial"/>
                <w:bCs/>
                <w:lang w:val="de-DE"/>
              </w:rPr>
              <w:t>M</w:t>
            </w:r>
            <w:r w:rsidRPr="00EA38CA">
              <w:rPr>
                <w:rFonts w:cs="Arial"/>
                <w:bCs/>
                <w:lang w:val="de-DE"/>
              </w:rPr>
              <w:t xml:space="preserve">anual non-medical teat disinfection for cows, </w:t>
            </w:r>
            <w:r w:rsidR="004B63DB">
              <w:rPr>
                <w:rFonts w:cs="Arial"/>
                <w:bCs/>
                <w:lang w:val="de-DE"/>
              </w:rPr>
              <w:t>ewe</w:t>
            </w:r>
            <w:r w:rsidR="004B63DB" w:rsidRPr="00EA38CA">
              <w:rPr>
                <w:rFonts w:cs="Arial"/>
                <w:bCs/>
                <w:lang w:val="de-DE"/>
              </w:rPr>
              <w:t xml:space="preserve"> </w:t>
            </w:r>
            <w:r w:rsidRPr="00EA38CA">
              <w:rPr>
                <w:rFonts w:cs="Arial"/>
                <w:bCs/>
                <w:lang w:val="de-DE"/>
              </w:rPr>
              <w:t>and goats.</w:t>
            </w:r>
          </w:p>
          <w:p w14:paraId="164AD463" w14:textId="77777777" w:rsidR="00411C91" w:rsidRDefault="00411C91" w:rsidP="00AB21D9">
            <w:pPr>
              <w:rPr>
                <w:rFonts w:cs="Arial"/>
                <w:bCs/>
                <w:lang w:val="de-DE"/>
              </w:rPr>
            </w:pPr>
            <w:r w:rsidRPr="00EA38CA">
              <w:rPr>
                <w:rFonts w:cs="Arial"/>
                <w:bCs/>
                <w:lang w:val="de-DE"/>
              </w:rPr>
              <w:t xml:space="preserve">Dip </w:t>
            </w:r>
            <w:r w:rsidRPr="007B44E3">
              <w:rPr>
                <w:rFonts w:cs="Arial"/>
                <w:bCs/>
                <w:lang w:val="de-DE"/>
              </w:rPr>
              <w:t>treatment</w:t>
            </w:r>
            <w:r w:rsidR="003D6A06" w:rsidRPr="007B44E3">
              <w:rPr>
                <w:rFonts w:cs="Arial"/>
                <w:bCs/>
                <w:lang w:val="de-DE"/>
              </w:rPr>
              <w:t xml:space="preserve"> post-milking</w:t>
            </w:r>
          </w:p>
          <w:p w14:paraId="4FC290F6" w14:textId="77777777" w:rsidR="00411C91" w:rsidRDefault="00411C91" w:rsidP="00AB21D9">
            <w:pPr>
              <w:rPr>
                <w:rFonts w:cs="Arial"/>
                <w:bCs/>
                <w:lang w:val="de-DE"/>
              </w:rPr>
            </w:pPr>
            <w:r>
              <w:rPr>
                <w:rFonts w:cs="Arial"/>
                <w:bCs/>
                <w:lang w:val="de-DE"/>
              </w:rPr>
              <w:t>2 ml per teat</w:t>
            </w:r>
          </w:p>
          <w:p w14:paraId="764013A4" w14:textId="77777777" w:rsidR="00411C91" w:rsidRPr="00F84E0D" w:rsidRDefault="00411C91" w:rsidP="00AB21D9">
            <w:pPr>
              <w:rPr>
                <w:lang w:eastAsia="en-US"/>
              </w:rPr>
            </w:pPr>
            <w:r w:rsidRPr="00EA38CA">
              <w:rPr>
                <w:rFonts w:cs="Arial"/>
                <w:bCs/>
                <w:lang w:val="de-DE"/>
              </w:rPr>
              <w:t>2</w:t>
            </w:r>
            <w:r>
              <w:rPr>
                <w:rFonts w:cs="Arial"/>
                <w:bCs/>
                <w:lang w:val="de-DE"/>
              </w:rPr>
              <w:t xml:space="preserve"> </w:t>
            </w:r>
            <w:r w:rsidRPr="00EA38CA">
              <w:rPr>
                <w:rFonts w:cs="Arial"/>
                <w:bCs/>
                <w:lang w:val="de-DE"/>
              </w:rPr>
              <w:t>x/day, each day</w:t>
            </w:r>
          </w:p>
        </w:tc>
        <w:tc>
          <w:tcPr>
            <w:tcW w:w="1699" w:type="pct"/>
            <w:shd w:val="clear" w:color="auto" w:fill="auto"/>
            <w:tcMar>
              <w:top w:w="57" w:type="dxa"/>
              <w:bottom w:w="57" w:type="dxa"/>
            </w:tcMar>
          </w:tcPr>
          <w:p w14:paraId="133E7876" w14:textId="77777777" w:rsidR="00411C91" w:rsidRPr="00F84E0D" w:rsidRDefault="00411C91" w:rsidP="004B63DB">
            <w:pPr>
              <w:rPr>
                <w:lang w:eastAsia="en-US"/>
              </w:rPr>
            </w:pPr>
            <w:r>
              <w:rPr>
                <w:lang w:eastAsia="en-US"/>
              </w:rPr>
              <w:t xml:space="preserve">Livestock (dairy </w:t>
            </w:r>
            <w:r w:rsidR="004B63DB">
              <w:rPr>
                <w:lang w:eastAsia="en-US"/>
              </w:rPr>
              <w:t>cows</w:t>
            </w:r>
            <w:r>
              <w:rPr>
                <w:lang w:eastAsia="en-US"/>
              </w:rPr>
              <w:t xml:space="preserve">, </w:t>
            </w:r>
            <w:r w:rsidR="004B63DB">
              <w:rPr>
                <w:lang w:eastAsia="en-US"/>
              </w:rPr>
              <w:t xml:space="preserve">ewes </w:t>
            </w:r>
            <w:r>
              <w:rPr>
                <w:lang w:eastAsia="en-US"/>
              </w:rPr>
              <w:t>and goats)</w:t>
            </w:r>
          </w:p>
        </w:tc>
      </w:tr>
    </w:tbl>
    <w:p w14:paraId="3B39C94C" w14:textId="77777777" w:rsidR="00411C91" w:rsidRDefault="00411C91" w:rsidP="00411C91">
      <w:pPr>
        <w:rPr>
          <w:lang w:eastAsia="en-US"/>
        </w:rPr>
      </w:pPr>
    </w:p>
    <w:p w14:paraId="32EC2B39" w14:textId="77777777" w:rsidR="00411C91" w:rsidRDefault="00411C91" w:rsidP="00411C91">
      <w:pPr>
        <w:jc w:val="both"/>
        <w:rPr>
          <w:lang w:eastAsia="en-US"/>
        </w:rPr>
      </w:pPr>
      <w:r>
        <w:rPr>
          <w:lang w:eastAsia="en-US"/>
        </w:rPr>
        <w:t>The active substance iodine is not considered as a cumulative substance:</w:t>
      </w:r>
    </w:p>
    <w:p w14:paraId="2942EF8B" w14:textId="77777777" w:rsidR="00411C91" w:rsidRDefault="00411C91" w:rsidP="00411C91">
      <w:pPr>
        <w:pStyle w:val="Paragraphedeliste"/>
        <w:numPr>
          <w:ilvl w:val="0"/>
          <w:numId w:val="10"/>
        </w:numPr>
        <w:suppressAutoHyphens w:val="0"/>
        <w:spacing w:line="260" w:lineRule="atLeast"/>
        <w:contextualSpacing/>
        <w:jc w:val="both"/>
        <w:rPr>
          <w:lang w:eastAsia="en-US"/>
        </w:rPr>
      </w:pPr>
      <w:r w:rsidRPr="00A21F7F">
        <w:rPr>
          <w:lang w:eastAsia="en-US"/>
        </w:rPr>
        <w:t>no log Pow is defined</w:t>
      </w:r>
      <w:r>
        <w:rPr>
          <w:lang w:eastAsia="en-US"/>
        </w:rPr>
        <w:t>,</w:t>
      </w:r>
      <w:r w:rsidRPr="00A21F7F">
        <w:rPr>
          <w:lang w:eastAsia="en-US"/>
        </w:rPr>
        <w:t xml:space="preserve"> </w:t>
      </w:r>
    </w:p>
    <w:p w14:paraId="07EC6611" w14:textId="77777777" w:rsidR="00411C91" w:rsidRDefault="00411C91" w:rsidP="00411C91">
      <w:pPr>
        <w:pStyle w:val="Paragraphedeliste"/>
        <w:numPr>
          <w:ilvl w:val="0"/>
          <w:numId w:val="10"/>
        </w:numPr>
        <w:suppressAutoHyphens w:val="0"/>
        <w:spacing w:line="260" w:lineRule="atLeast"/>
        <w:contextualSpacing/>
        <w:jc w:val="both"/>
        <w:rPr>
          <w:lang w:eastAsia="en-US"/>
        </w:rPr>
      </w:pPr>
      <w:r w:rsidRPr="00A21F7F">
        <w:rPr>
          <w:lang w:eastAsia="en-US"/>
        </w:rPr>
        <w:t>no data suggests a potential bioaccumulation of iodine/iodide in the body under normal</w:t>
      </w:r>
      <w:r>
        <w:rPr>
          <w:lang w:eastAsia="en-US"/>
        </w:rPr>
        <w:t xml:space="preserve"> </w:t>
      </w:r>
      <w:r w:rsidRPr="00A21F7F">
        <w:rPr>
          <w:lang w:eastAsia="en-US"/>
        </w:rPr>
        <w:t>circumstances</w:t>
      </w:r>
      <w:r>
        <w:rPr>
          <w:lang w:eastAsia="en-US"/>
        </w:rPr>
        <w:t>,</w:t>
      </w:r>
      <w:r w:rsidRPr="00A21F7F">
        <w:rPr>
          <w:lang w:eastAsia="en-US"/>
        </w:rPr>
        <w:t xml:space="preserve"> </w:t>
      </w:r>
    </w:p>
    <w:p w14:paraId="131440FE" w14:textId="77777777" w:rsidR="00411C91" w:rsidRDefault="004B63DB" w:rsidP="00411C91">
      <w:pPr>
        <w:pStyle w:val="Paragraphedeliste"/>
        <w:numPr>
          <w:ilvl w:val="0"/>
          <w:numId w:val="10"/>
        </w:numPr>
        <w:suppressAutoHyphens w:val="0"/>
        <w:spacing w:line="260" w:lineRule="atLeast"/>
        <w:contextualSpacing/>
        <w:jc w:val="both"/>
        <w:rPr>
          <w:lang w:eastAsia="en-US"/>
        </w:rPr>
      </w:pPr>
      <w:proofErr w:type="gramStart"/>
      <w:r>
        <w:rPr>
          <w:lang w:eastAsia="en-US"/>
        </w:rPr>
        <w:t>i</w:t>
      </w:r>
      <w:r w:rsidR="00411C91" w:rsidRPr="00A21F7F">
        <w:rPr>
          <w:lang w:eastAsia="en-US"/>
        </w:rPr>
        <w:t>odide</w:t>
      </w:r>
      <w:proofErr w:type="gramEnd"/>
      <w:r w:rsidR="00411C91" w:rsidRPr="00A21F7F">
        <w:rPr>
          <w:lang w:eastAsia="en-US"/>
        </w:rPr>
        <w:t xml:space="preserve"> in excess of physiological requirement is excreted mainly via the urine, and in</w:t>
      </w:r>
      <w:r w:rsidR="00411C91">
        <w:rPr>
          <w:lang w:eastAsia="en-US"/>
        </w:rPr>
        <w:t xml:space="preserve"> </w:t>
      </w:r>
      <w:r w:rsidR="00411C91" w:rsidRPr="00A21F7F">
        <w:rPr>
          <w:lang w:eastAsia="en-US"/>
        </w:rPr>
        <w:t>smaller quantities via faeces, saliva, milk, sweat, tears, bile, other secretions and exhaled air.</w:t>
      </w:r>
    </w:p>
    <w:p w14:paraId="0B0E0733" w14:textId="77777777" w:rsidR="00411C91" w:rsidRDefault="00411C91" w:rsidP="00411C91">
      <w:pPr>
        <w:rPr>
          <w:lang w:eastAsia="en-US"/>
        </w:rPr>
      </w:pPr>
      <w:r>
        <w:rPr>
          <w:lang w:eastAsia="en-US"/>
        </w:rPr>
        <w:t>Therefore n</w:t>
      </w:r>
      <w:r w:rsidRPr="00BC6FB6">
        <w:rPr>
          <w:lang w:eastAsia="en-US"/>
        </w:rPr>
        <w:t>o bioaccumulation</w:t>
      </w:r>
      <w:r>
        <w:rPr>
          <w:lang w:eastAsia="en-US"/>
        </w:rPr>
        <w:t xml:space="preserve"> of iodine is expected</w:t>
      </w:r>
      <w:r w:rsidRPr="00BC6FB6">
        <w:rPr>
          <w:lang w:eastAsia="en-US"/>
        </w:rPr>
        <w:t>.</w:t>
      </w:r>
    </w:p>
    <w:p w14:paraId="3436E879" w14:textId="77777777" w:rsidR="00411C91" w:rsidRPr="00FD2055" w:rsidRDefault="00411C91" w:rsidP="00985AFA">
      <w:pPr>
        <w:jc w:val="both"/>
        <w:rPr>
          <w:lang w:eastAsia="en-US"/>
        </w:rPr>
      </w:pPr>
    </w:p>
    <w:p w14:paraId="39814598" w14:textId="77777777" w:rsidR="00411C91" w:rsidRPr="00F84E0D" w:rsidRDefault="00411C91" w:rsidP="00411C91">
      <w:pPr>
        <w:rPr>
          <w:i/>
          <w:szCs w:val="22"/>
          <w:u w:val="single"/>
          <w:lang w:eastAsia="en-US"/>
        </w:rPr>
      </w:pPr>
      <w:bookmarkStart w:id="96" w:name="_Toc389729079"/>
      <w:r w:rsidRPr="00F84E0D">
        <w:rPr>
          <w:i/>
          <w:szCs w:val="22"/>
          <w:u w:val="single"/>
          <w:lang w:eastAsia="en-US"/>
        </w:rPr>
        <w:t>Information of non-biocidal use of the active substance</w:t>
      </w:r>
      <w:bookmarkEnd w:id="96"/>
    </w:p>
    <w:p w14:paraId="2F57B7AE" w14:textId="77777777" w:rsidR="00411C91" w:rsidRDefault="00411C91" w:rsidP="00411C91">
      <w:pPr>
        <w:autoSpaceDE w:val="0"/>
        <w:autoSpaceDN w:val="0"/>
        <w:adjustRightInd w:val="0"/>
        <w:jc w:val="both"/>
        <w:rPr>
          <w:lang w:eastAsia="en-US"/>
        </w:rPr>
      </w:pPr>
    </w:p>
    <w:p w14:paraId="532E516C" w14:textId="77777777" w:rsidR="00411C91" w:rsidRPr="00305030" w:rsidRDefault="00411C91" w:rsidP="00411C91">
      <w:pPr>
        <w:autoSpaceDE w:val="0"/>
        <w:autoSpaceDN w:val="0"/>
        <w:adjustRightInd w:val="0"/>
        <w:jc w:val="both"/>
        <w:rPr>
          <w:lang w:eastAsia="en-US"/>
        </w:rPr>
      </w:pPr>
      <w:r w:rsidRPr="002C5603">
        <w:rPr>
          <w:lang w:eastAsia="en-US"/>
        </w:rPr>
        <w:t xml:space="preserve">According to Regulation (EU) No. 2015/861, several iodine-containing compounds are authorized as </w:t>
      </w:r>
      <w:r w:rsidRPr="002C5603">
        <w:rPr>
          <w:u w:val="single"/>
          <w:lang w:eastAsia="en-US"/>
        </w:rPr>
        <w:t>feed additives</w:t>
      </w:r>
      <w:r w:rsidRPr="002C5603">
        <w:rPr>
          <w:lang w:eastAsia="en-US"/>
        </w:rPr>
        <w:t xml:space="preserve">, and also as antiseptics and sanitisers in </w:t>
      </w:r>
      <w:r w:rsidRPr="002C5603">
        <w:rPr>
          <w:u w:val="single"/>
          <w:lang w:eastAsia="en-US"/>
        </w:rPr>
        <w:t>veterinary medicine</w:t>
      </w:r>
      <w:r w:rsidRPr="002C5603">
        <w:rPr>
          <w:lang w:eastAsia="en-US"/>
        </w:rPr>
        <w:t>.</w:t>
      </w:r>
    </w:p>
    <w:p w14:paraId="32F67374" w14:textId="77777777" w:rsidR="00411C91" w:rsidRDefault="00411C91" w:rsidP="00411C91">
      <w:pPr>
        <w:rPr>
          <w:i/>
          <w:iCs/>
          <w:lang w:eastAsia="en-US"/>
        </w:rPr>
      </w:pPr>
    </w:p>
    <w:p w14:paraId="33B7ED1A" w14:textId="77777777" w:rsidR="00411C91" w:rsidRPr="00F84E0D" w:rsidRDefault="00411C91" w:rsidP="00411C91">
      <w:pPr>
        <w:rPr>
          <w:lang w:eastAsia="en-US"/>
        </w:rPr>
      </w:pPr>
    </w:p>
    <w:tbl>
      <w:tblPr>
        <w:tblW w:w="4926"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7"/>
        <w:gridCol w:w="2771"/>
        <w:gridCol w:w="3410"/>
        <w:gridCol w:w="2493"/>
      </w:tblGrid>
      <w:tr w:rsidR="00411C91" w:rsidRPr="00E75423" w14:paraId="23766AE0" w14:textId="77777777" w:rsidTr="00411C91">
        <w:trPr>
          <w:tblHeader/>
        </w:trPr>
        <w:tc>
          <w:tcPr>
            <w:tcW w:w="5000" w:type="pct"/>
            <w:gridSpan w:val="4"/>
            <w:shd w:val="clear" w:color="auto" w:fill="FFFFCC"/>
          </w:tcPr>
          <w:p w14:paraId="320FCE9F" w14:textId="77777777" w:rsidR="00411C91" w:rsidRPr="00E75423" w:rsidRDefault="00411C91" w:rsidP="008B4D23">
            <w:pPr>
              <w:keepNext/>
              <w:jc w:val="center"/>
              <w:rPr>
                <w:b/>
                <w:lang w:eastAsia="en-US"/>
              </w:rPr>
            </w:pPr>
            <w:r w:rsidRPr="00E75423">
              <w:rPr>
                <w:b/>
                <w:lang w:eastAsia="en-US"/>
              </w:rPr>
              <w:t>Summary table of other (non-biocidal) uses</w:t>
            </w:r>
          </w:p>
        </w:tc>
      </w:tr>
      <w:tr w:rsidR="00411C91" w:rsidRPr="00E75423" w14:paraId="7392A372" w14:textId="77777777" w:rsidTr="00411C91">
        <w:trPr>
          <w:tblHeader/>
        </w:trPr>
        <w:tc>
          <w:tcPr>
            <w:tcW w:w="222" w:type="pct"/>
            <w:shd w:val="clear" w:color="auto" w:fill="auto"/>
            <w:tcMar>
              <w:top w:w="57" w:type="dxa"/>
              <w:bottom w:w="57" w:type="dxa"/>
            </w:tcMar>
          </w:tcPr>
          <w:p w14:paraId="10EEE74C" w14:textId="77777777" w:rsidR="00411C91" w:rsidRPr="00E75423" w:rsidRDefault="00411C91" w:rsidP="008B4D23">
            <w:pPr>
              <w:keepNext/>
              <w:rPr>
                <w:lang w:eastAsia="en-US"/>
              </w:rPr>
            </w:pPr>
          </w:p>
        </w:tc>
        <w:tc>
          <w:tcPr>
            <w:tcW w:w="1504" w:type="pct"/>
            <w:shd w:val="clear" w:color="auto" w:fill="auto"/>
            <w:tcMar>
              <w:top w:w="57" w:type="dxa"/>
              <w:bottom w:w="57" w:type="dxa"/>
            </w:tcMar>
          </w:tcPr>
          <w:p w14:paraId="382C12DF" w14:textId="77777777" w:rsidR="00411C91" w:rsidRPr="00E75423" w:rsidRDefault="00411C91" w:rsidP="008B4D23">
            <w:pPr>
              <w:keepNext/>
              <w:rPr>
                <w:b/>
                <w:lang w:eastAsia="en-US"/>
              </w:rPr>
            </w:pPr>
            <w:r w:rsidRPr="00E75423">
              <w:rPr>
                <w:b/>
                <w:lang w:eastAsia="en-US"/>
              </w:rPr>
              <w:t>Sector of use</w:t>
            </w:r>
          </w:p>
        </w:tc>
        <w:tc>
          <w:tcPr>
            <w:tcW w:w="1890" w:type="pct"/>
            <w:shd w:val="clear" w:color="auto" w:fill="auto"/>
            <w:tcMar>
              <w:top w:w="57" w:type="dxa"/>
              <w:bottom w:w="57" w:type="dxa"/>
            </w:tcMar>
          </w:tcPr>
          <w:p w14:paraId="0DDCBAB3" w14:textId="77777777" w:rsidR="00411C91" w:rsidRPr="00E75423" w:rsidRDefault="00411C91" w:rsidP="008B4D23">
            <w:pPr>
              <w:keepNext/>
              <w:rPr>
                <w:b/>
                <w:lang w:eastAsia="en-US"/>
              </w:rPr>
            </w:pPr>
            <w:r w:rsidRPr="00E75423">
              <w:rPr>
                <w:b/>
                <w:lang w:eastAsia="en-US"/>
              </w:rPr>
              <w:t>Intended use</w:t>
            </w:r>
          </w:p>
        </w:tc>
        <w:tc>
          <w:tcPr>
            <w:tcW w:w="1383" w:type="pct"/>
            <w:shd w:val="clear" w:color="auto" w:fill="auto"/>
            <w:tcMar>
              <w:top w:w="57" w:type="dxa"/>
              <w:bottom w:w="57" w:type="dxa"/>
            </w:tcMar>
          </w:tcPr>
          <w:p w14:paraId="67F315A7" w14:textId="77777777" w:rsidR="00411C91" w:rsidRPr="00E75423" w:rsidRDefault="00411C91" w:rsidP="008B4D23">
            <w:pPr>
              <w:keepNext/>
              <w:rPr>
                <w:b/>
                <w:lang w:eastAsia="en-US"/>
              </w:rPr>
            </w:pPr>
            <w:r w:rsidRPr="00E75423">
              <w:rPr>
                <w:b/>
                <w:lang w:eastAsia="en-US"/>
              </w:rPr>
              <w:t>Reference value(s)</w:t>
            </w:r>
          </w:p>
        </w:tc>
      </w:tr>
      <w:tr w:rsidR="00411C91" w:rsidRPr="00E75423" w14:paraId="29FCA80F" w14:textId="77777777" w:rsidTr="00411C91">
        <w:trPr>
          <w:tblHeader/>
        </w:trPr>
        <w:tc>
          <w:tcPr>
            <w:tcW w:w="222" w:type="pct"/>
            <w:tcMar>
              <w:top w:w="57" w:type="dxa"/>
              <w:bottom w:w="57" w:type="dxa"/>
            </w:tcMar>
          </w:tcPr>
          <w:p w14:paraId="5B954F50" w14:textId="77777777" w:rsidR="00411C91" w:rsidRPr="00E75423" w:rsidRDefault="00411C91" w:rsidP="00AB21D9">
            <w:pPr>
              <w:rPr>
                <w:lang w:eastAsia="en-US"/>
              </w:rPr>
            </w:pPr>
            <w:r w:rsidRPr="00E75423">
              <w:rPr>
                <w:lang w:eastAsia="en-US"/>
              </w:rPr>
              <w:t>1.</w:t>
            </w:r>
          </w:p>
        </w:tc>
        <w:tc>
          <w:tcPr>
            <w:tcW w:w="1504" w:type="pct"/>
            <w:shd w:val="clear" w:color="auto" w:fill="auto"/>
            <w:tcMar>
              <w:top w:w="57" w:type="dxa"/>
              <w:bottom w:w="57" w:type="dxa"/>
            </w:tcMar>
          </w:tcPr>
          <w:p w14:paraId="0A10967E" w14:textId="77777777" w:rsidR="00411C91" w:rsidRPr="00E75423" w:rsidRDefault="00411C91" w:rsidP="00AB21D9">
            <w:pPr>
              <w:rPr>
                <w:u w:val="single"/>
                <w:lang w:eastAsia="en-US"/>
              </w:rPr>
            </w:pPr>
            <w:r w:rsidRPr="00E75423">
              <w:rPr>
                <w:u w:val="single"/>
                <w:lang w:eastAsia="en-US"/>
              </w:rPr>
              <w:t>Feed additive</w:t>
            </w:r>
          </w:p>
          <w:p w14:paraId="396A1EDD" w14:textId="77777777" w:rsidR="00411C91" w:rsidRPr="00E75423" w:rsidRDefault="00411C91" w:rsidP="00AB21D9">
            <w:pPr>
              <w:autoSpaceDE w:val="0"/>
              <w:autoSpaceDN w:val="0"/>
              <w:adjustRightInd w:val="0"/>
              <w:rPr>
                <w:lang w:eastAsia="en-US"/>
              </w:rPr>
            </w:pPr>
            <w:r w:rsidRPr="00E75423">
              <w:rPr>
                <w:lang w:eastAsia="en-US"/>
              </w:rPr>
              <w:t xml:space="preserve">Iodine as </w:t>
            </w:r>
          </w:p>
          <w:p w14:paraId="372EDBE1" w14:textId="77777777" w:rsidR="00411C91" w:rsidRPr="00E75423" w:rsidRDefault="00411C91" w:rsidP="00AB21D9">
            <w:pPr>
              <w:autoSpaceDE w:val="0"/>
              <w:autoSpaceDN w:val="0"/>
              <w:adjustRightInd w:val="0"/>
              <w:rPr>
                <w:lang w:eastAsia="en-US"/>
              </w:rPr>
            </w:pPr>
            <w:r w:rsidRPr="00E75423">
              <w:rPr>
                <w:lang w:eastAsia="en-US"/>
              </w:rPr>
              <w:t xml:space="preserve">- Potassium iodide, </w:t>
            </w:r>
          </w:p>
          <w:p w14:paraId="1BB6072E" w14:textId="77777777" w:rsidR="00411C91" w:rsidRPr="00E75423" w:rsidRDefault="00411C91" w:rsidP="00AB21D9">
            <w:pPr>
              <w:autoSpaceDE w:val="0"/>
              <w:autoSpaceDN w:val="0"/>
              <w:adjustRightInd w:val="0"/>
              <w:rPr>
                <w:lang w:eastAsia="en-US"/>
              </w:rPr>
            </w:pPr>
            <w:r w:rsidRPr="00E75423">
              <w:rPr>
                <w:lang w:eastAsia="en-US"/>
              </w:rPr>
              <w:t xml:space="preserve">- Calcium iodate anhydrous, </w:t>
            </w:r>
          </w:p>
          <w:p w14:paraId="313E2B48" w14:textId="77777777" w:rsidR="00411C91" w:rsidRPr="00E75423" w:rsidRDefault="00411C91" w:rsidP="00AB21D9">
            <w:pPr>
              <w:autoSpaceDE w:val="0"/>
              <w:autoSpaceDN w:val="0"/>
              <w:adjustRightInd w:val="0"/>
              <w:rPr>
                <w:lang w:eastAsia="en-US"/>
              </w:rPr>
            </w:pPr>
            <w:r w:rsidRPr="00E75423">
              <w:rPr>
                <w:lang w:eastAsia="en-US"/>
              </w:rPr>
              <w:t>- Coated Granulated calcium iodate anhydrous</w:t>
            </w:r>
          </w:p>
        </w:tc>
        <w:tc>
          <w:tcPr>
            <w:tcW w:w="1890" w:type="pct"/>
            <w:tcMar>
              <w:top w:w="57" w:type="dxa"/>
              <w:bottom w:w="57" w:type="dxa"/>
            </w:tcMar>
          </w:tcPr>
          <w:p w14:paraId="390F2C25" w14:textId="77777777" w:rsidR="00411C91" w:rsidRPr="00E75423" w:rsidRDefault="00411C91" w:rsidP="00AB21D9">
            <w:pPr>
              <w:autoSpaceDE w:val="0"/>
              <w:autoSpaceDN w:val="0"/>
              <w:adjustRightInd w:val="0"/>
              <w:jc w:val="both"/>
              <w:rPr>
                <w:lang w:eastAsia="en-US"/>
              </w:rPr>
            </w:pPr>
            <w:r w:rsidRPr="00E75423">
              <w:rPr>
                <w:lang w:eastAsia="en-US"/>
              </w:rPr>
              <w:t>The recommended maximum content of total iodine in complete feed for:</w:t>
            </w:r>
          </w:p>
          <w:p w14:paraId="161D49C1" w14:textId="77777777" w:rsidR="00411C91" w:rsidRPr="00E75423" w:rsidRDefault="00411C91" w:rsidP="00AB21D9">
            <w:pPr>
              <w:autoSpaceDE w:val="0"/>
              <w:autoSpaceDN w:val="0"/>
              <w:adjustRightInd w:val="0"/>
              <w:jc w:val="both"/>
              <w:rPr>
                <w:lang w:eastAsia="en-US"/>
              </w:rPr>
            </w:pPr>
            <w:r w:rsidRPr="00E75423">
              <w:rPr>
                <w:lang w:eastAsia="en-US"/>
              </w:rPr>
              <w:t>- equines is 3 mg/kg feed/d</w:t>
            </w:r>
          </w:p>
          <w:p w14:paraId="7CA3416F" w14:textId="77777777" w:rsidR="00411C91" w:rsidRPr="00E75423" w:rsidRDefault="00411C91" w:rsidP="00AB21D9">
            <w:pPr>
              <w:autoSpaceDE w:val="0"/>
              <w:autoSpaceDN w:val="0"/>
              <w:adjustRightInd w:val="0"/>
              <w:jc w:val="both"/>
              <w:rPr>
                <w:lang w:eastAsia="en-US"/>
              </w:rPr>
            </w:pPr>
            <w:r w:rsidRPr="00E75423">
              <w:rPr>
                <w:lang w:eastAsia="en-US"/>
              </w:rPr>
              <w:t>- dogs is 4 mg/kg feed/d</w:t>
            </w:r>
          </w:p>
          <w:p w14:paraId="1E1234BD" w14:textId="77777777" w:rsidR="00411C91" w:rsidRPr="00E75423" w:rsidRDefault="00411C91" w:rsidP="00AB21D9">
            <w:pPr>
              <w:autoSpaceDE w:val="0"/>
              <w:autoSpaceDN w:val="0"/>
              <w:adjustRightInd w:val="0"/>
              <w:jc w:val="both"/>
              <w:rPr>
                <w:lang w:eastAsia="en-US"/>
              </w:rPr>
            </w:pPr>
            <w:r w:rsidRPr="00E75423">
              <w:rPr>
                <w:lang w:eastAsia="en-US"/>
              </w:rPr>
              <w:t>- cats is 5 mg/kg feed/d</w:t>
            </w:r>
          </w:p>
          <w:p w14:paraId="3B7E026A" w14:textId="77777777" w:rsidR="00411C91" w:rsidRPr="00E75423" w:rsidRDefault="00411C91" w:rsidP="00AB21D9">
            <w:pPr>
              <w:autoSpaceDE w:val="0"/>
              <w:autoSpaceDN w:val="0"/>
              <w:adjustRightInd w:val="0"/>
              <w:ind w:left="153" w:hanging="153"/>
              <w:jc w:val="both"/>
              <w:rPr>
                <w:lang w:eastAsia="en-US"/>
              </w:rPr>
            </w:pPr>
            <w:r w:rsidRPr="00E75423">
              <w:rPr>
                <w:lang w:eastAsia="en-US"/>
              </w:rPr>
              <w:t>- ruminants for milk production is 2 mg/kg (0.080 mg/kg bw/d)</w:t>
            </w:r>
          </w:p>
          <w:p w14:paraId="6C2F687C" w14:textId="77777777" w:rsidR="00411C91" w:rsidRPr="00E75423" w:rsidRDefault="00411C91" w:rsidP="00AB21D9">
            <w:pPr>
              <w:ind w:left="153" w:right="-70" w:hanging="141"/>
              <w:jc w:val="both"/>
              <w:rPr>
                <w:lang w:eastAsia="en-US"/>
              </w:rPr>
            </w:pPr>
            <w:r w:rsidRPr="00E75423">
              <w:rPr>
                <w:lang w:eastAsia="en-US"/>
              </w:rPr>
              <w:t>- laying hens is 3 mg/kg feed/d (0.205 mg/kg bw/d)</w:t>
            </w:r>
          </w:p>
        </w:tc>
        <w:tc>
          <w:tcPr>
            <w:tcW w:w="1383" w:type="pct"/>
            <w:shd w:val="clear" w:color="auto" w:fill="auto"/>
            <w:tcMar>
              <w:top w:w="57" w:type="dxa"/>
              <w:bottom w:w="57" w:type="dxa"/>
            </w:tcMar>
          </w:tcPr>
          <w:p w14:paraId="71C83DED" w14:textId="77777777" w:rsidR="00411C91" w:rsidRPr="00E75423" w:rsidRDefault="00411C91" w:rsidP="00AB21D9">
            <w:pPr>
              <w:autoSpaceDE w:val="0"/>
              <w:autoSpaceDN w:val="0"/>
              <w:adjustRightInd w:val="0"/>
              <w:jc w:val="both"/>
              <w:rPr>
                <w:lang w:eastAsia="en-US"/>
              </w:rPr>
            </w:pPr>
            <w:r w:rsidRPr="00E75423">
              <w:rPr>
                <w:lang w:eastAsia="en-US"/>
              </w:rPr>
              <w:t>These values were recommended by the EFSA Panel on Additives and Products or Substances used in Animal Feed (FEEDAP Panel) in 2013</w:t>
            </w:r>
            <w:r w:rsidRPr="00E75423">
              <w:rPr>
                <w:vertAlign w:val="superscript"/>
              </w:rPr>
              <w:footnoteReference w:id="6"/>
            </w:r>
            <w:r w:rsidRPr="00E75423">
              <w:rPr>
                <w:lang w:eastAsia="en-US"/>
              </w:rPr>
              <w:t xml:space="preserve"> to bring the exposure of adult consumers below the Upper Intake Level.</w:t>
            </w:r>
          </w:p>
        </w:tc>
      </w:tr>
      <w:tr w:rsidR="00411C91" w:rsidRPr="00E75423" w14:paraId="48E50969" w14:textId="77777777" w:rsidTr="00411C91">
        <w:trPr>
          <w:tblHeader/>
        </w:trPr>
        <w:tc>
          <w:tcPr>
            <w:tcW w:w="222" w:type="pct"/>
            <w:tcMar>
              <w:top w:w="57" w:type="dxa"/>
              <w:bottom w:w="57" w:type="dxa"/>
            </w:tcMar>
          </w:tcPr>
          <w:p w14:paraId="5CC7FDC5" w14:textId="77777777" w:rsidR="00411C91" w:rsidRPr="00E75423" w:rsidRDefault="00411C91" w:rsidP="00AB21D9">
            <w:pPr>
              <w:rPr>
                <w:lang w:eastAsia="en-US"/>
              </w:rPr>
            </w:pPr>
            <w:r w:rsidRPr="00E75423">
              <w:rPr>
                <w:lang w:eastAsia="en-US"/>
              </w:rPr>
              <w:t>2.</w:t>
            </w:r>
          </w:p>
        </w:tc>
        <w:tc>
          <w:tcPr>
            <w:tcW w:w="1504" w:type="pct"/>
            <w:shd w:val="clear" w:color="auto" w:fill="auto"/>
            <w:tcMar>
              <w:top w:w="57" w:type="dxa"/>
              <w:bottom w:w="57" w:type="dxa"/>
            </w:tcMar>
          </w:tcPr>
          <w:p w14:paraId="7F5F62DA" w14:textId="77777777" w:rsidR="00411C91" w:rsidRPr="00E75423" w:rsidRDefault="00411C91" w:rsidP="00AB21D9">
            <w:pPr>
              <w:rPr>
                <w:u w:val="single"/>
                <w:lang w:eastAsia="en-US"/>
              </w:rPr>
            </w:pPr>
            <w:r w:rsidRPr="00E75423">
              <w:rPr>
                <w:u w:val="single"/>
                <w:lang w:eastAsia="en-US"/>
              </w:rPr>
              <w:t>Veterinary medicine</w:t>
            </w:r>
          </w:p>
          <w:p w14:paraId="096041CE" w14:textId="77777777" w:rsidR="00411C91" w:rsidRPr="00E75423" w:rsidRDefault="00411C91" w:rsidP="00AB21D9">
            <w:pPr>
              <w:rPr>
                <w:lang w:eastAsia="en-US"/>
              </w:rPr>
            </w:pPr>
            <w:r w:rsidRPr="00E75423">
              <w:rPr>
                <w:lang w:eastAsia="en-US"/>
              </w:rPr>
              <w:t>Iodine and iodine</w:t>
            </w:r>
          </w:p>
          <w:p w14:paraId="4CC93202" w14:textId="77777777" w:rsidR="00411C91" w:rsidRPr="00E75423" w:rsidRDefault="00411C91" w:rsidP="00AB21D9">
            <w:pPr>
              <w:rPr>
                <w:lang w:eastAsia="en-US"/>
              </w:rPr>
            </w:pPr>
            <w:r w:rsidRPr="00E75423">
              <w:rPr>
                <w:lang w:eastAsia="en-US"/>
              </w:rPr>
              <w:t>inorganic compounds</w:t>
            </w:r>
          </w:p>
          <w:p w14:paraId="5D905D14" w14:textId="77777777" w:rsidR="00411C91" w:rsidRPr="00E75423" w:rsidRDefault="00411C91" w:rsidP="00AB21D9">
            <w:pPr>
              <w:rPr>
                <w:lang w:eastAsia="en-US"/>
              </w:rPr>
            </w:pPr>
            <w:r w:rsidRPr="00E75423">
              <w:rPr>
                <w:lang w:eastAsia="en-US"/>
              </w:rPr>
              <w:t>including:</w:t>
            </w:r>
          </w:p>
          <w:p w14:paraId="064FA6C1" w14:textId="77777777" w:rsidR="00411C91" w:rsidRPr="00E75423" w:rsidRDefault="00411C91" w:rsidP="00AB21D9">
            <w:pPr>
              <w:rPr>
                <w:lang w:eastAsia="en-US"/>
              </w:rPr>
            </w:pPr>
            <w:r w:rsidRPr="00E75423">
              <w:rPr>
                <w:lang w:eastAsia="en-US"/>
              </w:rPr>
              <w:t>- Sodium/potassium-iodide</w:t>
            </w:r>
          </w:p>
          <w:p w14:paraId="38BCEF77" w14:textId="77777777" w:rsidR="00411C91" w:rsidRPr="00E75423" w:rsidRDefault="00411C91" w:rsidP="00AB21D9">
            <w:pPr>
              <w:rPr>
                <w:lang w:eastAsia="en-US"/>
              </w:rPr>
            </w:pPr>
            <w:r w:rsidRPr="00E75423">
              <w:rPr>
                <w:lang w:eastAsia="en-US"/>
              </w:rPr>
              <w:t>- Sodium/potassium-iodate</w:t>
            </w:r>
          </w:p>
          <w:p w14:paraId="433B684B" w14:textId="77777777" w:rsidR="00411C91" w:rsidRPr="00E75423" w:rsidRDefault="00411C91" w:rsidP="00AB21D9">
            <w:pPr>
              <w:rPr>
                <w:lang w:eastAsia="en-US"/>
              </w:rPr>
            </w:pPr>
            <w:r w:rsidRPr="00E75423">
              <w:rPr>
                <w:lang w:eastAsia="en-US"/>
              </w:rPr>
              <w:t>- Iodophors including polyvinylpyrrolidoneiodine (PVP-iodine) and iodoform</w:t>
            </w:r>
          </w:p>
        </w:tc>
        <w:tc>
          <w:tcPr>
            <w:tcW w:w="1890" w:type="pct"/>
            <w:tcMar>
              <w:top w:w="57" w:type="dxa"/>
              <w:bottom w:w="57" w:type="dxa"/>
            </w:tcMar>
          </w:tcPr>
          <w:p w14:paraId="591CEAB3" w14:textId="77777777" w:rsidR="00411C91" w:rsidRPr="00E75423" w:rsidRDefault="00411C91" w:rsidP="00AB21D9">
            <w:pPr>
              <w:autoSpaceDE w:val="0"/>
              <w:autoSpaceDN w:val="0"/>
              <w:adjustRightInd w:val="0"/>
              <w:jc w:val="both"/>
              <w:rPr>
                <w:lang w:eastAsia="en-US"/>
              </w:rPr>
            </w:pPr>
            <w:r w:rsidRPr="00E75423">
              <w:rPr>
                <w:lang w:eastAsia="en-US"/>
              </w:rPr>
              <w:t xml:space="preserve">All food producing species: </w:t>
            </w:r>
          </w:p>
          <w:p w14:paraId="4564AC9E" w14:textId="77777777" w:rsidR="00411C91" w:rsidRPr="00E75423" w:rsidRDefault="00411C91" w:rsidP="00AB21D9">
            <w:pPr>
              <w:autoSpaceDE w:val="0"/>
              <w:autoSpaceDN w:val="0"/>
              <w:adjustRightInd w:val="0"/>
              <w:jc w:val="both"/>
              <w:rPr>
                <w:lang w:eastAsia="en-US"/>
              </w:rPr>
            </w:pPr>
            <w:r w:rsidRPr="00E75423">
              <w:rPr>
                <w:lang w:eastAsia="en-US"/>
              </w:rPr>
              <w:t>Various iodine-containing compounds are used in veterinary medicine as antiseptics and sanitisers.</w:t>
            </w:r>
          </w:p>
          <w:p w14:paraId="423F1033" w14:textId="77777777" w:rsidR="00411C91" w:rsidRPr="00E75423" w:rsidRDefault="00411C91" w:rsidP="00AB21D9">
            <w:pPr>
              <w:autoSpaceDE w:val="0"/>
              <w:autoSpaceDN w:val="0"/>
              <w:adjustRightInd w:val="0"/>
              <w:jc w:val="both"/>
              <w:rPr>
                <w:lang w:eastAsia="en-US"/>
              </w:rPr>
            </w:pPr>
            <w:r w:rsidRPr="00E75423">
              <w:rPr>
                <w:lang w:eastAsia="en-US"/>
              </w:rPr>
              <w:t>Iodine compounds are used in teat dips for the prevention and control of mastitis in cattle and in topical preparations for prevention of infections in wounds. Preparations for oral and parenteral administration are also available for the treatment of iodine-deficiency.</w:t>
            </w:r>
          </w:p>
        </w:tc>
        <w:tc>
          <w:tcPr>
            <w:tcW w:w="1383" w:type="pct"/>
            <w:shd w:val="clear" w:color="auto" w:fill="auto"/>
            <w:tcMar>
              <w:top w:w="57" w:type="dxa"/>
              <w:bottom w:w="57" w:type="dxa"/>
            </w:tcMar>
          </w:tcPr>
          <w:p w14:paraId="085D5676" w14:textId="77777777" w:rsidR="00411C91" w:rsidRPr="00E75423" w:rsidRDefault="00411C91" w:rsidP="00AB21D9">
            <w:pPr>
              <w:autoSpaceDE w:val="0"/>
              <w:autoSpaceDN w:val="0"/>
              <w:adjustRightInd w:val="0"/>
              <w:jc w:val="both"/>
              <w:rPr>
                <w:lang w:eastAsia="en-US"/>
              </w:rPr>
            </w:pPr>
            <w:r w:rsidRPr="00E75423">
              <w:rPr>
                <w:lang w:eastAsia="en-US"/>
              </w:rPr>
              <w:t xml:space="preserve">Regulation (EU) No.37/2010 </w:t>
            </w:r>
          </w:p>
          <w:p w14:paraId="7FCAAFD9" w14:textId="77777777" w:rsidR="00411C91" w:rsidRPr="00E75423" w:rsidRDefault="00411C91" w:rsidP="00AB21D9">
            <w:pPr>
              <w:autoSpaceDE w:val="0"/>
              <w:autoSpaceDN w:val="0"/>
              <w:adjustRightInd w:val="0"/>
              <w:jc w:val="both"/>
              <w:rPr>
                <w:lang w:eastAsia="en-US"/>
              </w:rPr>
            </w:pPr>
          </w:p>
          <w:p w14:paraId="1DC926DF" w14:textId="77777777" w:rsidR="00411C91" w:rsidRPr="00E75423" w:rsidRDefault="00411C91" w:rsidP="007B44E3">
            <w:pPr>
              <w:autoSpaceDE w:val="0"/>
              <w:autoSpaceDN w:val="0"/>
              <w:adjustRightInd w:val="0"/>
              <w:jc w:val="both"/>
              <w:rPr>
                <w:lang w:eastAsia="en-US"/>
              </w:rPr>
            </w:pPr>
            <w:r w:rsidRPr="00E75423">
              <w:rPr>
                <w:lang w:eastAsia="en-US"/>
              </w:rPr>
              <w:t xml:space="preserve">The Committee for Veterinary Medicinal Products (CVMP) decided in 1996 that it would be </w:t>
            </w:r>
            <w:r w:rsidRPr="00E75423">
              <w:rPr>
                <w:b/>
                <w:lang w:eastAsia="en-US"/>
              </w:rPr>
              <w:t>inappropriate to elaborate MRLs for iodine</w:t>
            </w:r>
            <w:r w:rsidRPr="00E75423">
              <w:rPr>
                <w:lang w:eastAsia="en-US"/>
              </w:rPr>
              <w:t>. Therefore, iodine was included in Annex II of Council Regulation (EEC) No. 2377/90</w:t>
            </w:r>
            <w:r w:rsidRPr="00E75423">
              <w:rPr>
                <w:rStyle w:val="Appelnotedebasdep"/>
                <w:lang w:eastAsia="en-US"/>
              </w:rPr>
              <w:footnoteReference w:id="7"/>
            </w:r>
            <w:r w:rsidRPr="00E75423">
              <w:rPr>
                <w:lang w:eastAsia="en-US"/>
              </w:rPr>
              <w:t xml:space="preserve"> and later, in Annex of Commission Regulation (EU) No.37/2010</w:t>
            </w:r>
            <w:r w:rsidRPr="00E75423">
              <w:rPr>
                <w:rStyle w:val="Appelnotedebasdep"/>
                <w:lang w:eastAsia="en-US"/>
              </w:rPr>
              <w:footnoteReference w:id="8"/>
            </w:r>
            <w:r w:rsidRPr="00E75423">
              <w:rPr>
                <w:lang w:eastAsia="en-US"/>
              </w:rPr>
              <w:t xml:space="preserve"> .</w:t>
            </w:r>
          </w:p>
        </w:tc>
      </w:tr>
    </w:tbl>
    <w:p w14:paraId="15A6D72A" w14:textId="77777777" w:rsidR="00411C91" w:rsidRPr="00FD2055" w:rsidRDefault="00411C91" w:rsidP="00411C91">
      <w:pPr>
        <w:rPr>
          <w:lang w:eastAsia="en-US"/>
        </w:rPr>
      </w:pPr>
    </w:p>
    <w:p w14:paraId="3C992DD1" w14:textId="77777777" w:rsidR="00411C91" w:rsidRPr="001D1F06" w:rsidRDefault="00411C91" w:rsidP="00411C91">
      <w:pPr>
        <w:spacing w:after="120"/>
        <w:jc w:val="both"/>
        <w:rPr>
          <w:lang w:eastAsia="en-US"/>
        </w:rPr>
      </w:pPr>
      <w:r w:rsidRPr="001D1F06">
        <w:rPr>
          <w:lang w:eastAsia="en-US"/>
        </w:rPr>
        <w:t xml:space="preserve">The Committee for Veterinary Medicinal Products (CVMP) has reviewed iodine for the use in veterinary medicine as antiseptic, sanitiser, teat dip for prevention and control of the mastitis, topical preparation for preventing wounds infections. CVMP reported that “only small increases in serum iodine concentration were found after teat dipping indicating that the procedure had a negligible effect on tissue iodine concentrations”, and it was concluded that no MRL is required for any food-producing species (see </w:t>
      </w:r>
      <w:r w:rsidRPr="001D1F06">
        <w:rPr>
          <w:lang w:eastAsia="en-US"/>
        </w:rPr>
        <w:lastRenderedPageBreak/>
        <w:t>Commission Regulation (EU) No 37/2010).</w:t>
      </w:r>
      <w:r w:rsidR="00483663">
        <w:t xml:space="preserve"> </w:t>
      </w:r>
      <w:r w:rsidR="00483663" w:rsidRPr="00483663">
        <w:rPr>
          <w:lang w:eastAsia="en-US"/>
        </w:rPr>
        <w:t xml:space="preserve">Considering the EC </w:t>
      </w:r>
      <w:proofErr w:type="gramStart"/>
      <w:r w:rsidR="00483663" w:rsidRPr="00483663">
        <w:rPr>
          <w:lang w:eastAsia="en-US"/>
        </w:rPr>
        <w:t>document ”</w:t>
      </w:r>
      <w:proofErr w:type="gramEnd"/>
      <w:r w:rsidR="00483663" w:rsidRPr="00483663">
        <w:rPr>
          <w:lang w:eastAsia="en-US"/>
        </w:rPr>
        <w:t xml:space="preserve">interim </w:t>
      </w:r>
      <w:r w:rsidR="00295F6E" w:rsidRPr="00483663">
        <w:rPr>
          <w:lang w:eastAsia="en-US"/>
        </w:rPr>
        <w:t>approach</w:t>
      </w:r>
      <w:r w:rsidR="00483663" w:rsidRPr="00483663">
        <w:rPr>
          <w:lang w:eastAsia="en-US"/>
        </w:rPr>
        <w:t xml:space="preserve"> for the establishment of maximum residue limits for residues of active substances contained in biocidal products for food and feed and specific migration limits in food contact materials” adopted during </w:t>
      </w:r>
      <w:r w:rsidR="00295F6E" w:rsidRPr="00483663">
        <w:rPr>
          <w:lang w:eastAsia="en-US"/>
        </w:rPr>
        <w:t>Competent</w:t>
      </w:r>
      <w:r w:rsidR="00483663" w:rsidRPr="00483663">
        <w:rPr>
          <w:lang w:eastAsia="en-US"/>
        </w:rPr>
        <w:t xml:space="preserve"> Authorities meeting of 17 March 2017, it was stated at the </w:t>
      </w:r>
      <w:r w:rsidR="00295F6E" w:rsidRPr="00483663">
        <w:rPr>
          <w:lang w:eastAsia="en-US"/>
        </w:rPr>
        <w:t>Competent</w:t>
      </w:r>
      <w:r w:rsidR="00483663" w:rsidRPr="00483663">
        <w:rPr>
          <w:lang w:eastAsia="en-US"/>
        </w:rPr>
        <w:t xml:space="preserve"> Authorities meetings of 17 March and 17 May 2017, that no biocide MRL are necessary for iodine in line with CVMP assessment for iodine.</w:t>
      </w:r>
    </w:p>
    <w:p w14:paraId="5B7F704F" w14:textId="77777777" w:rsidR="00411C91" w:rsidRPr="00FD2055" w:rsidRDefault="00411C91" w:rsidP="00411C91">
      <w:pPr>
        <w:rPr>
          <w:lang w:eastAsia="en-US"/>
        </w:rPr>
      </w:pPr>
    </w:p>
    <w:p w14:paraId="4304682E" w14:textId="77777777" w:rsidR="003D6A06" w:rsidRPr="007B44E3" w:rsidRDefault="003D6A06" w:rsidP="003D6A06">
      <w:pPr>
        <w:jc w:val="both"/>
        <w:rPr>
          <w:b/>
          <w:lang w:val="en-US" w:eastAsia="de-DE"/>
        </w:rPr>
      </w:pPr>
      <w:r w:rsidRPr="007B44E3">
        <w:rPr>
          <w:b/>
          <w:lang w:val="en-US" w:eastAsia="de-DE"/>
        </w:rPr>
        <w:t>Estimated iodine residues in milk resulting from iodine PT3 biocidal product use</w:t>
      </w:r>
    </w:p>
    <w:p w14:paraId="1B1D929E" w14:textId="77777777" w:rsidR="003D6A06" w:rsidRPr="007B44E3" w:rsidRDefault="003D6A06" w:rsidP="003D6A06">
      <w:pPr>
        <w:jc w:val="both"/>
        <w:rPr>
          <w:lang w:val="en-US" w:eastAsia="de-DE"/>
        </w:rPr>
      </w:pPr>
    </w:p>
    <w:p w14:paraId="588E6C12" w14:textId="77777777" w:rsidR="003D6A06" w:rsidRPr="007B44E3" w:rsidRDefault="003D6A06" w:rsidP="003D6A06">
      <w:pPr>
        <w:jc w:val="both"/>
        <w:rPr>
          <w:lang w:val="en-US" w:eastAsia="de-DE"/>
        </w:rPr>
      </w:pPr>
      <w:r w:rsidRPr="007B44E3">
        <w:rPr>
          <w:lang w:val="en-US" w:eastAsia="de-DE"/>
        </w:rPr>
        <w:t xml:space="preserve">In line with the EU iodine PT3 decision, bibliographic data are used to present an approach based on linear extrapolation of iodine residues in milk from the CAR data across different in-use concentrations of iodine and numbers of product applications per day.  </w:t>
      </w:r>
    </w:p>
    <w:p w14:paraId="6AD4E2FA" w14:textId="77777777" w:rsidR="003D6A06" w:rsidRPr="007B44E3" w:rsidRDefault="003D6A06" w:rsidP="003D6A06">
      <w:pPr>
        <w:jc w:val="both"/>
        <w:rPr>
          <w:lang w:val="en-US" w:eastAsia="de-DE"/>
        </w:rPr>
      </w:pPr>
    </w:p>
    <w:p w14:paraId="04147501" w14:textId="77777777" w:rsidR="003D6A06" w:rsidRPr="007B44E3" w:rsidRDefault="003D6A06" w:rsidP="003D6A06">
      <w:pPr>
        <w:jc w:val="both"/>
        <w:rPr>
          <w:lang w:val="en-US" w:eastAsia="de-DE"/>
        </w:rPr>
      </w:pPr>
      <w:r w:rsidRPr="007B44E3">
        <w:rPr>
          <w:lang w:val="en-US" w:eastAsia="de-DE"/>
        </w:rPr>
        <w:t>A comparison of the use patterns and resulting worst case iodine residues in milk considered within the CAR (studies considered sufficiently detailed) was realized. The studies summarised below are considered relevant to the proposed use patterns of iodine.</w:t>
      </w:r>
    </w:p>
    <w:p w14:paraId="1FD9554C" w14:textId="77777777" w:rsidR="003D6A06" w:rsidRPr="007B44E3" w:rsidRDefault="003D6A06" w:rsidP="003D6A06">
      <w:pPr>
        <w:jc w:val="both"/>
        <w:rPr>
          <w:color w:val="FF0000"/>
          <w:lang w:val="en-US" w:eastAsia="de-DE"/>
        </w:rPr>
      </w:pPr>
    </w:p>
    <w:p w14:paraId="6FAA0558" w14:textId="77777777" w:rsidR="003D6A06" w:rsidRDefault="003D6A06" w:rsidP="003D6A06">
      <w:pPr>
        <w:jc w:val="both"/>
        <w:rPr>
          <w:b/>
          <w:lang w:val="en-US" w:eastAsia="de-DE"/>
        </w:rPr>
      </w:pPr>
      <w:r w:rsidRPr="007B44E3">
        <w:rPr>
          <w:b/>
          <w:lang w:val="en-US" w:eastAsia="de-DE"/>
        </w:rPr>
        <w:t xml:space="preserve">Table 1 - Residues of iodine in milk reported in iodine PT3 CAR studies </w:t>
      </w:r>
    </w:p>
    <w:p w14:paraId="689BFEC5" w14:textId="77777777" w:rsidR="007B44E3" w:rsidRPr="007B44E3" w:rsidRDefault="007B44E3" w:rsidP="003D6A06">
      <w:pPr>
        <w:jc w:val="both"/>
        <w:rPr>
          <w:b/>
          <w:lang w:val="en-US" w:eastAsia="de-DE"/>
        </w:rPr>
      </w:pPr>
    </w:p>
    <w:tbl>
      <w:tblPr>
        <w:tblStyle w:val="TableGrid5"/>
        <w:tblW w:w="0" w:type="auto"/>
        <w:tblLook w:val="04A0" w:firstRow="1" w:lastRow="0" w:firstColumn="1" w:lastColumn="0" w:noHBand="0" w:noVBand="1"/>
      </w:tblPr>
      <w:tblGrid>
        <w:gridCol w:w="1467"/>
        <w:gridCol w:w="847"/>
        <w:gridCol w:w="1553"/>
        <w:gridCol w:w="1678"/>
        <w:gridCol w:w="1815"/>
        <w:gridCol w:w="1843"/>
      </w:tblGrid>
      <w:tr w:rsidR="003D6A06" w:rsidRPr="007B44E3" w14:paraId="39C45DBF" w14:textId="77777777" w:rsidTr="007B44E3">
        <w:tc>
          <w:tcPr>
            <w:tcW w:w="1475" w:type="dxa"/>
            <w:tcMar>
              <w:left w:w="57" w:type="dxa"/>
              <w:right w:w="57" w:type="dxa"/>
            </w:tcMar>
            <w:vAlign w:val="center"/>
          </w:tcPr>
          <w:p w14:paraId="4389CADF" w14:textId="77777777" w:rsidR="003D6A06" w:rsidRPr="007B44E3" w:rsidRDefault="003D6A06" w:rsidP="003D6A06">
            <w:pPr>
              <w:rPr>
                <w:sz w:val="20"/>
                <w:szCs w:val="20"/>
              </w:rPr>
            </w:pPr>
            <w:r w:rsidRPr="007B44E3">
              <w:rPr>
                <w:sz w:val="20"/>
                <w:szCs w:val="20"/>
              </w:rPr>
              <w:t>CAR Study</w:t>
            </w:r>
          </w:p>
        </w:tc>
        <w:tc>
          <w:tcPr>
            <w:tcW w:w="850" w:type="dxa"/>
            <w:tcMar>
              <w:left w:w="57" w:type="dxa"/>
              <w:right w:w="57" w:type="dxa"/>
            </w:tcMar>
            <w:vAlign w:val="center"/>
          </w:tcPr>
          <w:p w14:paraId="183897CB" w14:textId="77777777" w:rsidR="003D6A06" w:rsidRPr="007B44E3" w:rsidRDefault="003D6A06" w:rsidP="003D6A06">
            <w:pPr>
              <w:jc w:val="center"/>
              <w:rPr>
                <w:sz w:val="20"/>
                <w:szCs w:val="20"/>
              </w:rPr>
            </w:pPr>
            <w:r w:rsidRPr="007B44E3">
              <w:rPr>
                <w:sz w:val="20"/>
                <w:szCs w:val="20"/>
              </w:rPr>
              <w:t>Iodine</w:t>
            </w:r>
          </w:p>
          <w:p w14:paraId="4E2404DC" w14:textId="77777777" w:rsidR="003D6A06" w:rsidRPr="007B44E3" w:rsidRDefault="003D6A06" w:rsidP="003D6A06">
            <w:pPr>
              <w:jc w:val="center"/>
              <w:rPr>
                <w:sz w:val="20"/>
                <w:szCs w:val="20"/>
              </w:rPr>
            </w:pPr>
            <w:r w:rsidRPr="007B44E3">
              <w:rPr>
                <w:sz w:val="20"/>
                <w:szCs w:val="20"/>
              </w:rPr>
              <w:t>(%)</w:t>
            </w:r>
          </w:p>
        </w:tc>
        <w:tc>
          <w:tcPr>
            <w:tcW w:w="1560" w:type="dxa"/>
            <w:tcMar>
              <w:left w:w="57" w:type="dxa"/>
              <w:right w:w="57" w:type="dxa"/>
            </w:tcMar>
            <w:vAlign w:val="center"/>
          </w:tcPr>
          <w:p w14:paraId="56DB5C03" w14:textId="77777777" w:rsidR="003D6A06" w:rsidRPr="007B44E3" w:rsidRDefault="003D6A06" w:rsidP="003D6A06">
            <w:pPr>
              <w:jc w:val="center"/>
              <w:rPr>
                <w:sz w:val="20"/>
                <w:szCs w:val="20"/>
              </w:rPr>
            </w:pPr>
            <w:r w:rsidRPr="007B44E3">
              <w:rPr>
                <w:sz w:val="20"/>
                <w:szCs w:val="20"/>
              </w:rPr>
              <w:t>Applications</w:t>
            </w:r>
          </w:p>
        </w:tc>
        <w:tc>
          <w:tcPr>
            <w:tcW w:w="1701" w:type="dxa"/>
            <w:tcMar>
              <w:left w:w="57" w:type="dxa"/>
              <w:right w:w="57" w:type="dxa"/>
            </w:tcMar>
            <w:vAlign w:val="center"/>
          </w:tcPr>
          <w:p w14:paraId="3865D51A" w14:textId="77777777" w:rsidR="003D6A06" w:rsidRPr="007B44E3" w:rsidRDefault="003D6A06" w:rsidP="003D6A06">
            <w:pPr>
              <w:jc w:val="center"/>
              <w:rPr>
                <w:sz w:val="20"/>
                <w:szCs w:val="20"/>
              </w:rPr>
            </w:pPr>
            <w:r w:rsidRPr="007B44E3">
              <w:rPr>
                <w:sz w:val="20"/>
                <w:szCs w:val="20"/>
              </w:rPr>
              <w:t>Mean treated residue (µg/L) [range]</w:t>
            </w:r>
          </w:p>
        </w:tc>
        <w:tc>
          <w:tcPr>
            <w:tcW w:w="1842" w:type="dxa"/>
            <w:tcMar>
              <w:left w:w="57" w:type="dxa"/>
              <w:right w:w="57" w:type="dxa"/>
            </w:tcMar>
            <w:vAlign w:val="center"/>
          </w:tcPr>
          <w:p w14:paraId="35AD2382" w14:textId="77777777" w:rsidR="003D6A06" w:rsidRPr="007B44E3" w:rsidRDefault="003D6A06" w:rsidP="003D6A06">
            <w:pPr>
              <w:jc w:val="center"/>
              <w:rPr>
                <w:sz w:val="20"/>
                <w:szCs w:val="20"/>
              </w:rPr>
            </w:pPr>
            <w:r w:rsidRPr="007B44E3">
              <w:rPr>
                <w:sz w:val="20"/>
                <w:szCs w:val="20"/>
              </w:rPr>
              <w:t>Mean control residue (µg/L) [range]</w:t>
            </w:r>
          </w:p>
        </w:tc>
        <w:tc>
          <w:tcPr>
            <w:tcW w:w="1858" w:type="dxa"/>
            <w:tcMar>
              <w:left w:w="57" w:type="dxa"/>
              <w:right w:w="57" w:type="dxa"/>
            </w:tcMar>
            <w:vAlign w:val="center"/>
          </w:tcPr>
          <w:p w14:paraId="4E37FCA1" w14:textId="77777777" w:rsidR="003D6A06" w:rsidRPr="007B44E3" w:rsidRDefault="003D6A06" w:rsidP="003D6A06">
            <w:pPr>
              <w:jc w:val="center"/>
              <w:rPr>
                <w:sz w:val="20"/>
                <w:szCs w:val="20"/>
              </w:rPr>
            </w:pPr>
            <w:r w:rsidRPr="007B44E3">
              <w:rPr>
                <w:sz w:val="20"/>
                <w:szCs w:val="20"/>
              </w:rPr>
              <w:t>Difference (additional iodine residues in milk)</w:t>
            </w:r>
          </w:p>
          <w:p w14:paraId="54E3947D" w14:textId="77777777" w:rsidR="003D6A06" w:rsidRPr="007B44E3" w:rsidRDefault="003D6A06" w:rsidP="003D6A06">
            <w:pPr>
              <w:jc w:val="center"/>
              <w:rPr>
                <w:sz w:val="20"/>
                <w:szCs w:val="20"/>
              </w:rPr>
            </w:pPr>
            <w:r w:rsidRPr="007B44E3">
              <w:rPr>
                <w:sz w:val="20"/>
                <w:szCs w:val="20"/>
              </w:rPr>
              <w:t>(µg/L) [mean]</w:t>
            </w:r>
          </w:p>
        </w:tc>
      </w:tr>
      <w:tr w:rsidR="003D6A06" w:rsidRPr="007B44E3" w14:paraId="7EF93FDF" w14:textId="77777777" w:rsidTr="007B44E3">
        <w:tc>
          <w:tcPr>
            <w:tcW w:w="1475" w:type="dxa"/>
            <w:shd w:val="clear" w:color="auto" w:fill="auto"/>
            <w:tcMar>
              <w:left w:w="57" w:type="dxa"/>
              <w:right w:w="57" w:type="dxa"/>
            </w:tcMar>
            <w:vAlign w:val="center"/>
          </w:tcPr>
          <w:p w14:paraId="3D4D362A" w14:textId="77777777" w:rsidR="003D6A06" w:rsidRPr="007B44E3" w:rsidRDefault="003D6A06" w:rsidP="003D6A06">
            <w:pPr>
              <w:rPr>
                <w:i/>
                <w:sz w:val="20"/>
                <w:szCs w:val="20"/>
              </w:rPr>
            </w:pPr>
            <w:r w:rsidRPr="007B44E3">
              <w:rPr>
                <w:i/>
                <w:sz w:val="20"/>
                <w:szCs w:val="20"/>
              </w:rPr>
              <w:t xml:space="preserve">Falkenberg </w:t>
            </w:r>
          </w:p>
          <w:p w14:paraId="5623B190" w14:textId="77777777" w:rsidR="003D6A06" w:rsidRPr="007B44E3" w:rsidRDefault="003D6A06" w:rsidP="003D6A06">
            <w:pPr>
              <w:rPr>
                <w:i/>
                <w:sz w:val="20"/>
                <w:szCs w:val="20"/>
              </w:rPr>
            </w:pPr>
            <w:r w:rsidRPr="007B44E3">
              <w:rPr>
                <w:i/>
                <w:sz w:val="20"/>
                <w:szCs w:val="20"/>
              </w:rPr>
              <w:t>2002</w:t>
            </w:r>
          </w:p>
        </w:tc>
        <w:tc>
          <w:tcPr>
            <w:tcW w:w="850" w:type="dxa"/>
            <w:shd w:val="clear" w:color="auto" w:fill="auto"/>
            <w:tcMar>
              <w:left w:w="57" w:type="dxa"/>
              <w:right w:w="57" w:type="dxa"/>
            </w:tcMar>
            <w:vAlign w:val="center"/>
          </w:tcPr>
          <w:p w14:paraId="325FC604" w14:textId="77777777" w:rsidR="003D6A06" w:rsidRPr="007B44E3" w:rsidRDefault="003D6A06" w:rsidP="003D6A06">
            <w:pPr>
              <w:jc w:val="center"/>
              <w:rPr>
                <w:sz w:val="20"/>
                <w:szCs w:val="20"/>
              </w:rPr>
            </w:pPr>
            <w:r w:rsidRPr="007B44E3">
              <w:rPr>
                <w:sz w:val="20"/>
                <w:szCs w:val="20"/>
              </w:rPr>
              <w:t>0.27</w:t>
            </w:r>
          </w:p>
        </w:tc>
        <w:tc>
          <w:tcPr>
            <w:tcW w:w="1560" w:type="dxa"/>
            <w:shd w:val="clear" w:color="auto" w:fill="auto"/>
            <w:tcMar>
              <w:left w:w="57" w:type="dxa"/>
              <w:right w:w="57" w:type="dxa"/>
            </w:tcMar>
            <w:vAlign w:val="center"/>
          </w:tcPr>
          <w:p w14:paraId="1F3C6617" w14:textId="77777777" w:rsidR="003D6A06" w:rsidRPr="007B44E3" w:rsidRDefault="003D6A06" w:rsidP="003D6A06">
            <w:pPr>
              <w:jc w:val="center"/>
              <w:rPr>
                <w:sz w:val="20"/>
                <w:szCs w:val="20"/>
              </w:rPr>
            </w:pPr>
            <w:r w:rsidRPr="007B44E3">
              <w:rPr>
                <w:sz w:val="20"/>
                <w:szCs w:val="20"/>
              </w:rPr>
              <w:t>2x pre-milking</w:t>
            </w:r>
          </w:p>
        </w:tc>
        <w:tc>
          <w:tcPr>
            <w:tcW w:w="1701" w:type="dxa"/>
            <w:shd w:val="clear" w:color="auto" w:fill="auto"/>
            <w:tcMar>
              <w:left w:w="57" w:type="dxa"/>
              <w:right w:w="57" w:type="dxa"/>
            </w:tcMar>
            <w:vAlign w:val="center"/>
          </w:tcPr>
          <w:p w14:paraId="6B2543A4" w14:textId="77777777" w:rsidR="003D6A06" w:rsidRPr="007B44E3" w:rsidRDefault="003D6A06" w:rsidP="003D6A06">
            <w:pPr>
              <w:jc w:val="center"/>
              <w:rPr>
                <w:sz w:val="20"/>
                <w:szCs w:val="20"/>
              </w:rPr>
            </w:pPr>
            <w:r w:rsidRPr="007B44E3">
              <w:rPr>
                <w:sz w:val="20"/>
                <w:szCs w:val="20"/>
              </w:rPr>
              <w:t xml:space="preserve">243.7 </w:t>
            </w:r>
          </w:p>
          <w:p w14:paraId="0FA0C8C4" w14:textId="77777777" w:rsidR="003D6A06" w:rsidRPr="007B44E3" w:rsidRDefault="003D6A06" w:rsidP="003D6A06">
            <w:pPr>
              <w:jc w:val="center"/>
              <w:rPr>
                <w:sz w:val="20"/>
                <w:szCs w:val="20"/>
              </w:rPr>
            </w:pPr>
            <w:r w:rsidRPr="007B44E3">
              <w:rPr>
                <w:sz w:val="20"/>
                <w:szCs w:val="20"/>
              </w:rPr>
              <w:t>[160 - 374]</w:t>
            </w:r>
          </w:p>
        </w:tc>
        <w:tc>
          <w:tcPr>
            <w:tcW w:w="1842" w:type="dxa"/>
            <w:shd w:val="clear" w:color="auto" w:fill="auto"/>
            <w:tcMar>
              <w:left w:w="57" w:type="dxa"/>
              <w:right w:w="57" w:type="dxa"/>
            </w:tcMar>
            <w:vAlign w:val="center"/>
          </w:tcPr>
          <w:p w14:paraId="2642C71E" w14:textId="77777777" w:rsidR="003D6A06" w:rsidRPr="007B44E3" w:rsidRDefault="003D6A06" w:rsidP="003D6A06">
            <w:pPr>
              <w:jc w:val="center"/>
              <w:rPr>
                <w:sz w:val="20"/>
                <w:szCs w:val="20"/>
              </w:rPr>
            </w:pPr>
            <w:r w:rsidRPr="007B44E3">
              <w:rPr>
                <w:sz w:val="20"/>
                <w:szCs w:val="20"/>
              </w:rPr>
              <w:t>212.7</w:t>
            </w:r>
          </w:p>
          <w:p w14:paraId="6ADDA16A" w14:textId="77777777" w:rsidR="003D6A06" w:rsidRPr="007B44E3" w:rsidRDefault="003D6A06" w:rsidP="003D6A06">
            <w:pPr>
              <w:jc w:val="center"/>
              <w:rPr>
                <w:sz w:val="20"/>
                <w:szCs w:val="20"/>
              </w:rPr>
            </w:pPr>
            <w:r w:rsidRPr="007B44E3">
              <w:rPr>
                <w:sz w:val="20"/>
                <w:szCs w:val="20"/>
              </w:rPr>
              <w:t>[124 - 300]</w:t>
            </w:r>
          </w:p>
        </w:tc>
        <w:tc>
          <w:tcPr>
            <w:tcW w:w="1858" w:type="dxa"/>
            <w:shd w:val="clear" w:color="auto" w:fill="auto"/>
            <w:tcMar>
              <w:left w:w="57" w:type="dxa"/>
              <w:right w:w="57" w:type="dxa"/>
            </w:tcMar>
            <w:vAlign w:val="center"/>
          </w:tcPr>
          <w:p w14:paraId="53863F57" w14:textId="77777777" w:rsidR="003D6A06" w:rsidRPr="007B44E3" w:rsidRDefault="003D6A06" w:rsidP="003D6A06">
            <w:pPr>
              <w:jc w:val="center"/>
              <w:rPr>
                <w:sz w:val="20"/>
                <w:szCs w:val="20"/>
              </w:rPr>
            </w:pPr>
            <w:r w:rsidRPr="007B44E3">
              <w:rPr>
                <w:sz w:val="20"/>
                <w:szCs w:val="20"/>
              </w:rPr>
              <w:t>31</w:t>
            </w:r>
          </w:p>
          <w:p w14:paraId="6038D2BB" w14:textId="77777777" w:rsidR="003D6A06" w:rsidRPr="007B44E3" w:rsidRDefault="003D6A06" w:rsidP="003D6A06">
            <w:pPr>
              <w:jc w:val="center"/>
              <w:rPr>
                <w:sz w:val="20"/>
                <w:szCs w:val="20"/>
              </w:rPr>
            </w:pPr>
            <w:r w:rsidRPr="007B44E3">
              <w:rPr>
                <w:sz w:val="20"/>
                <w:szCs w:val="20"/>
              </w:rPr>
              <w:t>(+14.6%)</w:t>
            </w:r>
          </w:p>
        </w:tc>
      </w:tr>
      <w:tr w:rsidR="003D6A06" w:rsidRPr="007B44E3" w14:paraId="6B2BD9B7" w14:textId="77777777" w:rsidTr="007B44E3">
        <w:tc>
          <w:tcPr>
            <w:tcW w:w="1475" w:type="dxa"/>
            <w:shd w:val="clear" w:color="auto" w:fill="auto"/>
            <w:tcMar>
              <w:left w:w="57" w:type="dxa"/>
              <w:right w:w="57" w:type="dxa"/>
            </w:tcMar>
            <w:vAlign w:val="center"/>
          </w:tcPr>
          <w:p w14:paraId="3B145C73" w14:textId="77777777" w:rsidR="003D6A06" w:rsidRPr="007B44E3" w:rsidRDefault="003D6A06" w:rsidP="003D6A06">
            <w:pPr>
              <w:rPr>
                <w:i/>
                <w:sz w:val="20"/>
                <w:szCs w:val="20"/>
              </w:rPr>
            </w:pPr>
            <w:r w:rsidRPr="007B44E3">
              <w:rPr>
                <w:i/>
                <w:sz w:val="20"/>
                <w:szCs w:val="20"/>
              </w:rPr>
              <w:t>Iwarsson (A)</w:t>
            </w:r>
          </w:p>
          <w:p w14:paraId="172B8D28" w14:textId="77777777" w:rsidR="003D6A06" w:rsidRPr="007B44E3" w:rsidRDefault="003D6A06" w:rsidP="003D6A06">
            <w:pPr>
              <w:rPr>
                <w:i/>
                <w:sz w:val="20"/>
                <w:szCs w:val="20"/>
              </w:rPr>
            </w:pPr>
            <w:r w:rsidRPr="007B44E3">
              <w:rPr>
                <w:i/>
                <w:sz w:val="20"/>
                <w:szCs w:val="20"/>
              </w:rPr>
              <w:t>1974</w:t>
            </w:r>
          </w:p>
        </w:tc>
        <w:tc>
          <w:tcPr>
            <w:tcW w:w="850" w:type="dxa"/>
            <w:shd w:val="clear" w:color="auto" w:fill="auto"/>
            <w:tcMar>
              <w:left w:w="57" w:type="dxa"/>
              <w:right w:w="57" w:type="dxa"/>
            </w:tcMar>
            <w:vAlign w:val="center"/>
          </w:tcPr>
          <w:p w14:paraId="7CD30827" w14:textId="77777777" w:rsidR="003D6A06" w:rsidRPr="007B44E3" w:rsidRDefault="003D6A06" w:rsidP="003D6A06">
            <w:pPr>
              <w:jc w:val="center"/>
              <w:rPr>
                <w:sz w:val="20"/>
                <w:szCs w:val="20"/>
              </w:rPr>
            </w:pPr>
            <w:r w:rsidRPr="007B44E3">
              <w:rPr>
                <w:sz w:val="20"/>
                <w:szCs w:val="20"/>
              </w:rPr>
              <w:t>0.50</w:t>
            </w:r>
          </w:p>
        </w:tc>
        <w:tc>
          <w:tcPr>
            <w:tcW w:w="1560" w:type="dxa"/>
            <w:shd w:val="clear" w:color="auto" w:fill="auto"/>
            <w:tcMar>
              <w:left w:w="57" w:type="dxa"/>
              <w:right w:w="57" w:type="dxa"/>
            </w:tcMar>
          </w:tcPr>
          <w:p w14:paraId="46ECAB17" w14:textId="77777777" w:rsidR="003D6A06" w:rsidRPr="007B44E3" w:rsidRDefault="003D6A06" w:rsidP="003D6A06">
            <w:pPr>
              <w:jc w:val="center"/>
              <w:rPr>
                <w:sz w:val="20"/>
                <w:szCs w:val="20"/>
              </w:rPr>
            </w:pPr>
            <w:r w:rsidRPr="007B44E3">
              <w:rPr>
                <w:sz w:val="20"/>
                <w:szCs w:val="20"/>
              </w:rPr>
              <w:t>1x post-milking</w:t>
            </w:r>
          </w:p>
          <w:p w14:paraId="006C72FE" w14:textId="77777777" w:rsidR="003D6A06" w:rsidRPr="007B44E3" w:rsidRDefault="003D6A06" w:rsidP="003D6A06">
            <w:pPr>
              <w:rPr>
                <w:sz w:val="20"/>
                <w:szCs w:val="20"/>
              </w:rPr>
            </w:pPr>
          </w:p>
          <w:p w14:paraId="5B842162" w14:textId="77777777" w:rsidR="003D6A06" w:rsidRPr="007B44E3" w:rsidRDefault="003D6A06" w:rsidP="003D6A06">
            <w:pPr>
              <w:jc w:val="center"/>
              <w:rPr>
                <w:sz w:val="20"/>
                <w:szCs w:val="20"/>
              </w:rPr>
            </w:pPr>
            <w:r w:rsidRPr="007B44E3">
              <w:rPr>
                <w:sz w:val="20"/>
                <w:szCs w:val="20"/>
              </w:rPr>
              <w:t>2x post-milking</w:t>
            </w:r>
          </w:p>
        </w:tc>
        <w:tc>
          <w:tcPr>
            <w:tcW w:w="1701" w:type="dxa"/>
            <w:shd w:val="clear" w:color="auto" w:fill="auto"/>
            <w:tcMar>
              <w:left w:w="57" w:type="dxa"/>
              <w:right w:w="57" w:type="dxa"/>
            </w:tcMar>
          </w:tcPr>
          <w:p w14:paraId="7701A5C2" w14:textId="77777777" w:rsidR="003D6A06" w:rsidRPr="007B44E3" w:rsidRDefault="003D6A06" w:rsidP="003D6A06">
            <w:pPr>
              <w:jc w:val="center"/>
              <w:rPr>
                <w:sz w:val="20"/>
                <w:szCs w:val="20"/>
              </w:rPr>
            </w:pPr>
            <w:r w:rsidRPr="007B44E3">
              <w:rPr>
                <w:sz w:val="20"/>
                <w:szCs w:val="20"/>
              </w:rPr>
              <w:t>85.5</w:t>
            </w:r>
          </w:p>
          <w:p w14:paraId="15410422" w14:textId="77777777" w:rsidR="003D6A06" w:rsidRPr="007B44E3" w:rsidRDefault="003D6A06" w:rsidP="003D6A06">
            <w:pPr>
              <w:jc w:val="center"/>
              <w:rPr>
                <w:sz w:val="20"/>
                <w:szCs w:val="20"/>
              </w:rPr>
            </w:pPr>
            <w:r w:rsidRPr="007B44E3">
              <w:rPr>
                <w:sz w:val="20"/>
                <w:szCs w:val="20"/>
              </w:rPr>
              <w:t>[46 - 125]</w:t>
            </w:r>
          </w:p>
          <w:p w14:paraId="7A483B2E" w14:textId="77777777" w:rsidR="003D6A06" w:rsidRPr="007B44E3" w:rsidRDefault="003D6A06" w:rsidP="003D6A06">
            <w:pPr>
              <w:jc w:val="center"/>
              <w:rPr>
                <w:sz w:val="20"/>
                <w:szCs w:val="20"/>
              </w:rPr>
            </w:pPr>
          </w:p>
          <w:p w14:paraId="401341B5" w14:textId="77777777" w:rsidR="003D6A06" w:rsidRPr="007B44E3" w:rsidRDefault="003D6A06" w:rsidP="003D6A06">
            <w:pPr>
              <w:jc w:val="center"/>
              <w:rPr>
                <w:sz w:val="20"/>
                <w:szCs w:val="20"/>
              </w:rPr>
            </w:pPr>
            <w:r w:rsidRPr="007B44E3">
              <w:rPr>
                <w:sz w:val="20"/>
                <w:szCs w:val="20"/>
              </w:rPr>
              <w:t>226.3</w:t>
            </w:r>
          </w:p>
          <w:p w14:paraId="3DCC891B" w14:textId="77777777" w:rsidR="003D6A06" w:rsidRPr="007B44E3" w:rsidRDefault="003D6A06" w:rsidP="003D6A06">
            <w:pPr>
              <w:jc w:val="center"/>
              <w:rPr>
                <w:sz w:val="20"/>
                <w:szCs w:val="20"/>
              </w:rPr>
            </w:pPr>
            <w:r w:rsidRPr="007B44E3">
              <w:rPr>
                <w:sz w:val="20"/>
                <w:szCs w:val="20"/>
              </w:rPr>
              <w:t>[135 - 334]</w:t>
            </w:r>
          </w:p>
        </w:tc>
        <w:tc>
          <w:tcPr>
            <w:tcW w:w="1842" w:type="dxa"/>
            <w:shd w:val="clear" w:color="auto" w:fill="auto"/>
            <w:tcMar>
              <w:left w:w="57" w:type="dxa"/>
              <w:right w:w="57" w:type="dxa"/>
            </w:tcMar>
          </w:tcPr>
          <w:p w14:paraId="6AB4AE2B" w14:textId="77777777" w:rsidR="003D6A06" w:rsidRPr="007B44E3" w:rsidRDefault="003D6A06" w:rsidP="003D6A06">
            <w:pPr>
              <w:jc w:val="center"/>
              <w:rPr>
                <w:sz w:val="20"/>
                <w:szCs w:val="20"/>
              </w:rPr>
            </w:pPr>
          </w:p>
          <w:p w14:paraId="308A8DE6" w14:textId="77777777" w:rsidR="003D6A06" w:rsidRPr="007B44E3" w:rsidRDefault="003D6A06" w:rsidP="003D6A06">
            <w:pPr>
              <w:jc w:val="center"/>
              <w:rPr>
                <w:sz w:val="20"/>
                <w:szCs w:val="20"/>
              </w:rPr>
            </w:pPr>
            <w:r w:rsidRPr="007B44E3">
              <w:rPr>
                <w:sz w:val="20"/>
                <w:szCs w:val="20"/>
              </w:rPr>
              <w:t>64 [10 - 186]</w:t>
            </w:r>
          </w:p>
        </w:tc>
        <w:tc>
          <w:tcPr>
            <w:tcW w:w="1858" w:type="dxa"/>
            <w:shd w:val="clear" w:color="auto" w:fill="auto"/>
            <w:tcMar>
              <w:left w:w="57" w:type="dxa"/>
              <w:right w:w="57" w:type="dxa"/>
            </w:tcMar>
          </w:tcPr>
          <w:p w14:paraId="4E728812" w14:textId="77777777" w:rsidR="003D6A06" w:rsidRPr="007B44E3" w:rsidRDefault="003D6A06" w:rsidP="003D6A06">
            <w:pPr>
              <w:jc w:val="center"/>
              <w:rPr>
                <w:sz w:val="20"/>
                <w:szCs w:val="20"/>
              </w:rPr>
            </w:pPr>
            <w:r w:rsidRPr="007B44E3">
              <w:rPr>
                <w:sz w:val="20"/>
                <w:szCs w:val="20"/>
              </w:rPr>
              <w:t>21.5</w:t>
            </w:r>
          </w:p>
          <w:p w14:paraId="1ADAFA60" w14:textId="77777777" w:rsidR="003D6A06" w:rsidRPr="007B44E3" w:rsidRDefault="003D6A06" w:rsidP="003D6A06">
            <w:pPr>
              <w:jc w:val="center"/>
              <w:rPr>
                <w:sz w:val="20"/>
                <w:szCs w:val="20"/>
              </w:rPr>
            </w:pPr>
            <w:r w:rsidRPr="007B44E3">
              <w:rPr>
                <w:sz w:val="20"/>
                <w:szCs w:val="20"/>
              </w:rPr>
              <w:t>(+33.6%)</w:t>
            </w:r>
          </w:p>
          <w:p w14:paraId="5DC3F490" w14:textId="77777777" w:rsidR="003D6A06" w:rsidRPr="007B44E3" w:rsidRDefault="003D6A06" w:rsidP="003D6A06">
            <w:pPr>
              <w:jc w:val="center"/>
              <w:rPr>
                <w:sz w:val="20"/>
                <w:szCs w:val="20"/>
              </w:rPr>
            </w:pPr>
          </w:p>
          <w:p w14:paraId="418A214A" w14:textId="77777777" w:rsidR="003D6A06" w:rsidRPr="007B44E3" w:rsidRDefault="003D6A06" w:rsidP="003D6A06">
            <w:pPr>
              <w:jc w:val="center"/>
              <w:rPr>
                <w:sz w:val="20"/>
                <w:szCs w:val="20"/>
              </w:rPr>
            </w:pPr>
            <w:r w:rsidRPr="007B44E3">
              <w:rPr>
                <w:sz w:val="20"/>
                <w:szCs w:val="20"/>
              </w:rPr>
              <w:t>162.3 (+253.6%)</w:t>
            </w:r>
          </w:p>
        </w:tc>
      </w:tr>
      <w:tr w:rsidR="003D6A06" w:rsidRPr="007B44E3" w14:paraId="4A0496DA" w14:textId="77777777" w:rsidTr="007B44E3">
        <w:tc>
          <w:tcPr>
            <w:tcW w:w="1475" w:type="dxa"/>
            <w:shd w:val="clear" w:color="auto" w:fill="auto"/>
            <w:tcMar>
              <w:left w:w="57" w:type="dxa"/>
              <w:right w:w="57" w:type="dxa"/>
            </w:tcMar>
            <w:vAlign w:val="center"/>
          </w:tcPr>
          <w:p w14:paraId="0C4C266A" w14:textId="77777777" w:rsidR="003D6A06" w:rsidRPr="007B44E3" w:rsidRDefault="003D6A06" w:rsidP="003D6A06">
            <w:pPr>
              <w:rPr>
                <w:i/>
                <w:sz w:val="20"/>
                <w:szCs w:val="20"/>
              </w:rPr>
            </w:pPr>
            <w:r w:rsidRPr="007B44E3">
              <w:rPr>
                <w:i/>
                <w:sz w:val="20"/>
                <w:szCs w:val="20"/>
              </w:rPr>
              <w:t>Iwarsson (B)</w:t>
            </w:r>
          </w:p>
          <w:p w14:paraId="606A5765" w14:textId="77777777" w:rsidR="003D6A06" w:rsidRPr="007B44E3" w:rsidRDefault="003D6A06" w:rsidP="003D6A06">
            <w:pPr>
              <w:rPr>
                <w:i/>
                <w:sz w:val="20"/>
                <w:szCs w:val="20"/>
              </w:rPr>
            </w:pPr>
            <w:r w:rsidRPr="007B44E3">
              <w:rPr>
                <w:i/>
                <w:sz w:val="20"/>
                <w:szCs w:val="20"/>
              </w:rPr>
              <w:t>1974</w:t>
            </w:r>
          </w:p>
        </w:tc>
        <w:tc>
          <w:tcPr>
            <w:tcW w:w="850" w:type="dxa"/>
            <w:shd w:val="clear" w:color="auto" w:fill="auto"/>
            <w:tcMar>
              <w:left w:w="57" w:type="dxa"/>
              <w:right w:w="57" w:type="dxa"/>
            </w:tcMar>
            <w:vAlign w:val="center"/>
          </w:tcPr>
          <w:p w14:paraId="6AA7A1F1" w14:textId="77777777" w:rsidR="003D6A06" w:rsidRPr="007B44E3" w:rsidRDefault="003D6A06" w:rsidP="003D6A06">
            <w:pPr>
              <w:jc w:val="center"/>
              <w:rPr>
                <w:sz w:val="20"/>
                <w:szCs w:val="20"/>
              </w:rPr>
            </w:pPr>
            <w:r w:rsidRPr="007B44E3">
              <w:rPr>
                <w:sz w:val="20"/>
                <w:szCs w:val="20"/>
              </w:rPr>
              <w:t>0.50</w:t>
            </w:r>
          </w:p>
        </w:tc>
        <w:tc>
          <w:tcPr>
            <w:tcW w:w="1560" w:type="dxa"/>
            <w:shd w:val="clear" w:color="auto" w:fill="auto"/>
            <w:tcMar>
              <w:left w:w="57" w:type="dxa"/>
              <w:right w:w="57" w:type="dxa"/>
            </w:tcMar>
            <w:vAlign w:val="center"/>
          </w:tcPr>
          <w:p w14:paraId="3BFC9C1A" w14:textId="77777777" w:rsidR="003D6A06" w:rsidRPr="007B44E3" w:rsidRDefault="003D6A06" w:rsidP="003D6A06">
            <w:pPr>
              <w:jc w:val="center"/>
              <w:rPr>
                <w:sz w:val="20"/>
                <w:szCs w:val="20"/>
              </w:rPr>
            </w:pPr>
            <w:r w:rsidRPr="007B44E3">
              <w:rPr>
                <w:sz w:val="20"/>
                <w:szCs w:val="20"/>
              </w:rPr>
              <w:t>2x post-milking</w:t>
            </w:r>
          </w:p>
        </w:tc>
        <w:tc>
          <w:tcPr>
            <w:tcW w:w="1701" w:type="dxa"/>
            <w:shd w:val="clear" w:color="auto" w:fill="auto"/>
            <w:tcMar>
              <w:left w:w="57" w:type="dxa"/>
              <w:right w:w="57" w:type="dxa"/>
            </w:tcMar>
            <w:vAlign w:val="center"/>
          </w:tcPr>
          <w:p w14:paraId="64FD6D75" w14:textId="77777777" w:rsidR="003D6A06" w:rsidRPr="007B44E3" w:rsidRDefault="003D6A06" w:rsidP="003D6A06">
            <w:pPr>
              <w:jc w:val="center"/>
              <w:rPr>
                <w:sz w:val="20"/>
                <w:szCs w:val="20"/>
              </w:rPr>
            </w:pPr>
            <w:r w:rsidRPr="007B44E3">
              <w:rPr>
                <w:sz w:val="20"/>
                <w:szCs w:val="20"/>
              </w:rPr>
              <w:t>244</w:t>
            </w:r>
          </w:p>
          <w:p w14:paraId="695CFD70" w14:textId="77777777" w:rsidR="003D6A06" w:rsidRPr="007B44E3" w:rsidRDefault="003D6A06" w:rsidP="003D6A06">
            <w:pPr>
              <w:jc w:val="center"/>
              <w:rPr>
                <w:sz w:val="20"/>
                <w:szCs w:val="20"/>
              </w:rPr>
            </w:pPr>
            <w:r w:rsidRPr="007B44E3">
              <w:rPr>
                <w:sz w:val="20"/>
                <w:szCs w:val="20"/>
              </w:rPr>
              <w:t>[74 - 392]</w:t>
            </w:r>
          </w:p>
        </w:tc>
        <w:tc>
          <w:tcPr>
            <w:tcW w:w="1842" w:type="dxa"/>
            <w:shd w:val="clear" w:color="auto" w:fill="auto"/>
            <w:tcMar>
              <w:left w:w="57" w:type="dxa"/>
              <w:right w:w="57" w:type="dxa"/>
            </w:tcMar>
            <w:vAlign w:val="center"/>
          </w:tcPr>
          <w:p w14:paraId="2F73AD05" w14:textId="77777777" w:rsidR="003D6A06" w:rsidRPr="007B44E3" w:rsidRDefault="003D6A06" w:rsidP="003D6A06">
            <w:pPr>
              <w:jc w:val="center"/>
              <w:rPr>
                <w:sz w:val="20"/>
                <w:szCs w:val="20"/>
              </w:rPr>
            </w:pPr>
            <w:r w:rsidRPr="007B44E3">
              <w:rPr>
                <w:sz w:val="20"/>
                <w:szCs w:val="20"/>
              </w:rPr>
              <w:t>70</w:t>
            </w:r>
          </w:p>
          <w:p w14:paraId="03C171E9" w14:textId="77777777" w:rsidR="003D6A06" w:rsidRPr="007B44E3" w:rsidRDefault="003D6A06" w:rsidP="003D6A06">
            <w:pPr>
              <w:jc w:val="center"/>
              <w:rPr>
                <w:sz w:val="20"/>
                <w:szCs w:val="20"/>
              </w:rPr>
            </w:pPr>
            <w:r w:rsidRPr="007B44E3">
              <w:rPr>
                <w:sz w:val="20"/>
                <w:szCs w:val="20"/>
              </w:rPr>
              <w:t>[16 - 171]</w:t>
            </w:r>
          </w:p>
        </w:tc>
        <w:tc>
          <w:tcPr>
            <w:tcW w:w="1858" w:type="dxa"/>
            <w:shd w:val="clear" w:color="auto" w:fill="auto"/>
            <w:tcMar>
              <w:left w:w="57" w:type="dxa"/>
              <w:right w:w="57" w:type="dxa"/>
            </w:tcMar>
            <w:vAlign w:val="center"/>
          </w:tcPr>
          <w:p w14:paraId="2F3BA9FF" w14:textId="77777777" w:rsidR="003D6A06" w:rsidRPr="007B44E3" w:rsidRDefault="003D6A06" w:rsidP="003D6A06">
            <w:pPr>
              <w:jc w:val="center"/>
              <w:rPr>
                <w:sz w:val="20"/>
                <w:szCs w:val="20"/>
              </w:rPr>
            </w:pPr>
            <w:r w:rsidRPr="007B44E3">
              <w:rPr>
                <w:sz w:val="20"/>
                <w:szCs w:val="20"/>
              </w:rPr>
              <w:t>174</w:t>
            </w:r>
          </w:p>
          <w:p w14:paraId="1EF577E0" w14:textId="77777777" w:rsidR="003D6A06" w:rsidRPr="007B44E3" w:rsidRDefault="003D6A06" w:rsidP="003D6A06">
            <w:pPr>
              <w:jc w:val="center"/>
              <w:rPr>
                <w:sz w:val="20"/>
                <w:szCs w:val="20"/>
              </w:rPr>
            </w:pPr>
            <w:r w:rsidRPr="007B44E3">
              <w:rPr>
                <w:sz w:val="20"/>
                <w:szCs w:val="20"/>
              </w:rPr>
              <w:t>(+248.6 %)</w:t>
            </w:r>
          </w:p>
        </w:tc>
      </w:tr>
      <w:tr w:rsidR="003D6A06" w:rsidRPr="007B44E3" w14:paraId="6AAE6812" w14:textId="77777777" w:rsidTr="007B44E3">
        <w:tc>
          <w:tcPr>
            <w:tcW w:w="1475" w:type="dxa"/>
            <w:shd w:val="clear" w:color="auto" w:fill="auto"/>
            <w:tcMar>
              <w:left w:w="57" w:type="dxa"/>
              <w:right w:w="57" w:type="dxa"/>
            </w:tcMar>
            <w:vAlign w:val="center"/>
          </w:tcPr>
          <w:p w14:paraId="2D1C182A" w14:textId="77777777" w:rsidR="003D6A06" w:rsidRPr="007B44E3" w:rsidRDefault="003D6A06" w:rsidP="003D6A06">
            <w:pPr>
              <w:rPr>
                <w:i/>
                <w:sz w:val="20"/>
                <w:szCs w:val="20"/>
              </w:rPr>
            </w:pPr>
            <w:r w:rsidRPr="007B44E3">
              <w:rPr>
                <w:i/>
                <w:sz w:val="20"/>
                <w:szCs w:val="20"/>
              </w:rPr>
              <w:t>Iwarsson (C)</w:t>
            </w:r>
          </w:p>
          <w:p w14:paraId="29D7DD79" w14:textId="77777777" w:rsidR="003D6A06" w:rsidRPr="007B44E3" w:rsidRDefault="003D6A06" w:rsidP="003D6A06">
            <w:pPr>
              <w:rPr>
                <w:i/>
                <w:sz w:val="20"/>
                <w:szCs w:val="20"/>
              </w:rPr>
            </w:pPr>
            <w:r w:rsidRPr="007B44E3">
              <w:rPr>
                <w:i/>
                <w:sz w:val="20"/>
                <w:szCs w:val="20"/>
              </w:rPr>
              <w:t>1974</w:t>
            </w:r>
          </w:p>
        </w:tc>
        <w:tc>
          <w:tcPr>
            <w:tcW w:w="850" w:type="dxa"/>
            <w:shd w:val="clear" w:color="auto" w:fill="auto"/>
            <w:tcMar>
              <w:left w:w="57" w:type="dxa"/>
              <w:right w:w="57" w:type="dxa"/>
            </w:tcMar>
            <w:vAlign w:val="center"/>
          </w:tcPr>
          <w:p w14:paraId="5958391B" w14:textId="77777777" w:rsidR="003D6A06" w:rsidRPr="007B44E3" w:rsidRDefault="003D6A06" w:rsidP="003D6A06">
            <w:pPr>
              <w:jc w:val="center"/>
              <w:rPr>
                <w:sz w:val="20"/>
                <w:szCs w:val="20"/>
              </w:rPr>
            </w:pPr>
            <w:r w:rsidRPr="007B44E3">
              <w:rPr>
                <w:sz w:val="20"/>
                <w:szCs w:val="20"/>
              </w:rPr>
              <w:t>0.25</w:t>
            </w:r>
          </w:p>
          <w:p w14:paraId="2893ABF5" w14:textId="77777777" w:rsidR="003D6A06" w:rsidRPr="007B44E3" w:rsidRDefault="003D6A06" w:rsidP="003D6A06">
            <w:pPr>
              <w:jc w:val="center"/>
              <w:rPr>
                <w:sz w:val="20"/>
                <w:szCs w:val="20"/>
              </w:rPr>
            </w:pPr>
            <w:r w:rsidRPr="007B44E3">
              <w:rPr>
                <w:sz w:val="20"/>
                <w:szCs w:val="20"/>
              </w:rPr>
              <w:t>0.50</w:t>
            </w:r>
          </w:p>
        </w:tc>
        <w:tc>
          <w:tcPr>
            <w:tcW w:w="1560" w:type="dxa"/>
            <w:shd w:val="clear" w:color="auto" w:fill="auto"/>
            <w:tcMar>
              <w:left w:w="57" w:type="dxa"/>
              <w:right w:w="57" w:type="dxa"/>
            </w:tcMar>
            <w:vAlign w:val="center"/>
          </w:tcPr>
          <w:p w14:paraId="4438A61A" w14:textId="77777777" w:rsidR="003D6A06" w:rsidRPr="007B44E3" w:rsidRDefault="003D6A06" w:rsidP="003D6A06">
            <w:pPr>
              <w:jc w:val="center"/>
              <w:rPr>
                <w:sz w:val="20"/>
                <w:szCs w:val="20"/>
              </w:rPr>
            </w:pPr>
            <w:r w:rsidRPr="007B44E3">
              <w:rPr>
                <w:sz w:val="20"/>
                <w:szCs w:val="20"/>
              </w:rPr>
              <w:t>2x post-milking</w:t>
            </w:r>
          </w:p>
        </w:tc>
        <w:tc>
          <w:tcPr>
            <w:tcW w:w="1701" w:type="dxa"/>
            <w:shd w:val="clear" w:color="auto" w:fill="auto"/>
            <w:tcMar>
              <w:left w:w="57" w:type="dxa"/>
              <w:right w:w="57" w:type="dxa"/>
            </w:tcMar>
            <w:vAlign w:val="center"/>
          </w:tcPr>
          <w:p w14:paraId="4C4913F4" w14:textId="77777777" w:rsidR="003D6A06" w:rsidRPr="007B44E3" w:rsidRDefault="003D6A06" w:rsidP="003D6A06">
            <w:pPr>
              <w:jc w:val="center"/>
              <w:rPr>
                <w:sz w:val="20"/>
                <w:szCs w:val="20"/>
              </w:rPr>
            </w:pPr>
            <w:r w:rsidRPr="007B44E3">
              <w:rPr>
                <w:sz w:val="20"/>
                <w:szCs w:val="20"/>
              </w:rPr>
              <w:t>187, 176</w:t>
            </w:r>
          </w:p>
          <w:p w14:paraId="2A8F4FAF" w14:textId="77777777" w:rsidR="003D6A06" w:rsidRPr="007B44E3" w:rsidRDefault="003D6A06" w:rsidP="003D6A06">
            <w:pPr>
              <w:jc w:val="center"/>
              <w:rPr>
                <w:sz w:val="20"/>
                <w:szCs w:val="20"/>
              </w:rPr>
            </w:pPr>
            <w:r w:rsidRPr="007B44E3">
              <w:rPr>
                <w:sz w:val="20"/>
                <w:szCs w:val="20"/>
              </w:rPr>
              <w:t>301, 334</w:t>
            </w:r>
          </w:p>
        </w:tc>
        <w:tc>
          <w:tcPr>
            <w:tcW w:w="3700" w:type="dxa"/>
            <w:gridSpan w:val="2"/>
            <w:shd w:val="clear" w:color="auto" w:fill="auto"/>
            <w:tcMar>
              <w:left w:w="57" w:type="dxa"/>
              <w:right w:w="57" w:type="dxa"/>
            </w:tcMar>
            <w:vAlign w:val="center"/>
          </w:tcPr>
          <w:p w14:paraId="56F0B075" w14:textId="77777777" w:rsidR="003D6A06" w:rsidRPr="007B44E3" w:rsidRDefault="003D6A06" w:rsidP="003D6A06">
            <w:pPr>
              <w:jc w:val="center"/>
              <w:rPr>
                <w:sz w:val="20"/>
                <w:szCs w:val="20"/>
              </w:rPr>
            </w:pPr>
            <w:r w:rsidRPr="007B44E3">
              <w:rPr>
                <w:sz w:val="20"/>
                <w:szCs w:val="20"/>
              </w:rPr>
              <w:t>N/A - a decrease of approx. 50 % in total iodine residues was observed when halving product iodine content</w:t>
            </w:r>
          </w:p>
        </w:tc>
      </w:tr>
    </w:tbl>
    <w:p w14:paraId="3FDB6623" w14:textId="77777777" w:rsidR="003D6A06" w:rsidRPr="007B44E3" w:rsidRDefault="003D6A06" w:rsidP="003D6A06">
      <w:pPr>
        <w:jc w:val="both"/>
        <w:rPr>
          <w:lang w:val="en-US" w:eastAsia="de-DE"/>
        </w:rPr>
      </w:pPr>
    </w:p>
    <w:p w14:paraId="5EEA2042" w14:textId="77777777" w:rsidR="003D6A06" w:rsidRPr="007B44E3" w:rsidRDefault="003D6A06" w:rsidP="003D6A06">
      <w:pPr>
        <w:jc w:val="both"/>
        <w:rPr>
          <w:iCs/>
          <w:lang w:val="en-US"/>
        </w:rPr>
      </w:pPr>
      <w:r w:rsidRPr="007B44E3">
        <w:rPr>
          <w:iCs/>
          <w:lang w:val="en-US"/>
        </w:rPr>
        <w:t xml:space="preserve">Access to the O’Brien study is not possible in the framework of this dossier. So the data from </w:t>
      </w:r>
      <w:r w:rsidRPr="007B44E3">
        <w:rPr>
          <w:i/>
          <w:iCs/>
          <w:lang w:val="en-US"/>
        </w:rPr>
        <w:t>Iwarsson (B)</w:t>
      </w:r>
      <w:r w:rsidRPr="007B44E3">
        <w:rPr>
          <w:iCs/>
          <w:lang w:val="en-US"/>
        </w:rPr>
        <w:t xml:space="preserve"> in the table above has been used to support an approximately linear extrapolation of the iodine content in milk based on the concentration of iodine in a teat disinfectant solution.</w:t>
      </w:r>
    </w:p>
    <w:p w14:paraId="56E4721F" w14:textId="77777777" w:rsidR="003D6A06" w:rsidRPr="007B44E3" w:rsidRDefault="003D6A06" w:rsidP="003D6A06">
      <w:pPr>
        <w:jc w:val="both"/>
        <w:rPr>
          <w:lang w:val="en-US" w:eastAsia="de-DE"/>
        </w:rPr>
      </w:pPr>
    </w:p>
    <w:p w14:paraId="14FAE98E" w14:textId="77777777" w:rsidR="003D6A06" w:rsidRPr="007B44E3" w:rsidRDefault="003D6A06" w:rsidP="003D6A06">
      <w:pPr>
        <w:jc w:val="both"/>
        <w:rPr>
          <w:iCs/>
          <w:lang w:val="en-US"/>
        </w:rPr>
      </w:pPr>
      <w:r w:rsidRPr="007B44E3">
        <w:rPr>
          <w:iCs/>
          <w:lang w:val="en-US"/>
        </w:rPr>
        <w:t xml:space="preserve">IODIGUARD contains an in-use concentration of iodine (0.255 %, considering 17% from PVPI) and potassium iodide (0.038 %).  Even though it is noted that both iodine forms are equally relevant for dietary exposure (total iodine), as the bibliographic data are based on available iodine (0.5 % in </w:t>
      </w:r>
      <w:r w:rsidRPr="007B44E3">
        <w:rPr>
          <w:i/>
          <w:lang w:val="en-US"/>
        </w:rPr>
        <w:t xml:space="preserve">Iwarsson </w:t>
      </w:r>
      <w:r w:rsidRPr="007B44E3">
        <w:rPr>
          <w:i/>
          <w:lang w:val="en-US"/>
        </w:rPr>
        <w:lastRenderedPageBreak/>
        <w:t>1974)</w:t>
      </w:r>
      <w:r w:rsidRPr="007B44E3">
        <w:rPr>
          <w:iCs/>
          <w:lang w:val="en-US"/>
        </w:rPr>
        <w:t xml:space="preserve"> the maximum available iodine content has been considered in the dietary risk assessment (0.255 %).</w:t>
      </w:r>
    </w:p>
    <w:p w14:paraId="78DE9B57" w14:textId="77777777" w:rsidR="003D6A06" w:rsidRPr="007B44E3" w:rsidRDefault="003D6A06" w:rsidP="003D6A06">
      <w:pPr>
        <w:jc w:val="both"/>
        <w:rPr>
          <w:i/>
          <w:lang w:val="en-US" w:eastAsia="de-DE"/>
        </w:rPr>
      </w:pPr>
    </w:p>
    <w:p w14:paraId="0EFA3FA3" w14:textId="77777777" w:rsidR="003D6A06" w:rsidRPr="007B44E3" w:rsidRDefault="003D6A06" w:rsidP="003D6A06">
      <w:pPr>
        <w:jc w:val="both"/>
        <w:rPr>
          <w:b/>
          <w:lang w:val="en-US" w:eastAsia="de-DE"/>
        </w:rPr>
      </w:pPr>
      <w:r w:rsidRPr="007B44E3">
        <w:rPr>
          <w:b/>
          <w:lang w:val="en-US" w:eastAsia="de-DE"/>
        </w:rPr>
        <w:t>Estimated iodine residues in milk considering background</w:t>
      </w:r>
    </w:p>
    <w:p w14:paraId="3167FA67" w14:textId="77777777" w:rsidR="003D6A06" w:rsidRPr="007B44E3" w:rsidRDefault="003D6A06" w:rsidP="003D6A06">
      <w:pPr>
        <w:jc w:val="both"/>
        <w:rPr>
          <w:b/>
          <w:lang w:val="en-US" w:eastAsia="de-DE"/>
        </w:rPr>
      </w:pPr>
    </w:p>
    <w:p w14:paraId="7CFDFF01" w14:textId="77777777" w:rsidR="003D6A06" w:rsidRPr="007B44E3" w:rsidRDefault="003D6A06" w:rsidP="003D6A06">
      <w:pPr>
        <w:jc w:val="both"/>
        <w:rPr>
          <w:lang w:val="en-US" w:eastAsia="de-DE"/>
        </w:rPr>
      </w:pPr>
      <w:r w:rsidRPr="007B44E3">
        <w:rPr>
          <w:lang w:val="en-US" w:eastAsia="de-DE"/>
        </w:rPr>
        <w:t>It is noted that values reported by EFSA in monitoring studies conducted within the EU indicate mean levels of iodine in milk of 100 - 200 µg/L (EFSA 2005 and EFSA 2013).   The most appropriate background level to use in the risk assessment was discussed and agreed in the WebEx meeting (October 2017), where it was concluded that the value of 200 μg/L iodine in milk was considered appropriate as an EU harmonised value.</w:t>
      </w:r>
    </w:p>
    <w:p w14:paraId="372CD568" w14:textId="77777777" w:rsidR="003D6A06" w:rsidRPr="007B44E3" w:rsidRDefault="003D6A06" w:rsidP="003D6A06">
      <w:pPr>
        <w:jc w:val="both"/>
        <w:rPr>
          <w:lang w:val="en-US" w:eastAsia="de-DE"/>
        </w:rPr>
      </w:pPr>
    </w:p>
    <w:p w14:paraId="4E03BCFD" w14:textId="77777777" w:rsidR="003D6A06" w:rsidRPr="007B44E3" w:rsidRDefault="003D6A06" w:rsidP="003D6A06">
      <w:pPr>
        <w:jc w:val="both"/>
        <w:rPr>
          <w:lang w:val="en-US" w:eastAsia="de-DE"/>
        </w:rPr>
      </w:pPr>
      <w:r w:rsidRPr="007B44E3">
        <w:rPr>
          <w:lang w:val="en-US" w:eastAsia="de-DE"/>
        </w:rPr>
        <w:t xml:space="preserve">Based on the assumed linear relationship between iodine concentration and iodine residues in milk, and the agreed background level in milk of 200 µg/L, the estimated residues of iodine in milk have been derived and presented in Table 2.  </w:t>
      </w:r>
    </w:p>
    <w:p w14:paraId="00761752" w14:textId="77777777" w:rsidR="003D6A06" w:rsidRPr="007B44E3" w:rsidRDefault="003D6A06" w:rsidP="003D6A06">
      <w:pPr>
        <w:jc w:val="both"/>
        <w:rPr>
          <w:color w:val="FF0000"/>
          <w:lang w:val="en-US" w:eastAsia="de-DE"/>
        </w:rPr>
      </w:pPr>
    </w:p>
    <w:p w14:paraId="4D695D5C" w14:textId="77777777" w:rsidR="003D6A06" w:rsidRPr="007B44E3" w:rsidRDefault="003D6A06" w:rsidP="003D6A06">
      <w:pPr>
        <w:jc w:val="both"/>
        <w:rPr>
          <w:b/>
          <w:lang w:val="en-US" w:eastAsia="de-DE"/>
        </w:rPr>
      </w:pPr>
      <w:r w:rsidRPr="007B44E3">
        <w:rPr>
          <w:b/>
          <w:lang w:val="en-US" w:eastAsia="de-DE"/>
        </w:rPr>
        <w:t>Table 2 - Estimated residues of iodine in milk based on extrapolation of O’Brien 2013 data</w:t>
      </w:r>
    </w:p>
    <w:tbl>
      <w:tblPr>
        <w:tblStyle w:val="TableGrid5"/>
        <w:tblW w:w="0" w:type="auto"/>
        <w:tblLook w:val="04A0" w:firstRow="1" w:lastRow="0" w:firstColumn="1" w:lastColumn="0" w:noHBand="0" w:noVBand="1"/>
      </w:tblPr>
      <w:tblGrid>
        <w:gridCol w:w="2302"/>
        <w:gridCol w:w="1140"/>
        <w:gridCol w:w="2436"/>
        <w:gridCol w:w="1667"/>
        <w:gridCol w:w="1658"/>
      </w:tblGrid>
      <w:tr w:rsidR="003D6A06" w:rsidRPr="007B44E3" w14:paraId="05CBA8ED" w14:textId="77777777" w:rsidTr="007B44E3">
        <w:tc>
          <w:tcPr>
            <w:tcW w:w="2325" w:type="dxa"/>
            <w:vMerge w:val="restart"/>
            <w:tcMar>
              <w:left w:w="57" w:type="dxa"/>
              <w:right w:w="57" w:type="dxa"/>
            </w:tcMar>
            <w:vAlign w:val="center"/>
          </w:tcPr>
          <w:p w14:paraId="5E2F7195" w14:textId="77777777" w:rsidR="003D6A06" w:rsidRPr="007B44E3" w:rsidRDefault="003D6A06" w:rsidP="003D6A06">
            <w:pPr>
              <w:rPr>
                <w:sz w:val="20"/>
                <w:szCs w:val="20"/>
              </w:rPr>
            </w:pPr>
            <w:r w:rsidRPr="007B44E3">
              <w:rPr>
                <w:sz w:val="20"/>
                <w:szCs w:val="20"/>
              </w:rPr>
              <w:t>Product</w:t>
            </w:r>
          </w:p>
        </w:tc>
        <w:tc>
          <w:tcPr>
            <w:tcW w:w="1150" w:type="dxa"/>
            <w:vMerge w:val="restart"/>
            <w:tcMar>
              <w:left w:w="57" w:type="dxa"/>
              <w:right w:w="57" w:type="dxa"/>
            </w:tcMar>
            <w:vAlign w:val="center"/>
          </w:tcPr>
          <w:p w14:paraId="5D253A4B" w14:textId="77777777" w:rsidR="003D6A06" w:rsidRPr="007B44E3" w:rsidRDefault="003D6A06" w:rsidP="003D6A06">
            <w:pPr>
              <w:jc w:val="center"/>
              <w:rPr>
                <w:sz w:val="20"/>
                <w:szCs w:val="20"/>
              </w:rPr>
            </w:pPr>
            <w:r w:rsidRPr="007B44E3">
              <w:rPr>
                <w:sz w:val="20"/>
                <w:szCs w:val="20"/>
              </w:rPr>
              <w:t>Iodine</w:t>
            </w:r>
          </w:p>
          <w:p w14:paraId="783A2EED" w14:textId="77777777" w:rsidR="003D6A06" w:rsidRPr="007B44E3" w:rsidRDefault="003D6A06" w:rsidP="003D6A06">
            <w:pPr>
              <w:jc w:val="center"/>
              <w:rPr>
                <w:sz w:val="20"/>
                <w:szCs w:val="20"/>
              </w:rPr>
            </w:pPr>
            <w:r w:rsidRPr="007B44E3">
              <w:rPr>
                <w:sz w:val="20"/>
                <w:szCs w:val="20"/>
              </w:rPr>
              <w:t>(%)</w:t>
            </w:r>
          </w:p>
        </w:tc>
        <w:tc>
          <w:tcPr>
            <w:tcW w:w="2464" w:type="dxa"/>
            <w:vMerge w:val="restart"/>
            <w:tcMar>
              <w:left w:w="57" w:type="dxa"/>
              <w:right w:w="57" w:type="dxa"/>
            </w:tcMar>
            <w:vAlign w:val="center"/>
          </w:tcPr>
          <w:p w14:paraId="6B273893" w14:textId="77777777" w:rsidR="003D6A06" w:rsidRPr="007B44E3" w:rsidRDefault="003D6A06" w:rsidP="003D6A06">
            <w:pPr>
              <w:jc w:val="center"/>
              <w:rPr>
                <w:sz w:val="20"/>
                <w:szCs w:val="20"/>
              </w:rPr>
            </w:pPr>
            <w:r w:rsidRPr="007B44E3">
              <w:rPr>
                <w:sz w:val="20"/>
                <w:szCs w:val="20"/>
              </w:rPr>
              <w:t>Applications</w:t>
            </w:r>
          </w:p>
        </w:tc>
        <w:tc>
          <w:tcPr>
            <w:tcW w:w="3359" w:type="dxa"/>
            <w:gridSpan w:val="2"/>
            <w:tcMar>
              <w:left w:w="57" w:type="dxa"/>
              <w:right w:w="57" w:type="dxa"/>
            </w:tcMar>
            <w:vAlign w:val="center"/>
          </w:tcPr>
          <w:p w14:paraId="5AB2509E" w14:textId="77777777" w:rsidR="003D6A06" w:rsidRPr="007B44E3" w:rsidRDefault="003D6A06" w:rsidP="003D6A06">
            <w:pPr>
              <w:jc w:val="center"/>
              <w:rPr>
                <w:sz w:val="20"/>
                <w:szCs w:val="20"/>
              </w:rPr>
            </w:pPr>
            <w:r w:rsidRPr="007B44E3">
              <w:rPr>
                <w:sz w:val="20"/>
                <w:szCs w:val="20"/>
              </w:rPr>
              <w:t xml:space="preserve">Estimated mean residues of iodine in milk (µg/L) </w:t>
            </w:r>
          </w:p>
        </w:tc>
      </w:tr>
      <w:tr w:rsidR="003D6A06" w:rsidRPr="007B44E3" w14:paraId="43E3A9A2" w14:textId="77777777" w:rsidTr="007B44E3">
        <w:tc>
          <w:tcPr>
            <w:tcW w:w="2325" w:type="dxa"/>
            <w:vMerge/>
            <w:shd w:val="clear" w:color="auto" w:fill="auto"/>
            <w:tcMar>
              <w:left w:w="57" w:type="dxa"/>
              <w:right w:w="57" w:type="dxa"/>
            </w:tcMar>
            <w:vAlign w:val="center"/>
          </w:tcPr>
          <w:p w14:paraId="711C324F" w14:textId="77777777" w:rsidR="003D6A06" w:rsidRPr="007B44E3" w:rsidRDefault="003D6A06" w:rsidP="003D6A06">
            <w:pPr>
              <w:rPr>
                <w:i/>
                <w:sz w:val="20"/>
                <w:szCs w:val="20"/>
              </w:rPr>
            </w:pPr>
          </w:p>
        </w:tc>
        <w:tc>
          <w:tcPr>
            <w:tcW w:w="1150" w:type="dxa"/>
            <w:vMerge/>
            <w:shd w:val="clear" w:color="auto" w:fill="auto"/>
            <w:tcMar>
              <w:left w:w="57" w:type="dxa"/>
              <w:right w:w="57" w:type="dxa"/>
            </w:tcMar>
            <w:vAlign w:val="center"/>
          </w:tcPr>
          <w:p w14:paraId="61C2F2F7" w14:textId="77777777" w:rsidR="003D6A06" w:rsidRPr="007B44E3" w:rsidRDefault="003D6A06" w:rsidP="003D6A06">
            <w:pPr>
              <w:jc w:val="center"/>
              <w:rPr>
                <w:sz w:val="20"/>
                <w:szCs w:val="20"/>
              </w:rPr>
            </w:pPr>
          </w:p>
        </w:tc>
        <w:tc>
          <w:tcPr>
            <w:tcW w:w="2464" w:type="dxa"/>
            <w:vMerge/>
            <w:shd w:val="clear" w:color="auto" w:fill="auto"/>
            <w:tcMar>
              <w:left w:w="57" w:type="dxa"/>
              <w:right w:w="57" w:type="dxa"/>
            </w:tcMar>
            <w:vAlign w:val="center"/>
          </w:tcPr>
          <w:p w14:paraId="0EEFC7B9" w14:textId="77777777" w:rsidR="003D6A06" w:rsidRPr="007B44E3" w:rsidRDefault="003D6A06" w:rsidP="003D6A06">
            <w:pPr>
              <w:jc w:val="center"/>
              <w:rPr>
                <w:sz w:val="20"/>
                <w:szCs w:val="20"/>
              </w:rPr>
            </w:pPr>
          </w:p>
        </w:tc>
        <w:tc>
          <w:tcPr>
            <w:tcW w:w="1681" w:type="dxa"/>
            <w:shd w:val="clear" w:color="auto" w:fill="auto"/>
            <w:tcMar>
              <w:left w:w="57" w:type="dxa"/>
              <w:right w:w="57" w:type="dxa"/>
            </w:tcMar>
            <w:vAlign w:val="center"/>
          </w:tcPr>
          <w:p w14:paraId="1FCDBD74" w14:textId="77777777" w:rsidR="003D6A06" w:rsidRPr="007B44E3" w:rsidRDefault="003D6A06" w:rsidP="003D6A06">
            <w:pPr>
              <w:jc w:val="center"/>
              <w:rPr>
                <w:sz w:val="20"/>
                <w:szCs w:val="20"/>
              </w:rPr>
            </w:pPr>
            <w:r w:rsidRPr="007B44E3">
              <w:rPr>
                <w:sz w:val="20"/>
                <w:szCs w:val="20"/>
              </w:rPr>
              <w:t>Proposed teat treatment</w:t>
            </w:r>
          </w:p>
        </w:tc>
        <w:tc>
          <w:tcPr>
            <w:tcW w:w="1678" w:type="dxa"/>
          </w:tcPr>
          <w:p w14:paraId="32E9DC4A" w14:textId="77777777" w:rsidR="003D6A06" w:rsidRPr="007B44E3" w:rsidRDefault="003D6A06" w:rsidP="003D6A06">
            <w:pPr>
              <w:jc w:val="center"/>
              <w:rPr>
                <w:sz w:val="20"/>
                <w:szCs w:val="20"/>
              </w:rPr>
            </w:pPr>
            <w:r w:rsidRPr="007B44E3">
              <w:rPr>
                <w:sz w:val="20"/>
                <w:szCs w:val="20"/>
              </w:rPr>
              <w:t>TOTAL milk</w:t>
            </w:r>
          </w:p>
          <w:p w14:paraId="50B4D1DB" w14:textId="77777777" w:rsidR="003D6A06" w:rsidRPr="007B44E3" w:rsidRDefault="003D6A06" w:rsidP="003D6A06">
            <w:pPr>
              <w:jc w:val="center"/>
              <w:rPr>
                <w:sz w:val="20"/>
                <w:szCs w:val="20"/>
              </w:rPr>
            </w:pPr>
            <w:r w:rsidRPr="007B44E3">
              <w:rPr>
                <w:sz w:val="20"/>
                <w:szCs w:val="20"/>
              </w:rPr>
              <w:t>(+ 200)</w:t>
            </w:r>
          </w:p>
        </w:tc>
      </w:tr>
      <w:tr w:rsidR="003D6A06" w:rsidRPr="007B44E3" w14:paraId="1F0F4184" w14:textId="77777777" w:rsidTr="007B44E3">
        <w:tc>
          <w:tcPr>
            <w:tcW w:w="2325" w:type="dxa"/>
            <w:shd w:val="clear" w:color="auto" w:fill="auto"/>
            <w:tcMar>
              <w:left w:w="57" w:type="dxa"/>
              <w:right w:w="57" w:type="dxa"/>
            </w:tcMar>
            <w:vAlign w:val="center"/>
          </w:tcPr>
          <w:p w14:paraId="0FEF74FC" w14:textId="77777777" w:rsidR="003D6A06" w:rsidRPr="007B44E3" w:rsidRDefault="003D6A06" w:rsidP="003D6A06">
            <w:pPr>
              <w:rPr>
                <w:i/>
                <w:sz w:val="20"/>
                <w:szCs w:val="20"/>
              </w:rPr>
            </w:pPr>
            <w:r w:rsidRPr="007B44E3">
              <w:rPr>
                <w:i/>
                <w:sz w:val="20"/>
                <w:szCs w:val="20"/>
              </w:rPr>
              <w:t>Iwarsson 1974</w:t>
            </w:r>
          </w:p>
        </w:tc>
        <w:tc>
          <w:tcPr>
            <w:tcW w:w="1150" w:type="dxa"/>
            <w:shd w:val="clear" w:color="auto" w:fill="auto"/>
            <w:tcMar>
              <w:left w:w="57" w:type="dxa"/>
              <w:right w:w="57" w:type="dxa"/>
            </w:tcMar>
            <w:vAlign w:val="center"/>
          </w:tcPr>
          <w:p w14:paraId="7067A5CF" w14:textId="77777777" w:rsidR="003D6A06" w:rsidRPr="007B44E3" w:rsidRDefault="003D6A06" w:rsidP="003D6A06">
            <w:pPr>
              <w:jc w:val="center"/>
              <w:rPr>
                <w:sz w:val="20"/>
                <w:szCs w:val="20"/>
              </w:rPr>
            </w:pPr>
            <w:r w:rsidRPr="007B44E3">
              <w:rPr>
                <w:sz w:val="20"/>
                <w:szCs w:val="20"/>
              </w:rPr>
              <w:t>0.500</w:t>
            </w:r>
          </w:p>
        </w:tc>
        <w:tc>
          <w:tcPr>
            <w:tcW w:w="2464" w:type="dxa"/>
            <w:shd w:val="clear" w:color="auto" w:fill="auto"/>
            <w:tcMar>
              <w:left w:w="57" w:type="dxa"/>
              <w:right w:w="57" w:type="dxa"/>
            </w:tcMar>
            <w:vAlign w:val="center"/>
          </w:tcPr>
          <w:p w14:paraId="5350F43A" w14:textId="77777777" w:rsidR="003D6A06" w:rsidRPr="007B44E3" w:rsidRDefault="003D6A06" w:rsidP="003D6A06">
            <w:pPr>
              <w:jc w:val="center"/>
              <w:rPr>
                <w:sz w:val="20"/>
                <w:szCs w:val="20"/>
              </w:rPr>
            </w:pPr>
            <w:r w:rsidRPr="007B44E3">
              <w:rPr>
                <w:sz w:val="20"/>
                <w:szCs w:val="20"/>
              </w:rPr>
              <w:t>2x post-milking</w:t>
            </w:r>
          </w:p>
        </w:tc>
        <w:tc>
          <w:tcPr>
            <w:tcW w:w="1681" w:type="dxa"/>
            <w:shd w:val="clear" w:color="auto" w:fill="auto"/>
            <w:tcMar>
              <w:left w:w="57" w:type="dxa"/>
              <w:right w:w="57" w:type="dxa"/>
            </w:tcMar>
            <w:vAlign w:val="center"/>
          </w:tcPr>
          <w:p w14:paraId="63B642FD" w14:textId="77777777" w:rsidR="003D6A06" w:rsidRPr="007B44E3" w:rsidRDefault="003D6A06" w:rsidP="003D6A06">
            <w:pPr>
              <w:jc w:val="center"/>
              <w:rPr>
                <w:sz w:val="20"/>
                <w:szCs w:val="20"/>
              </w:rPr>
            </w:pPr>
            <w:r w:rsidRPr="007B44E3">
              <w:rPr>
                <w:sz w:val="20"/>
                <w:szCs w:val="20"/>
              </w:rPr>
              <w:t>174</w:t>
            </w:r>
          </w:p>
        </w:tc>
        <w:tc>
          <w:tcPr>
            <w:tcW w:w="1678" w:type="dxa"/>
            <w:vAlign w:val="center"/>
          </w:tcPr>
          <w:p w14:paraId="6234CFA8" w14:textId="77777777" w:rsidR="003D6A06" w:rsidRPr="007B44E3" w:rsidDel="0002199E" w:rsidRDefault="003D6A06" w:rsidP="003D6A06">
            <w:pPr>
              <w:jc w:val="center"/>
              <w:rPr>
                <w:sz w:val="20"/>
                <w:szCs w:val="20"/>
              </w:rPr>
            </w:pPr>
            <w:r w:rsidRPr="007B44E3">
              <w:rPr>
                <w:sz w:val="20"/>
                <w:szCs w:val="20"/>
              </w:rPr>
              <w:t>374</w:t>
            </w:r>
          </w:p>
        </w:tc>
      </w:tr>
      <w:tr w:rsidR="003D6A06" w:rsidRPr="007B44E3" w14:paraId="3F01428F" w14:textId="77777777" w:rsidTr="007B44E3">
        <w:tc>
          <w:tcPr>
            <w:tcW w:w="2325" w:type="dxa"/>
            <w:shd w:val="clear" w:color="auto" w:fill="auto"/>
            <w:tcMar>
              <w:left w:w="57" w:type="dxa"/>
              <w:right w:w="57" w:type="dxa"/>
            </w:tcMar>
            <w:vAlign w:val="center"/>
          </w:tcPr>
          <w:p w14:paraId="2751247F" w14:textId="77777777" w:rsidR="003D6A06" w:rsidRPr="007B44E3" w:rsidRDefault="003D6A06" w:rsidP="003D6A06">
            <w:pPr>
              <w:rPr>
                <w:i/>
                <w:sz w:val="20"/>
                <w:szCs w:val="20"/>
              </w:rPr>
            </w:pPr>
            <w:r w:rsidRPr="007B44E3">
              <w:rPr>
                <w:i/>
                <w:sz w:val="20"/>
                <w:szCs w:val="20"/>
              </w:rPr>
              <w:t>IODIGUARD</w:t>
            </w:r>
          </w:p>
        </w:tc>
        <w:tc>
          <w:tcPr>
            <w:tcW w:w="1150" w:type="dxa"/>
            <w:shd w:val="clear" w:color="auto" w:fill="auto"/>
            <w:tcMar>
              <w:left w:w="57" w:type="dxa"/>
              <w:right w:w="57" w:type="dxa"/>
            </w:tcMar>
            <w:vAlign w:val="center"/>
          </w:tcPr>
          <w:p w14:paraId="6EF1D0CF" w14:textId="77777777" w:rsidR="003D6A06" w:rsidRPr="007B44E3" w:rsidRDefault="003D6A06" w:rsidP="003D6A06">
            <w:pPr>
              <w:jc w:val="center"/>
              <w:rPr>
                <w:sz w:val="20"/>
                <w:szCs w:val="20"/>
              </w:rPr>
            </w:pPr>
            <w:r w:rsidRPr="007B44E3">
              <w:rPr>
                <w:sz w:val="20"/>
                <w:szCs w:val="20"/>
              </w:rPr>
              <w:t>0.255</w:t>
            </w:r>
          </w:p>
        </w:tc>
        <w:tc>
          <w:tcPr>
            <w:tcW w:w="2464" w:type="dxa"/>
            <w:shd w:val="clear" w:color="auto" w:fill="auto"/>
            <w:tcMar>
              <w:left w:w="57" w:type="dxa"/>
              <w:right w:w="57" w:type="dxa"/>
            </w:tcMar>
            <w:vAlign w:val="center"/>
          </w:tcPr>
          <w:p w14:paraId="4DE489A3" w14:textId="77777777" w:rsidR="003D6A06" w:rsidRPr="007B44E3" w:rsidRDefault="003D6A06" w:rsidP="003D6A06">
            <w:pPr>
              <w:jc w:val="center"/>
              <w:rPr>
                <w:sz w:val="20"/>
                <w:szCs w:val="20"/>
              </w:rPr>
            </w:pPr>
            <w:r w:rsidRPr="007B44E3">
              <w:rPr>
                <w:sz w:val="20"/>
                <w:szCs w:val="20"/>
              </w:rPr>
              <w:t>2x post-milking</w:t>
            </w:r>
          </w:p>
        </w:tc>
        <w:tc>
          <w:tcPr>
            <w:tcW w:w="1681" w:type="dxa"/>
            <w:shd w:val="clear" w:color="auto" w:fill="auto"/>
            <w:tcMar>
              <w:left w:w="57" w:type="dxa"/>
              <w:right w:w="57" w:type="dxa"/>
            </w:tcMar>
            <w:vAlign w:val="center"/>
          </w:tcPr>
          <w:p w14:paraId="5381168B" w14:textId="77777777" w:rsidR="003D6A06" w:rsidRPr="007B44E3" w:rsidRDefault="003D6A06" w:rsidP="003D6A06">
            <w:pPr>
              <w:jc w:val="center"/>
              <w:rPr>
                <w:sz w:val="20"/>
                <w:szCs w:val="20"/>
              </w:rPr>
            </w:pPr>
            <w:r w:rsidRPr="007B44E3">
              <w:rPr>
                <w:sz w:val="20"/>
                <w:szCs w:val="20"/>
              </w:rPr>
              <w:t>89</w:t>
            </w:r>
          </w:p>
        </w:tc>
        <w:tc>
          <w:tcPr>
            <w:tcW w:w="1678" w:type="dxa"/>
            <w:vAlign w:val="center"/>
          </w:tcPr>
          <w:p w14:paraId="1A4AB4A8" w14:textId="77777777" w:rsidR="003D6A06" w:rsidRPr="007B44E3" w:rsidDel="0002199E" w:rsidRDefault="003D6A06" w:rsidP="003D6A06">
            <w:pPr>
              <w:jc w:val="center"/>
              <w:rPr>
                <w:sz w:val="20"/>
                <w:szCs w:val="20"/>
              </w:rPr>
            </w:pPr>
            <w:r w:rsidRPr="007B44E3">
              <w:rPr>
                <w:sz w:val="20"/>
                <w:szCs w:val="20"/>
              </w:rPr>
              <w:t>289</w:t>
            </w:r>
          </w:p>
        </w:tc>
      </w:tr>
    </w:tbl>
    <w:p w14:paraId="2E634443" w14:textId="77777777" w:rsidR="003D6A06" w:rsidRPr="007B44E3" w:rsidRDefault="003D6A06" w:rsidP="003D6A06">
      <w:pPr>
        <w:jc w:val="both"/>
        <w:rPr>
          <w:lang w:val="en-US" w:eastAsia="de-DE"/>
        </w:rPr>
      </w:pPr>
    </w:p>
    <w:p w14:paraId="313E8FCA" w14:textId="77777777" w:rsidR="003D6A06" w:rsidRPr="007B44E3" w:rsidRDefault="003D6A06" w:rsidP="003D6A06">
      <w:pPr>
        <w:jc w:val="both"/>
        <w:rPr>
          <w:i/>
          <w:u w:val="single"/>
          <w:lang w:val="en-US" w:eastAsia="de-DE"/>
        </w:rPr>
      </w:pPr>
      <w:r w:rsidRPr="007B44E3">
        <w:rPr>
          <w:i/>
          <w:u w:val="single"/>
          <w:lang w:val="en-US" w:eastAsia="de-DE"/>
        </w:rPr>
        <w:t>Calculation for 2x post-milking:</w:t>
      </w:r>
    </w:p>
    <w:p w14:paraId="481EFCDE" w14:textId="77777777" w:rsidR="003D6A06" w:rsidRPr="007B44E3" w:rsidRDefault="003D6A06" w:rsidP="003D6A06">
      <w:pPr>
        <w:jc w:val="both"/>
        <w:rPr>
          <w:i/>
          <w:lang w:val="en-US" w:eastAsia="de-DE"/>
        </w:rPr>
      </w:pPr>
      <w:r w:rsidRPr="007B44E3">
        <w:rPr>
          <w:i/>
          <w:lang w:val="en-US" w:eastAsia="de-DE"/>
        </w:rPr>
        <w:t>For 2 milkings at 0.255 % iodine intended treatment = 174 µg/L x (0.255/0.5) = 89 µg/L</w:t>
      </w:r>
    </w:p>
    <w:p w14:paraId="67D7AB3C" w14:textId="77777777" w:rsidR="003D6A06" w:rsidRPr="007B44E3" w:rsidRDefault="003D6A06" w:rsidP="003D6A06">
      <w:pPr>
        <w:jc w:val="both"/>
        <w:rPr>
          <w:i/>
          <w:lang w:val="en-US" w:eastAsia="de-DE"/>
        </w:rPr>
      </w:pPr>
      <w:r w:rsidRPr="007B44E3">
        <w:rPr>
          <w:i/>
          <w:lang w:val="en-US" w:eastAsia="de-DE"/>
        </w:rPr>
        <w:t>For 2 milkings at 0.255 % iodine total = 89 µg/L + 200 µg/L = 289 µg/L</w:t>
      </w:r>
    </w:p>
    <w:p w14:paraId="57D10DCA" w14:textId="77777777" w:rsidR="003D6A06" w:rsidRPr="007B44E3" w:rsidRDefault="003D6A06" w:rsidP="003D6A06">
      <w:pPr>
        <w:jc w:val="both"/>
        <w:rPr>
          <w:lang w:val="en-US" w:eastAsia="de-DE"/>
        </w:rPr>
      </w:pPr>
    </w:p>
    <w:p w14:paraId="0A0AD4EE" w14:textId="77777777" w:rsidR="003D6A06" w:rsidRPr="007B44E3" w:rsidRDefault="003D6A06" w:rsidP="003D6A06">
      <w:pPr>
        <w:jc w:val="both"/>
        <w:rPr>
          <w:b/>
          <w:lang w:val="en-US" w:eastAsia="de-DE"/>
        </w:rPr>
      </w:pPr>
      <w:r w:rsidRPr="007B44E3">
        <w:rPr>
          <w:b/>
          <w:lang w:val="en-US" w:eastAsia="de-DE"/>
        </w:rPr>
        <w:t>Intake values (milk consumption) for dietary risk assessment</w:t>
      </w:r>
    </w:p>
    <w:p w14:paraId="5C975A11" w14:textId="77777777" w:rsidR="003D6A06" w:rsidRPr="007B44E3" w:rsidRDefault="003D6A06" w:rsidP="003D6A06">
      <w:pPr>
        <w:jc w:val="both"/>
        <w:rPr>
          <w:b/>
          <w:lang w:val="en-US" w:eastAsia="de-DE"/>
        </w:rPr>
      </w:pPr>
    </w:p>
    <w:p w14:paraId="35673371" w14:textId="77777777" w:rsidR="003D6A06" w:rsidRPr="007B44E3" w:rsidRDefault="003D6A06" w:rsidP="003D6A06">
      <w:pPr>
        <w:jc w:val="both"/>
        <w:rPr>
          <w:lang w:val="en-US" w:eastAsia="de-DE"/>
        </w:rPr>
      </w:pPr>
      <w:r w:rsidRPr="007B44E3">
        <w:rPr>
          <w:lang w:val="en-US" w:eastAsia="de-DE"/>
        </w:rPr>
        <w:t>There are several sources of milk consumption data available to undertake the consumer intake assessment.  This point was discussed during 2017 WG TOX meetings and it was concluded that the values from EFSA PRIMo rev 2 are relevant.</w:t>
      </w:r>
    </w:p>
    <w:p w14:paraId="532D33CA" w14:textId="77777777" w:rsidR="003D6A06" w:rsidRPr="007B44E3" w:rsidRDefault="003D6A06" w:rsidP="003D6A06">
      <w:pPr>
        <w:jc w:val="both"/>
        <w:rPr>
          <w:lang w:val="en-US" w:eastAsia="de-DE"/>
        </w:rPr>
      </w:pPr>
      <w:r w:rsidRPr="007B44E3">
        <w:rPr>
          <w:lang w:val="en-US"/>
        </w:rPr>
        <w:t>According to the ‘EFSA model for chronic and acute risk assessment’ (PRIMo rev.2), the consumption of milk and milk products from sheep, goats and other animals (such as buffaloes) is in the range of 0.002 - 0.12 g/kg bw/day for both adults and children leading to an uptake of milk and milk products well below 10 g/day for each of the animals. Even if the milk from these animals had considerably higher iodine residues than milk from dairy cows, these would not contribute significantly to the iodine supply. Thus, a detailed risk assessment of the residues in milk from these animals is considered to be not relevant.</w:t>
      </w:r>
      <w:r w:rsidRPr="007B44E3">
        <w:rPr>
          <w:lang w:val="en-US" w:eastAsia="de-DE"/>
        </w:rPr>
        <w:t xml:space="preserve"> </w:t>
      </w:r>
    </w:p>
    <w:p w14:paraId="0828C000" w14:textId="77777777" w:rsidR="003D6A06" w:rsidRPr="007B44E3" w:rsidRDefault="003D6A06" w:rsidP="003D6A06">
      <w:pPr>
        <w:jc w:val="both"/>
        <w:rPr>
          <w:lang w:val="en-US" w:eastAsia="de-DE"/>
        </w:rPr>
      </w:pPr>
      <w:r w:rsidRPr="007B44E3">
        <w:rPr>
          <w:lang w:val="en-US" w:eastAsia="de-DE"/>
        </w:rPr>
        <w:t>As only a chronic risk assessment (see section ‘</w:t>
      </w:r>
      <w:r w:rsidRPr="007B44E3">
        <w:rPr>
          <w:iCs/>
          <w:lang w:val="en-US" w:eastAsia="en-GB"/>
        </w:rPr>
        <w:t>Toxicological reference values for iodine’</w:t>
      </w:r>
      <w:r w:rsidRPr="007B44E3">
        <w:rPr>
          <w:lang w:val="en-US" w:eastAsia="de-DE"/>
        </w:rPr>
        <w:t>) is being undertaken,  the intake values from the EFSA PRIMo rev 2 (</w:t>
      </w:r>
      <w:r w:rsidRPr="007B44E3">
        <w:rPr>
          <w:b/>
          <w:lang w:val="en-US" w:eastAsia="de-DE"/>
        </w:rPr>
        <w:t>0.45 L adult and 0.46 L toddler</w:t>
      </w:r>
      <w:r w:rsidRPr="007B44E3">
        <w:rPr>
          <w:lang w:val="en-US" w:eastAsia="de-DE"/>
        </w:rPr>
        <w:t>) have been used to estimate the dietary exposure of adults and toddlers to iodine. These values have been agreed at WG TOX IV 2017.  The estimated dietary exposure results are presented in Table 3.</w:t>
      </w:r>
    </w:p>
    <w:p w14:paraId="1E5A7DE5" w14:textId="77777777" w:rsidR="003D6A06" w:rsidRPr="007B44E3" w:rsidRDefault="003D6A06" w:rsidP="003D6A06">
      <w:pPr>
        <w:jc w:val="both"/>
        <w:rPr>
          <w:lang w:val="en-US" w:eastAsia="de-DE"/>
        </w:rPr>
      </w:pPr>
    </w:p>
    <w:p w14:paraId="109C6F05" w14:textId="77777777" w:rsidR="003D6A06" w:rsidRPr="007B44E3" w:rsidRDefault="003D6A06" w:rsidP="003D6A06">
      <w:pPr>
        <w:jc w:val="both"/>
        <w:rPr>
          <w:b/>
          <w:lang w:val="en-US" w:eastAsia="de-DE"/>
        </w:rPr>
      </w:pPr>
      <w:r w:rsidRPr="007B44E3">
        <w:rPr>
          <w:b/>
          <w:lang w:val="en-US" w:eastAsia="de-DE"/>
        </w:rPr>
        <w:t>Table 3 – Iodine daily exposure from milk</w:t>
      </w:r>
    </w:p>
    <w:tbl>
      <w:tblPr>
        <w:tblW w:w="0" w:type="auto"/>
        <w:tblInd w:w="108" w:type="dxa"/>
        <w:tblCellMar>
          <w:left w:w="0" w:type="dxa"/>
          <w:right w:w="0" w:type="dxa"/>
        </w:tblCellMar>
        <w:tblLook w:val="04A0" w:firstRow="1" w:lastRow="0" w:firstColumn="1" w:lastColumn="0" w:noHBand="0" w:noVBand="1"/>
      </w:tblPr>
      <w:tblGrid>
        <w:gridCol w:w="1585"/>
        <w:gridCol w:w="2474"/>
        <w:gridCol w:w="2922"/>
        <w:gridCol w:w="2109"/>
      </w:tblGrid>
      <w:tr w:rsidR="003D6A06" w:rsidRPr="007B44E3" w14:paraId="7FA99258" w14:textId="77777777" w:rsidTr="007B44E3">
        <w:tc>
          <w:tcPr>
            <w:tcW w:w="1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5BC877" w14:textId="77777777" w:rsidR="003D6A06" w:rsidRPr="007B44E3" w:rsidRDefault="003D6A06" w:rsidP="003D6A06">
            <w:pPr>
              <w:jc w:val="center"/>
              <w:rPr>
                <w:b/>
                <w:bCs/>
                <w:lang w:eastAsia="de-DE"/>
              </w:rPr>
            </w:pPr>
            <w:r w:rsidRPr="007B44E3">
              <w:rPr>
                <w:b/>
                <w:bCs/>
                <w:lang w:eastAsia="de-DE"/>
              </w:rPr>
              <w:t>Consumer group</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6592B" w14:textId="77777777" w:rsidR="003D6A06" w:rsidRPr="007B44E3" w:rsidRDefault="003D6A06" w:rsidP="003D6A06">
            <w:pPr>
              <w:jc w:val="center"/>
              <w:rPr>
                <w:b/>
                <w:bCs/>
                <w:lang w:val="en-US" w:eastAsia="de-DE"/>
              </w:rPr>
            </w:pPr>
            <w:r w:rsidRPr="007B44E3">
              <w:rPr>
                <w:lang w:val="en-US"/>
              </w:rPr>
              <w:t>Estimated mean residues of iodine in milk (µg/L)</w:t>
            </w:r>
          </w:p>
        </w:tc>
        <w:tc>
          <w:tcPr>
            <w:tcW w:w="2977" w:type="dxa"/>
            <w:tcBorders>
              <w:top w:val="single" w:sz="8" w:space="0" w:color="auto"/>
              <w:left w:val="nil"/>
              <w:bottom w:val="single" w:sz="8" w:space="0" w:color="auto"/>
              <w:right w:val="single" w:sz="4" w:space="0" w:color="auto"/>
            </w:tcBorders>
            <w:vAlign w:val="center"/>
          </w:tcPr>
          <w:p w14:paraId="02379B98" w14:textId="77777777" w:rsidR="003D6A06" w:rsidRPr="007B44E3" w:rsidRDefault="003D6A06" w:rsidP="003D6A06">
            <w:pPr>
              <w:jc w:val="center"/>
              <w:rPr>
                <w:b/>
                <w:bCs/>
                <w:lang w:val="en-US" w:eastAsia="de-DE"/>
              </w:rPr>
            </w:pPr>
            <w:r w:rsidRPr="007B44E3">
              <w:rPr>
                <w:b/>
                <w:bCs/>
                <w:lang w:val="en-US" w:eastAsia="de-DE"/>
              </w:rPr>
              <w:t>L per day/person</w:t>
            </w:r>
          </w:p>
          <w:p w14:paraId="2A58C8F2" w14:textId="77777777" w:rsidR="003D6A06" w:rsidRPr="007B44E3" w:rsidRDefault="003D6A06" w:rsidP="007B44E3">
            <w:pPr>
              <w:jc w:val="center"/>
              <w:rPr>
                <w:lang w:val="en-US" w:eastAsia="de-DE"/>
              </w:rPr>
            </w:pPr>
            <w:r w:rsidRPr="007B44E3">
              <w:rPr>
                <w:bCs/>
                <w:lang w:val="en-US" w:eastAsia="de-DE"/>
              </w:rPr>
              <w:t>(Density of whole milk 1030 g/L)</w:t>
            </w:r>
          </w:p>
          <w:p w14:paraId="2B21C4A2" w14:textId="77777777" w:rsidR="003D6A06" w:rsidRPr="007B44E3" w:rsidRDefault="003D6A06" w:rsidP="003D6A06">
            <w:pPr>
              <w:jc w:val="center"/>
              <w:rPr>
                <w:b/>
                <w:bCs/>
                <w:lang w:val="en-US" w:eastAsia="de-DE"/>
              </w:rPr>
            </w:pPr>
          </w:p>
        </w:tc>
        <w:tc>
          <w:tcPr>
            <w:tcW w:w="2126"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98147BA" w14:textId="77777777" w:rsidR="003D6A06" w:rsidRPr="007B44E3" w:rsidRDefault="003D6A06" w:rsidP="003D6A06">
            <w:pPr>
              <w:jc w:val="center"/>
              <w:rPr>
                <w:b/>
                <w:bCs/>
                <w:lang w:val="en-US" w:eastAsia="de-DE"/>
              </w:rPr>
            </w:pPr>
            <w:r w:rsidRPr="007B44E3">
              <w:rPr>
                <w:b/>
                <w:bCs/>
                <w:lang w:val="en-US" w:eastAsia="de-DE"/>
              </w:rPr>
              <w:t>Daily exposure (µg/d/pers)</w:t>
            </w:r>
          </w:p>
        </w:tc>
      </w:tr>
      <w:tr w:rsidR="003D6A06" w:rsidRPr="007B44E3" w14:paraId="4D3342CF" w14:textId="77777777" w:rsidTr="007B44E3">
        <w:trPr>
          <w:trHeight w:val="680"/>
        </w:trPr>
        <w:tc>
          <w:tcPr>
            <w:tcW w:w="15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6029C3" w14:textId="77777777" w:rsidR="003D6A06" w:rsidRPr="007B44E3" w:rsidRDefault="003D6A06" w:rsidP="003D6A06">
            <w:pPr>
              <w:jc w:val="center"/>
              <w:rPr>
                <w:lang w:eastAsia="de-DE"/>
              </w:rPr>
            </w:pPr>
            <w:r w:rsidRPr="007B44E3">
              <w:rPr>
                <w:lang w:eastAsia="de-DE"/>
              </w:rPr>
              <w:t>Adult</w:t>
            </w:r>
          </w:p>
        </w:tc>
        <w:tc>
          <w:tcPr>
            <w:tcW w:w="2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EF7FB" w14:textId="77777777" w:rsidR="003D6A06" w:rsidRPr="007B44E3" w:rsidRDefault="003D6A06" w:rsidP="003D6A06">
            <w:pPr>
              <w:jc w:val="center"/>
              <w:rPr>
                <w:lang w:eastAsia="de-DE"/>
              </w:rPr>
            </w:pPr>
            <w:r w:rsidRPr="007B44E3">
              <w:rPr>
                <w:lang w:eastAsia="de-DE"/>
              </w:rPr>
              <w:t>289</w:t>
            </w:r>
          </w:p>
        </w:tc>
        <w:tc>
          <w:tcPr>
            <w:tcW w:w="2977" w:type="dxa"/>
            <w:tcBorders>
              <w:top w:val="nil"/>
              <w:left w:val="nil"/>
              <w:bottom w:val="single" w:sz="8" w:space="0" w:color="auto"/>
              <w:right w:val="single" w:sz="4" w:space="0" w:color="auto"/>
            </w:tcBorders>
            <w:vAlign w:val="center"/>
          </w:tcPr>
          <w:p w14:paraId="37EC1F5E" w14:textId="77777777" w:rsidR="003D6A06" w:rsidRPr="007B44E3" w:rsidRDefault="003D6A06" w:rsidP="003D6A06">
            <w:pPr>
              <w:jc w:val="center"/>
              <w:rPr>
                <w:lang w:eastAsia="de-DE"/>
              </w:rPr>
            </w:pPr>
            <w:r w:rsidRPr="007B44E3">
              <w:rPr>
                <w:lang w:eastAsia="de-DE"/>
              </w:rPr>
              <w:t>0.45</w:t>
            </w:r>
          </w:p>
        </w:tc>
        <w:tc>
          <w:tcPr>
            <w:tcW w:w="2126"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87C220D" w14:textId="77777777" w:rsidR="003D6A06" w:rsidRPr="007B44E3" w:rsidRDefault="003D6A06" w:rsidP="003D6A06">
            <w:pPr>
              <w:jc w:val="center"/>
              <w:rPr>
                <w:lang w:eastAsia="de-DE"/>
              </w:rPr>
            </w:pPr>
            <w:r w:rsidRPr="007B44E3">
              <w:rPr>
                <w:lang w:eastAsia="de-DE"/>
              </w:rPr>
              <w:t>130</w:t>
            </w:r>
          </w:p>
        </w:tc>
      </w:tr>
      <w:tr w:rsidR="003D6A06" w:rsidRPr="007B44E3" w14:paraId="4A80F00C" w14:textId="77777777" w:rsidTr="007B44E3">
        <w:trPr>
          <w:trHeight w:val="680"/>
        </w:trPr>
        <w:tc>
          <w:tcPr>
            <w:tcW w:w="15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6E33B" w14:textId="77777777" w:rsidR="003D6A06" w:rsidRPr="007B44E3" w:rsidRDefault="003D6A06" w:rsidP="003D6A06">
            <w:pPr>
              <w:jc w:val="center"/>
              <w:rPr>
                <w:lang w:eastAsia="de-DE"/>
              </w:rPr>
            </w:pPr>
            <w:r w:rsidRPr="007B44E3">
              <w:rPr>
                <w:lang w:eastAsia="de-DE"/>
              </w:rPr>
              <w:t>Toddler</w:t>
            </w:r>
          </w:p>
        </w:tc>
        <w:tc>
          <w:tcPr>
            <w:tcW w:w="25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9814B8" w14:textId="77777777" w:rsidR="003D6A06" w:rsidRPr="007B44E3" w:rsidRDefault="003D6A06" w:rsidP="003D6A06">
            <w:pPr>
              <w:jc w:val="center"/>
              <w:rPr>
                <w:lang w:eastAsia="de-DE"/>
              </w:rPr>
            </w:pPr>
            <w:r w:rsidRPr="007B44E3">
              <w:rPr>
                <w:lang w:eastAsia="de-DE"/>
              </w:rPr>
              <w:t>289</w:t>
            </w:r>
          </w:p>
        </w:tc>
        <w:tc>
          <w:tcPr>
            <w:tcW w:w="2977" w:type="dxa"/>
            <w:tcBorders>
              <w:top w:val="nil"/>
              <w:left w:val="nil"/>
              <w:bottom w:val="single" w:sz="8" w:space="0" w:color="auto"/>
              <w:right w:val="single" w:sz="4" w:space="0" w:color="auto"/>
            </w:tcBorders>
            <w:vAlign w:val="center"/>
          </w:tcPr>
          <w:p w14:paraId="325F98DB" w14:textId="77777777" w:rsidR="003D6A06" w:rsidRPr="007B44E3" w:rsidRDefault="003D6A06" w:rsidP="003D6A06">
            <w:pPr>
              <w:jc w:val="center"/>
              <w:rPr>
                <w:lang w:eastAsia="de-DE"/>
              </w:rPr>
            </w:pPr>
            <w:r w:rsidRPr="007B44E3">
              <w:rPr>
                <w:lang w:eastAsia="de-DE"/>
              </w:rPr>
              <w:t>0.46</w:t>
            </w:r>
          </w:p>
        </w:tc>
        <w:tc>
          <w:tcPr>
            <w:tcW w:w="2126"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77E460" w14:textId="77777777" w:rsidR="003D6A06" w:rsidRPr="007B44E3" w:rsidRDefault="003D6A06" w:rsidP="003D6A06">
            <w:pPr>
              <w:jc w:val="center"/>
              <w:rPr>
                <w:lang w:eastAsia="de-DE"/>
              </w:rPr>
            </w:pPr>
            <w:r w:rsidRPr="007B44E3">
              <w:rPr>
                <w:lang w:eastAsia="de-DE"/>
              </w:rPr>
              <w:t>133</w:t>
            </w:r>
          </w:p>
        </w:tc>
      </w:tr>
    </w:tbl>
    <w:p w14:paraId="4F85C68A" w14:textId="77777777" w:rsidR="003D6A06" w:rsidRPr="007B44E3" w:rsidRDefault="003D6A06" w:rsidP="003D6A06">
      <w:pPr>
        <w:jc w:val="both"/>
        <w:rPr>
          <w:lang w:val="en-US"/>
        </w:rPr>
      </w:pPr>
    </w:p>
    <w:p w14:paraId="5A1E6F3A" w14:textId="77777777" w:rsidR="003D6A06" w:rsidRPr="007B44E3" w:rsidRDefault="003D6A06" w:rsidP="003D6A06">
      <w:pPr>
        <w:jc w:val="both"/>
        <w:rPr>
          <w:lang w:val="en-US"/>
        </w:rPr>
      </w:pPr>
      <w:r w:rsidRPr="007B44E3">
        <w:rPr>
          <w:b/>
          <w:lang w:val="en-US" w:eastAsia="de-DE"/>
        </w:rPr>
        <w:t xml:space="preserve">Intake values (from </w:t>
      </w:r>
      <w:r w:rsidR="006F1C90" w:rsidRPr="007B44E3">
        <w:rPr>
          <w:b/>
          <w:lang w:val="en-US" w:eastAsia="de-DE"/>
        </w:rPr>
        <w:t>food</w:t>
      </w:r>
      <w:r w:rsidRPr="007B44E3">
        <w:rPr>
          <w:b/>
          <w:lang w:val="en-US" w:eastAsia="de-DE"/>
        </w:rPr>
        <w:t xml:space="preserve"> except milk consumption) for dietary risk assessment</w:t>
      </w:r>
      <w:r w:rsidRPr="007B44E3">
        <w:rPr>
          <w:lang w:val="en-US"/>
        </w:rPr>
        <w:t xml:space="preserve"> </w:t>
      </w:r>
    </w:p>
    <w:p w14:paraId="5C9DEEC4" w14:textId="77777777" w:rsidR="003D6A06" w:rsidRPr="007B44E3" w:rsidRDefault="003D6A06" w:rsidP="003D6A06">
      <w:pPr>
        <w:jc w:val="both"/>
        <w:rPr>
          <w:lang w:val="en-US"/>
        </w:rPr>
      </w:pPr>
    </w:p>
    <w:p w14:paraId="31DDC838" w14:textId="77777777" w:rsidR="003D6A06" w:rsidRPr="007B44E3" w:rsidRDefault="003D6A06" w:rsidP="003D6A06">
      <w:pPr>
        <w:pStyle w:val="Tabletext0"/>
        <w:rPr>
          <w:sz w:val="20"/>
        </w:rPr>
      </w:pPr>
      <w:r w:rsidRPr="007B44E3">
        <w:rPr>
          <w:sz w:val="20"/>
        </w:rPr>
        <w:t>Iodine dietary intake for sources other than milk was included in the third calculation.</w:t>
      </w:r>
    </w:p>
    <w:p w14:paraId="2456DF37" w14:textId="77777777" w:rsidR="003D6A06" w:rsidRPr="007B44E3" w:rsidRDefault="003D6A06" w:rsidP="003D6A06">
      <w:pPr>
        <w:pStyle w:val="Tabletext0"/>
        <w:jc w:val="both"/>
        <w:rPr>
          <w:sz w:val="20"/>
        </w:rPr>
      </w:pPr>
      <w:r w:rsidRPr="007B44E3">
        <w:rPr>
          <w:sz w:val="20"/>
        </w:rPr>
        <w:t>The iodine exposure via food was measured in different dietary commodities in framework of EU countries surveys. The monitoring values are subjected to a large variability depending principally of the diets and the geographical localizations. This point was discussed during 2017 WG TOX meetings and it was concluded that the values from the UK survey are adequate to represent the EU iodine dietary intake from sources other than milk: 185 µg/day for adults and 96 µg/day for toddler.</w:t>
      </w:r>
    </w:p>
    <w:p w14:paraId="33BE16C6" w14:textId="77777777" w:rsidR="003D6A06" w:rsidRPr="007B44E3" w:rsidRDefault="003D6A06" w:rsidP="003D6A06">
      <w:pPr>
        <w:jc w:val="both"/>
        <w:rPr>
          <w:lang w:val="en-US"/>
        </w:rPr>
      </w:pPr>
    </w:p>
    <w:p w14:paraId="1E7C82F2" w14:textId="77777777" w:rsidR="003D6A06" w:rsidRPr="007B44E3" w:rsidRDefault="003D6A06" w:rsidP="003D6A06">
      <w:pPr>
        <w:jc w:val="both"/>
        <w:rPr>
          <w:lang w:val="en-US"/>
        </w:rPr>
      </w:pPr>
    </w:p>
    <w:p w14:paraId="29B84FAA" w14:textId="77777777" w:rsidR="003D6A06" w:rsidRPr="007B44E3" w:rsidRDefault="003D6A06" w:rsidP="003D6A06">
      <w:pPr>
        <w:jc w:val="both"/>
        <w:rPr>
          <w:lang w:val="en-US"/>
        </w:rPr>
      </w:pPr>
      <w:r w:rsidRPr="007B44E3">
        <w:rPr>
          <w:b/>
          <w:lang w:val="en-US" w:eastAsia="de-DE"/>
        </w:rPr>
        <w:t>Conclusion for dietary exposure assessment</w:t>
      </w:r>
      <w:r w:rsidRPr="007B44E3">
        <w:rPr>
          <w:lang w:val="en-US"/>
        </w:rPr>
        <w:t xml:space="preserve"> </w:t>
      </w:r>
    </w:p>
    <w:p w14:paraId="1ED4E6C1" w14:textId="77777777" w:rsidR="003D6A06" w:rsidRPr="007B44E3" w:rsidRDefault="003D6A06" w:rsidP="003D6A06">
      <w:pPr>
        <w:jc w:val="both"/>
        <w:rPr>
          <w:lang w:val="en-US"/>
        </w:rPr>
      </w:pPr>
      <w:r w:rsidRPr="007B44E3">
        <w:rPr>
          <w:lang w:val="en-US"/>
        </w:rPr>
        <w:t>The dietary exposure has been discussed in various WG TOX and WebEx meetings for iodine-based union authorisations. This EU iodine PT3 approach considered the following default values / decisions for the determination of the worst-case consumer exposure estimate (WCCE):</w:t>
      </w:r>
    </w:p>
    <w:p w14:paraId="68A54437" w14:textId="77777777" w:rsidR="003D6A06" w:rsidRPr="007B44E3" w:rsidRDefault="003D6A06" w:rsidP="003D6A06">
      <w:pPr>
        <w:numPr>
          <w:ilvl w:val="0"/>
          <w:numId w:val="30"/>
        </w:numPr>
        <w:suppressAutoHyphens w:val="0"/>
        <w:jc w:val="both"/>
        <w:rPr>
          <w:lang w:val="en-US"/>
        </w:rPr>
      </w:pPr>
      <w:r w:rsidRPr="007B44E3">
        <w:rPr>
          <w:lang w:val="en-US"/>
        </w:rPr>
        <w:t>2 manual milkings per day where the product may be used either pre- or post milking</w:t>
      </w:r>
    </w:p>
    <w:p w14:paraId="2736E479" w14:textId="77777777" w:rsidR="003D6A06" w:rsidRPr="007B44E3" w:rsidRDefault="003D6A06" w:rsidP="003D6A06">
      <w:pPr>
        <w:numPr>
          <w:ilvl w:val="0"/>
          <w:numId w:val="30"/>
        </w:numPr>
        <w:suppressAutoHyphens w:val="0"/>
        <w:jc w:val="both"/>
        <w:rPr>
          <w:lang w:val="en-US"/>
        </w:rPr>
      </w:pPr>
      <w:r w:rsidRPr="007B44E3">
        <w:rPr>
          <w:lang w:val="en-US"/>
        </w:rPr>
        <w:t>total daily milk intake of 0.45 l for adults and 0.46 l for toddlers</w:t>
      </w:r>
    </w:p>
    <w:p w14:paraId="7FE7BE69" w14:textId="77777777" w:rsidR="003D6A06" w:rsidRPr="007B44E3" w:rsidRDefault="003D6A06" w:rsidP="003D6A06">
      <w:pPr>
        <w:numPr>
          <w:ilvl w:val="0"/>
          <w:numId w:val="30"/>
        </w:numPr>
        <w:suppressAutoHyphens w:val="0"/>
        <w:jc w:val="both"/>
        <w:rPr>
          <w:lang w:val="en-US"/>
        </w:rPr>
      </w:pPr>
      <w:r w:rsidRPr="007B44E3">
        <w:rPr>
          <w:lang w:val="en-US"/>
        </w:rPr>
        <w:t>background iodine concentration in milk of 200 µg/l</w:t>
      </w:r>
    </w:p>
    <w:p w14:paraId="7880B4C8" w14:textId="77777777" w:rsidR="003D6A06" w:rsidRPr="007B44E3" w:rsidRDefault="003D6A06" w:rsidP="003D6A06">
      <w:pPr>
        <w:numPr>
          <w:ilvl w:val="0"/>
          <w:numId w:val="30"/>
        </w:numPr>
        <w:suppressAutoHyphens w:val="0"/>
        <w:jc w:val="both"/>
        <w:rPr>
          <w:lang w:val="en-US"/>
        </w:rPr>
      </w:pPr>
      <w:r w:rsidRPr="007B44E3">
        <w:rPr>
          <w:lang w:val="en-US"/>
        </w:rPr>
        <w:t>intake of iodine from dietary sources other than milk : 185 µg/day for adults and 96 µg/day for toddlers</w:t>
      </w:r>
    </w:p>
    <w:p w14:paraId="7CA4598F" w14:textId="77777777" w:rsidR="003D6A06" w:rsidRPr="007B44E3" w:rsidRDefault="003D6A06" w:rsidP="003D6A06">
      <w:pPr>
        <w:jc w:val="both"/>
        <w:rPr>
          <w:lang w:val="en-US"/>
        </w:rPr>
      </w:pPr>
    </w:p>
    <w:p w14:paraId="480CBB5C" w14:textId="77777777" w:rsidR="003D6A06" w:rsidRPr="007B44E3" w:rsidRDefault="003D6A06" w:rsidP="003D6A06">
      <w:pPr>
        <w:jc w:val="both"/>
        <w:rPr>
          <w:lang w:val="en-US"/>
        </w:rPr>
      </w:pPr>
    </w:p>
    <w:p w14:paraId="2B7C8E5E" w14:textId="77777777" w:rsidR="003D6A06" w:rsidRPr="007B44E3" w:rsidRDefault="003D6A06" w:rsidP="003D6A06">
      <w:pPr>
        <w:jc w:val="both"/>
        <w:rPr>
          <w:b/>
          <w:lang w:val="en-US" w:eastAsia="de-DE"/>
        </w:rPr>
      </w:pPr>
      <w:r w:rsidRPr="007B44E3">
        <w:rPr>
          <w:b/>
          <w:lang w:val="en-US" w:eastAsia="de-DE"/>
        </w:rPr>
        <w:t>Table 3 – Iodine daily exposure from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8"/>
        <w:gridCol w:w="3068"/>
      </w:tblGrid>
      <w:tr w:rsidR="003D6A06" w:rsidRPr="007B44E3" w14:paraId="1914ED36" w14:textId="77777777" w:rsidTr="003D6A06">
        <w:tc>
          <w:tcPr>
            <w:tcW w:w="3080" w:type="dxa"/>
            <w:shd w:val="clear" w:color="auto" w:fill="auto"/>
          </w:tcPr>
          <w:p w14:paraId="646E6CBC" w14:textId="77777777" w:rsidR="003D6A06" w:rsidRPr="007B44E3" w:rsidRDefault="003D6A06" w:rsidP="003D6A06">
            <w:pPr>
              <w:jc w:val="both"/>
              <w:rPr>
                <w:b/>
                <w:lang w:val="en-US"/>
              </w:rPr>
            </w:pPr>
          </w:p>
        </w:tc>
        <w:tc>
          <w:tcPr>
            <w:tcW w:w="3081" w:type="dxa"/>
            <w:shd w:val="clear" w:color="auto" w:fill="auto"/>
          </w:tcPr>
          <w:p w14:paraId="7B4E5829" w14:textId="77777777" w:rsidR="003D6A06" w:rsidRPr="007B44E3" w:rsidRDefault="003D6A06" w:rsidP="003D6A06">
            <w:pPr>
              <w:jc w:val="both"/>
              <w:rPr>
                <w:b/>
              </w:rPr>
            </w:pPr>
            <w:r w:rsidRPr="007B44E3">
              <w:rPr>
                <w:b/>
              </w:rPr>
              <w:t>Adults (0.45 L/day)</w:t>
            </w:r>
          </w:p>
        </w:tc>
        <w:tc>
          <w:tcPr>
            <w:tcW w:w="3081" w:type="dxa"/>
            <w:shd w:val="clear" w:color="auto" w:fill="auto"/>
          </w:tcPr>
          <w:p w14:paraId="0799245E" w14:textId="77777777" w:rsidR="003D6A06" w:rsidRPr="007B44E3" w:rsidRDefault="003D6A06" w:rsidP="003D6A06">
            <w:pPr>
              <w:jc w:val="both"/>
              <w:rPr>
                <w:b/>
              </w:rPr>
            </w:pPr>
            <w:r w:rsidRPr="007B44E3">
              <w:rPr>
                <w:b/>
              </w:rPr>
              <w:t>Toddler (0.46 L/day)</w:t>
            </w:r>
          </w:p>
        </w:tc>
      </w:tr>
      <w:tr w:rsidR="003D6A06" w:rsidRPr="007B44E3" w14:paraId="66379B13" w14:textId="77777777" w:rsidTr="003D6A06">
        <w:tc>
          <w:tcPr>
            <w:tcW w:w="3080" w:type="dxa"/>
            <w:shd w:val="clear" w:color="auto" w:fill="auto"/>
          </w:tcPr>
          <w:p w14:paraId="52DCF9E5" w14:textId="77777777" w:rsidR="003D6A06" w:rsidRPr="007B44E3" w:rsidRDefault="003D6A06" w:rsidP="003D6A06">
            <w:pPr>
              <w:jc w:val="both"/>
              <w:rPr>
                <w:b/>
              </w:rPr>
            </w:pPr>
          </w:p>
        </w:tc>
        <w:tc>
          <w:tcPr>
            <w:tcW w:w="3081" w:type="dxa"/>
            <w:shd w:val="clear" w:color="auto" w:fill="auto"/>
          </w:tcPr>
          <w:p w14:paraId="026BB8C3" w14:textId="77777777" w:rsidR="003D6A06" w:rsidRPr="007B44E3" w:rsidRDefault="003D6A06" w:rsidP="003D6A06">
            <w:pPr>
              <w:jc w:val="both"/>
              <w:rPr>
                <w:b/>
                <w:lang w:val="en-US"/>
              </w:rPr>
            </w:pPr>
            <w:r w:rsidRPr="007B44E3">
              <w:rPr>
                <w:b/>
                <w:lang w:val="en-US"/>
              </w:rPr>
              <w:t xml:space="preserve">Estimated daily intake (µg/day) </w:t>
            </w:r>
          </w:p>
        </w:tc>
        <w:tc>
          <w:tcPr>
            <w:tcW w:w="3081" w:type="dxa"/>
            <w:shd w:val="clear" w:color="auto" w:fill="auto"/>
          </w:tcPr>
          <w:p w14:paraId="799BB9E6" w14:textId="77777777" w:rsidR="003D6A06" w:rsidRPr="007B44E3" w:rsidRDefault="003D6A06" w:rsidP="003D6A06">
            <w:pPr>
              <w:jc w:val="both"/>
              <w:rPr>
                <w:b/>
                <w:lang w:val="en-US"/>
              </w:rPr>
            </w:pPr>
            <w:r w:rsidRPr="007B44E3">
              <w:rPr>
                <w:b/>
                <w:lang w:val="en-US"/>
              </w:rPr>
              <w:t xml:space="preserve">Estimated daily intake (µg/day) </w:t>
            </w:r>
          </w:p>
        </w:tc>
      </w:tr>
      <w:tr w:rsidR="003D6A06" w:rsidRPr="007B44E3" w14:paraId="3B5D454C" w14:textId="77777777" w:rsidTr="003D6A06">
        <w:tc>
          <w:tcPr>
            <w:tcW w:w="9242" w:type="dxa"/>
            <w:gridSpan w:val="3"/>
            <w:shd w:val="clear" w:color="auto" w:fill="auto"/>
          </w:tcPr>
          <w:p w14:paraId="7E4515AB" w14:textId="77777777" w:rsidR="003D6A06" w:rsidRPr="007B44E3" w:rsidRDefault="003D6A06" w:rsidP="003D6A06">
            <w:pPr>
              <w:rPr>
                <w:b/>
                <w:lang w:val="en-US"/>
              </w:rPr>
            </w:pPr>
            <w:r w:rsidRPr="007B44E3">
              <w:rPr>
                <w:b/>
                <w:lang w:val="en-US"/>
              </w:rPr>
              <w:t>2x post-milking teat disinfection (0.255% available iodine)</w:t>
            </w:r>
          </w:p>
        </w:tc>
      </w:tr>
      <w:tr w:rsidR="003D6A06" w:rsidRPr="007B44E3" w14:paraId="17EB9F18" w14:textId="77777777" w:rsidTr="003D6A06">
        <w:tc>
          <w:tcPr>
            <w:tcW w:w="3080" w:type="dxa"/>
            <w:shd w:val="clear" w:color="auto" w:fill="auto"/>
            <w:vAlign w:val="center"/>
          </w:tcPr>
          <w:p w14:paraId="043837F9" w14:textId="77777777" w:rsidR="003D6A06" w:rsidRPr="007B44E3" w:rsidRDefault="003D6A06" w:rsidP="003D6A06">
            <w:pPr>
              <w:rPr>
                <w:vertAlign w:val="superscript"/>
                <w:lang w:val="en-US"/>
              </w:rPr>
            </w:pPr>
            <w:r w:rsidRPr="007B44E3">
              <w:rPr>
                <w:lang w:val="en-US"/>
              </w:rPr>
              <w:t>Intake from milk due to teat treatment</w:t>
            </w:r>
            <w:r w:rsidRPr="007B44E3">
              <w:rPr>
                <w:vertAlign w:val="superscript"/>
                <w:lang w:val="en-US"/>
              </w:rPr>
              <w:t>1</w:t>
            </w:r>
          </w:p>
        </w:tc>
        <w:tc>
          <w:tcPr>
            <w:tcW w:w="3081" w:type="dxa"/>
            <w:shd w:val="clear" w:color="auto" w:fill="auto"/>
          </w:tcPr>
          <w:p w14:paraId="7BC80A3E" w14:textId="77777777" w:rsidR="003D6A06" w:rsidRPr="007B44E3" w:rsidRDefault="003D6A06" w:rsidP="003D6A06">
            <w:pPr>
              <w:jc w:val="center"/>
            </w:pPr>
            <w:r w:rsidRPr="007B44E3">
              <w:t>40</w:t>
            </w:r>
          </w:p>
        </w:tc>
        <w:tc>
          <w:tcPr>
            <w:tcW w:w="3081" w:type="dxa"/>
            <w:shd w:val="clear" w:color="auto" w:fill="auto"/>
          </w:tcPr>
          <w:p w14:paraId="443DF4F8" w14:textId="77777777" w:rsidR="003D6A06" w:rsidRPr="007B44E3" w:rsidRDefault="003D6A06" w:rsidP="003D6A06">
            <w:pPr>
              <w:jc w:val="center"/>
            </w:pPr>
            <w:r w:rsidRPr="007B44E3">
              <w:t>41</w:t>
            </w:r>
          </w:p>
        </w:tc>
      </w:tr>
      <w:tr w:rsidR="003D6A06" w:rsidRPr="007B44E3" w14:paraId="47864C47" w14:textId="77777777" w:rsidTr="003D6A06">
        <w:tc>
          <w:tcPr>
            <w:tcW w:w="3080" w:type="dxa"/>
            <w:shd w:val="clear" w:color="auto" w:fill="auto"/>
            <w:vAlign w:val="center"/>
          </w:tcPr>
          <w:p w14:paraId="45431CC2" w14:textId="77777777" w:rsidR="003D6A06" w:rsidRPr="007B44E3" w:rsidRDefault="003D6A06" w:rsidP="003D6A06">
            <w:r w:rsidRPr="007B44E3">
              <w:t>Total milk intake</w:t>
            </w:r>
            <w:r w:rsidRPr="007B44E3">
              <w:rPr>
                <w:vertAlign w:val="superscript"/>
              </w:rPr>
              <w:t>2</w:t>
            </w:r>
            <w:r w:rsidRPr="007B44E3">
              <w:t xml:space="preserve"> </w:t>
            </w:r>
          </w:p>
        </w:tc>
        <w:tc>
          <w:tcPr>
            <w:tcW w:w="3081" w:type="dxa"/>
            <w:shd w:val="clear" w:color="auto" w:fill="auto"/>
          </w:tcPr>
          <w:p w14:paraId="3AB30B6E" w14:textId="77777777" w:rsidR="003D6A06" w:rsidRPr="007B44E3" w:rsidRDefault="003D6A06" w:rsidP="003D6A06">
            <w:pPr>
              <w:jc w:val="center"/>
            </w:pPr>
            <w:r w:rsidRPr="007B44E3">
              <w:t>130</w:t>
            </w:r>
          </w:p>
        </w:tc>
        <w:tc>
          <w:tcPr>
            <w:tcW w:w="3081" w:type="dxa"/>
            <w:shd w:val="clear" w:color="auto" w:fill="auto"/>
          </w:tcPr>
          <w:p w14:paraId="01CA4359" w14:textId="77777777" w:rsidR="003D6A06" w:rsidRPr="007B44E3" w:rsidRDefault="003D6A06" w:rsidP="003D6A06">
            <w:pPr>
              <w:jc w:val="center"/>
            </w:pPr>
            <w:r w:rsidRPr="007B44E3">
              <w:t>133</w:t>
            </w:r>
          </w:p>
        </w:tc>
      </w:tr>
      <w:tr w:rsidR="003D6A06" w:rsidRPr="007B44E3" w14:paraId="25A71A19" w14:textId="77777777" w:rsidTr="003D6A06">
        <w:tc>
          <w:tcPr>
            <w:tcW w:w="3080" w:type="dxa"/>
            <w:shd w:val="clear" w:color="auto" w:fill="auto"/>
            <w:vAlign w:val="center"/>
          </w:tcPr>
          <w:p w14:paraId="06291A50" w14:textId="77777777" w:rsidR="003D6A06" w:rsidRPr="007B44E3" w:rsidRDefault="003D6A06" w:rsidP="003D6A06">
            <w:r w:rsidRPr="007B44E3">
              <w:t>Total dietary intake</w:t>
            </w:r>
            <w:r w:rsidRPr="007B44E3">
              <w:rPr>
                <w:vertAlign w:val="superscript"/>
              </w:rPr>
              <w:t>3</w:t>
            </w:r>
          </w:p>
        </w:tc>
        <w:tc>
          <w:tcPr>
            <w:tcW w:w="3081" w:type="dxa"/>
            <w:shd w:val="clear" w:color="auto" w:fill="auto"/>
          </w:tcPr>
          <w:p w14:paraId="71E3235C" w14:textId="77777777" w:rsidR="003D6A06" w:rsidRPr="007B44E3" w:rsidRDefault="003D6A06" w:rsidP="003D6A06">
            <w:pPr>
              <w:jc w:val="center"/>
            </w:pPr>
            <w:r w:rsidRPr="007B44E3">
              <w:t>315</w:t>
            </w:r>
          </w:p>
        </w:tc>
        <w:tc>
          <w:tcPr>
            <w:tcW w:w="3081" w:type="dxa"/>
            <w:shd w:val="clear" w:color="auto" w:fill="auto"/>
          </w:tcPr>
          <w:p w14:paraId="31D07862" w14:textId="77777777" w:rsidR="003D6A06" w:rsidRPr="007B44E3" w:rsidRDefault="003D6A06" w:rsidP="003D6A06">
            <w:pPr>
              <w:jc w:val="center"/>
            </w:pPr>
            <w:r w:rsidRPr="007B44E3">
              <w:t>229</w:t>
            </w:r>
          </w:p>
        </w:tc>
      </w:tr>
    </w:tbl>
    <w:p w14:paraId="16A10A66" w14:textId="77777777" w:rsidR="003D6A06" w:rsidRPr="007B44E3" w:rsidRDefault="003D6A06" w:rsidP="003D6A06">
      <w:pPr>
        <w:rPr>
          <w:sz w:val="18"/>
          <w:lang w:val="en-US"/>
        </w:rPr>
      </w:pPr>
      <w:r w:rsidRPr="007B44E3">
        <w:rPr>
          <w:sz w:val="18"/>
          <w:vertAlign w:val="superscript"/>
          <w:lang w:val="en-US"/>
        </w:rPr>
        <w:t>1</w:t>
      </w:r>
      <w:r w:rsidRPr="007B44E3">
        <w:rPr>
          <w:sz w:val="18"/>
          <w:lang w:val="en-US"/>
        </w:rPr>
        <w:t xml:space="preserve"> Iodine intake from milk due to teat treatment is derived from BP specific residue values (based on Iwarsson 1974).</w:t>
      </w:r>
    </w:p>
    <w:p w14:paraId="3B18B250" w14:textId="77777777" w:rsidR="003D6A06" w:rsidRPr="007B44E3" w:rsidRDefault="003D6A06" w:rsidP="003D6A06">
      <w:pPr>
        <w:rPr>
          <w:sz w:val="18"/>
          <w:lang w:val="en-US"/>
        </w:rPr>
      </w:pPr>
      <w:r w:rsidRPr="007B44E3">
        <w:rPr>
          <w:sz w:val="18"/>
          <w:vertAlign w:val="superscript"/>
          <w:lang w:val="en-US"/>
        </w:rPr>
        <w:lastRenderedPageBreak/>
        <w:t>2</w:t>
      </w:r>
      <w:r w:rsidRPr="007B44E3">
        <w:rPr>
          <w:sz w:val="18"/>
          <w:lang w:val="en-US"/>
        </w:rPr>
        <w:t xml:space="preserve"> Total milk intake is the sum of the estimated additional iodine intake resulting from the transfer into milk following teat disinfection and the iodine background in milk of 200 µg/l.</w:t>
      </w:r>
    </w:p>
    <w:p w14:paraId="3D7D76F0" w14:textId="77777777" w:rsidR="003D6A06" w:rsidRPr="007A73EE" w:rsidRDefault="003D6A06" w:rsidP="003D6A06">
      <w:pPr>
        <w:jc w:val="both"/>
        <w:rPr>
          <w:lang w:val="en-US"/>
        </w:rPr>
      </w:pPr>
      <w:r w:rsidRPr="007B44E3">
        <w:rPr>
          <w:sz w:val="18"/>
          <w:vertAlign w:val="superscript"/>
          <w:lang w:val="en-US"/>
        </w:rPr>
        <w:t>3</w:t>
      </w:r>
      <w:r w:rsidRPr="007B44E3">
        <w:rPr>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r w:rsidRPr="007B44E3">
        <w:rPr>
          <w:lang w:val="en-US"/>
        </w:rPr>
        <w:t>.</w:t>
      </w:r>
    </w:p>
    <w:p w14:paraId="1148A0CB" w14:textId="77777777" w:rsidR="003D6A06" w:rsidRDefault="003D6A06" w:rsidP="00985AFA">
      <w:pPr>
        <w:jc w:val="both"/>
        <w:rPr>
          <w:lang w:val="en-US" w:eastAsia="en-US"/>
        </w:rPr>
      </w:pPr>
    </w:p>
    <w:p w14:paraId="2A4D49CA" w14:textId="77777777" w:rsidR="007B44E3" w:rsidRDefault="007B44E3" w:rsidP="00985AFA">
      <w:pPr>
        <w:jc w:val="both"/>
        <w:rPr>
          <w:lang w:val="en-US" w:eastAsia="en-US"/>
        </w:rPr>
      </w:pPr>
    </w:p>
    <w:p w14:paraId="72148D24" w14:textId="77777777" w:rsidR="009D0C0B" w:rsidRDefault="00FA480B" w:rsidP="007B44E3">
      <w:pPr>
        <w:pStyle w:val="Titre4"/>
      </w:pPr>
      <w:bookmarkStart w:id="97" w:name="_Toc516669789"/>
      <w:r>
        <w:t>Risk characterisation for human health</w:t>
      </w:r>
      <w:bookmarkEnd w:id="97"/>
    </w:p>
    <w:p w14:paraId="19779837" w14:textId="77777777" w:rsidR="00AE5162" w:rsidRPr="00AE5162" w:rsidRDefault="00AE5162" w:rsidP="007B44E3">
      <w:pPr>
        <w:pStyle w:val="Corpsdetexte"/>
        <w:rPr>
          <w:lang w:val="de-DE"/>
        </w:rPr>
      </w:pPr>
    </w:p>
    <w:p w14:paraId="1C172C75" w14:textId="77777777" w:rsidR="009D0C0B" w:rsidRPr="00AE5162" w:rsidRDefault="00FA480B" w:rsidP="007B44E3">
      <w:pPr>
        <w:spacing w:line="260" w:lineRule="atLeast"/>
        <w:rPr>
          <w:b/>
        </w:rPr>
      </w:pPr>
      <w:r w:rsidRPr="00AE5162">
        <w:rPr>
          <w:b/>
        </w:rPr>
        <w:t>Reference values to be used in Risk Characterisation</w:t>
      </w:r>
    </w:p>
    <w:p w14:paraId="40113A01" w14:textId="77777777" w:rsidR="00AE5162" w:rsidRDefault="00AE5162" w:rsidP="007B44E3">
      <w:pPr>
        <w:spacing w:line="26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20"/>
        <w:gridCol w:w="1511"/>
        <w:gridCol w:w="719"/>
        <w:gridCol w:w="2277"/>
        <w:gridCol w:w="1503"/>
      </w:tblGrid>
      <w:tr w:rsidR="00AE5162" w:rsidRPr="00492007" w14:paraId="06C776EC" w14:textId="77777777" w:rsidTr="00AE5162">
        <w:tc>
          <w:tcPr>
            <w:tcW w:w="1571" w:type="dxa"/>
            <w:shd w:val="clear" w:color="auto" w:fill="FFFFCC"/>
          </w:tcPr>
          <w:p w14:paraId="6FEB065C" w14:textId="77777777" w:rsidR="00AE5162" w:rsidRPr="00492007" w:rsidRDefault="00AE5162" w:rsidP="007B44E3">
            <w:pPr>
              <w:rPr>
                <w:b/>
                <w:lang w:eastAsia="en-US"/>
              </w:rPr>
            </w:pPr>
            <w:r w:rsidRPr="00492007">
              <w:rPr>
                <w:b/>
                <w:lang w:eastAsia="en-US"/>
              </w:rPr>
              <w:t xml:space="preserve">Reference </w:t>
            </w:r>
          </w:p>
        </w:tc>
        <w:tc>
          <w:tcPr>
            <w:tcW w:w="1538" w:type="dxa"/>
            <w:shd w:val="clear" w:color="auto" w:fill="FFFFCC"/>
          </w:tcPr>
          <w:p w14:paraId="265FFAFF" w14:textId="77777777" w:rsidR="00AE5162" w:rsidRPr="00492007" w:rsidRDefault="00AE5162" w:rsidP="007B44E3">
            <w:pPr>
              <w:rPr>
                <w:b/>
                <w:lang w:eastAsia="en-US"/>
              </w:rPr>
            </w:pPr>
            <w:r w:rsidRPr="00492007">
              <w:rPr>
                <w:b/>
                <w:lang w:eastAsia="en-US"/>
              </w:rPr>
              <w:t>Study</w:t>
            </w:r>
          </w:p>
        </w:tc>
        <w:tc>
          <w:tcPr>
            <w:tcW w:w="1538" w:type="dxa"/>
            <w:shd w:val="clear" w:color="auto" w:fill="FFFFCC"/>
          </w:tcPr>
          <w:p w14:paraId="4B2CE0FA" w14:textId="77777777" w:rsidR="00AE5162" w:rsidRPr="00492007" w:rsidRDefault="00AE5162" w:rsidP="007B44E3">
            <w:pPr>
              <w:rPr>
                <w:b/>
                <w:lang w:eastAsia="en-US"/>
              </w:rPr>
            </w:pPr>
            <w:r w:rsidRPr="00492007">
              <w:rPr>
                <w:b/>
                <w:lang w:eastAsia="en-US"/>
              </w:rPr>
              <w:t>NOAEL (LOAEL)</w:t>
            </w:r>
          </w:p>
        </w:tc>
        <w:tc>
          <w:tcPr>
            <w:tcW w:w="735" w:type="dxa"/>
            <w:shd w:val="clear" w:color="auto" w:fill="FFFFCC"/>
          </w:tcPr>
          <w:p w14:paraId="13BFB695" w14:textId="77777777" w:rsidR="00AE5162" w:rsidRPr="00492007" w:rsidRDefault="00AE5162" w:rsidP="007B44E3">
            <w:pPr>
              <w:rPr>
                <w:b/>
                <w:vertAlign w:val="superscript"/>
                <w:lang w:eastAsia="en-US"/>
              </w:rPr>
            </w:pPr>
            <w:r w:rsidRPr="00492007">
              <w:rPr>
                <w:b/>
                <w:lang w:eastAsia="en-US"/>
              </w:rPr>
              <w:t>AF</w:t>
            </w:r>
          </w:p>
        </w:tc>
        <w:tc>
          <w:tcPr>
            <w:tcW w:w="2341" w:type="dxa"/>
            <w:shd w:val="clear" w:color="auto" w:fill="FFFFCC"/>
          </w:tcPr>
          <w:p w14:paraId="3CCC2ADA" w14:textId="77777777" w:rsidR="00AE5162" w:rsidRPr="00492007" w:rsidRDefault="00AE5162" w:rsidP="007B44E3">
            <w:pPr>
              <w:rPr>
                <w:b/>
                <w:lang w:eastAsia="en-US"/>
              </w:rPr>
            </w:pPr>
            <w:r w:rsidRPr="00492007">
              <w:rPr>
                <w:b/>
                <w:lang w:eastAsia="en-US"/>
              </w:rPr>
              <w:t>Correction for oral absorption</w:t>
            </w:r>
          </w:p>
        </w:tc>
        <w:tc>
          <w:tcPr>
            <w:tcW w:w="1548" w:type="dxa"/>
            <w:shd w:val="clear" w:color="auto" w:fill="FFFFCC"/>
          </w:tcPr>
          <w:p w14:paraId="7F94B3ED" w14:textId="77777777" w:rsidR="00AE5162" w:rsidRPr="00DC12AC" w:rsidRDefault="00AE5162" w:rsidP="007B44E3">
            <w:pPr>
              <w:rPr>
                <w:b/>
                <w:lang w:eastAsia="en-US"/>
              </w:rPr>
            </w:pPr>
            <w:r w:rsidRPr="00492007">
              <w:rPr>
                <w:b/>
                <w:lang w:eastAsia="en-US"/>
              </w:rPr>
              <w:t>Value</w:t>
            </w:r>
          </w:p>
        </w:tc>
      </w:tr>
      <w:tr w:rsidR="00AE5162" w:rsidRPr="00492007" w14:paraId="3832DBC4" w14:textId="77777777" w:rsidTr="00AE5162">
        <w:tc>
          <w:tcPr>
            <w:tcW w:w="1571" w:type="dxa"/>
            <w:shd w:val="clear" w:color="auto" w:fill="auto"/>
          </w:tcPr>
          <w:p w14:paraId="2D29FDE6" w14:textId="77777777" w:rsidR="00AE5162" w:rsidRPr="00492007" w:rsidRDefault="00AE5162" w:rsidP="007B44E3">
            <w:pPr>
              <w:rPr>
                <w:lang w:eastAsia="en-US"/>
              </w:rPr>
            </w:pPr>
            <w:r w:rsidRPr="00492007">
              <w:rPr>
                <w:lang w:eastAsia="en-US"/>
              </w:rPr>
              <w:t>AELshort-term</w:t>
            </w:r>
          </w:p>
        </w:tc>
        <w:tc>
          <w:tcPr>
            <w:tcW w:w="1538" w:type="dxa"/>
            <w:vMerge w:val="restart"/>
            <w:vAlign w:val="center"/>
          </w:tcPr>
          <w:p w14:paraId="3EFE22F1" w14:textId="77777777" w:rsidR="00AE5162" w:rsidRPr="00492007" w:rsidRDefault="00AE5162" w:rsidP="007B44E3">
            <w:pPr>
              <w:rPr>
                <w:lang w:eastAsia="en-US"/>
              </w:rPr>
            </w:pPr>
            <w:r w:rsidRPr="00492007">
              <w:rPr>
                <w:lang w:eastAsia="en-US"/>
              </w:rPr>
              <w:t>Upper intake level deduced by Scientific committee on food</w:t>
            </w:r>
          </w:p>
        </w:tc>
        <w:tc>
          <w:tcPr>
            <w:tcW w:w="1538" w:type="dxa"/>
            <w:vMerge w:val="restart"/>
            <w:vAlign w:val="center"/>
          </w:tcPr>
          <w:p w14:paraId="368F4ED8" w14:textId="77777777" w:rsidR="00AE5162" w:rsidRPr="00492007" w:rsidRDefault="00AE5162" w:rsidP="007B44E3">
            <w:pPr>
              <w:rPr>
                <w:lang w:eastAsia="en-US"/>
              </w:rPr>
            </w:pPr>
            <w:r w:rsidRPr="00492007">
              <w:rPr>
                <w:lang w:eastAsia="en-US"/>
              </w:rPr>
              <w:t>600 µg/d</w:t>
            </w:r>
          </w:p>
        </w:tc>
        <w:tc>
          <w:tcPr>
            <w:tcW w:w="735" w:type="dxa"/>
            <w:vMerge w:val="restart"/>
            <w:vAlign w:val="center"/>
          </w:tcPr>
          <w:p w14:paraId="32D07F66" w14:textId="77777777" w:rsidR="00AE5162" w:rsidRPr="00492007" w:rsidRDefault="00AE5162" w:rsidP="007B44E3">
            <w:pPr>
              <w:rPr>
                <w:lang w:eastAsia="en-US"/>
              </w:rPr>
            </w:pPr>
            <w:r w:rsidRPr="00492007">
              <w:rPr>
                <w:lang w:eastAsia="en-US"/>
              </w:rPr>
              <w:t>-</w:t>
            </w:r>
          </w:p>
        </w:tc>
        <w:tc>
          <w:tcPr>
            <w:tcW w:w="2341" w:type="dxa"/>
            <w:vMerge w:val="restart"/>
            <w:vAlign w:val="center"/>
          </w:tcPr>
          <w:p w14:paraId="03B4381C" w14:textId="77777777" w:rsidR="00AE5162" w:rsidRPr="00492007" w:rsidRDefault="00AE5162" w:rsidP="007B44E3">
            <w:pPr>
              <w:rPr>
                <w:lang w:eastAsia="en-US"/>
              </w:rPr>
            </w:pPr>
            <w:r w:rsidRPr="00492007">
              <w:rPr>
                <w:lang w:eastAsia="en-US"/>
              </w:rPr>
              <w:t>-</w:t>
            </w:r>
          </w:p>
        </w:tc>
        <w:tc>
          <w:tcPr>
            <w:tcW w:w="1548" w:type="dxa"/>
            <w:vMerge w:val="restart"/>
            <w:shd w:val="clear" w:color="auto" w:fill="auto"/>
            <w:vAlign w:val="center"/>
          </w:tcPr>
          <w:p w14:paraId="33D94BA9" w14:textId="77777777" w:rsidR="00AE5162" w:rsidRPr="00492007" w:rsidRDefault="00AE5162" w:rsidP="007B44E3">
            <w:pPr>
              <w:rPr>
                <w:lang w:eastAsia="en-US"/>
              </w:rPr>
            </w:pPr>
            <w:r w:rsidRPr="00492007">
              <w:rPr>
                <w:lang w:eastAsia="en-US"/>
              </w:rPr>
              <w:t xml:space="preserve">0.01 </w:t>
            </w:r>
            <w:r>
              <w:rPr>
                <w:lang w:eastAsia="en-US"/>
              </w:rPr>
              <w:t>mg/kg bw/d</w:t>
            </w:r>
          </w:p>
          <w:p w14:paraId="323862CB" w14:textId="77777777" w:rsidR="00AE5162" w:rsidRPr="00492007" w:rsidRDefault="00AE5162" w:rsidP="007B44E3">
            <w:pPr>
              <w:rPr>
                <w:lang w:eastAsia="en-US"/>
              </w:rPr>
            </w:pPr>
          </w:p>
        </w:tc>
      </w:tr>
      <w:tr w:rsidR="00AE5162" w:rsidRPr="00492007" w14:paraId="05FF3B82" w14:textId="77777777" w:rsidTr="00AE5162">
        <w:tc>
          <w:tcPr>
            <w:tcW w:w="1571" w:type="dxa"/>
            <w:shd w:val="clear" w:color="auto" w:fill="auto"/>
          </w:tcPr>
          <w:p w14:paraId="1225B5C3" w14:textId="77777777" w:rsidR="00AE5162" w:rsidRPr="00492007" w:rsidRDefault="00AE5162" w:rsidP="00367D48">
            <w:pPr>
              <w:rPr>
                <w:lang w:eastAsia="en-US"/>
              </w:rPr>
            </w:pPr>
            <w:r w:rsidRPr="00492007">
              <w:rPr>
                <w:lang w:eastAsia="en-US"/>
              </w:rPr>
              <w:t>AELmedium-term</w:t>
            </w:r>
          </w:p>
        </w:tc>
        <w:tc>
          <w:tcPr>
            <w:tcW w:w="1538" w:type="dxa"/>
            <w:vMerge/>
          </w:tcPr>
          <w:p w14:paraId="4BBABF39" w14:textId="77777777" w:rsidR="00AE5162" w:rsidRPr="00492007" w:rsidRDefault="00AE5162" w:rsidP="00367D48">
            <w:pPr>
              <w:rPr>
                <w:lang w:eastAsia="en-US"/>
              </w:rPr>
            </w:pPr>
          </w:p>
        </w:tc>
        <w:tc>
          <w:tcPr>
            <w:tcW w:w="1538" w:type="dxa"/>
            <w:vMerge/>
          </w:tcPr>
          <w:p w14:paraId="5646CF30" w14:textId="77777777" w:rsidR="00AE5162" w:rsidRPr="00492007" w:rsidRDefault="00AE5162" w:rsidP="00367D48">
            <w:pPr>
              <w:rPr>
                <w:lang w:eastAsia="en-US"/>
              </w:rPr>
            </w:pPr>
          </w:p>
        </w:tc>
        <w:tc>
          <w:tcPr>
            <w:tcW w:w="735" w:type="dxa"/>
            <w:vMerge/>
          </w:tcPr>
          <w:p w14:paraId="75874A56" w14:textId="77777777" w:rsidR="00AE5162" w:rsidRPr="00492007" w:rsidRDefault="00AE5162" w:rsidP="00367D48">
            <w:pPr>
              <w:rPr>
                <w:lang w:eastAsia="en-US"/>
              </w:rPr>
            </w:pPr>
          </w:p>
        </w:tc>
        <w:tc>
          <w:tcPr>
            <w:tcW w:w="2341" w:type="dxa"/>
            <w:vMerge/>
          </w:tcPr>
          <w:p w14:paraId="623BC6A4" w14:textId="77777777" w:rsidR="00AE5162" w:rsidRPr="00492007" w:rsidRDefault="00AE5162" w:rsidP="00367D48">
            <w:pPr>
              <w:rPr>
                <w:lang w:eastAsia="en-US"/>
              </w:rPr>
            </w:pPr>
          </w:p>
        </w:tc>
        <w:tc>
          <w:tcPr>
            <w:tcW w:w="1548" w:type="dxa"/>
            <w:vMerge/>
            <w:shd w:val="clear" w:color="auto" w:fill="auto"/>
          </w:tcPr>
          <w:p w14:paraId="2A407618" w14:textId="77777777" w:rsidR="00AE5162" w:rsidRPr="00492007" w:rsidRDefault="00AE5162" w:rsidP="00367D48">
            <w:pPr>
              <w:rPr>
                <w:lang w:eastAsia="en-US"/>
              </w:rPr>
            </w:pPr>
          </w:p>
        </w:tc>
      </w:tr>
      <w:tr w:rsidR="00AE5162" w:rsidRPr="00492007" w14:paraId="6C091ABF" w14:textId="77777777" w:rsidTr="00AE5162">
        <w:tc>
          <w:tcPr>
            <w:tcW w:w="1571" w:type="dxa"/>
            <w:shd w:val="clear" w:color="auto" w:fill="auto"/>
          </w:tcPr>
          <w:p w14:paraId="2B9A93F7" w14:textId="77777777" w:rsidR="00AE5162" w:rsidRPr="00492007" w:rsidRDefault="00AE5162" w:rsidP="00367D48">
            <w:pPr>
              <w:rPr>
                <w:lang w:eastAsia="en-US"/>
              </w:rPr>
            </w:pPr>
            <w:r w:rsidRPr="00492007">
              <w:rPr>
                <w:lang w:eastAsia="en-US"/>
              </w:rPr>
              <w:t>AELlong-term</w:t>
            </w:r>
          </w:p>
        </w:tc>
        <w:tc>
          <w:tcPr>
            <w:tcW w:w="1538" w:type="dxa"/>
            <w:vMerge/>
          </w:tcPr>
          <w:p w14:paraId="642B24DF" w14:textId="77777777" w:rsidR="00AE5162" w:rsidRPr="00492007" w:rsidRDefault="00AE5162" w:rsidP="00367D48">
            <w:pPr>
              <w:rPr>
                <w:lang w:eastAsia="en-US"/>
              </w:rPr>
            </w:pPr>
          </w:p>
        </w:tc>
        <w:tc>
          <w:tcPr>
            <w:tcW w:w="1538" w:type="dxa"/>
            <w:vMerge/>
          </w:tcPr>
          <w:p w14:paraId="66327D6A" w14:textId="77777777" w:rsidR="00AE5162" w:rsidRPr="00492007" w:rsidRDefault="00AE5162" w:rsidP="00367D48">
            <w:pPr>
              <w:rPr>
                <w:lang w:eastAsia="en-US"/>
              </w:rPr>
            </w:pPr>
          </w:p>
        </w:tc>
        <w:tc>
          <w:tcPr>
            <w:tcW w:w="735" w:type="dxa"/>
            <w:vMerge/>
          </w:tcPr>
          <w:p w14:paraId="3A0235C2" w14:textId="77777777" w:rsidR="00AE5162" w:rsidRPr="00492007" w:rsidRDefault="00AE5162" w:rsidP="00367D48">
            <w:pPr>
              <w:rPr>
                <w:lang w:eastAsia="en-US"/>
              </w:rPr>
            </w:pPr>
          </w:p>
        </w:tc>
        <w:tc>
          <w:tcPr>
            <w:tcW w:w="2341" w:type="dxa"/>
            <w:vMerge/>
          </w:tcPr>
          <w:p w14:paraId="01D51CB0" w14:textId="77777777" w:rsidR="00AE5162" w:rsidRPr="00492007" w:rsidRDefault="00AE5162" w:rsidP="00367D48">
            <w:pPr>
              <w:rPr>
                <w:lang w:eastAsia="en-US"/>
              </w:rPr>
            </w:pPr>
          </w:p>
        </w:tc>
        <w:tc>
          <w:tcPr>
            <w:tcW w:w="1548" w:type="dxa"/>
            <w:vMerge/>
            <w:shd w:val="clear" w:color="auto" w:fill="auto"/>
          </w:tcPr>
          <w:p w14:paraId="67BA2ACE" w14:textId="77777777" w:rsidR="00AE5162" w:rsidRPr="00492007" w:rsidRDefault="00AE5162" w:rsidP="00367D48">
            <w:pPr>
              <w:rPr>
                <w:lang w:eastAsia="en-US"/>
              </w:rPr>
            </w:pPr>
          </w:p>
        </w:tc>
      </w:tr>
      <w:tr w:rsidR="00AE5162" w:rsidRPr="00492007" w14:paraId="564C57E6" w14:textId="77777777" w:rsidTr="00AE5162">
        <w:tc>
          <w:tcPr>
            <w:tcW w:w="1571" w:type="dxa"/>
            <w:shd w:val="clear" w:color="auto" w:fill="auto"/>
          </w:tcPr>
          <w:p w14:paraId="3453F02C" w14:textId="77777777" w:rsidR="00AE5162" w:rsidRPr="00492007" w:rsidRDefault="00AE5162" w:rsidP="00367D48">
            <w:pPr>
              <w:rPr>
                <w:lang w:eastAsia="en-US"/>
              </w:rPr>
            </w:pPr>
            <w:r>
              <w:rPr>
                <w:lang w:eastAsia="en-US"/>
              </w:rPr>
              <w:t>AEC</w:t>
            </w:r>
          </w:p>
        </w:tc>
        <w:tc>
          <w:tcPr>
            <w:tcW w:w="1538" w:type="dxa"/>
          </w:tcPr>
          <w:p w14:paraId="13319949" w14:textId="77777777" w:rsidR="00AE5162" w:rsidRPr="00492007" w:rsidRDefault="00AE5162" w:rsidP="00367D48">
            <w:pPr>
              <w:rPr>
                <w:lang w:eastAsia="en-US"/>
              </w:rPr>
            </w:pPr>
          </w:p>
        </w:tc>
        <w:tc>
          <w:tcPr>
            <w:tcW w:w="1538" w:type="dxa"/>
          </w:tcPr>
          <w:p w14:paraId="70D23C11" w14:textId="77777777" w:rsidR="00AE5162" w:rsidRPr="00492007" w:rsidRDefault="00AE5162" w:rsidP="00367D48">
            <w:pPr>
              <w:rPr>
                <w:lang w:eastAsia="en-US"/>
              </w:rPr>
            </w:pPr>
          </w:p>
        </w:tc>
        <w:tc>
          <w:tcPr>
            <w:tcW w:w="735" w:type="dxa"/>
          </w:tcPr>
          <w:p w14:paraId="4C573B01" w14:textId="77777777" w:rsidR="00AE5162" w:rsidRPr="00492007" w:rsidRDefault="00AE5162" w:rsidP="00367D48">
            <w:pPr>
              <w:rPr>
                <w:lang w:eastAsia="en-US"/>
              </w:rPr>
            </w:pPr>
            <w:r>
              <w:rPr>
                <w:lang w:eastAsia="en-US"/>
              </w:rPr>
              <w:t>-</w:t>
            </w:r>
          </w:p>
        </w:tc>
        <w:tc>
          <w:tcPr>
            <w:tcW w:w="2341" w:type="dxa"/>
          </w:tcPr>
          <w:p w14:paraId="497F85AE" w14:textId="77777777" w:rsidR="00AE5162" w:rsidRPr="00492007" w:rsidRDefault="00AE5162" w:rsidP="00367D48">
            <w:pPr>
              <w:rPr>
                <w:lang w:eastAsia="en-US"/>
              </w:rPr>
            </w:pPr>
            <w:r>
              <w:rPr>
                <w:lang w:eastAsia="en-US"/>
              </w:rPr>
              <w:t>-</w:t>
            </w:r>
          </w:p>
        </w:tc>
        <w:tc>
          <w:tcPr>
            <w:tcW w:w="1548" w:type="dxa"/>
            <w:shd w:val="clear" w:color="auto" w:fill="auto"/>
          </w:tcPr>
          <w:p w14:paraId="3C3848C4" w14:textId="77777777" w:rsidR="00AE5162" w:rsidRPr="00492007" w:rsidRDefault="00AE5162" w:rsidP="00367D48">
            <w:pPr>
              <w:rPr>
                <w:lang w:eastAsia="en-US"/>
              </w:rPr>
            </w:pPr>
            <w:r w:rsidRPr="00884E15">
              <w:rPr>
                <w:iCs/>
                <w:lang w:eastAsia="en-US"/>
              </w:rPr>
              <w:t>1 mg/m</w:t>
            </w:r>
            <w:r w:rsidRPr="009C7BF4">
              <w:rPr>
                <w:iCs/>
                <w:vertAlign w:val="superscript"/>
                <w:lang w:eastAsia="en-US"/>
              </w:rPr>
              <w:t>3</w:t>
            </w:r>
            <w:r w:rsidRPr="00884E15">
              <w:rPr>
                <w:iCs/>
                <w:lang w:eastAsia="en-US"/>
              </w:rPr>
              <w:t xml:space="preserve"> </w:t>
            </w:r>
            <w:r>
              <w:rPr>
                <w:iCs/>
                <w:lang w:eastAsia="en-US"/>
              </w:rPr>
              <w:t>(0.1 ppm)</w:t>
            </w:r>
          </w:p>
        </w:tc>
      </w:tr>
      <w:tr w:rsidR="00AE5162" w:rsidRPr="00492007" w14:paraId="032E1FB2" w14:textId="77777777" w:rsidTr="00AE5162">
        <w:tc>
          <w:tcPr>
            <w:tcW w:w="1571" w:type="dxa"/>
            <w:shd w:val="clear" w:color="auto" w:fill="auto"/>
          </w:tcPr>
          <w:p w14:paraId="49D50472" w14:textId="77777777" w:rsidR="00AE5162" w:rsidRPr="00492007" w:rsidRDefault="00AE5162" w:rsidP="00367D48">
            <w:pPr>
              <w:rPr>
                <w:lang w:eastAsia="en-US"/>
              </w:rPr>
            </w:pPr>
            <w:r w:rsidRPr="00492007">
              <w:rPr>
                <w:lang w:eastAsia="en-US"/>
              </w:rPr>
              <w:t>ARfD</w:t>
            </w:r>
          </w:p>
        </w:tc>
        <w:tc>
          <w:tcPr>
            <w:tcW w:w="1538" w:type="dxa"/>
          </w:tcPr>
          <w:p w14:paraId="0C1866DA" w14:textId="77777777" w:rsidR="00AE5162" w:rsidRPr="00492007" w:rsidRDefault="00AE5162" w:rsidP="00367D48">
            <w:pPr>
              <w:rPr>
                <w:lang w:eastAsia="en-US"/>
              </w:rPr>
            </w:pPr>
            <w:r w:rsidRPr="00492007">
              <w:rPr>
                <w:lang w:eastAsia="en-US"/>
              </w:rPr>
              <w:t>n.a.</w:t>
            </w:r>
          </w:p>
        </w:tc>
        <w:tc>
          <w:tcPr>
            <w:tcW w:w="1538" w:type="dxa"/>
          </w:tcPr>
          <w:p w14:paraId="1F2E8014" w14:textId="77777777" w:rsidR="00AE5162" w:rsidRPr="00492007" w:rsidRDefault="00AE5162" w:rsidP="00367D48">
            <w:pPr>
              <w:rPr>
                <w:lang w:eastAsia="en-US"/>
              </w:rPr>
            </w:pPr>
            <w:r w:rsidRPr="00492007">
              <w:rPr>
                <w:lang w:eastAsia="en-US"/>
              </w:rPr>
              <w:t>-</w:t>
            </w:r>
          </w:p>
        </w:tc>
        <w:tc>
          <w:tcPr>
            <w:tcW w:w="735" w:type="dxa"/>
          </w:tcPr>
          <w:p w14:paraId="55F452A9" w14:textId="77777777" w:rsidR="00AE5162" w:rsidRPr="00492007" w:rsidRDefault="00AE5162" w:rsidP="00367D48">
            <w:pPr>
              <w:rPr>
                <w:lang w:eastAsia="en-US"/>
              </w:rPr>
            </w:pPr>
            <w:r w:rsidRPr="00492007">
              <w:rPr>
                <w:lang w:eastAsia="en-US"/>
              </w:rPr>
              <w:t>-</w:t>
            </w:r>
          </w:p>
        </w:tc>
        <w:tc>
          <w:tcPr>
            <w:tcW w:w="2341" w:type="dxa"/>
          </w:tcPr>
          <w:p w14:paraId="1913FD9B" w14:textId="77777777" w:rsidR="00AE5162" w:rsidRPr="00492007" w:rsidRDefault="00AE5162" w:rsidP="00367D48">
            <w:pPr>
              <w:rPr>
                <w:lang w:eastAsia="en-US"/>
              </w:rPr>
            </w:pPr>
            <w:r w:rsidRPr="00492007">
              <w:rPr>
                <w:lang w:eastAsia="en-US"/>
              </w:rPr>
              <w:t>-</w:t>
            </w:r>
          </w:p>
        </w:tc>
        <w:tc>
          <w:tcPr>
            <w:tcW w:w="1548" w:type="dxa"/>
            <w:shd w:val="clear" w:color="auto" w:fill="auto"/>
          </w:tcPr>
          <w:p w14:paraId="2EF4DF7A" w14:textId="77777777" w:rsidR="00AE5162" w:rsidRPr="00492007" w:rsidRDefault="00AE5162" w:rsidP="00367D48">
            <w:pPr>
              <w:rPr>
                <w:lang w:eastAsia="en-US"/>
              </w:rPr>
            </w:pPr>
            <w:r w:rsidRPr="00492007">
              <w:rPr>
                <w:lang w:eastAsia="en-US"/>
              </w:rPr>
              <w:t>-</w:t>
            </w:r>
          </w:p>
        </w:tc>
      </w:tr>
      <w:tr w:rsidR="00AE5162" w:rsidRPr="00492007" w14:paraId="11B937E4" w14:textId="77777777" w:rsidTr="00AE5162">
        <w:tc>
          <w:tcPr>
            <w:tcW w:w="1571" w:type="dxa"/>
            <w:shd w:val="clear" w:color="auto" w:fill="auto"/>
          </w:tcPr>
          <w:p w14:paraId="1B829102" w14:textId="77777777" w:rsidR="00AE5162" w:rsidRPr="00492007" w:rsidRDefault="00AE5162" w:rsidP="00367D48">
            <w:pPr>
              <w:rPr>
                <w:lang w:eastAsia="en-US"/>
              </w:rPr>
            </w:pPr>
            <w:r w:rsidRPr="00492007">
              <w:rPr>
                <w:lang w:eastAsia="en-US"/>
              </w:rPr>
              <w:t>ADI</w:t>
            </w:r>
          </w:p>
        </w:tc>
        <w:tc>
          <w:tcPr>
            <w:tcW w:w="1538" w:type="dxa"/>
          </w:tcPr>
          <w:p w14:paraId="7B01CD0C" w14:textId="77777777" w:rsidR="00AE5162" w:rsidRPr="00492007" w:rsidRDefault="00AE5162" w:rsidP="00367D48">
            <w:pPr>
              <w:rPr>
                <w:lang w:eastAsia="en-US"/>
              </w:rPr>
            </w:pPr>
            <w:r w:rsidRPr="00492007">
              <w:rPr>
                <w:lang w:eastAsia="en-US"/>
              </w:rPr>
              <w:t>n.a.</w:t>
            </w:r>
          </w:p>
        </w:tc>
        <w:tc>
          <w:tcPr>
            <w:tcW w:w="1538" w:type="dxa"/>
          </w:tcPr>
          <w:p w14:paraId="0F24359B" w14:textId="77777777" w:rsidR="00AE5162" w:rsidRPr="00492007" w:rsidRDefault="00AE5162" w:rsidP="00367D48">
            <w:pPr>
              <w:rPr>
                <w:lang w:eastAsia="en-US"/>
              </w:rPr>
            </w:pPr>
            <w:r w:rsidRPr="00492007">
              <w:rPr>
                <w:lang w:eastAsia="en-US"/>
              </w:rPr>
              <w:t>-</w:t>
            </w:r>
          </w:p>
        </w:tc>
        <w:tc>
          <w:tcPr>
            <w:tcW w:w="735" w:type="dxa"/>
          </w:tcPr>
          <w:p w14:paraId="7B2932AD" w14:textId="77777777" w:rsidR="00AE5162" w:rsidRPr="00492007" w:rsidRDefault="00AE5162" w:rsidP="00367D48">
            <w:pPr>
              <w:rPr>
                <w:lang w:eastAsia="en-US"/>
              </w:rPr>
            </w:pPr>
            <w:r w:rsidRPr="00492007">
              <w:rPr>
                <w:lang w:eastAsia="en-US"/>
              </w:rPr>
              <w:t>-</w:t>
            </w:r>
          </w:p>
        </w:tc>
        <w:tc>
          <w:tcPr>
            <w:tcW w:w="2341" w:type="dxa"/>
          </w:tcPr>
          <w:p w14:paraId="768A1FF7" w14:textId="77777777" w:rsidR="00AE5162" w:rsidRPr="00492007" w:rsidRDefault="00AE5162" w:rsidP="00367D48">
            <w:pPr>
              <w:rPr>
                <w:lang w:eastAsia="en-US"/>
              </w:rPr>
            </w:pPr>
            <w:r w:rsidRPr="00492007">
              <w:rPr>
                <w:lang w:eastAsia="en-US"/>
              </w:rPr>
              <w:t>-</w:t>
            </w:r>
          </w:p>
        </w:tc>
        <w:tc>
          <w:tcPr>
            <w:tcW w:w="1548" w:type="dxa"/>
            <w:shd w:val="clear" w:color="auto" w:fill="auto"/>
          </w:tcPr>
          <w:p w14:paraId="2BF93028" w14:textId="77777777" w:rsidR="00AE5162" w:rsidRPr="00492007" w:rsidRDefault="00AE5162" w:rsidP="00367D48">
            <w:pPr>
              <w:rPr>
                <w:lang w:eastAsia="en-US"/>
              </w:rPr>
            </w:pPr>
            <w:r w:rsidRPr="00492007">
              <w:rPr>
                <w:lang w:eastAsia="en-US"/>
              </w:rPr>
              <w:t>-</w:t>
            </w:r>
          </w:p>
        </w:tc>
      </w:tr>
    </w:tbl>
    <w:p w14:paraId="09A1D2A4" w14:textId="77777777" w:rsidR="00AE5162" w:rsidRDefault="00AE5162">
      <w:pPr>
        <w:spacing w:line="260" w:lineRule="atLeast"/>
        <w:rPr>
          <w:rFonts w:ascii="Times New Roman" w:eastAsia="Calibri" w:hAnsi="Times New Roman" w:cs="Times New Roman"/>
          <w:i/>
          <w:iCs/>
          <w:sz w:val="16"/>
          <w:lang w:eastAsia="en-US"/>
        </w:rPr>
      </w:pPr>
    </w:p>
    <w:p w14:paraId="201A8285" w14:textId="77777777" w:rsidR="00411C91" w:rsidRPr="00C45A72" w:rsidRDefault="00411C91" w:rsidP="00411C91">
      <w:pPr>
        <w:rPr>
          <w:b/>
          <w:bCs/>
          <w:lang w:eastAsia="en-US"/>
        </w:rPr>
      </w:pPr>
      <w:r w:rsidRPr="00C45A72">
        <w:rPr>
          <w:b/>
          <w:bCs/>
          <w:lang w:eastAsia="en-US"/>
        </w:rPr>
        <w:t>Maximum residue limits or equivalent</w:t>
      </w:r>
    </w:p>
    <w:p w14:paraId="340DF0D9" w14:textId="77777777" w:rsidR="00411C91" w:rsidRDefault="00411C91" w:rsidP="00411C91">
      <w:pPr>
        <w:rPr>
          <w:b/>
          <w:bCs/>
          <w:lang w:eastAsia="en-US"/>
        </w:rPr>
      </w:pPr>
    </w:p>
    <w:p w14:paraId="15DD8815" w14:textId="77777777" w:rsidR="00411C91" w:rsidRPr="00C45A72" w:rsidRDefault="00411C91" w:rsidP="00411C91">
      <w:pPr>
        <w:rPr>
          <w:lang w:eastAsia="en-US"/>
        </w:rPr>
      </w:pPr>
      <w:r w:rsidRPr="00C45A72">
        <w:rPr>
          <w:lang w:eastAsia="en-US"/>
        </w:rPr>
        <w:t>Residue definitions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614"/>
        <w:gridCol w:w="1842"/>
        <w:gridCol w:w="3544"/>
      </w:tblGrid>
      <w:tr w:rsidR="00411C91" w:rsidRPr="00C45A72" w14:paraId="0049A43D" w14:textId="77777777" w:rsidTr="008B4D23">
        <w:tc>
          <w:tcPr>
            <w:tcW w:w="2214" w:type="dxa"/>
            <w:shd w:val="clear" w:color="auto" w:fill="FFFFCC"/>
          </w:tcPr>
          <w:p w14:paraId="6EBA3989" w14:textId="77777777" w:rsidR="00411C91" w:rsidRPr="00C45A72" w:rsidRDefault="00411C91" w:rsidP="00AB21D9">
            <w:pPr>
              <w:rPr>
                <w:b/>
                <w:lang w:eastAsia="en-US"/>
              </w:rPr>
            </w:pPr>
            <w:r w:rsidRPr="00C45A72">
              <w:rPr>
                <w:b/>
                <w:lang w:eastAsia="en-US"/>
              </w:rPr>
              <w:t>MRLs or other relevant reference values</w:t>
            </w:r>
          </w:p>
        </w:tc>
        <w:tc>
          <w:tcPr>
            <w:tcW w:w="1614" w:type="dxa"/>
            <w:shd w:val="clear" w:color="auto" w:fill="FFFFCC"/>
          </w:tcPr>
          <w:p w14:paraId="793E278A" w14:textId="77777777" w:rsidR="00411C91" w:rsidRPr="00C45A72" w:rsidRDefault="00411C91" w:rsidP="00AB21D9">
            <w:pPr>
              <w:rPr>
                <w:b/>
                <w:lang w:eastAsia="en-US"/>
              </w:rPr>
            </w:pPr>
            <w:r w:rsidRPr="00C45A72">
              <w:rPr>
                <w:b/>
                <w:lang w:eastAsia="en-US"/>
              </w:rPr>
              <w:t xml:space="preserve">Reference </w:t>
            </w:r>
          </w:p>
        </w:tc>
        <w:tc>
          <w:tcPr>
            <w:tcW w:w="1842" w:type="dxa"/>
            <w:shd w:val="clear" w:color="auto" w:fill="FFFFCC"/>
          </w:tcPr>
          <w:p w14:paraId="607FD330" w14:textId="77777777" w:rsidR="00411C91" w:rsidRPr="00C45A72" w:rsidRDefault="00411C91" w:rsidP="00AB21D9">
            <w:pPr>
              <w:rPr>
                <w:b/>
                <w:lang w:eastAsia="en-US"/>
              </w:rPr>
            </w:pPr>
            <w:r w:rsidRPr="00C45A72">
              <w:rPr>
                <w:b/>
                <w:lang w:eastAsia="en-US"/>
              </w:rPr>
              <w:t>Relevant commodities</w:t>
            </w:r>
          </w:p>
        </w:tc>
        <w:tc>
          <w:tcPr>
            <w:tcW w:w="3544" w:type="dxa"/>
            <w:shd w:val="clear" w:color="auto" w:fill="FFFFCC"/>
          </w:tcPr>
          <w:p w14:paraId="22D5D499" w14:textId="77777777" w:rsidR="00411C91" w:rsidRPr="00C45A72" w:rsidRDefault="00411C91" w:rsidP="00AB21D9">
            <w:pPr>
              <w:rPr>
                <w:b/>
                <w:lang w:eastAsia="en-US"/>
              </w:rPr>
            </w:pPr>
            <w:r w:rsidRPr="00C45A72">
              <w:rPr>
                <w:b/>
                <w:lang w:eastAsia="en-US"/>
              </w:rPr>
              <w:t>Value</w:t>
            </w:r>
          </w:p>
        </w:tc>
      </w:tr>
      <w:tr w:rsidR="00411C91" w:rsidRPr="00C45A72" w14:paraId="2740830D" w14:textId="77777777" w:rsidTr="008B4D23">
        <w:tc>
          <w:tcPr>
            <w:tcW w:w="2214" w:type="dxa"/>
            <w:shd w:val="clear" w:color="auto" w:fill="auto"/>
          </w:tcPr>
          <w:p w14:paraId="242E638C" w14:textId="77777777" w:rsidR="00411C91" w:rsidRPr="00290469" w:rsidRDefault="00411C91" w:rsidP="00AB21D9">
            <w:pPr>
              <w:pStyle w:val="Default"/>
              <w:rPr>
                <w:rFonts w:ascii="Verdana" w:hAnsi="Verdana"/>
                <w:color w:val="auto"/>
                <w:sz w:val="20"/>
                <w:lang w:val="sv-SE" w:eastAsia="en-US"/>
              </w:rPr>
            </w:pPr>
            <w:r w:rsidRPr="00290469">
              <w:rPr>
                <w:rFonts w:ascii="Verdana" w:hAnsi="Verdana"/>
                <w:color w:val="auto"/>
                <w:sz w:val="20"/>
                <w:lang w:val="sv-SE" w:eastAsia="en-US"/>
              </w:rPr>
              <w:t xml:space="preserve">AEL </w:t>
            </w:r>
            <w:r>
              <w:rPr>
                <w:rFonts w:ascii="Verdana" w:hAnsi="Verdana"/>
                <w:color w:val="auto"/>
                <w:sz w:val="20"/>
                <w:lang w:val="sv-SE" w:eastAsia="en-US"/>
              </w:rPr>
              <w:t xml:space="preserve"> = UL</w:t>
            </w:r>
          </w:p>
          <w:p w14:paraId="22ADABDC" w14:textId="77777777" w:rsidR="00411C91" w:rsidRPr="00290469" w:rsidRDefault="00411C91" w:rsidP="00AB21D9">
            <w:pPr>
              <w:pStyle w:val="Default"/>
              <w:rPr>
                <w:rFonts w:ascii="Verdana" w:hAnsi="Verdana"/>
                <w:color w:val="auto"/>
                <w:sz w:val="20"/>
                <w:lang w:val="sv-SE" w:eastAsia="en-US"/>
              </w:rPr>
            </w:pPr>
            <w:r>
              <w:rPr>
                <w:rFonts w:ascii="Verdana" w:hAnsi="Verdana"/>
                <w:color w:val="auto"/>
                <w:sz w:val="20"/>
                <w:lang w:val="sv-SE" w:eastAsia="en-US"/>
              </w:rPr>
              <w:t>(Upper Intake Level)</w:t>
            </w:r>
          </w:p>
        </w:tc>
        <w:tc>
          <w:tcPr>
            <w:tcW w:w="1614" w:type="dxa"/>
            <w:shd w:val="clear" w:color="auto" w:fill="auto"/>
          </w:tcPr>
          <w:p w14:paraId="7BA6C90C" w14:textId="77777777" w:rsidR="00411C91" w:rsidRPr="00C45A72" w:rsidRDefault="00411C91" w:rsidP="00AB21D9">
            <w:pPr>
              <w:rPr>
                <w:lang w:eastAsia="en-US"/>
              </w:rPr>
            </w:pPr>
            <w:r>
              <w:rPr>
                <w:lang w:eastAsia="en-US"/>
              </w:rPr>
              <w:t xml:space="preserve">Iodine CAR </w:t>
            </w:r>
          </w:p>
        </w:tc>
        <w:tc>
          <w:tcPr>
            <w:tcW w:w="1842" w:type="dxa"/>
            <w:shd w:val="clear" w:color="auto" w:fill="auto"/>
          </w:tcPr>
          <w:p w14:paraId="487BBF0E" w14:textId="77777777" w:rsidR="00411C91" w:rsidRPr="00C45A72" w:rsidRDefault="00411C91" w:rsidP="00AB21D9">
            <w:pPr>
              <w:rPr>
                <w:lang w:eastAsia="en-US"/>
              </w:rPr>
            </w:pPr>
            <w:r>
              <w:rPr>
                <w:lang w:eastAsia="en-US"/>
              </w:rPr>
              <w:t>food</w:t>
            </w:r>
          </w:p>
        </w:tc>
        <w:tc>
          <w:tcPr>
            <w:tcW w:w="3544" w:type="dxa"/>
            <w:shd w:val="clear" w:color="auto" w:fill="auto"/>
          </w:tcPr>
          <w:p w14:paraId="4E5D52ED" w14:textId="77777777" w:rsidR="00411C91" w:rsidRPr="00290469" w:rsidRDefault="00411C91" w:rsidP="00AB21D9">
            <w:pPr>
              <w:pStyle w:val="Default"/>
              <w:rPr>
                <w:rFonts w:ascii="Verdana" w:hAnsi="Verdana"/>
                <w:color w:val="auto"/>
                <w:sz w:val="20"/>
                <w:szCs w:val="20"/>
                <w:lang w:val="sv-SE" w:eastAsia="en-US"/>
              </w:rPr>
            </w:pPr>
            <w:r w:rsidRPr="00290469">
              <w:rPr>
                <w:rFonts w:ascii="Verdana" w:hAnsi="Verdana"/>
                <w:color w:val="auto"/>
                <w:sz w:val="20"/>
                <w:szCs w:val="20"/>
                <w:lang w:val="sv-SE" w:eastAsia="en-US"/>
              </w:rPr>
              <w:t xml:space="preserve">Europe: 600 μg/day </w:t>
            </w:r>
            <w:r>
              <w:rPr>
                <w:rFonts w:ascii="Verdana" w:hAnsi="Verdana"/>
                <w:color w:val="auto"/>
                <w:sz w:val="20"/>
                <w:szCs w:val="20"/>
                <w:lang w:val="sv-SE" w:eastAsia="en-US"/>
              </w:rPr>
              <w:t>for adult</w:t>
            </w:r>
          </w:p>
          <w:p w14:paraId="6D433BF1" w14:textId="77777777" w:rsidR="00411C91" w:rsidRDefault="00411C91" w:rsidP="00AB21D9">
            <w:pPr>
              <w:pStyle w:val="Default"/>
              <w:rPr>
                <w:rFonts w:ascii="Verdana" w:hAnsi="Verdana"/>
                <w:color w:val="auto"/>
                <w:sz w:val="20"/>
                <w:szCs w:val="20"/>
                <w:lang w:val="sv-SE" w:eastAsia="en-US"/>
              </w:rPr>
            </w:pPr>
            <w:r w:rsidRPr="00290469">
              <w:rPr>
                <w:rFonts w:ascii="Verdana" w:hAnsi="Verdana"/>
                <w:color w:val="auto"/>
                <w:sz w:val="20"/>
                <w:szCs w:val="20"/>
                <w:lang w:val="sv-SE" w:eastAsia="en-US"/>
              </w:rPr>
              <w:t xml:space="preserve">(0.01 </w:t>
            </w:r>
            <w:r>
              <w:rPr>
                <w:rFonts w:ascii="Verdana" w:hAnsi="Verdana"/>
                <w:color w:val="auto"/>
                <w:sz w:val="20"/>
                <w:szCs w:val="20"/>
                <w:lang w:val="sv-SE" w:eastAsia="en-US"/>
              </w:rPr>
              <w:t>mg/kg bw/d.), 200 µg/day for infant, toddler and child (1-3 years old), 250 µg/day for child of 4-6 years old</w:t>
            </w:r>
            <w:r>
              <w:rPr>
                <w:rFonts w:ascii="Verdana" w:hAnsi="Verdana"/>
                <w:color w:val="auto"/>
                <w:sz w:val="20"/>
                <w:szCs w:val="20"/>
                <w:vertAlign w:val="superscript"/>
                <w:lang w:val="sv-SE" w:eastAsia="en-US"/>
              </w:rPr>
              <w:t>8</w:t>
            </w:r>
            <w:r>
              <w:rPr>
                <w:rFonts w:ascii="Verdana" w:hAnsi="Verdana"/>
                <w:color w:val="auto"/>
                <w:sz w:val="20"/>
                <w:szCs w:val="20"/>
                <w:lang w:val="sv-SE" w:eastAsia="en-US"/>
              </w:rPr>
              <w:t>.</w:t>
            </w:r>
          </w:p>
          <w:p w14:paraId="475F7154" w14:textId="77777777" w:rsidR="00411C91" w:rsidRPr="00290469" w:rsidRDefault="00411C91" w:rsidP="00AB21D9">
            <w:pPr>
              <w:pStyle w:val="Default"/>
              <w:rPr>
                <w:rFonts w:ascii="Verdana" w:hAnsi="Verdana"/>
                <w:color w:val="auto"/>
                <w:sz w:val="20"/>
                <w:szCs w:val="20"/>
                <w:lang w:val="sv-SE" w:eastAsia="en-US"/>
              </w:rPr>
            </w:pPr>
          </w:p>
          <w:p w14:paraId="338B8932" w14:textId="77777777" w:rsidR="00411C91" w:rsidRPr="00290469" w:rsidRDefault="00411C91" w:rsidP="00AB21D9">
            <w:pPr>
              <w:pStyle w:val="Default"/>
              <w:rPr>
                <w:rFonts w:ascii="Verdana" w:hAnsi="Verdana"/>
                <w:color w:val="auto"/>
                <w:sz w:val="20"/>
                <w:szCs w:val="20"/>
                <w:lang w:val="sv-SE" w:eastAsia="en-US"/>
              </w:rPr>
            </w:pPr>
            <w:r w:rsidRPr="00290469">
              <w:rPr>
                <w:rFonts w:ascii="Verdana" w:hAnsi="Verdana"/>
                <w:color w:val="auto"/>
                <w:sz w:val="20"/>
                <w:szCs w:val="20"/>
                <w:lang w:val="sv-SE" w:eastAsia="en-US"/>
              </w:rPr>
              <w:t xml:space="preserve">USA: 1200 μg/day, </w:t>
            </w:r>
          </w:p>
          <w:p w14:paraId="0B1B094D" w14:textId="77777777" w:rsidR="00411C91" w:rsidRPr="00C45A72" w:rsidRDefault="00411C91" w:rsidP="00AB21D9">
            <w:pPr>
              <w:rPr>
                <w:lang w:eastAsia="en-US"/>
              </w:rPr>
            </w:pPr>
            <w:r>
              <w:rPr>
                <w:lang w:eastAsia="en-US"/>
              </w:rPr>
              <w:t>0.02 mg/kg bw/d.</w:t>
            </w:r>
          </w:p>
        </w:tc>
      </w:tr>
      <w:tr w:rsidR="00411C91" w:rsidRPr="00C45A72" w14:paraId="2283AE9D" w14:textId="77777777" w:rsidTr="008B4D23">
        <w:tc>
          <w:tcPr>
            <w:tcW w:w="2214" w:type="dxa"/>
            <w:shd w:val="clear" w:color="auto" w:fill="auto"/>
          </w:tcPr>
          <w:p w14:paraId="70F04669" w14:textId="77777777" w:rsidR="00411C91" w:rsidRPr="00290469" w:rsidRDefault="00411C91" w:rsidP="00AB21D9">
            <w:pPr>
              <w:pStyle w:val="Default"/>
              <w:rPr>
                <w:rFonts w:ascii="Verdana" w:hAnsi="Verdana"/>
                <w:color w:val="auto"/>
                <w:sz w:val="20"/>
                <w:lang w:val="sv-SE" w:eastAsia="en-US"/>
              </w:rPr>
            </w:pPr>
            <w:r>
              <w:rPr>
                <w:rFonts w:ascii="Verdana" w:hAnsi="Verdana"/>
                <w:color w:val="auto"/>
                <w:sz w:val="20"/>
                <w:lang w:val="sv-SE" w:eastAsia="en-US"/>
              </w:rPr>
              <w:t>ARfD</w:t>
            </w:r>
          </w:p>
        </w:tc>
        <w:tc>
          <w:tcPr>
            <w:tcW w:w="1614" w:type="dxa"/>
            <w:shd w:val="clear" w:color="auto" w:fill="auto"/>
          </w:tcPr>
          <w:p w14:paraId="4CCA2F4B" w14:textId="77777777" w:rsidR="00411C91" w:rsidRPr="00C45A72" w:rsidRDefault="00411C91" w:rsidP="00AB21D9">
            <w:pPr>
              <w:rPr>
                <w:lang w:eastAsia="en-US"/>
              </w:rPr>
            </w:pPr>
            <w:r>
              <w:rPr>
                <w:lang w:eastAsia="en-US"/>
              </w:rPr>
              <w:t xml:space="preserve">Iodine CAR </w:t>
            </w:r>
          </w:p>
        </w:tc>
        <w:tc>
          <w:tcPr>
            <w:tcW w:w="1842" w:type="dxa"/>
            <w:shd w:val="clear" w:color="auto" w:fill="auto"/>
          </w:tcPr>
          <w:p w14:paraId="0385218C" w14:textId="77777777" w:rsidR="00411C91" w:rsidRPr="00290469" w:rsidRDefault="00411C91" w:rsidP="00AB21D9">
            <w:pPr>
              <w:rPr>
                <w:lang w:eastAsia="en-US"/>
              </w:rPr>
            </w:pPr>
            <w:r>
              <w:rPr>
                <w:lang w:eastAsia="en-US"/>
              </w:rPr>
              <w:t>-</w:t>
            </w:r>
          </w:p>
        </w:tc>
        <w:tc>
          <w:tcPr>
            <w:tcW w:w="3544" w:type="dxa"/>
            <w:shd w:val="clear" w:color="auto" w:fill="auto"/>
          </w:tcPr>
          <w:p w14:paraId="2564AE69" w14:textId="77777777" w:rsidR="00411C91" w:rsidRPr="00290469" w:rsidRDefault="00411C91" w:rsidP="00AB21D9">
            <w:pPr>
              <w:pStyle w:val="Default"/>
              <w:rPr>
                <w:rFonts w:ascii="Verdana" w:hAnsi="Verdana"/>
                <w:color w:val="auto"/>
                <w:sz w:val="20"/>
                <w:lang w:val="sv-SE" w:eastAsia="en-US"/>
              </w:rPr>
            </w:pPr>
            <w:r w:rsidRPr="00290469">
              <w:rPr>
                <w:rFonts w:ascii="Verdana" w:hAnsi="Verdana"/>
                <w:color w:val="auto"/>
                <w:sz w:val="20"/>
                <w:lang w:val="sv-SE" w:eastAsia="en-US"/>
              </w:rPr>
              <w:t xml:space="preserve">Not applicable. Substance is not acute toxic or harmful. </w:t>
            </w:r>
          </w:p>
        </w:tc>
      </w:tr>
      <w:tr w:rsidR="00411C91" w:rsidRPr="00C45A72" w14:paraId="7294774E" w14:textId="77777777" w:rsidTr="008B4D23">
        <w:tc>
          <w:tcPr>
            <w:tcW w:w="2214" w:type="dxa"/>
            <w:shd w:val="clear" w:color="auto" w:fill="auto"/>
          </w:tcPr>
          <w:p w14:paraId="30CE86EA" w14:textId="77777777" w:rsidR="00411C91" w:rsidRDefault="00411C91" w:rsidP="00AB21D9">
            <w:pPr>
              <w:pStyle w:val="Default"/>
              <w:rPr>
                <w:rFonts w:ascii="Verdana" w:hAnsi="Verdana"/>
                <w:color w:val="auto"/>
                <w:sz w:val="20"/>
                <w:lang w:val="sv-SE" w:eastAsia="en-US"/>
              </w:rPr>
            </w:pPr>
            <w:r w:rsidRPr="00290469">
              <w:rPr>
                <w:rFonts w:ascii="Verdana" w:hAnsi="Verdana"/>
                <w:color w:val="auto"/>
                <w:sz w:val="20"/>
                <w:lang w:val="sv-SE" w:eastAsia="en-US"/>
              </w:rPr>
              <w:t>Drinking water limit</w:t>
            </w:r>
          </w:p>
        </w:tc>
        <w:tc>
          <w:tcPr>
            <w:tcW w:w="1614" w:type="dxa"/>
            <w:shd w:val="clear" w:color="auto" w:fill="auto"/>
          </w:tcPr>
          <w:p w14:paraId="7E1A9C97" w14:textId="77777777" w:rsidR="00411C91" w:rsidRPr="00C45A72" w:rsidRDefault="00411C91" w:rsidP="00AB21D9">
            <w:pPr>
              <w:rPr>
                <w:lang w:eastAsia="en-US"/>
              </w:rPr>
            </w:pPr>
            <w:r>
              <w:rPr>
                <w:lang w:eastAsia="en-US"/>
              </w:rPr>
              <w:t xml:space="preserve">Iodine CAR </w:t>
            </w:r>
          </w:p>
        </w:tc>
        <w:tc>
          <w:tcPr>
            <w:tcW w:w="1842" w:type="dxa"/>
            <w:shd w:val="clear" w:color="auto" w:fill="auto"/>
          </w:tcPr>
          <w:p w14:paraId="5DF64809" w14:textId="77777777" w:rsidR="00411C91" w:rsidRPr="00290469" w:rsidRDefault="00411C91" w:rsidP="00AB21D9">
            <w:pPr>
              <w:rPr>
                <w:lang w:eastAsia="en-US"/>
              </w:rPr>
            </w:pPr>
            <w:r>
              <w:rPr>
                <w:lang w:eastAsia="en-US"/>
              </w:rPr>
              <w:t>water</w:t>
            </w:r>
          </w:p>
        </w:tc>
        <w:tc>
          <w:tcPr>
            <w:tcW w:w="3544" w:type="dxa"/>
            <w:shd w:val="clear" w:color="auto" w:fill="auto"/>
          </w:tcPr>
          <w:p w14:paraId="4C3672C9" w14:textId="77777777" w:rsidR="00411C91" w:rsidRDefault="00411C91" w:rsidP="00AB21D9">
            <w:pPr>
              <w:pStyle w:val="Default"/>
              <w:rPr>
                <w:rFonts w:ascii="Verdana" w:hAnsi="Verdana"/>
                <w:color w:val="auto"/>
                <w:sz w:val="20"/>
                <w:lang w:val="sv-SE" w:eastAsia="en-US"/>
              </w:rPr>
            </w:pPr>
            <w:r w:rsidRPr="00290469">
              <w:rPr>
                <w:rFonts w:ascii="Verdana" w:hAnsi="Verdana"/>
                <w:color w:val="auto"/>
                <w:sz w:val="20"/>
                <w:lang w:val="sv-SE" w:eastAsia="en-US"/>
              </w:rPr>
              <w:t xml:space="preserve">No drinking water limit is established. </w:t>
            </w:r>
          </w:p>
          <w:p w14:paraId="5FDE69FA" w14:textId="77777777" w:rsidR="00411C91" w:rsidRPr="00290469" w:rsidRDefault="00411C91" w:rsidP="00AB21D9">
            <w:pPr>
              <w:pStyle w:val="Default"/>
              <w:rPr>
                <w:rFonts w:ascii="Verdana" w:hAnsi="Verdana"/>
                <w:color w:val="auto"/>
                <w:sz w:val="20"/>
                <w:lang w:val="sv-SE" w:eastAsia="en-US"/>
              </w:rPr>
            </w:pPr>
            <w:r w:rsidRPr="00290469">
              <w:rPr>
                <w:rFonts w:ascii="Verdana" w:hAnsi="Verdana"/>
                <w:color w:val="auto"/>
                <w:sz w:val="20"/>
                <w:lang w:val="sv-SE" w:eastAsia="en-US"/>
              </w:rPr>
              <w:t xml:space="preserve">30 μg/L </w:t>
            </w:r>
            <w:r>
              <w:rPr>
                <w:rFonts w:ascii="Verdana" w:hAnsi="Verdana"/>
                <w:color w:val="auto"/>
                <w:sz w:val="20"/>
                <w:lang w:val="sv-SE" w:eastAsia="en-US"/>
              </w:rPr>
              <w:t>is a threshold proposed and c</w:t>
            </w:r>
            <w:r w:rsidRPr="00290469">
              <w:rPr>
                <w:rFonts w:ascii="Verdana" w:hAnsi="Verdana"/>
                <w:color w:val="auto"/>
                <w:sz w:val="20"/>
                <w:lang w:val="sv-SE" w:eastAsia="en-US"/>
              </w:rPr>
              <w:t>alculat</w:t>
            </w:r>
            <w:r>
              <w:rPr>
                <w:rFonts w:ascii="Verdana" w:hAnsi="Verdana"/>
                <w:color w:val="auto"/>
                <w:sz w:val="20"/>
                <w:lang w:val="sv-SE" w:eastAsia="en-US"/>
              </w:rPr>
              <w:t>ed</w:t>
            </w:r>
            <w:r w:rsidRPr="00290469">
              <w:rPr>
                <w:rFonts w:ascii="Verdana" w:hAnsi="Verdana"/>
                <w:color w:val="auto"/>
                <w:sz w:val="20"/>
                <w:lang w:val="sv-SE" w:eastAsia="en-US"/>
              </w:rPr>
              <w:t xml:space="preserve"> is based on 10% Upper Intake Level and a daily intake of 2 L drinking water </w:t>
            </w:r>
          </w:p>
        </w:tc>
      </w:tr>
      <w:tr w:rsidR="008777A0" w:rsidRPr="00C91EF2" w14:paraId="11E27E26" w14:textId="77777777" w:rsidTr="008B4D23">
        <w:tc>
          <w:tcPr>
            <w:tcW w:w="2214" w:type="dxa"/>
            <w:shd w:val="clear" w:color="auto" w:fill="auto"/>
          </w:tcPr>
          <w:p w14:paraId="44B1E339" w14:textId="77777777" w:rsidR="008777A0" w:rsidRPr="00295F6E" w:rsidRDefault="008777A0" w:rsidP="008A11C2">
            <w:pPr>
              <w:suppressAutoHyphens w:val="0"/>
              <w:autoSpaceDE w:val="0"/>
              <w:autoSpaceDN w:val="0"/>
              <w:adjustRightInd w:val="0"/>
              <w:rPr>
                <w:rFonts w:eastAsia="Calibri" w:cs="Arial"/>
                <w:lang w:val="sv-SE" w:eastAsia="en-US"/>
              </w:rPr>
            </w:pPr>
            <w:r w:rsidRPr="00295F6E">
              <w:rPr>
                <w:rFonts w:eastAsia="Calibri" w:cs="Arial"/>
                <w:lang w:val="sv-SE" w:eastAsia="en-US"/>
              </w:rPr>
              <w:lastRenderedPageBreak/>
              <w:t>MRL</w:t>
            </w:r>
          </w:p>
        </w:tc>
        <w:tc>
          <w:tcPr>
            <w:tcW w:w="1614" w:type="dxa"/>
            <w:shd w:val="clear" w:color="auto" w:fill="auto"/>
          </w:tcPr>
          <w:p w14:paraId="7766CD28" w14:textId="77777777" w:rsidR="008777A0" w:rsidRPr="00295F6E" w:rsidRDefault="008777A0" w:rsidP="00295F6E">
            <w:pPr>
              <w:suppressAutoHyphens w:val="0"/>
              <w:spacing w:line="260" w:lineRule="atLeast"/>
              <w:rPr>
                <w:rFonts w:eastAsia="Calibri" w:cs="Arial"/>
                <w:lang w:val="sv-SE" w:eastAsia="en-US"/>
              </w:rPr>
            </w:pPr>
            <w:r w:rsidRPr="00295F6E">
              <w:rPr>
                <w:rFonts w:eastAsia="Calibri" w:cs="Arial"/>
                <w:lang w:val="sv-SE" w:eastAsia="en-US"/>
              </w:rPr>
              <w:t>Competent Authorities meetings of 17 March and 17 May 2017</w:t>
            </w:r>
          </w:p>
        </w:tc>
        <w:tc>
          <w:tcPr>
            <w:tcW w:w="1842" w:type="dxa"/>
            <w:shd w:val="clear" w:color="auto" w:fill="auto"/>
          </w:tcPr>
          <w:p w14:paraId="3DD9745D" w14:textId="77777777" w:rsidR="008777A0" w:rsidRPr="00295F6E" w:rsidRDefault="008777A0" w:rsidP="008A11C2">
            <w:pPr>
              <w:suppressAutoHyphens w:val="0"/>
              <w:spacing w:line="260" w:lineRule="atLeast"/>
              <w:rPr>
                <w:rFonts w:eastAsia="Calibri" w:cs="Arial"/>
                <w:lang w:val="sv-SE" w:eastAsia="en-US"/>
              </w:rPr>
            </w:pPr>
            <w:r w:rsidRPr="00295F6E">
              <w:rPr>
                <w:rFonts w:eastAsia="Calibri" w:cs="Arial"/>
                <w:lang w:val="sv-SE" w:eastAsia="en-US"/>
              </w:rPr>
              <w:t>Food of animal origin</w:t>
            </w:r>
          </w:p>
        </w:tc>
        <w:tc>
          <w:tcPr>
            <w:tcW w:w="3544" w:type="dxa"/>
            <w:shd w:val="clear" w:color="auto" w:fill="auto"/>
          </w:tcPr>
          <w:p w14:paraId="5A51DEF0" w14:textId="77777777" w:rsidR="008777A0" w:rsidRPr="00295F6E" w:rsidRDefault="008777A0" w:rsidP="008A11C2">
            <w:pPr>
              <w:suppressAutoHyphens w:val="0"/>
              <w:autoSpaceDE w:val="0"/>
              <w:autoSpaceDN w:val="0"/>
              <w:adjustRightInd w:val="0"/>
              <w:rPr>
                <w:rFonts w:eastAsia="Calibri" w:cs="Arial"/>
                <w:lang w:val="sv-SE" w:eastAsia="en-US"/>
              </w:rPr>
            </w:pPr>
            <w:r w:rsidRPr="00295F6E">
              <w:rPr>
                <w:rFonts w:eastAsia="Calibri" w:cs="Arial"/>
                <w:lang w:val="sv-SE" w:eastAsia="en-US"/>
              </w:rPr>
              <w:t>No MRL required.</w:t>
            </w:r>
          </w:p>
        </w:tc>
      </w:tr>
    </w:tbl>
    <w:p w14:paraId="390E2CEE" w14:textId="77777777" w:rsidR="00411C91" w:rsidRDefault="00411C91" w:rsidP="00411C91">
      <w:pPr>
        <w:rPr>
          <w:b/>
          <w:bCs/>
          <w:lang w:eastAsia="en-US"/>
        </w:rPr>
      </w:pPr>
    </w:p>
    <w:p w14:paraId="6FDE77FB" w14:textId="77777777" w:rsidR="00411C91" w:rsidRDefault="00411C91" w:rsidP="00411C91">
      <w:pPr>
        <w:rPr>
          <w:b/>
          <w:bCs/>
          <w:lang w:eastAsia="en-US"/>
        </w:rPr>
      </w:pPr>
    </w:p>
    <w:p w14:paraId="44ADCA00" w14:textId="77777777" w:rsidR="00411C91" w:rsidRDefault="00411C91" w:rsidP="00411C91">
      <w:pPr>
        <w:pStyle w:val="Corpsdetexte"/>
        <w:jc w:val="both"/>
        <w:rPr>
          <w:lang w:eastAsia="en-US"/>
        </w:rPr>
      </w:pPr>
      <w:r w:rsidRPr="00FF0F17">
        <w:rPr>
          <w:lang w:eastAsia="en-US"/>
        </w:rPr>
        <w:t>The Scientific Committee on Food (SCF) based the iodine tolerable upper intake (UL) on studies of short term duration and in a small number of subjects (n=10-32). For iodine intakes about 1700-1800 μg/day, the studies showed an increased serum thyroid-stimulating hormone (TSH) and thyrotropin-releasing hormone (TRH), but these changes were considered marginal and not associated with any clinical adverse effects. The results were supported by a five years study where, for approximately similar iodine intakes, no clinical thyroid pathology occurred. An uncertainty factor of 3 was selected to derive the UL for adults. The ULs for toddlers and children were derived by adjustment of the adult UL on the basis of metabolic weight, since there is no evidence of increased susceptibility in children. The SCF adopted the value of 600 μg/day as a UL for adults including pregnant and lactating women (2002)</w:t>
      </w:r>
      <w:r>
        <w:rPr>
          <w:rStyle w:val="Appelnotedebasdep"/>
          <w:lang w:eastAsia="en-US"/>
        </w:rPr>
        <w:footnoteReference w:id="9"/>
      </w:r>
      <w:r w:rsidRPr="00FF0F17">
        <w:rPr>
          <w:lang w:eastAsia="en-US"/>
        </w:rPr>
        <w:t>. The UL for toddlers was set at 200 µg/day.</w:t>
      </w:r>
    </w:p>
    <w:p w14:paraId="5A2B388A" w14:textId="77777777" w:rsidR="00411C91" w:rsidRDefault="00411C91" w:rsidP="00411C91">
      <w:pPr>
        <w:pStyle w:val="Corpsdetexte"/>
        <w:jc w:val="both"/>
        <w:rPr>
          <w:lang w:eastAsia="en-US"/>
        </w:rPr>
      </w:pPr>
      <w:r>
        <w:rPr>
          <w:lang w:eastAsia="en-US"/>
        </w:rPr>
        <w:t>Nevertheless, i</w:t>
      </w:r>
      <w:r w:rsidRPr="00AC6415">
        <w:rPr>
          <w:lang w:eastAsia="en-US"/>
        </w:rPr>
        <w:t>n the iodine CAR, it is reported that a healthy adult can tolerate iodine intake of more than 1000 µg/day without any adverse effects.</w:t>
      </w:r>
    </w:p>
    <w:p w14:paraId="4724FE78" w14:textId="77777777" w:rsidR="00411C91" w:rsidRPr="00C26C4C" w:rsidRDefault="00411C91" w:rsidP="00411C91">
      <w:pPr>
        <w:pStyle w:val="Corpsdetexte"/>
        <w:jc w:val="both"/>
        <w:rPr>
          <w:lang w:eastAsia="en-US"/>
        </w:rPr>
      </w:pPr>
      <w:r w:rsidRPr="00C26C4C">
        <w:rPr>
          <w:lang w:eastAsia="en-US"/>
        </w:rPr>
        <w:t xml:space="preserve">As indicated by the SCF, the tolerable upper intake levels ULs are not a safety threshold. Indeed, the SCF indicated that the UL “may be exceeded for short periods without appreciable risk to the health of the individuals concerned”. </w:t>
      </w:r>
    </w:p>
    <w:p w14:paraId="7143107E" w14:textId="77777777" w:rsidR="009D0C0B" w:rsidRDefault="009D0C0B">
      <w:pPr>
        <w:spacing w:line="260" w:lineRule="atLeast"/>
        <w:rPr>
          <w:rFonts w:ascii="Times New Roman" w:eastAsia="Calibri" w:hAnsi="Times New Roman" w:cs="Times New Roman"/>
          <w:i/>
          <w:iCs/>
          <w:lang w:eastAsia="en-US"/>
        </w:rPr>
      </w:pPr>
    </w:p>
    <w:p w14:paraId="34DC95E1" w14:textId="77777777" w:rsidR="00A738D4" w:rsidRDefault="00D44618">
      <w:pPr>
        <w:spacing w:line="260" w:lineRule="atLeast"/>
        <w:jc w:val="both"/>
      </w:pPr>
      <w:r w:rsidRPr="002962DB">
        <w:t>Furthermore, besides the exposure due to the treatment the user is also exposed by dietary exposure. An assessment fo</w:t>
      </w:r>
      <w:r w:rsidR="002140C2">
        <w:t>r dietary exposure is included</w:t>
      </w:r>
      <w:r w:rsidRPr="002962DB">
        <w:t xml:space="preserve">. </w:t>
      </w:r>
      <w:r w:rsidR="002140C2">
        <w:t>User</w:t>
      </w:r>
      <w:r w:rsidRPr="002962DB">
        <w:t xml:space="preserve"> </w:t>
      </w:r>
      <w:r w:rsidR="002140C2">
        <w:t>is</w:t>
      </w:r>
      <w:r w:rsidRPr="002962DB">
        <w:t xml:space="preserve"> exposed to iodine through background in milk (due to natural sources and feed supplementation) and by other dietary sources.</w:t>
      </w:r>
      <w:r w:rsidR="003A1364">
        <w:t xml:space="preserve"> This exposure represents between 25% and 4</w:t>
      </w:r>
      <w:r w:rsidR="00C66AE5">
        <w:t>6</w:t>
      </w:r>
      <w:r w:rsidR="003A1364">
        <w:t xml:space="preserve">% of </w:t>
      </w:r>
      <w:r w:rsidR="002140C2">
        <w:t xml:space="preserve">the </w:t>
      </w:r>
      <w:r w:rsidR="003A1364">
        <w:t xml:space="preserve">UL considering </w:t>
      </w:r>
      <w:r w:rsidR="002140C2">
        <w:t xml:space="preserve">respectively </w:t>
      </w:r>
      <w:r w:rsidR="003A1364">
        <w:t xml:space="preserve">the recommended </w:t>
      </w:r>
      <w:r w:rsidR="002140C2">
        <w:t>dietary</w:t>
      </w:r>
      <w:r w:rsidR="003A1364">
        <w:t xml:space="preserve"> intake of iodine (approach proposed in the CAR) or </w:t>
      </w:r>
      <w:r w:rsidR="002140C2">
        <w:t xml:space="preserve">the dietary intake values discussed recently </w:t>
      </w:r>
      <w:r w:rsidR="00E678AA">
        <w:t xml:space="preserve">for iodine union authorisations </w:t>
      </w:r>
      <w:r w:rsidR="002140C2">
        <w:t xml:space="preserve">at the European level. </w:t>
      </w:r>
    </w:p>
    <w:p w14:paraId="0D6EA5FE" w14:textId="77777777" w:rsidR="00D44618" w:rsidRDefault="00D44618">
      <w:pPr>
        <w:spacing w:line="260" w:lineRule="atLeast"/>
        <w:jc w:val="both"/>
        <w:rPr>
          <w:rFonts w:eastAsia="Calibri"/>
          <w:lang w:eastAsia="en-US"/>
        </w:rPr>
      </w:pPr>
    </w:p>
    <w:p w14:paraId="68E2BF29" w14:textId="77777777" w:rsidR="00E82FD7" w:rsidRDefault="00E82FD7">
      <w:pPr>
        <w:spacing w:line="260" w:lineRule="atLeast"/>
        <w:jc w:val="both"/>
        <w:rPr>
          <w:rFonts w:eastAsia="Calibri"/>
          <w:lang w:eastAsia="en-US"/>
        </w:rPr>
      </w:pPr>
    </w:p>
    <w:p w14:paraId="5DCC8972" w14:textId="77777777" w:rsidR="009D0C0B" w:rsidRDefault="00FA480B">
      <w:pPr>
        <w:rPr>
          <w:rFonts w:eastAsia="Calibri"/>
          <w:b/>
          <w:i/>
          <w:sz w:val="22"/>
          <w:szCs w:val="22"/>
        </w:rPr>
      </w:pPr>
      <w:r>
        <w:rPr>
          <w:rFonts w:eastAsia="Calibri"/>
          <w:b/>
          <w:i/>
          <w:sz w:val="22"/>
          <w:szCs w:val="22"/>
        </w:rPr>
        <w:t>Risk for industrial users</w:t>
      </w:r>
    </w:p>
    <w:p w14:paraId="0AC1B66E" w14:textId="77777777" w:rsidR="00AE5162" w:rsidRPr="004743C4" w:rsidRDefault="00AE5162" w:rsidP="00AE5162">
      <w:pPr>
        <w:rPr>
          <w:i/>
          <w:iCs/>
          <w:lang w:eastAsia="en-US"/>
        </w:rPr>
      </w:pPr>
      <w:r w:rsidRPr="004743C4">
        <w:rPr>
          <w:iCs/>
          <w:lang w:eastAsia="en-US"/>
        </w:rPr>
        <w:t>No exposure is foreseen.</w:t>
      </w:r>
    </w:p>
    <w:p w14:paraId="44804F89" w14:textId="77777777" w:rsidR="009D0C0B" w:rsidRDefault="009D0C0B">
      <w:pPr>
        <w:spacing w:line="260" w:lineRule="atLeast"/>
        <w:rPr>
          <w:rFonts w:eastAsia="Calibri"/>
          <w:lang w:eastAsia="en-US"/>
        </w:rPr>
      </w:pPr>
    </w:p>
    <w:p w14:paraId="09780FBE" w14:textId="77777777" w:rsidR="00AE5162" w:rsidRDefault="00AE5162" w:rsidP="00AE5162">
      <w:pPr>
        <w:rPr>
          <w:b/>
          <w:bCs/>
          <w:lang w:eastAsia="en-US"/>
        </w:rPr>
      </w:pPr>
      <w:r w:rsidRPr="00492007">
        <w:rPr>
          <w:b/>
          <w:bCs/>
          <w:lang w:eastAsia="en-US"/>
        </w:rPr>
        <w:t xml:space="preserve">Systemic effects </w:t>
      </w:r>
    </w:p>
    <w:p w14:paraId="5E009EC0" w14:textId="77777777" w:rsidR="008B4D23" w:rsidRPr="00492007" w:rsidRDefault="008B4D23" w:rsidP="00AE5162">
      <w:pPr>
        <w:rPr>
          <w:b/>
          <w:bCs/>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1134"/>
        <w:gridCol w:w="1418"/>
        <w:gridCol w:w="1134"/>
        <w:gridCol w:w="1134"/>
        <w:gridCol w:w="1276"/>
        <w:gridCol w:w="1417"/>
      </w:tblGrid>
      <w:tr w:rsidR="00B60E55" w:rsidRPr="00492007" w14:paraId="2F8242CD" w14:textId="77777777" w:rsidTr="00A800C9">
        <w:tc>
          <w:tcPr>
            <w:tcW w:w="1134" w:type="dxa"/>
            <w:shd w:val="clear" w:color="auto" w:fill="FFFFCC"/>
          </w:tcPr>
          <w:p w14:paraId="58D70477" w14:textId="77777777" w:rsidR="00B60E55" w:rsidRPr="008B4D23" w:rsidRDefault="00B60E55" w:rsidP="00367D48">
            <w:pPr>
              <w:rPr>
                <w:b/>
                <w:sz w:val="18"/>
                <w:lang w:eastAsia="en-US"/>
              </w:rPr>
            </w:pPr>
            <w:r w:rsidRPr="008B4D23">
              <w:rPr>
                <w:b/>
                <w:sz w:val="18"/>
                <w:lang w:eastAsia="en-US"/>
              </w:rPr>
              <w:t>Task/</w:t>
            </w:r>
          </w:p>
          <w:p w14:paraId="4BD32578" w14:textId="77777777" w:rsidR="00B60E55" w:rsidRPr="008B4D23" w:rsidRDefault="00B60E55" w:rsidP="00367D48">
            <w:pPr>
              <w:rPr>
                <w:b/>
                <w:sz w:val="18"/>
                <w:lang w:eastAsia="en-US"/>
              </w:rPr>
            </w:pPr>
            <w:r w:rsidRPr="008B4D23">
              <w:rPr>
                <w:b/>
                <w:sz w:val="18"/>
                <w:lang w:eastAsia="en-US"/>
              </w:rPr>
              <w:t>Scenario</w:t>
            </w:r>
          </w:p>
        </w:tc>
        <w:tc>
          <w:tcPr>
            <w:tcW w:w="567" w:type="dxa"/>
            <w:shd w:val="clear" w:color="auto" w:fill="FFFFCC"/>
          </w:tcPr>
          <w:p w14:paraId="7E513712" w14:textId="77777777" w:rsidR="00B60E55" w:rsidRPr="008B4D23" w:rsidRDefault="00B60E55" w:rsidP="00A800C9">
            <w:pPr>
              <w:ind w:left="-108" w:right="-108"/>
              <w:jc w:val="center"/>
              <w:rPr>
                <w:b/>
                <w:sz w:val="18"/>
                <w:lang w:eastAsia="en-US"/>
              </w:rPr>
            </w:pPr>
            <w:r w:rsidRPr="008B4D23">
              <w:rPr>
                <w:b/>
                <w:sz w:val="18"/>
                <w:lang w:eastAsia="en-US"/>
              </w:rPr>
              <w:t>Tier</w:t>
            </w:r>
          </w:p>
        </w:tc>
        <w:tc>
          <w:tcPr>
            <w:tcW w:w="1134" w:type="dxa"/>
            <w:shd w:val="clear" w:color="auto" w:fill="FFFFCC"/>
          </w:tcPr>
          <w:p w14:paraId="0CBA9C83" w14:textId="77777777" w:rsidR="00B60E55" w:rsidRPr="008B4D23" w:rsidRDefault="00B60E55" w:rsidP="00367D48">
            <w:pPr>
              <w:rPr>
                <w:b/>
                <w:sz w:val="18"/>
                <w:lang w:eastAsia="en-US"/>
              </w:rPr>
            </w:pPr>
            <w:r w:rsidRPr="008B4D23">
              <w:rPr>
                <w:b/>
                <w:sz w:val="18"/>
                <w:lang w:eastAsia="en-US"/>
              </w:rPr>
              <w:t>AEL</w:t>
            </w:r>
          </w:p>
          <w:p w14:paraId="6E130183" w14:textId="77777777" w:rsidR="00B60E55" w:rsidRPr="008B4D23" w:rsidRDefault="00B60E55" w:rsidP="00367D48">
            <w:pPr>
              <w:rPr>
                <w:b/>
                <w:sz w:val="18"/>
                <w:lang w:eastAsia="en-US"/>
              </w:rPr>
            </w:pPr>
            <w:r w:rsidRPr="008B4D23">
              <w:rPr>
                <w:b/>
                <w:sz w:val="18"/>
                <w:lang w:eastAsia="en-US"/>
              </w:rPr>
              <w:t>mg/kg bw/d</w:t>
            </w:r>
          </w:p>
        </w:tc>
        <w:tc>
          <w:tcPr>
            <w:tcW w:w="1418" w:type="dxa"/>
            <w:shd w:val="clear" w:color="auto" w:fill="FFFFCC"/>
          </w:tcPr>
          <w:p w14:paraId="6A2DFA12" w14:textId="77777777" w:rsidR="00B60E55" w:rsidRPr="008B4D23" w:rsidRDefault="00B60E55" w:rsidP="00367D48">
            <w:pPr>
              <w:rPr>
                <w:b/>
                <w:sz w:val="18"/>
                <w:lang w:eastAsia="en-US"/>
              </w:rPr>
            </w:pPr>
            <w:r w:rsidRPr="008B4D23">
              <w:rPr>
                <w:b/>
                <w:sz w:val="18"/>
                <w:lang w:eastAsia="en-US"/>
              </w:rPr>
              <w:t xml:space="preserve">Estimated uptake due </w:t>
            </w:r>
            <w:r w:rsidRPr="008B4D23">
              <w:rPr>
                <w:b/>
                <w:sz w:val="18"/>
                <w:lang w:eastAsia="en-US"/>
              </w:rPr>
              <w:lastRenderedPageBreak/>
              <w:t>to biocidal use</w:t>
            </w:r>
          </w:p>
          <w:p w14:paraId="00DF6B92" w14:textId="77777777" w:rsidR="00B60E55" w:rsidRPr="008B4D23" w:rsidRDefault="00B60E55" w:rsidP="00367D48">
            <w:pPr>
              <w:rPr>
                <w:b/>
                <w:sz w:val="18"/>
                <w:lang w:eastAsia="en-US"/>
              </w:rPr>
            </w:pPr>
            <w:r w:rsidRPr="008B4D23">
              <w:rPr>
                <w:b/>
                <w:sz w:val="18"/>
                <w:lang w:eastAsia="en-US"/>
              </w:rPr>
              <w:t>mg/kg bw/d</w:t>
            </w:r>
          </w:p>
        </w:tc>
        <w:tc>
          <w:tcPr>
            <w:tcW w:w="1134" w:type="dxa"/>
            <w:shd w:val="clear" w:color="auto" w:fill="FFFFCC"/>
          </w:tcPr>
          <w:p w14:paraId="162E6A27" w14:textId="77777777" w:rsidR="00B60E55" w:rsidRPr="008B4D23" w:rsidRDefault="00B60E55" w:rsidP="00367D48">
            <w:pPr>
              <w:rPr>
                <w:b/>
                <w:sz w:val="18"/>
                <w:lang w:eastAsia="en-US"/>
              </w:rPr>
            </w:pPr>
            <w:r w:rsidRPr="008B4D23">
              <w:rPr>
                <w:b/>
                <w:sz w:val="18"/>
                <w:lang w:eastAsia="en-US"/>
              </w:rPr>
              <w:lastRenderedPageBreak/>
              <w:t xml:space="preserve">Estimated uptake/ AEL due </w:t>
            </w:r>
            <w:r w:rsidRPr="008B4D23">
              <w:rPr>
                <w:b/>
                <w:sz w:val="18"/>
                <w:lang w:eastAsia="en-US"/>
              </w:rPr>
              <w:lastRenderedPageBreak/>
              <w:t>to biocidal use</w:t>
            </w:r>
          </w:p>
          <w:p w14:paraId="0DAB10CC" w14:textId="77777777" w:rsidR="00B60E55" w:rsidRPr="008B4D23" w:rsidRDefault="00B60E55" w:rsidP="00367D48">
            <w:pPr>
              <w:rPr>
                <w:b/>
                <w:sz w:val="18"/>
                <w:lang w:eastAsia="en-US"/>
              </w:rPr>
            </w:pPr>
            <w:r w:rsidRPr="008B4D23">
              <w:rPr>
                <w:b/>
                <w:sz w:val="18"/>
                <w:lang w:eastAsia="en-US"/>
              </w:rPr>
              <w:t>(%)</w:t>
            </w:r>
          </w:p>
        </w:tc>
        <w:tc>
          <w:tcPr>
            <w:tcW w:w="1134" w:type="dxa"/>
            <w:shd w:val="clear" w:color="auto" w:fill="FFFFCC"/>
          </w:tcPr>
          <w:p w14:paraId="76B00AAE" w14:textId="77777777" w:rsidR="00B60E55" w:rsidRPr="008B4D23" w:rsidRDefault="00B60E55" w:rsidP="00AE5162">
            <w:pPr>
              <w:ind w:right="-108"/>
              <w:rPr>
                <w:b/>
                <w:sz w:val="18"/>
                <w:lang w:eastAsia="en-US"/>
              </w:rPr>
            </w:pPr>
            <w:r w:rsidRPr="008B4D23">
              <w:rPr>
                <w:b/>
                <w:sz w:val="18"/>
                <w:lang w:eastAsia="en-US"/>
              </w:rPr>
              <w:lastRenderedPageBreak/>
              <w:t>Biocidal use:</w:t>
            </w:r>
          </w:p>
          <w:p w14:paraId="5A96AFFB" w14:textId="77777777" w:rsidR="00B60E55" w:rsidRPr="008B4D23" w:rsidRDefault="00B60E55" w:rsidP="00AE5162">
            <w:pPr>
              <w:ind w:right="-108"/>
              <w:rPr>
                <w:b/>
                <w:sz w:val="18"/>
                <w:lang w:eastAsia="en-US"/>
              </w:rPr>
            </w:pPr>
            <w:r w:rsidRPr="008B4D23">
              <w:rPr>
                <w:b/>
                <w:sz w:val="18"/>
                <w:lang w:eastAsia="en-US"/>
              </w:rPr>
              <w:t>Acceptable</w:t>
            </w:r>
          </w:p>
          <w:p w14:paraId="61EA0EAB" w14:textId="77777777" w:rsidR="00B60E55" w:rsidRPr="008B4D23" w:rsidRDefault="00B60E55" w:rsidP="00367D48">
            <w:pPr>
              <w:rPr>
                <w:b/>
                <w:sz w:val="18"/>
                <w:lang w:eastAsia="en-US"/>
              </w:rPr>
            </w:pPr>
            <w:r w:rsidRPr="008B4D23">
              <w:rPr>
                <w:b/>
                <w:sz w:val="18"/>
                <w:lang w:eastAsia="en-US"/>
              </w:rPr>
              <w:lastRenderedPageBreak/>
              <w:t>(yes/no)</w:t>
            </w:r>
          </w:p>
        </w:tc>
        <w:tc>
          <w:tcPr>
            <w:tcW w:w="1276" w:type="dxa"/>
            <w:shd w:val="clear" w:color="auto" w:fill="FFFFCC"/>
          </w:tcPr>
          <w:p w14:paraId="6B4191D5" w14:textId="77777777" w:rsidR="00B60E55" w:rsidRPr="008B4D23" w:rsidRDefault="00B60E55" w:rsidP="00C66AE5">
            <w:pPr>
              <w:rPr>
                <w:b/>
                <w:sz w:val="18"/>
                <w:lang w:eastAsia="en-US"/>
              </w:rPr>
            </w:pPr>
            <w:r w:rsidRPr="008B4D23">
              <w:rPr>
                <w:b/>
                <w:sz w:val="18"/>
                <w:lang w:eastAsia="en-US"/>
              </w:rPr>
              <w:lastRenderedPageBreak/>
              <w:t xml:space="preserve">Estimated uptake/ AEL due to </w:t>
            </w:r>
            <w:r w:rsidRPr="008B4D23">
              <w:rPr>
                <w:b/>
                <w:sz w:val="18"/>
                <w:lang w:eastAsia="en-US"/>
              </w:rPr>
              <w:lastRenderedPageBreak/>
              <w:t>biocidal use</w:t>
            </w:r>
          </w:p>
          <w:p w14:paraId="4D847ECE" w14:textId="77777777" w:rsidR="00B60E55" w:rsidRPr="008B4D23" w:rsidRDefault="00B60E55" w:rsidP="00DB732F">
            <w:pPr>
              <w:ind w:right="-108"/>
              <w:rPr>
                <w:b/>
                <w:sz w:val="18"/>
                <w:lang w:eastAsia="en-US"/>
              </w:rPr>
            </w:pPr>
            <w:r w:rsidRPr="008B4D23">
              <w:rPr>
                <w:b/>
                <w:sz w:val="18"/>
                <w:lang w:eastAsia="en-US"/>
              </w:rPr>
              <w:t xml:space="preserve">+ </w:t>
            </w:r>
            <w:proofErr w:type="gramStart"/>
            <w:r w:rsidRPr="008B4D23">
              <w:rPr>
                <w:b/>
                <w:sz w:val="18"/>
                <w:lang w:eastAsia="en-US"/>
              </w:rPr>
              <w:t>dietary</w:t>
            </w:r>
            <w:proofErr w:type="gramEnd"/>
            <w:r w:rsidRPr="008B4D23">
              <w:rPr>
                <w:b/>
                <w:sz w:val="18"/>
                <w:lang w:eastAsia="en-US"/>
              </w:rPr>
              <w:t xml:space="preserve"> intake 46% UL (%)</w:t>
            </w:r>
          </w:p>
        </w:tc>
        <w:tc>
          <w:tcPr>
            <w:tcW w:w="1417" w:type="dxa"/>
            <w:shd w:val="clear" w:color="auto" w:fill="FFFFCC"/>
          </w:tcPr>
          <w:p w14:paraId="6F018A5C" w14:textId="77777777" w:rsidR="00B60E55" w:rsidRPr="008B4D23" w:rsidRDefault="00B60E55" w:rsidP="00B60E55">
            <w:pPr>
              <w:rPr>
                <w:b/>
                <w:sz w:val="18"/>
                <w:lang w:eastAsia="en-US"/>
              </w:rPr>
            </w:pPr>
            <w:r w:rsidRPr="008B4D23">
              <w:rPr>
                <w:b/>
                <w:sz w:val="18"/>
                <w:lang w:eastAsia="en-US"/>
              </w:rPr>
              <w:lastRenderedPageBreak/>
              <w:t xml:space="preserve">Estimated uptake/ AEL </w:t>
            </w:r>
            <w:r w:rsidRPr="008B4D23">
              <w:rPr>
                <w:b/>
                <w:sz w:val="18"/>
                <w:lang w:eastAsia="en-US"/>
              </w:rPr>
              <w:lastRenderedPageBreak/>
              <w:t>due to biocidal use</w:t>
            </w:r>
          </w:p>
          <w:p w14:paraId="2925F059" w14:textId="77777777" w:rsidR="00B60E55" w:rsidRPr="008B4D23" w:rsidRDefault="00B60E55" w:rsidP="00B60E55">
            <w:pPr>
              <w:rPr>
                <w:b/>
                <w:sz w:val="18"/>
                <w:lang w:eastAsia="en-US"/>
              </w:rPr>
            </w:pPr>
            <w:r w:rsidRPr="008B4D23">
              <w:rPr>
                <w:b/>
                <w:sz w:val="18"/>
                <w:lang w:eastAsia="en-US"/>
              </w:rPr>
              <w:t xml:space="preserve">+ </w:t>
            </w:r>
            <w:proofErr w:type="gramStart"/>
            <w:r w:rsidRPr="008B4D23">
              <w:rPr>
                <w:b/>
                <w:sz w:val="18"/>
                <w:lang w:eastAsia="en-US"/>
              </w:rPr>
              <w:t>dietary</w:t>
            </w:r>
            <w:proofErr w:type="gramEnd"/>
            <w:r w:rsidRPr="008B4D23">
              <w:rPr>
                <w:b/>
                <w:sz w:val="18"/>
                <w:lang w:eastAsia="en-US"/>
              </w:rPr>
              <w:t xml:space="preserve"> intake 25% UL (%)</w:t>
            </w:r>
          </w:p>
        </w:tc>
      </w:tr>
      <w:tr w:rsidR="00B60E55" w:rsidRPr="00492007" w14:paraId="76CCF034" w14:textId="77777777" w:rsidTr="00A800C9">
        <w:tc>
          <w:tcPr>
            <w:tcW w:w="1134" w:type="dxa"/>
            <w:shd w:val="clear" w:color="auto" w:fill="auto"/>
          </w:tcPr>
          <w:p w14:paraId="33497C5A" w14:textId="77777777" w:rsidR="00B60E55" w:rsidRPr="00492007" w:rsidRDefault="00B60E55" w:rsidP="00367D48">
            <w:pPr>
              <w:rPr>
                <w:lang w:eastAsia="en-US"/>
              </w:rPr>
            </w:pPr>
            <w:r>
              <w:rPr>
                <w:lang w:eastAsia="en-US"/>
              </w:rPr>
              <w:lastRenderedPageBreak/>
              <w:t>Scenario 1 Mixing/loading</w:t>
            </w:r>
          </w:p>
        </w:tc>
        <w:tc>
          <w:tcPr>
            <w:tcW w:w="567" w:type="dxa"/>
            <w:shd w:val="clear" w:color="auto" w:fill="auto"/>
            <w:vAlign w:val="center"/>
          </w:tcPr>
          <w:p w14:paraId="25346648" w14:textId="77777777" w:rsidR="00B60E55" w:rsidRPr="00492007" w:rsidRDefault="00B60E55" w:rsidP="00367D48">
            <w:pPr>
              <w:jc w:val="center"/>
              <w:rPr>
                <w:lang w:eastAsia="en-US"/>
              </w:rPr>
            </w:pPr>
            <w:r>
              <w:rPr>
                <w:lang w:eastAsia="en-US"/>
              </w:rPr>
              <w:t>1</w:t>
            </w:r>
          </w:p>
        </w:tc>
        <w:tc>
          <w:tcPr>
            <w:tcW w:w="1134" w:type="dxa"/>
            <w:shd w:val="clear" w:color="auto" w:fill="auto"/>
            <w:vAlign w:val="center"/>
          </w:tcPr>
          <w:p w14:paraId="6644ACF9" w14:textId="77777777" w:rsidR="00B60E55" w:rsidRPr="00492007" w:rsidRDefault="00B60E55" w:rsidP="00367D48">
            <w:pPr>
              <w:jc w:val="center"/>
              <w:rPr>
                <w:lang w:eastAsia="en-US"/>
              </w:rPr>
            </w:pPr>
            <w:r>
              <w:rPr>
                <w:lang w:eastAsia="en-US"/>
              </w:rPr>
              <w:t>0.01</w:t>
            </w:r>
          </w:p>
        </w:tc>
        <w:tc>
          <w:tcPr>
            <w:tcW w:w="1418" w:type="dxa"/>
            <w:shd w:val="clear" w:color="auto" w:fill="auto"/>
            <w:vAlign w:val="center"/>
          </w:tcPr>
          <w:p w14:paraId="73ACBDF8" w14:textId="77777777" w:rsidR="00B60E55" w:rsidRPr="00492007" w:rsidRDefault="00D16994" w:rsidP="00367D48">
            <w:pPr>
              <w:jc w:val="center"/>
              <w:rPr>
                <w:lang w:eastAsia="en-US"/>
              </w:rPr>
            </w:pPr>
            <w:r>
              <w:rPr>
                <w:lang w:eastAsia="en-US"/>
              </w:rPr>
              <w:t>1.20</w:t>
            </w:r>
            <w:r w:rsidR="00B60E55" w:rsidRPr="003B0A7A">
              <w:rPr>
                <w:lang w:eastAsia="en-US"/>
              </w:rPr>
              <w:t xml:space="preserve"> × 10</w:t>
            </w:r>
            <w:r w:rsidR="00B60E55" w:rsidRPr="008B4D23">
              <w:rPr>
                <w:rFonts w:ascii="Cambria Math" w:hAnsi="Cambria Math" w:cs="Cambria Math"/>
                <w:vertAlign w:val="superscript"/>
                <w:lang w:eastAsia="en-US"/>
              </w:rPr>
              <w:t>⁻</w:t>
            </w:r>
            <w:r>
              <w:rPr>
                <w:rFonts w:cs="Cambria Math"/>
                <w:vertAlign w:val="superscript"/>
                <w:lang w:eastAsia="en-US"/>
              </w:rPr>
              <w:t>4</w:t>
            </w:r>
          </w:p>
        </w:tc>
        <w:tc>
          <w:tcPr>
            <w:tcW w:w="1134" w:type="dxa"/>
            <w:shd w:val="clear" w:color="auto" w:fill="auto"/>
            <w:vAlign w:val="center"/>
          </w:tcPr>
          <w:p w14:paraId="4500DA6A" w14:textId="77777777" w:rsidR="00B60E55" w:rsidRPr="00492007" w:rsidRDefault="00D16994" w:rsidP="00DB732F">
            <w:pPr>
              <w:jc w:val="center"/>
              <w:rPr>
                <w:lang w:eastAsia="en-US"/>
              </w:rPr>
            </w:pPr>
            <w:r>
              <w:rPr>
                <w:lang w:eastAsia="en-US"/>
              </w:rPr>
              <w:t>1.2</w:t>
            </w:r>
          </w:p>
        </w:tc>
        <w:tc>
          <w:tcPr>
            <w:tcW w:w="1134" w:type="dxa"/>
            <w:shd w:val="clear" w:color="auto" w:fill="auto"/>
            <w:vAlign w:val="center"/>
          </w:tcPr>
          <w:p w14:paraId="4CC7F025" w14:textId="77777777" w:rsidR="00B60E55" w:rsidRPr="00492007" w:rsidRDefault="00B60E55" w:rsidP="00DB732F">
            <w:pPr>
              <w:jc w:val="center"/>
              <w:rPr>
                <w:lang w:eastAsia="en-US"/>
              </w:rPr>
            </w:pPr>
            <w:r>
              <w:rPr>
                <w:lang w:eastAsia="en-US"/>
              </w:rPr>
              <w:t>Yes</w:t>
            </w:r>
          </w:p>
        </w:tc>
        <w:tc>
          <w:tcPr>
            <w:tcW w:w="1276" w:type="dxa"/>
            <w:vAlign w:val="center"/>
          </w:tcPr>
          <w:p w14:paraId="2D549AE7" w14:textId="77777777" w:rsidR="00B60E55" w:rsidRDefault="00D16994" w:rsidP="00B60E55">
            <w:pPr>
              <w:jc w:val="center"/>
              <w:rPr>
                <w:lang w:eastAsia="en-US"/>
              </w:rPr>
            </w:pPr>
            <w:r>
              <w:rPr>
                <w:lang w:eastAsia="en-US"/>
              </w:rPr>
              <w:t>47.2</w:t>
            </w:r>
          </w:p>
        </w:tc>
        <w:tc>
          <w:tcPr>
            <w:tcW w:w="1417" w:type="dxa"/>
            <w:vAlign w:val="center"/>
          </w:tcPr>
          <w:p w14:paraId="21C75321" w14:textId="77777777" w:rsidR="00B60E55" w:rsidRDefault="00D16994" w:rsidP="00B60E55">
            <w:pPr>
              <w:jc w:val="center"/>
              <w:rPr>
                <w:lang w:eastAsia="en-US"/>
              </w:rPr>
            </w:pPr>
            <w:r>
              <w:rPr>
                <w:lang w:eastAsia="en-US"/>
              </w:rPr>
              <w:t>26.2</w:t>
            </w:r>
          </w:p>
        </w:tc>
      </w:tr>
      <w:tr w:rsidR="00B60E55" w:rsidRPr="00492007" w14:paraId="1769DA60" w14:textId="77777777" w:rsidTr="00A800C9">
        <w:trPr>
          <w:trHeight w:val="200"/>
        </w:trPr>
        <w:tc>
          <w:tcPr>
            <w:tcW w:w="1134" w:type="dxa"/>
            <w:shd w:val="clear" w:color="auto" w:fill="auto"/>
            <w:vAlign w:val="center"/>
          </w:tcPr>
          <w:p w14:paraId="2F27E537" w14:textId="77777777" w:rsidR="00B60E55" w:rsidRDefault="00B60E55" w:rsidP="00367D48">
            <w:pPr>
              <w:rPr>
                <w:lang w:eastAsia="en-US"/>
              </w:rPr>
            </w:pPr>
            <w:r>
              <w:rPr>
                <w:lang w:eastAsia="en-US"/>
              </w:rPr>
              <w:t>Scenario 3</w:t>
            </w:r>
          </w:p>
          <w:p w14:paraId="28913F3B" w14:textId="77777777" w:rsidR="00B60E55" w:rsidRPr="00492007" w:rsidRDefault="00B60E55" w:rsidP="00367D48">
            <w:pPr>
              <w:rPr>
                <w:lang w:eastAsia="en-US"/>
              </w:rPr>
            </w:pPr>
            <w:r>
              <w:rPr>
                <w:lang w:eastAsia="en-US"/>
              </w:rPr>
              <w:t>Cleaning phase</w:t>
            </w:r>
          </w:p>
        </w:tc>
        <w:tc>
          <w:tcPr>
            <w:tcW w:w="567" w:type="dxa"/>
            <w:shd w:val="clear" w:color="auto" w:fill="auto"/>
            <w:vAlign w:val="center"/>
          </w:tcPr>
          <w:p w14:paraId="67338283" w14:textId="77777777" w:rsidR="00B60E55" w:rsidRPr="00492007" w:rsidRDefault="00B60E55" w:rsidP="00367D48">
            <w:pPr>
              <w:jc w:val="center"/>
              <w:rPr>
                <w:lang w:eastAsia="en-US"/>
              </w:rPr>
            </w:pPr>
            <w:r>
              <w:rPr>
                <w:lang w:eastAsia="en-US"/>
              </w:rPr>
              <w:t>1</w:t>
            </w:r>
          </w:p>
        </w:tc>
        <w:tc>
          <w:tcPr>
            <w:tcW w:w="1134" w:type="dxa"/>
            <w:shd w:val="clear" w:color="auto" w:fill="auto"/>
            <w:vAlign w:val="center"/>
          </w:tcPr>
          <w:p w14:paraId="3E22D1C1" w14:textId="77777777" w:rsidR="00B60E55" w:rsidRDefault="00B60E55" w:rsidP="00367D48">
            <w:pPr>
              <w:jc w:val="center"/>
              <w:rPr>
                <w:lang w:eastAsia="en-US"/>
              </w:rPr>
            </w:pPr>
            <w:r>
              <w:rPr>
                <w:lang w:eastAsia="en-US"/>
              </w:rPr>
              <w:t>0.01</w:t>
            </w:r>
          </w:p>
        </w:tc>
        <w:tc>
          <w:tcPr>
            <w:tcW w:w="1418" w:type="dxa"/>
            <w:shd w:val="clear" w:color="auto" w:fill="auto"/>
            <w:vAlign w:val="center"/>
          </w:tcPr>
          <w:p w14:paraId="58D59DBF" w14:textId="77777777" w:rsidR="00B60E55" w:rsidRPr="00492007" w:rsidRDefault="00D16994" w:rsidP="00063D06">
            <w:pPr>
              <w:jc w:val="center"/>
              <w:rPr>
                <w:lang w:eastAsia="en-US"/>
              </w:rPr>
            </w:pPr>
            <w:r>
              <w:rPr>
                <w:lang w:eastAsia="en-US"/>
              </w:rPr>
              <w:t>7.84</w:t>
            </w:r>
            <w:r w:rsidR="00B60E55" w:rsidRPr="00B94A3F">
              <w:rPr>
                <w:lang w:eastAsia="en-US"/>
              </w:rPr>
              <w:t xml:space="preserve"> × 10</w:t>
            </w:r>
            <w:r w:rsidR="00B60E55" w:rsidRPr="00B94A3F">
              <w:rPr>
                <w:rFonts w:ascii="Cambria Math" w:hAnsi="Cambria Math" w:cs="Cambria Math"/>
                <w:lang w:eastAsia="en-US"/>
              </w:rPr>
              <w:t>⁻</w:t>
            </w:r>
            <w:r w:rsidR="00B60E55" w:rsidRPr="001A1803">
              <w:rPr>
                <w:rFonts w:ascii="Cambria Math" w:hAnsi="Cambria Math" w:cs="Cambria Math"/>
                <w:vertAlign w:val="superscript"/>
                <w:lang w:eastAsia="en-US"/>
              </w:rPr>
              <w:t>3</w:t>
            </w:r>
          </w:p>
        </w:tc>
        <w:tc>
          <w:tcPr>
            <w:tcW w:w="1134" w:type="dxa"/>
            <w:shd w:val="clear" w:color="auto" w:fill="auto"/>
            <w:vAlign w:val="center"/>
          </w:tcPr>
          <w:p w14:paraId="161190EA" w14:textId="77777777" w:rsidR="00B60E55" w:rsidRPr="00492007" w:rsidRDefault="00D16994" w:rsidP="00DB732F">
            <w:pPr>
              <w:jc w:val="center"/>
              <w:rPr>
                <w:lang w:eastAsia="en-US"/>
              </w:rPr>
            </w:pPr>
            <w:r>
              <w:rPr>
                <w:lang w:eastAsia="en-US"/>
              </w:rPr>
              <w:t>78.4</w:t>
            </w:r>
          </w:p>
        </w:tc>
        <w:tc>
          <w:tcPr>
            <w:tcW w:w="1134" w:type="dxa"/>
            <w:shd w:val="clear" w:color="auto" w:fill="auto"/>
            <w:vAlign w:val="center"/>
          </w:tcPr>
          <w:p w14:paraId="3AF12365" w14:textId="77777777" w:rsidR="00B60E55" w:rsidRPr="00492007" w:rsidRDefault="00B60E55" w:rsidP="00DB732F">
            <w:pPr>
              <w:jc w:val="center"/>
              <w:rPr>
                <w:lang w:eastAsia="en-US"/>
              </w:rPr>
            </w:pPr>
            <w:r>
              <w:rPr>
                <w:lang w:eastAsia="en-US"/>
              </w:rPr>
              <w:t>Yes</w:t>
            </w:r>
          </w:p>
        </w:tc>
        <w:tc>
          <w:tcPr>
            <w:tcW w:w="1276" w:type="dxa"/>
            <w:vAlign w:val="center"/>
          </w:tcPr>
          <w:p w14:paraId="4FE7B0FB" w14:textId="77777777" w:rsidR="00B60E55" w:rsidRDefault="00D16994" w:rsidP="00B60E55">
            <w:pPr>
              <w:jc w:val="center"/>
              <w:rPr>
                <w:lang w:eastAsia="en-US"/>
              </w:rPr>
            </w:pPr>
            <w:r>
              <w:rPr>
                <w:lang w:eastAsia="en-US"/>
              </w:rPr>
              <w:t>124.4</w:t>
            </w:r>
          </w:p>
        </w:tc>
        <w:tc>
          <w:tcPr>
            <w:tcW w:w="1417" w:type="dxa"/>
            <w:vAlign w:val="center"/>
          </w:tcPr>
          <w:p w14:paraId="067D7E7B" w14:textId="77777777" w:rsidR="00B60E55" w:rsidRDefault="00D16994" w:rsidP="00B60E55">
            <w:pPr>
              <w:jc w:val="center"/>
              <w:rPr>
                <w:lang w:eastAsia="en-US"/>
              </w:rPr>
            </w:pPr>
            <w:r>
              <w:rPr>
                <w:lang w:eastAsia="en-US"/>
              </w:rPr>
              <w:t>103.4</w:t>
            </w:r>
          </w:p>
        </w:tc>
      </w:tr>
      <w:tr w:rsidR="008149EF" w:rsidRPr="00492007" w14:paraId="47E158D6" w14:textId="77777777" w:rsidTr="00A800C9">
        <w:trPr>
          <w:trHeight w:val="200"/>
        </w:trPr>
        <w:tc>
          <w:tcPr>
            <w:tcW w:w="1134" w:type="dxa"/>
            <w:shd w:val="clear" w:color="auto" w:fill="auto"/>
            <w:vAlign w:val="center"/>
          </w:tcPr>
          <w:p w14:paraId="52EB565D" w14:textId="77777777" w:rsidR="008149EF" w:rsidRPr="00A800C9" w:rsidRDefault="008149EF" w:rsidP="008149EF">
            <w:pPr>
              <w:rPr>
                <w:lang w:eastAsia="en-US"/>
              </w:rPr>
            </w:pPr>
            <w:r w:rsidRPr="00A800C9">
              <w:rPr>
                <w:lang w:eastAsia="en-US"/>
              </w:rPr>
              <w:t>Scenario 3</w:t>
            </w:r>
          </w:p>
          <w:p w14:paraId="295CFE2F" w14:textId="77777777" w:rsidR="008149EF" w:rsidRPr="00A800C9" w:rsidRDefault="008149EF" w:rsidP="008149EF">
            <w:pPr>
              <w:rPr>
                <w:lang w:eastAsia="en-US"/>
              </w:rPr>
            </w:pPr>
            <w:r w:rsidRPr="00A800C9">
              <w:rPr>
                <w:lang w:eastAsia="en-US"/>
              </w:rPr>
              <w:t>Cleaning phase</w:t>
            </w:r>
          </w:p>
        </w:tc>
        <w:tc>
          <w:tcPr>
            <w:tcW w:w="567" w:type="dxa"/>
            <w:shd w:val="clear" w:color="auto" w:fill="auto"/>
            <w:vAlign w:val="center"/>
          </w:tcPr>
          <w:p w14:paraId="6F902717" w14:textId="77777777" w:rsidR="008149EF" w:rsidRPr="00A800C9" w:rsidRDefault="008149EF" w:rsidP="00367D48">
            <w:pPr>
              <w:jc w:val="center"/>
              <w:rPr>
                <w:lang w:eastAsia="en-US"/>
              </w:rPr>
            </w:pPr>
            <w:r w:rsidRPr="00A800C9">
              <w:rPr>
                <w:lang w:eastAsia="en-US"/>
              </w:rPr>
              <w:t>2</w:t>
            </w:r>
          </w:p>
        </w:tc>
        <w:tc>
          <w:tcPr>
            <w:tcW w:w="1134" w:type="dxa"/>
            <w:shd w:val="clear" w:color="auto" w:fill="auto"/>
            <w:vAlign w:val="center"/>
          </w:tcPr>
          <w:p w14:paraId="08388B47" w14:textId="77777777" w:rsidR="008149EF" w:rsidRPr="00A800C9" w:rsidRDefault="008149EF" w:rsidP="00367D48">
            <w:pPr>
              <w:jc w:val="center"/>
              <w:rPr>
                <w:lang w:eastAsia="en-US"/>
              </w:rPr>
            </w:pPr>
            <w:r w:rsidRPr="00A800C9">
              <w:rPr>
                <w:lang w:eastAsia="en-US"/>
              </w:rPr>
              <w:t>0.01</w:t>
            </w:r>
          </w:p>
        </w:tc>
        <w:tc>
          <w:tcPr>
            <w:tcW w:w="1418" w:type="dxa"/>
            <w:shd w:val="clear" w:color="auto" w:fill="auto"/>
            <w:vAlign w:val="center"/>
          </w:tcPr>
          <w:p w14:paraId="7C43E840" w14:textId="77777777" w:rsidR="008149EF" w:rsidRPr="00A800C9" w:rsidDel="00D16994" w:rsidRDefault="008149EF" w:rsidP="00063D06">
            <w:pPr>
              <w:jc w:val="center"/>
              <w:rPr>
                <w:lang w:eastAsia="en-US"/>
              </w:rPr>
            </w:pPr>
            <w:r w:rsidRPr="00A800C9">
              <w:rPr>
                <w:lang w:eastAsia="en-US"/>
              </w:rPr>
              <w:t>7.84 × 10</w:t>
            </w:r>
            <w:r w:rsidRPr="00A800C9">
              <w:rPr>
                <w:rFonts w:ascii="Cambria Math" w:hAnsi="Cambria Math" w:cs="Cambria Math"/>
                <w:lang w:eastAsia="en-US"/>
              </w:rPr>
              <w:t>⁻</w:t>
            </w:r>
            <w:r w:rsidRPr="00A800C9">
              <w:rPr>
                <w:rFonts w:ascii="Cambria Math" w:hAnsi="Cambria Math" w:cs="Cambria Math"/>
                <w:vertAlign w:val="superscript"/>
                <w:lang w:eastAsia="en-US"/>
              </w:rPr>
              <w:t>4</w:t>
            </w:r>
          </w:p>
        </w:tc>
        <w:tc>
          <w:tcPr>
            <w:tcW w:w="1134" w:type="dxa"/>
            <w:shd w:val="clear" w:color="auto" w:fill="auto"/>
            <w:vAlign w:val="center"/>
          </w:tcPr>
          <w:p w14:paraId="5431C7B3" w14:textId="77777777" w:rsidR="008149EF" w:rsidRPr="00A800C9" w:rsidDel="00D16994" w:rsidRDefault="008149EF" w:rsidP="00DB732F">
            <w:pPr>
              <w:jc w:val="center"/>
              <w:rPr>
                <w:lang w:eastAsia="en-US"/>
              </w:rPr>
            </w:pPr>
            <w:r w:rsidRPr="00A800C9">
              <w:rPr>
                <w:lang w:eastAsia="en-US"/>
              </w:rPr>
              <w:t>7.8</w:t>
            </w:r>
          </w:p>
        </w:tc>
        <w:tc>
          <w:tcPr>
            <w:tcW w:w="1134" w:type="dxa"/>
            <w:shd w:val="clear" w:color="auto" w:fill="auto"/>
            <w:vAlign w:val="center"/>
          </w:tcPr>
          <w:p w14:paraId="14C6FFF6" w14:textId="77777777" w:rsidR="008149EF" w:rsidRPr="00A800C9" w:rsidRDefault="008149EF" w:rsidP="00DB732F">
            <w:pPr>
              <w:jc w:val="center"/>
              <w:rPr>
                <w:lang w:eastAsia="en-US"/>
              </w:rPr>
            </w:pPr>
            <w:r w:rsidRPr="00A800C9">
              <w:rPr>
                <w:lang w:eastAsia="en-US"/>
              </w:rPr>
              <w:t>Yes</w:t>
            </w:r>
          </w:p>
        </w:tc>
        <w:tc>
          <w:tcPr>
            <w:tcW w:w="1276" w:type="dxa"/>
            <w:shd w:val="clear" w:color="auto" w:fill="auto"/>
            <w:vAlign w:val="center"/>
          </w:tcPr>
          <w:p w14:paraId="3156435B" w14:textId="77777777" w:rsidR="008149EF" w:rsidRPr="00A800C9" w:rsidDel="00D16994" w:rsidRDefault="008149EF" w:rsidP="00B60E55">
            <w:pPr>
              <w:jc w:val="center"/>
              <w:rPr>
                <w:lang w:eastAsia="en-US"/>
              </w:rPr>
            </w:pPr>
            <w:r w:rsidRPr="00A800C9">
              <w:rPr>
                <w:lang w:eastAsia="en-US"/>
              </w:rPr>
              <w:t>53.8</w:t>
            </w:r>
          </w:p>
        </w:tc>
        <w:tc>
          <w:tcPr>
            <w:tcW w:w="1417" w:type="dxa"/>
            <w:shd w:val="clear" w:color="auto" w:fill="auto"/>
            <w:vAlign w:val="center"/>
          </w:tcPr>
          <w:p w14:paraId="5562BC5F" w14:textId="77777777" w:rsidR="008149EF" w:rsidRPr="00A800C9" w:rsidDel="00D16994" w:rsidRDefault="008149EF" w:rsidP="00B60E55">
            <w:pPr>
              <w:jc w:val="center"/>
              <w:rPr>
                <w:lang w:eastAsia="en-US"/>
              </w:rPr>
            </w:pPr>
            <w:r w:rsidRPr="00A800C9">
              <w:rPr>
                <w:lang w:eastAsia="en-US"/>
              </w:rPr>
              <w:t>32.8</w:t>
            </w:r>
          </w:p>
        </w:tc>
      </w:tr>
      <w:tr w:rsidR="007724F5" w:rsidRPr="00492007" w14:paraId="56E45A3E" w14:textId="77777777" w:rsidTr="00A800C9">
        <w:trPr>
          <w:trHeight w:val="200"/>
        </w:trPr>
        <w:tc>
          <w:tcPr>
            <w:tcW w:w="1134" w:type="dxa"/>
            <w:shd w:val="clear" w:color="auto" w:fill="auto"/>
            <w:vAlign w:val="center"/>
          </w:tcPr>
          <w:p w14:paraId="2B19D8CB" w14:textId="77777777" w:rsidR="007724F5" w:rsidRPr="00A800C9" w:rsidRDefault="007724F5" w:rsidP="00367D48">
            <w:pPr>
              <w:rPr>
                <w:lang w:eastAsia="en-US"/>
              </w:rPr>
            </w:pPr>
            <w:r w:rsidRPr="00A800C9">
              <w:rPr>
                <w:lang w:eastAsia="en-US"/>
              </w:rPr>
              <w:t>Scenario 4 Cleaning phase</w:t>
            </w:r>
          </w:p>
        </w:tc>
        <w:tc>
          <w:tcPr>
            <w:tcW w:w="567" w:type="dxa"/>
            <w:shd w:val="clear" w:color="auto" w:fill="auto"/>
            <w:vAlign w:val="center"/>
          </w:tcPr>
          <w:p w14:paraId="199EAF6D" w14:textId="77777777" w:rsidR="007724F5" w:rsidRPr="00A800C9" w:rsidRDefault="007724F5" w:rsidP="00367D48">
            <w:pPr>
              <w:jc w:val="center"/>
              <w:rPr>
                <w:lang w:eastAsia="en-US"/>
              </w:rPr>
            </w:pPr>
            <w:r w:rsidRPr="00A800C9">
              <w:rPr>
                <w:lang w:eastAsia="en-US"/>
              </w:rPr>
              <w:t>1</w:t>
            </w:r>
          </w:p>
        </w:tc>
        <w:tc>
          <w:tcPr>
            <w:tcW w:w="1134" w:type="dxa"/>
            <w:shd w:val="clear" w:color="auto" w:fill="auto"/>
            <w:vAlign w:val="center"/>
          </w:tcPr>
          <w:p w14:paraId="77BCAD9B" w14:textId="77777777" w:rsidR="007724F5" w:rsidRPr="00A800C9" w:rsidRDefault="007724F5" w:rsidP="00367D48">
            <w:pPr>
              <w:jc w:val="center"/>
              <w:rPr>
                <w:lang w:eastAsia="en-US"/>
              </w:rPr>
            </w:pPr>
            <w:r w:rsidRPr="00A800C9">
              <w:rPr>
                <w:lang w:eastAsia="en-US"/>
              </w:rPr>
              <w:t>0.01</w:t>
            </w:r>
          </w:p>
        </w:tc>
        <w:tc>
          <w:tcPr>
            <w:tcW w:w="1418" w:type="dxa"/>
            <w:shd w:val="clear" w:color="auto" w:fill="auto"/>
            <w:vAlign w:val="center"/>
          </w:tcPr>
          <w:p w14:paraId="1C5CF850" w14:textId="77777777" w:rsidR="007724F5" w:rsidRPr="00A800C9" w:rsidDel="000A1359" w:rsidRDefault="007724F5" w:rsidP="00D16994">
            <w:pPr>
              <w:jc w:val="center"/>
              <w:rPr>
                <w:lang w:eastAsia="en-US"/>
              </w:rPr>
            </w:pPr>
            <w:r w:rsidRPr="00A800C9">
              <w:rPr>
                <w:lang w:eastAsia="en-US"/>
              </w:rPr>
              <w:t>1.</w:t>
            </w:r>
            <w:r w:rsidR="00D16994" w:rsidRPr="00A800C9">
              <w:rPr>
                <w:lang w:eastAsia="en-US"/>
              </w:rPr>
              <w:t>60</w:t>
            </w:r>
            <w:r w:rsidRPr="00A800C9">
              <w:rPr>
                <w:lang w:eastAsia="en-US"/>
              </w:rPr>
              <w:t xml:space="preserve"> × 10</w:t>
            </w:r>
            <w:r w:rsidRPr="00A800C9">
              <w:rPr>
                <w:rFonts w:ascii="Cambria Math" w:hAnsi="Cambria Math" w:cs="Cambria Math"/>
                <w:lang w:eastAsia="en-US"/>
              </w:rPr>
              <w:t>⁻</w:t>
            </w:r>
            <w:r w:rsidRPr="00A800C9">
              <w:rPr>
                <w:rFonts w:ascii="Cambria Math" w:hAnsi="Cambria Math" w:cs="Cambria Math"/>
                <w:vertAlign w:val="superscript"/>
                <w:lang w:eastAsia="en-US"/>
              </w:rPr>
              <w:t>3</w:t>
            </w:r>
          </w:p>
        </w:tc>
        <w:tc>
          <w:tcPr>
            <w:tcW w:w="1134" w:type="dxa"/>
            <w:shd w:val="clear" w:color="auto" w:fill="auto"/>
            <w:vAlign w:val="center"/>
          </w:tcPr>
          <w:p w14:paraId="35AEE935" w14:textId="77777777" w:rsidR="007724F5" w:rsidRPr="00A800C9" w:rsidDel="000A1359" w:rsidRDefault="007724F5" w:rsidP="00D16994">
            <w:pPr>
              <w:jc w:val="center"/>
              <w:rPr>
                <w:lang w:eastAsia="en-US"/>
              </w:rPr>
            </w:pPr>
            <w:r w:rsidRPr="00A800C9">
              <w:rPr>
                <w:lang w:eastAsia="en-US"/>
              </w:rPr>
              <w:t>1</w:t>
            </w:r>
            <w:r w:rsidR="00D16994" w:rsidRPr="00A800C9">
              <w:rPr>
                <w:lang w:eastAsia="en-US"/>
              </w:rPr>
              <w:t>6</w:t>
            </w:r>
            <w:r w:rsidRPr="00A800C9">
              <w:rPr>
                <w:lang w:eastAsia="en-US"/>
              </w:rPr>
              <w:t>.0</w:t>
            </w:r>
          </w:p>
        </w:tc>
        <w:tc>
          <w:tcPr>
            <w:tcW w:w="1134" w:type="dxa"/>
            <w:shd w:val="clear" w:color="auto" w:fill="auto"/>
            <w:vAlign w:val="center"/>
          </w:tcPr>
          <w:p w14:paraId="12356F6C" w14:textId="77777777" w:rsidR="007724F5" w:rsidRPr="00A800C9" w:rsidRDefault="007724F5" w:rsidP="00DB732F">
            <w:pPr>
              <w:jc w:val="center"/>
              <w:rPr>
                <w:lang w:eastAsia="en-US"/>
              </w:rPr>
            </w:pPr>
            <w:r w:rsidRPr="00A800C9">
              <w:rPr>
                <w:lang w:eastAsia="en-US"/>
              </w:rPr>
              <w:t>Yes</w:t>
            </w:r>
          </w:p>
        </w:tc>
        <w:tc>
          <w:tcPr>
            <w:tcW w:w="1276" w:type="dxa"/>
            <w:shd w:val="clear" w:color="auto" w:fill="auto"/>
            <w:vAlign w:val="center"/>
          </w:tcPr>
          <w:p w14:paraId="27003B8E" w14:textId="77777777" w:rsidR="007724F5" w:rsidRPr="00A800C9" w:rsidRDefault="00D16994" w:rsidP="00B60E55">
            <w:pPr>
              <w:jc w:val="center"/>
              <w:rPr>
                <w:lang w:eastAsia="en-US"/>
              </w:rPr>
            </w:pPr>
            <w:r w:rsidRPr="00A800C9">
              <w:rPr>
                <w:lang w:eastAsia="en-US"/>
              </w:rPr>
              <w:t>62.0</w:t>
            </w:r>
          </w:p>
        </w:tc>
        <w:tc>
          <w:tcPr>
            <w:tcW w:w="1417" w:type="dxa"/>
            <w:shd w:val="clear" w:color="auto" w:fill="auto"/>
            <w:vAlign w:val="center"/>
          </w:tcPr>
          <w:p w14:paraId="4EF98EB3" w14:textId="77777777" w:rsidR="007724F5" w:rsidRPr="00A800C9" w:rsidRDefault="00D16994" w:rsidP="00B60E55">
            <w:pPr>
              <w:jc w:val="center"/>
              <w:rPr>
                <w:lang w:eastAsia="en-US"/>
              </w:rPr>
            </w:pPr>
            <w:r w:rsidRPr="00A800C9">
              <w:rPr>
                <w:lang w:eastAsia="en-US"/>
              </w:rPr>
              <w:t>41.0</w:t>
            </w:r>
          </w:p>
        </w:tc>
      </w:tr>
      <w:tr w:rsidR="00502A62" w:rsidRPr="00492007" w14:paraId="3978694B" w14:textId="77777777" w:rsidTr="00A800C9">
        <w:trPr>
          <w:trHeight w:val="200"/>
        </w:trPr>
        <w:tc>
          <w:tcPr>
            <w:tcW w:w="1134" w:type="dxa"/>
            <w:shd w:val="clear" w:color="auto" w:fill="auto"/>
            <w:vAlign w:val="center"/>
          </w:tcPr>
          <w:p w14:paraId="1166E7F9" w14:textId="77777777" w:rsidR="00502A62" w:rsidRPr="00A800C9" w:rsidRDefault="00502A62" w:rsidP="00367D48">
            <w:pPr>
              <w:rPr>
                <w:lang w:eastAsia="en-US"/>
              </w:rPr>
            </w:pPr>
            <w:r w:rsidRPr="00A800C9">
              <w:rPr>
                <w:lang w:eastAsia="en-US"/>
              </w:rPr>
              <w:t>Scenario 4 Cleaning phase</w:t>
            </w:r>
          </w:p>
        </w:tc>
        <w:tc>
          <w:tcPr>
            <w:tcW w:w="567" w:type="dxa"/>
            <w:shd w:val="clear" w:color="auto" w:fill="auto"/>
            <w:vAlign w:val="center"/>
          </w:tcPr>
          <w:p w14:paraId="33DE0111" w14:textId="77777777" w:rsidR="00502A62" w:rsidRPr="00A800C9" w:rsidRDefault="00502A62" w:rsidP="00367D48">
            <w:pPr>
              <w:jc w:val="center"/>
              <w:rPr>
                <w:lang w:eastAsia="en-US"/>
              </w:rPr>
            </w:pPr>
            <w:r w:rsidRPr="00A800C9">
              <w:rPr>
                <w:lang w:eastAsia="en-US"/>
              </w:rPr>
              <w:t>2</w:t>
            </w:r>
          </w:p>
        </w:tc>
        <w:tc>
          <w:tcPr>
            <w:tcW w:w="1134" w:type="dxa"/>
            <w:shd w:val="clear" w:color="auto" w:fill="auto"/>
            <w:vAlign w:val="center"/>
          </w:tcPr>
          <w:p w14:paraId="66DBB932" w14:textId="77777777" w:rsidR="00502A62" w:rsidRPr="00A800C9" w:rsidRDefault="00502A62" w:rsidP="00367D48">
            <w:pPr>
              <w:jc w:val="center"/>
              <w:rPr>
                <w:lang w:eastAsia="en-US"/>
              </w:rPr>
            </w:pPr>
            <w:r w:rsidRPr="00A800C9">
              <w:rPr>
                <w:lang w:eastAsia="en-US"/>
              </w:rPr>
              <w:t>0.01</w:t>
            </w:r>
          </w:p>
        </w:tc>
        <w:tc>
          <w:tcPr>
            <w:tcW w:w="1418" w:type="dxa"/>
            <w:shd w:val="clear" w:color="auto" w:fill="auto"/>
            <w:vAlign w:val="center"/>
          </w:tcPr>
          <w:p w14:paraId="165CB312" w14:textId="77777777" w:rsidR="00502A62" w:rsidRPr="00A800C9" w:rsidRDefault="00502A62" w:rsidP="00D16994">
            <w:pPr>
              <w:jc w:val="center"/>
              <w:rPr>
                <w:lang w:eastAsia="en-US"/>
              </w:rPr>
            </w:pPr>
            <w:r w:rsidRPr="00A800C9">
              <w:rPr>
                <w:lang w:eastAsia="en-US"/>
              </w:rPr>
              <w:t>1.60 × 10</w:t>
            </w:r>
            <w:r w:rsidRPr="00A800C9">
              <w:rPr>
                <w:rFonts w:ascii="Cambria Math" w:hAnsi="Cambria Math" w:cs="Cambria Math"/>
                <w:lang w:eastAsia="en-US"/>
              </w:rPr>
              <w:t>⁻</w:t>
            </w:r>
            <w:r w:rsidRPr="00A800C9">
              <w:rPr>
                <w:rFonts w:ascii="Cambria Math" w:hAnsi="Cambria Math" w:cs="Cambria Math"/>
                <w:vertAlign w:val="superscript"/>
                <w:lang w:eastAsia="en-US"/>
              </w:rPr>
              <w:t>4</w:t>
            </w:r>
          </w:p>
        </w:tc>
        <w:tc>
          <w:tcPr>
            <w:tcW w:w="1134" w:type="dxa"/>
            <w:shd w:val="clear" w:color="auto" w:fill="auto"/>
            <w:vAlign w:val="center"/>
          </w:tcPr>
          <w:p w14:paraId="7D4E6F56" w14:textId="77777777" w:rsidR="00502A62" w:rsidRPr="00A800C9" w:rsidRDefault="00502A62" w:rsidP="00D16994">
            <w:pPr>
              <w:jc w:val="center"/>
              <w:rPr>
                <w:lang w:eastAsia="en-US"/>
              </w:rPr>
            </w:pPr>
            <w:r w:rsidRPr="00A800C9">
              <w:rPr>
                <w:lang w:eastAsia="en-US"/>
              </w:rPr>
              <w:t>1.6</w:t>
            </w:r>
          </w:p>
        </w:tc>
        <w:tc>
          <w:tcPr>
            <w:tcW w:w="1134" w:type="dxa"/>
            <w:shd w:val="clear" w:color="auto" w:fill="auto"/>
            <w:vAlign w:val="center"/>
          </w:tcPr>
          <w:p w14:paraId="4512201E" w14:textId="77777777" w:rsidR="00502A62" w:rsidRPr="00A800C9" w:rsidRDefault="00502A62" w:rsidP="00DB732F">
            <w:pPr>
              <w:jc w:val="center"/>
              <w:rPr>
                <w:lang w:eastAsia="en-US"/>
              </w:rPr>
            </w:pPr>
            <w:r w:rsidRPr="00A800C9">
              <w:rPr>
                <w:lang w:eastAsia="en-US"/>
              </w:rPr>
              <w:t>Yes</w:t>
            </w:r>
          </w:p>
        </w:tc>
        <w:tc>
          <w:tcPr>
            <w:tcW w:w="1276" w:type="dxa"/>
            <w:shd w:val="clear" w:color="auto" w:fill="auto"/>
            <w:vAlign w:val="center"/>
          </w:tcPr>
          <w:p w14:paraId="6366EBB3" w14:textId="77777777" w:rsidR="00502A62" w:rsidRPr="00A800C9" w:rsidDel="00D16994" w:rsidRDefault="00502A62" w:rsidP="00B60E55">
            <w:pPr>
              <w:jc w:val="center"/>
              <w:rPr>
                <w:lang w:eastAsia="en-US"/>
              </w:rPr>
            </w:pPr>
            <w:r w:rsidRPr="00A800C9">
              <w:rPr>
                <w:lang w:eastAsia="en-US"/>
              </w:rPr>
              <w:t>47.6</w:t>
            </w:r>
          </w:p>
        </w:tc>
        <w:tc>
          <w:tcPr>
            <w:tcW w:w="1417" w:type="dxa"/>
            <w:shd w:val="clear" w:color="auto" w:fill="auto"/>
            <w:vAlign w:val="center"/>
          </w:tcPr>
          <w:p w14:paraId="7E6D12D5" w14:textId="77777777" w:rsidR="00502A62" w:rsidRPr="00A800C9" w:rsidDel="00D16994" w:rsidRDefault="00502A62" w:rsidP="00B60E55">
            <w:pPr>
              <w:jc w:val="center"/>
              <w:rPr>
                <w:lang w:eastAsia="en-US"/>
              </w:rPr>
            </w:pPr>
            <w:r w:rsidRPr="00A800C9">
              <w:rPr>
                <w:lang w:eastAsia="en-US"/>
              </w:rPr>
              <w:t>26.6</w:t>
            </w:r>
          </w:p>
        </w:tc>
      </w:tr>
    </w:tbl>
    <w:p w14:paraId="5B6C3C15" w14:textId="77777777" w:rsidR="00AE5162" w:rsidRPr="00492007" w:rsidRDefault="00AE5162" w:rsidP="00AE5162">
      <w:pPr>
        <w:rPr>
          <w:lang w:eastAsia="en-US"/>
        </w:rPr>
      </w:pPr>
    </w:p>
    <w:p w14:paraId="6249E9AA" w14:textId="77777777" w:rsidR="00AE5162" w:rsidRDefault="00AE5162" w:rsidP="00AE5162">
      <w:pPr>
        <w:rPr>
          <w:b/>
          <w:bCs/>
          <w:lang w:eastAsia="en-US"/>
        </w:rPr>
      </w:pPr>
      <w:r w:rsidRPr="00492007">
        <w:rPr>
          <w:b/>
          <w:bCs/>
          <w:lang w:eastAsia="en-US"/>
        </w:rPr>
        <w:t>Combined scenarios</w:t>
      </w:r>
    </w:p>
    <w:p w14:paraId="4895F826" w14:textId="77777777" w:rsidR="008B4D23" w:rsidRDefault="008B4D23" w:rsidP="00AE5162">
      <w:pPr>
        <w:rPr>
          <w:b/>
          <w:bCs/>
          <w:lang w:eastAsia="en-US"/>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2126"/>
        <w:gridCol w:w="1984"/>
        <w:gridCol w:w="1701"/>
        <w:gridCol w:w="1843"/>
      </w:tblGrid>
      <w:tr w:rsidR="00AE5162" w:rsidRPr="00492007" w14:paraId="6D9E36A8" w14:textId="77777777" w:rsidTr="00AE5162">
        <w:trPr>
          <w:cantSplit/>
          <w:tblHeader/>
        </w:trPr>
        <w:tc>
          <w:tcPr>
            <w:tcW w:w="9214" w:type="dxa"/>
            <w:gridSpan w:val="5"/>
            <w:shd w:val="clear" w:color="auto" w:fill="FFFFCC"/>
          </w:tcPr>
          <w:p w14:paraId="3C5D9808" w14:textId="77777777" w:rsidR="00AE5162" w:rsidRPr="00492007" w:rsidRDefault="00AE5162" w:rsidP="00367D48">
            <w:pPr>
              <w:jc w:val="center"/>
              <w:rPr>
                <w:b/>
                <w:lang w:eastAsia="en-US"/>
              </w:rPr>
            </w:pPr>
            <w:r w:rsidRPr="00492007">
              <w:rPr>
                <w:b/>
                <w:lang w:eastAsia="en-US"/>
              </w:rPr>
              <w:t>Summary table: combined systemic exposure from professional uses</w:t>
            </w:r>
          </w:p>
        </w:tc>
      </w:tr>
      <w:tr w:rsidR="00AE5162" w:rsidRPr="00492007" w14:paraId="0D62809A" w14:textId="77777777" w:rsidTr="00AE5162">
        <w:trPr>
          <w:cantSplit/>
          <w:tblHeader/>
        </w:trPr>
        <w:tc>
          <w:tcPr>
            <w:tcW w:w="1560" w:type="dxa"/>
            <w:shd w:val="clear" w:color="auto" w:fill="auto"/>
          </w:tcPr>
          <w:p w14:paraId="69A3BD5F" w14:textId="77777777" w:rsidR="00AE5162" w:rsidRPr="00492007" w:rsidRDefault="00AE5162" w:rsidP="00367D48">
            <w:pPr>
              <w:rPr>
                <w:b/>
                <w:lang w:eastAsia="en-US"/>
              </w:rPr>
            </w:pPr>
            <w:r w:rsidRPr="00492007">
              <w:rPr>
                <w:b/>
                <w:lang w:eastAsia="en-US"/>
              </w:rPr>
              <w:t>Scenarios combined</w:t>
            </w:r>
          </w:p>
        </w:tc>
        <w:tc>
          <w:tcPr>
            <w:tcW w:w="2126" w:type="dxa"/>
          </w:tcPr>
          <w:p w14:paraId="49A4C68B" w14:textId="77777777" w:rsidR="00AE5162" w:rsidRPr="00492007" w:rsidRDefault="00AE5162" w:rsidP="00367D48">
            <w:pPr>
              <w:rPr>
                <w:b/>
                <w:lang w:eastAsia="en-US"/>
              </w:rPr>
            </w:pPr>
            <w:r w:rsidRPr="00492007">
              <w:rPr>
                <w:b/>
                <w:lang w:eastAsia="en-US"/>
              </w:rPr>
              <w:t>Estimated inhalation uptake</w:t>
            </w:r>
            <w:r>
              <w:rPr>
                <w:b/>
                <w:lang w:eastAsia="en-US"/>
              </w:rPr>
              <w:t xml:space="preserve"> (mg/kg/d)</w:t>
            </w:r>
          </w:p>
        </w:tc>
        <w:tc>
          <w:tcPr>
            <w:tcW w:w="1984" w:type="dxa"/>
            <w:shd w:val="clear" w:color="auto" w:fill="auto"/>
            <w:tcMar>
              <w:top w:w="57" w:type="dxa"/>
              <w:bottom w:w="57" w:type="dxa"/>
            </w:tcMar>
          </w:tcPr>
          <w:p w14:paraId="5161A4F3" w14:textId="77777777" w:rsidR="00AE5162" w:rsidRPr="00492007" w:rsidRDefault="00AE5162" w:rsidP="00367D48">
            <w:pPr>
              <w:rPr>
                <w:b/>
                <w:lang w:eastAsia="en-US"/>
              </w:rPr>
            </w:pPr>
            <w:r w:rsidRPr="00492007">
              <w:rPr>
                <w:b/>
                <w:lang w:eastAsia="en-US"/>
              </w:rPr>
              <w:t>Estimated dermal uptake</w:t>
            </w:r>
            <w:r>
              <w:rPr>
                <w:b/>
                <w:lang w:eastAsia="en-US"/>
              </w:rPr>
              <w:t xml:space="preserve"> (mg/kg/d)</w:t>
            </w:r>
          </w:p>
        </w:tc>
        <w:tc>
          <w:tcPr>
            <w:tcW w:w="1701" w:type="dxa"/>
            <w:shd w:val="clear" w:color="auto" w:fill="auto"/>
            <w:tcMar>
              <w:top w:w="57" w:type="dxa"/>
              <w:bottom w:w="57" w:type="dxa"/>
            </w:tcMar>
          </w:tcPr>
          <w:p w14:paraId="2A01F20B" w14:textId="77777777" w:rsidR="00AE5162" w:rsidRPr="00492007" w:rsidRDefault="00AE5162" w:rsidP="00367D48">
            <w:pPr>
              <w:rPr>
                <w:b/>
                <w:lang w:eastAsia="en-US"/>
              </w:rPr>
            </w:pPr>
            <w:r w:rsidRPr="00492007">
              <w:rPr>
                <w:b/>
                <w:lang w:eastAsia="en-US"/>
              </w:rPr>
              <w:t>Estimated oral uptake</w:t>
            </w:r>
            <w:r>
              <w:rPr>
                <w:b/>
                <w:lang w:eastAsia="en-US"/>
              </w:rPr>
              <w:t xml:space="preserve"> (mg/kg/d)</w:t>
            </w:r>
          </w:p>
        </w:tc>
        <w:tc>
          <w:tcPr>
            <w:tcW w:w="1843" w:type="dxa"/>
          </w:tcPr>
          <w:p w14:paraId="27AF5BD3" w14:textId="77777777" w:rsidR="00AE5162" w:rsidRPr="00492007" w:rsidRDefault="00AE5162" w:rsidP="00367D48">
            <w:pPr>
              <w:rPr>
                <w:b/>
                <w:lang w:eastAsia="en-US"/>
              </w:rPr>
            </w:pPr>
            <w:r w:rsidRPr="00492007">
              <w:rPr>
                <w:b/>
                <w:lang w:eastAsia="en-US"/>
              </w:rPr>
              <w:t>Estimated total uptake</w:t>
            </w:r>
            <w:r>
              <w:rPr>
                <w:b/>
                <w:lang w:eastAsia="en-US"/>
              </w:rPr>
              <w:t xml:space="preserve"> (mg/kg/d)</w:t>
            </w:r>
          </w:p>
        </w:tc>
      </w:tr>
      <w:tr w:rsidR="00AE5162" w:rsidRPr="00492007" w14:paraId="0B43E385" w14:textId="77777777" w:rsidTr="00AE5162">
        <w:trPr>
          <w:cantSplit/>
          <w:tblHeader/>
        </w:trPr>
        <w:tc>
          <w:tcPr>
            <w:tcW w:w="1560" w:type="dxa"/>
            <w:shd w:val="clear" w:color="auto" w:fill="auto"/>
          </w:tcPr>
          <w:p w14:paraId="16EC4A59" w14:textId="77777777" w:rsidR="00AE5162" w:rsidRDefault="00AE5162" w:rsidP="00367D48">
            <w:pPr>
              <w:rPr>
                <w:lang w:eastAsia="en-US"/>
              </w:rPr>
            </w:pPr>
            <w:r w:rsidRPr="00492007">
              <w:rPr>
                <w:lang w:eastAsia="en-US"/>
              </w:rPr>
              <w:t xml:space="preserve">Scenarios </w:t>
            </w:r>
          </w:p>
          <w:p w14:paraId="01ECE6DE" w14:textId="77777777" w:rsidR="00AE5162" w:rsidRDefault="00AE5162" w:rsidP="00367D48">
            <w:pPr>
              <w:rPr>
                <w:lang w:eastAsia="en-US"/>
              </w:rPr>
            </w:pPr>
            <w:r w:rsidRPr="00492007">
              <w:rPr>
                <w:lang w:eastAsia="en-US"/>
              </w:rPr>
              <w:t>[</w:t>
            </w:r>
            <w:r>
              <w:rPr>
                <w:lang w:eastAsia="en-US"/>
              </w:rPr>
              <w:t>1</w:t>
            </w:r>
            <w:r w:rsidR="007724F5">
              <w:rPr>
                <w:lang w:eastAsia="en-US"/>
              </w:rPr>
              <w:t>,</w:t>
            </w:r>
            <w:r>
              <w:rPr>
                <w:lang w:eastAsia="en-US"/>
              </w:rPr>
              <w:t xml:space="preserve"> 3</w:t>
            </w:r>
            <w:r w:rsidR="007724F5">
              <w:rPr>
                <w:lang w:eastAsia="en-US"/>
              </w:rPr>
              <w:t xml:space="preserve"> &amp; 4</w:t>
            </w:r>
            <w:r w:rsidRPr="00492007">
              <w:rPr>
                <w:lang w:eastAsia="en-US"/>
              </w:rPr>
              <w:t>]</w:t>
            </w:r>
          </w:p>
          <w:p w14:paraId="78617E67" w14:textId="77777777" w:rsidR="00AE5162" w:rsidRPr="00492007" w:rsidRDefault="00AE5162" w:rsidP="00367D48">
            <w:pPr>
              <w:rPr>
                <w:lang w:eastAsia="en-US"/>
              </w:rPr>
            </w:pPr>
            <w:r>
              <w:rPr>
                <w:lang w:eastAsia="en-US"/>
              </w:rPr>
              <w:t>Tier 1</w:t>
            </w:r>
          </w:p>
        </w:tc>
        <w:tc>
          <w:tcPr>
            <w:tcW w:w="2126" w:type="dxa"/>
            <w:vAlign w:val="center"/>
          </w:tcPr>
          <w:p w14:paraId="4F3B389F" w14:textId="77777777" w:rsidR="00AE5162" w:rsidRPr="00492007" w:rsidRDefault="00B60E55" w:rsidP="00367D48">
            <w:pPr>
              <w:jc w:val="center"/>
              <w:rPr>
                <w:lang w:eastAsia="en-US"/>
              </w:rPr>
            </w:pPr>
            <w:r>
              <w:rPr>
                <w:lang w:eastAsia="en-US"/>
              </w:rPr>
              <w:t>n.a.</w:t>
            </w:r>
          </w:p>
        </w:tc>
        <w:tc>
          <w:tcPr>
            <w:tcW w:w="1984" w:type="dxa"/>
            <w:shd w:val="clear" w:color="auto" w:fill="auto"/>
            <w:tcMar>
              <w:top w:w="57" w:type="dxa"/>
              <w:bottom w:w="57" w:type="dxa"/>
            </w:tcMar>
            <w:vAlign w:val="center"/>
          </w:tcPr>
          <w:p w14:paraId="2DF7F844" w14:textId="77777777" w:rsidR="00AE5162" w:rsidRPr="00492007" w:rsidRDefault="00B24C45" w:rsidP="007724F5">
            <w:pPr>
              <w:jc w:val="center"/>
              <w:rPr>
                <w:lang w:eastAsia="en-US"/>
              </w:rPr>
            </w:pPr>
            <w:r>
              <w:rPr>
                <w:lang w:eastAsia="en-US"/>
              </w:rPr>
              <w:t>9.56</w:t>
            </w:r>
            <w:r w:rsidR="00AE5162">
              <w:rPr>
                <w:lang w:eastAsia="en-US"/>
              </w:rPr>
              <w:t xml:space="preserve"> </w:t>
            </w:r>
            <w:r w:rsidR="00AE5162" w:rsidRPr="00B94A3F">
              <w:rPr>
                <w:lang w:eastAsia="en-US"/>
              </w:rPr>
              <w:t>× 10</w:t>
            </w:r>
            <w:r w:rsidR="00AE5162" w:rsidRPr="00B94A3F">
              <w:rPr>
                <w:rFonts w:ascii="Cambria Math" w:hAnsi="Cambria Math" w:cs="Cambria Math"/>
                <w:lang w:eastAsia="en-US"/>
              </w:rPr>
              <w:t>⁻</w:t>
            </w:r>
            <w:r w:rsidR="00AE5162" w:rsidRPr="009C11F0">
              <w:rPr>
                <w:rFonts w:ascii="Cambria Math" w:hAnsi="Cambria Math" w:cs="Cambria Math"/>
                <w:vertAlign w:val="superscript"/>
                <w:lang w:eastAsia="en-US"/>
              </w:rPr>
              <w:t>3</w:t>
            </w:r>
          </w:p>
        </w:tc>
        <w:tc>
          <w:tcPr>
            <w:tcW w:w="1701" w:type="dxa"/>
            <w:shd w:val="clear" w:color="auto" w:fill="auto"/>
            <w:tcMar>
              <w:top w:w="57" w:type="dxa"/>
              <w:bottom w:w="57" w:type="dxa"/>
            </w:tcMar>
            <w:vAlign w:val="center"/>
          </w:tcPr>
          <w:p w14:paraId="1CFC0DA4" w14:textId="77777777" w:rsidR="00AE5162" w:rsidRPr="00492007" w:rsidRDefault="00AE5162" w:rsidP="00367D48">
            <w:pPr>
              <w:jc w:val="center"/>
              <w:rPr>
                <w:lang w:eastAsia="en-US"/>
              </w:rPr>
            </w:pPr>
            <w:r>
              <w:rPr>
                <w:lang w:eastAsia="en-US"/>
              </w:rPr>
              <w:t>n.a.</w:t>
            </w:r>
          </w:p>
        </w:tc>
        <w:tc>
          <w:tcPr>
            <w:tcW w:w="1843" w:type="dxa"/>
            <w:vAlign w:val="center"/>
          </w:tcPr>
          <w:p w14:paraId="0CA40441" w14:textId="77777777" w:rsidR="00AE5162" w:rsidRPr="00492007" w:rsidRDefault="00B24C45" w:rsidP="007724F5">
            <w:pPr>
              <w:jc w:val="center"/>
              <w:rPr>
                <w:lang w:eastAsia="en-US"/>
              </w:rPr>
            </w:pPr>
            <w:r>
              <w:rPr>
                <w:lang w:eastAsia="en-US"/>
              </w:rPr>
              <w:t>9.56</w:t>
            </w:r>
            <w:r w:rsidR="00B60E55">
              <w:rPr>
                <w:lang w:eastAsia="en-US"/>
              </w:rPr>
              <w:t xml:space="preserve"> </w:t>
            </w:r>
            <w:r w:rsidR="00AE5162" w:rsidRPr="00B94A3F">
              <w:rPr>
                <w:lang w:eastAsia="en-US"/>
              </w:rPr>
              <w:t>× 10</w:t>
            </w:r>
            <w:r w:rsidR="00AE5162" w:rsidRPr="00B94A3F">
              <w:rPr>
                <w:rFonts w:ascii="Cambria Math" w:hAnsi="Cambria Math" w:cs="Cambria Math"/>
                <w:lang w:eastAsia="en-US"/>
              </w:rPr>
              <w:t>⁻</w:t>
            </w:r>
            <w:r w:rsidR="00AE5162" w:rsidRPr="009C11F0">
              <w:rPr>
                <w:rFonts w:ascii="Cambria Math" w:hAnsi="Cambria Math" w:cs="Cambria Math"/>
                <w:vertAlign w:val="superscript"/>
                <w:lang w:eastAsia="en-US"/>
              </w:rPr>
              <w:t>3</w:t>
            </w:r>
          </w:p>
        </w:tc>
      </w:tr>
      <w:tr w:rsidR="00B24C45" w:rsidRPr="00492007" w14:paraId="29AFD007" w14:textId="77777777" w:rsidTr="00AE5162">
        <w:trPr>
          <w:cantSplit/>
          <w:tblHeader/>
        </w:trPr>
        <w:tc>
          <w:tcPr>
            <w:tcW w:w="1560" w:type="dxa"/>
            <w:shd w:val="clear" w:color="auto" w:fill="auto"/>
          </w:tcPr>
          <w:p w14:paraId="467C17BE" w14:textId="77777777" w:rsidR="00B24C45" w:rsidRDefault="00B24C45" w:rsidP="00B24C45">
            <w:pPr>
              <w:rPr>
                <w:lang w:eastAsia="en-US"/>
              </w:rPr>
            </w:pPr>
            <w:r w:rsidRPr="00492007">
              <w:rPr>
                <w:lang w:eastAsia="en-US"/>
              </w:rPr>
              <w:t xml:space="preserve">Scenarios </w:t>
            </w:r>
          </w:p>
          <w:p w14:paraId="21A7B73B" w14:textId="77777777" w:rsidR="00B24C45" w:rsidRDefault="00B24C45" w:rsidP="00B24C45">
            <w:pPr>
              <w:rPr>
                <w:lang w:eastAsia="en-US"/>
              </w:rPr>
            </w:pPr>
            <w:r w:rsidRPr="00492007">
              <w:rPr>
                <w:lang w:eastAsia="en-US"/>
              </w:rPr>
              <w:t>[</w:t>
            </w:r>
            <w:r>
              <w:rPr>
                <w:lang w:eastAsia="en-US"/>
              </w:rPr>
              <w:t>1, 3 &amp; 4</w:t>
            </w:r>
            <w:r w:rsidRPr="00492007">
              <w:rPr>
                <w:lang w:eastAsia="en-US"/>
              </w:rPr>
              <w:t>]</w:t>
            </w:r>
          </w:p>
          <w:p w14:paraId="3A2D18CB" w14:textId="77777777" w:rsidR="00B24C45" w:rsidRPr="00492007" w:rsidRDefault="00B24C45" w:rsidP="00B24C45">
            <w:pPr>
              <w:rPr>
                <w:lang w:eastAsia="en-US"/>
              </w:rPr>
            </w:pPr>
            <w:r>
              <w:rPr>
                <w:lang w:eastAsia="en-US"/>
              </w:rPr>
              <w:t>Tier 2</w:t>
            </w:r>
          </w:p>
        </w:tc>
        <w:tc>
          <w:tcPr>
            <w:tcW w:w="2126" w:type="dxa"/>
            <w:vAlign w:val="center"/>
          </w:tcPr>
          <w:p w14:paraId="6F1CECB9" w14:textId="77777777" w:rsidR="00B24C45" w:rsidRDefault="00B24C45" w:rsidP="00367D48">
            <w:pPr>
              <w:jc w:val="center"/>
              <w:rPr>
                <w:lang w:eastAsia="en-US"/>
              </w:rPr>
            </w:pPr>
            <w:r>
              <w:rPr>
                <w:lang w:eastAsia="en-US"/>
              </w:rPr>
              <w:t>n.a.</w:t>
            </w:r>
          </w:p>
        </w:tc>
        <w:tc>
          <w:tcPr>
            <w:tcW w:w="1984" w:type="dxa"/>
            <w:shd w:val="clear" w:color="auto" w:fill="auto"/>
            <w:tcMar>
              <w:top w:w="57" w:type="dxa"/>
              <w:bottom w:w="57" w:type="dxa"/>
            </w:tcMar>
            <w:vAlign w:val="center"/>
          </w:tcPr>
          <w:p w14:paraId="43B27243" w14:textId="77777777" w:rsidR="00B24C45" w:rsidRPr="00A800C9" w:rsidRDefault="00B24C45" w:rsidP="007724F5">
            <w:pPr>
              <w:jc w:val="center"/>
              <w:rPr>
                <w:lang w:eastAsia="en-US"/>
              </w:rPr>
            </w:pPr>
            <w:r w:rsidRPr="00A800C9">
              <w:rPr>
                <w:lang w:eastAsia="en-US"/>
              </w:rPr>
              <w:t>1.06 × 10</w:t>
            </w:r>
            <w:r w:rsidRPr="00A800C9">
              <w:rPr>
                <w:rFonts w:ascii="Cambria Math" w:hAnsi="Cambria Math" w:cs="Cambria Math"/>
                <w:vertAlign w:val="superscript"/>
                <w:lang w:eastAsia="en-US"/>
              </w:rPr>
              <w:t>⁻</w:t>
            </w:r>
            <w:r w:rsidRPr="00A800C9">
              <w:rPr>
                <w:rFonts w:cs="Cambria Math"/>
                <w:vertAlign w:val="superscript"/>
                <w:lang w:eastAsia="en-US"/>
              </w:rPr>
              <w:t>3</w:t>
            </w:r>
          </w:p>
        </w:tc>
        <w:tc>
          <w:tcPr>
            <w:tcW w:w="1701" w:type="dxa"/>
            <w:shd w:val="clear" w:color="auto" w:fill="auto"/>
            <w:tcMar>
              <w:top w:w="57" w:type="dxa"/>
              <w:bottom w:w="57" w:type="dxa"/>
            </w:tcMar>
            <w:vAlign w:val="center"/>
          </w:tcPr>
          <w:p w14:paraId="2FD65453" w14:textId="77777777" w:rsidR="00B24C45" w:rsidRPr="00A800C9" w:rsidRDefault="00B24C45" w:rsidP="00367D48">
            <w:pPr>
              <w:jc w:val="center"/>
              <w:rPr>
                <w:lang w:eastAsia="en-US"/>
              </w:rPr>
            </w:pPr>
            <w:r w:rsidRPr="00A800C9">
              <w:rPr>
                <w:lang w:eastAsia="en-US"/>
              </w:rPr>
              <w:t>n.a.</w:t>
            </w:r>
          </w:p>
        </w:tc>
        <w:tc>
          <w:tcPr>
            <w:tcW w:w="1843" w:type="dxa"/>
            <w:vAlign w:val="center"/>
          </w:tcPr>
          <w:p w14:paraId="4C6DC1C7" w14:textId="77777777" w:rsidR="00B24C45" w:rsidRPr="00A800C9" w:rsidRDefault="00B24C45" w:rsidP="007724F5">
            <w:pPr>
              <w:jc w:val="center"/>
              <w:rPr>
                <w:lang w:eastAsia="en-US"/>
              </w:rPr>
            </w:pPr>
            <w:r w:rsidRPr="00A800C9">
              <w:rPr>
                <w:lang w:eastAsia="en-US"/>
              </w:rPr>
              <w:t>1.06 × 10</w:t>
            </w:r>
            <w:r w:rsidRPr="00A800C9">
              <w:rPr>
                <w:rFonts w:ascii="Cambria Math" w:hAnsi="Cambria Math" w:cs="Cambria Math"/>
                <w:vertAlign w:val="superscript"/>
                <w:lang w:eastAsia="en-US"/>
              </w:rPr>
              <w:t>⁻</w:t>
            </w:r>
            <w:r w:rsidRPr="00A800C9">
              <w:rPr>
                <w:rFonts w:cs="Cambria Math"/>
                <w:vertAlign w:val="superscript"/>
                <w:lang w:eastAsia="en-US"/>
              </w:rPr>
              <w:t>3</w:t>
            </w:r>
          </w:p>
        </w:tc>
      </w:tr>
    </w:tbl>
    <w:p w14:paraId="58CC6320" w14:textId="77777777" w:rsidR="00AE5162" w:rsidRDefault="00AE5162" w:rsidP="00AE5162">
      <w:pPr>
        <w:rPr>
          <w:b/>
          <w:bCs/>
          <w:lang w:eastAsia="en-US"/>
        </w:rPr>
      </w:pPr>
    </w:p>
    <w:tbl>
      <w:tblPr>
        <w:tblpPr w:leftFromText="141" w:rightFromText="141" w:vertAnchor="text" w:horzAnchor="margin" w:tblpXSpec="center" w:tblpY="5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01"/>
        <w:gridCol w:w="851"/>
        <w:gridCol w:w="1417"/>
        <w:gridCol w:w="1276"/>
        <w:gridCol w:w="1276"/>
        <w:gridCol w:w="1417"/>
        <w:gridCol w:w="1276"/>
      </w:tblGrid>
      <w:tr w:rsidR="008B4D23" w:rsidRPr="00A800C9" w14:paraId="4E5781DE" w14:textId="77777777" w:rsidTr="00A800C9">
        <w:tc>
          <w:tcPr>
            <w:tcW w:w="1242" w:type="dxa"/>
            <w:shd w:val="clear" w:color="auto" w:fill="FFFFCC"/>
          </w:tcPr>
          <w:p w14:paraId="3403A083" w14:textId="77777777" w:rsidR="00B60E55" w:rsidRPr="00A800C9" w:rsidRDefault="00B60E55" w:rsidP="00A800C9">
            <w:pPr>
              <w:ind w:left="-142" w:right="-108"/>
              <w:rPr>
                <w:b/>
                <w:lang w:eastAsia="en-US"/>
              </w:rPr>
            </w:pPr>
            <w:r w:rsidRPr="00A800C9">
              <w:rPr>
                <w:b/>
                <w:lang w:eastAsia="en-US"/>
              </w:rPr>
              <w:t>Scenarios combined</w:t>
            </w:r>
          </w:p>
        </w:tc>
        <w:tc>
          <w:tcPr>
            <w:tcW w:w="601" w:type="dxa"/>
            <w:shd w:val="clear" w:color="auto" w:fill="FFFFCC"/>
          </w:tcPr>
          <w:p w14:paraId="0A318BEC" w14:textId="77777777" w:rsidR="00B60E55" w:rsidRPr="00A800C9" w:rsidRDefault="00B60E55" w:rsidP="00A800C9">
            <w:pPr>
              <w:ind w:left="-108"/>
              <w:rPr>
                <w:b/>
                <w:lang w:eastAsia="en-US"/>
              </w:rPr>
            </w:pPr>
            <w:r w:rsidRPr="00A800C9">
              <w:rPr>
                <w:b/>
                <w:lang w:eastAsia="en-US"/>
              </w:rPr>
              <w:t>Tier</w:t>
            </w:r>
          </w:p>
        </w:tc>
        <w:tc>
          <w:tcPr>
            <w:tcW w:w="851" w:type="dxa"/>
            <w:shd w:val="clear" w:color="auto" w:fill="FFFFCC"/>
          </w:tcPr>
          <w:p w14:paraId="29D19768" w14:textId="77777777" w:rsidR="00B60E55" w:rsidRPr="00A800C9" w:rsidRDefault="00B60E55" w:rsidP="00C66AE5">
            <w:pPr>
              <w:rPr>
                <w:b/>
                <w:lang w:eastAsia="en-US"/>
              </w:rPr>
            </w:pPr>
            <w:r w:rsidRPr="00A800C9">
              <w:rPr>
                <w:b/>
                <w:lang w:eastAsia="en-US"/>
              </w:rPr>
              <w:t>AEL</w:t>
            </w:r>
          </w:p>
          <w:p w14:paraId="68AA2CDF" w14:textId="77777777" w:rsidR="00B60E55" w:rsidRPr="00A800C9" w:rsidRDefault="00B60E55" w:rsidP="00C66AE5">
            <w:pPr>
              <w:rPr>
                <w:b/>
                <w:lang w:eastAsia="en-US"/>
              </w:rPr>
            </w:pPr>
            <w:r w:rsidRPr="00A800C9">
              <w:rPr>
                <w:b/>
                <w:lang w:eastAsia="en-US"/>
              </w:rPr>
              <w:t>mg/kg bw/d</w:t>
            </w:r>
          </w:p>
        </w:tc>
        <w:tc>
          <w:tcPr>
            <w:tcW w:w="1417" w:type="dxa"/>
            <w:shd w:val="clear" w:color="auto" w:fill="FFFFCC"/>
          </w:tcPr>
          <w:p w14:paraId="63885AC6" w14:textId="77777777" w:rsidR="00B60E55" w:rsidRPr="00A800C9" w:rsidRDefault="00B60E55" w:rsidP="006F33CF">
            <w:pPr>
              <w:rPr>
                <w:b/>
                <w:lang w:eastAsia="en-US"/>
              </w:rPr>
            </w:pPr>
            <w:r w:rsidRPr="00A800C9">
              <w:rPr>
                <w:b/>
                <w:lang w:eastAsia="en-US"/>
              </w:rPr>
              <w:t>Estimated uptake due to biocidal use</w:t>
            </w:r>
          </w:p>
          <w:p w14:paraId="010F5020" w14:textId="77777777" w:rsidR="00B60E55" w:rsidRPr="00A800C9" w:rsidRDefault="00B60E55" w:rsidP="00C66AE5">
            <w:pPr>
              <w:rPr>
                <w:b/>
                <w:lang w:eastAsia="en-US"/>
              </w:rPr>
            </w:pPr>
            <w:r w:rsidRPr="00A800C9">
              <w:rPr>
                <w:b/>
                <w:lang w:eastAsia="en-US"/>
              </w:rPr>
              <w:t>mg/kg bw/d</w:t>
            </w:r>
          </w:p>
        </w:tc>
        <w:tc>
          <w:tcPr>
            <w:tcW w:w="1276" w:type="dxa"/>
            <w:shd w:val="clear" w:color="auto" w:fill="FFFFCC"/>
          </w:tcPr>
          <w:p w14:paraId="43818835" w14:textId="77777777" w:rsidR="00B60E55" w:rsidRPr="00A800C9" w:rsidRDefault="00B60E55" w:rsidP="006F33CF">
            <w:pPr>
              <w:rPr>
                <w:b/>
                <w:lang w:eastAsia="en-US"/>
              </w:rPr>
            </w:pPr>
            <w:r w:rsidRPr="00A800C9">
              <w:rPr>
                <w:b/>
                <w:lang w:eastAsia="en-US"/>
              </w:rPr>
              <w:t>Estimated uptake/ AEL due to biocidal use</w:t>
            </w:r>
          </w:p>
          <w:p w14:paraId="5B533604" w14:textId="77777777" w:rsidR="00B60E55" w:rsidRPr="00A800C9" w:rsidRDefault="00B60E55" w:rsidP="00C66AE5">
            <w:pPr>
              <w:rPr>
                <w:b/>
                <w:lang w:eastAsia="en-US"/>
              </w:rPr>
            </w:pPr>
            <w:r w:rsidRPr="00A800C9">
              <w:rPr>
                <w:b/>
                <w:lang w:eastAsia="en-US"/>
              </w:rPr>
              <w:t>(%)</w:t>
            </w:r>
          </w:p>
        </w:tc>
        <w:tc>
          <w:tcPr>
            <w:tcW w:w="1276" w:type="dxa"/>
            <w:shd w:val="clear" w:color="auto" w:fill="FFFFCC"/>
          </w:tcPr>
          <w:p w14:paraId="224C17D0" w14:textId="77777777" w:rsidR="00B60E55" w:rsidRPr="00A800C9" w:rsidRDefault="00B60E55" w:rsidP="006F33CF">
            <w:pPr>
              <w:ind w:right="-108"/>
              <w:rPr>
                <w:b/>
                <w:lang w:eastAsia="en-US"/>
              </w:rPr>
            </w:pPr>
            <w:r w:rsidRPr="00A800C9">
              <w:rPr>
                <w:b/>
                <w:lang w:eastAsia="en-US"/>
              </w:rPr>
              <w:t>Biocidal use:</w:t>
            </w:r>
          </w:p>
          <w:p w14:paraId="5C3A50AA" w14:textId="77777777" w:rsidR="00B60E55" w:rsidRPr="00A800C9" w:rsidRDefault="00B60E55" w:rsidP="006F33CF">
            <w:pPr>
              <w:ind w:right="-108"/>
              <w:rPr>
                <w:b/>
                <w:lang w:eastAsia="en-US"/>
              </w:rPr>
            </w:pPr>
            <w:r w:rsidRPr="00A800C9">
              <w:rPr>
                <w:b/>
                <w:lang w:eastAsia="en-US"/>
              </w:rPr>
              <w:t>Acceptable</w:t>
            </w:r>
          </w:p>
          <w:p w14:paraId="44357C40" w14:textId="77777777" w:rsidR="00B60E55" w:rsidRPr="00A800C9" w:rsidRDefault="00B60E55" w:rsidP="00C66AE5">
            <w:pPr>
              <w:rPr>
                <w:b/>
                <w:lang w:eastAsia="en-US"/>
              </w:rPr>
            </w:pPr>
            <w:r w:rsidRPr="00A800C9">
              <w:rPr>
                <w:b/>
                <w:lang w:eastAsia="en-US"/>
              </w:rPr>
              <w:t>(yes/no)</w:t>
            </w:r>
          </w:p>
        </w:tc>
        <w:tc>
          <w:tcPr>
            <w:tcW w:w="1417" w:type="dxa"/>
            <w:shd w:val="clear" w:color="auto" w:fill="FFFFCC"/>
          </w:tcPr>
          <w:p w14:paraId="52EC6BB4" w14:textId="77777777" w:rsidR="00B60E55" w:rsidRPr="00A800C9" w:rsidRDefault="00B60E55" w:rsidP="002929F9">
            <w:pPr>
              <w:rPr>
                <w:b/>
                <w:lang w:eastAsia="en-US"/>
              </w:rPr>
            </w:pPr>
            <w:r w:rsidRPr="00A800C9">
              <w:rPr>
                <w:b/>
                <w:lang w:eastAsia="en-US"/>
              </w:rPr>
              <w:t>Estimated uptake/ AEL due to biocidal use</w:t>
            </w:r>
          </w:p>
          <w:p w14:paraId="52ECCB08" w14:textId="77777777" w:rsidR="00B60E55" w:rsidRPr="00A800C9" w:rsidRDefault="00B60E55" w:rsidP="00DB732F">
            <w:pPr>
              <w:ind w:right="-108"/>
              <w:rPr>
                <w:b/>
                <w:lang w:eastAsia="en-US"/>
              </w:rPr>
            </w:pPr>
            <w:r w:rsidRPr="00A800C9">
              <w:rPr>
                <w:b/>
                <w:lang w:eastAsia="en-US"/>
              </w:rPr>
              <w:t xml:space="preserve">+ </w:t>
            </w:r>
            <w:proofErr w:type="gramStart"/>
            <w:r w:rsidRPr="00A800C9">
              <w:rPr>
                <w:b/>
                <w:lang w:eastAsia="en-US"/>
              </w:rPr>
              <w:t>dietary</w:t>
            </w:r>
            <w:proofErr w:type="gramEnd"/>
            <w:r w:rsidRPr="00A800C9">
              <w:rPr>
                <w:b/>
                <w:lang w:eastAsia="en-US"/>
              </w:rPr>
              <w:t xml:space="preserve"> intake 46% UL (%)</w:t>
            </w:r>
          </w:p>
        </w:tc>
        <w:tc>
          <w:tcPr>
            <w:tcW w:w="1276" w:type="dxa"/>
            <w:shd w:val="clear" w:color="auto" w:fill="FFFFCC"/>
          </w:tcPr>
          <w:p w14:paraId="6135C84C" w14:textId="77777777" w:rsidR="00B60E55" w:rsidRPr="00A800C9" w:rsidRDefault="00B60E55" w:rsidP="002929F9">
            <w:pPr>
              <w:rPr>
                <w:b/>
                <w:lang w:eastAsia="en-US"/>
              </w:rPr>
            </w:pPr>
            <w:r w:rsidRPr="00A800C9">
              <w:rPr>
                <w:b/>
                <w:lang w:eastAsia="en-US"/>
              </w:rPr>
              <w:t>Estimated uptake/ AEL due to biocidal use</w:t>
            </w:r>
          </w:p>
          <w:p w14:paraId="6751F601" w14:textId="77777777" w:rsidR="00B60E55" w:rsidRPr="00A800C9" w:rsidRDefault="00B60E55" w:rsidP="00C66AE5">
            <w:pPr>
              <w:rPr>
                <w:b/>
                <w:lang w:eastAsia="en-US"/>
              </w:rPr>
            </w:pPr>
            <w:r w:rsidRPr="00A800C9">
              <w:rPr>
                <w:b/>
                <w:lang w:eastAsia="en-US"/>
              </w:rPr>
              <w:t xml:space="preserve">+ </w:t>
            </w:r>
            <w:proofErr w:type="gramStart"/>
            <w:r w:rsidRPr="00A800C9">
              <w:rPr>
                <w:b/>
                <w:lang w:eastAsia="en-US"/>
              </w:rPr>
              <w:t>dietary</w:t>
            </w:r>
            <w:proofErr w:type="gramEnd"/>
            <w:r w:rsidRPr="00A800C9">
              <w:rPr>
                <w:b/>
                <w:lang w:eastAsia="en-US"/>
              </w:rPr>
              <w:t xml:space="preserve"> intake 25% UL (%)</w:t>
            </w:r>
          </w:p>
        </w:tc>
      </w:tr>
      <w:tr w:rsidR="008B4D23" w:rsidRPr="00A800C9" w14:paraId="6B3DC916" w14:textId="77777777" w:rsidTr="00A800C9">
        <w:tc>
          <w:tcPr>
            <w:tcW w:w="1242" w:type="dxa"/>
            <w:shd w:val="clear" w:color="auto" w:fill="auto"/>
          </w:tcPr>
          <w:p w14:paraId="0E1E0502" w14:textId="77777777" w:rsidR="00B60E55" w:rsidRPr="00A800C9" w:rsidRDefault="00B60E55" w:rsidP="00C66AE5">
            <w:pPr>
              <w:rPr>
                <w:lang w:eastAsia="en-US"/>
              </w:rPr>
            </w:pPr>
            <w:r w:rsidRPr="00A800C9">
              <w:rPr>
                <w:lang w:eastAsia="en-US"/>
              </w:rPr>
              <w:t>Mixing/</w:t>
            </w:r>
            <w:r w:rsidR="008B4D23" w:rsidRPr="00A800C9">
              <w:rPr>
                <w:lang w:eastAsia="en-US"/>
              </w:rPr>
              <w:t xml:space="preserve"> </w:t>
            </w:r>
            <w:r w:rsidRPr="00A800C9">
              <w:rPr>
                <w:lang w:eastAsia="en-US"/>
              </w:rPr>
              <w:t xml:space="preserve">loading and cleaning phases </w:t>
            </w:r>
          </w:p>
          <w:p w14:paraId="30B2CBA9" w14:textId="77777777" w:rsidR="00B60E55" w:rsidRPr="00A800C9" w:rsidRDefault="00B60E55" w:rsidP="00C66AE5">
            <w:pPr>
              <w:rPr>
                <w:lang w:eastAsia="en-US"/>
              </w:rPr>
            </w:pPr>
            <w:r w:rsidRPr="00A800C9">
              <w:rPr>
                <w:lang w:eastAsia="en-US"/>
              </w:rPr>
              <w:t>Scenarios  [1</w:t>
            </w:r>
            <w:r w:rsidR="007724F5" w:rsidRPr="00A800C9">
              <w:rPr>
                <w:lang w:eastAsia="en-US"/>
              </w:rPr>
              <w:t>,</w:t>
            </w:r>
            <w:r w:rsidR="00EB0257" w:rsidRPr="00A800C9">
              <w:rPr>
                <w:lang w:eastAsia="en-US"/>
              </w:rPr>
              <w:t xml:space="preserve"> </w:t>
            </w:r>
            <w:r w:rsidRPr="00A800C9">
              <w:rPr>
                <w:lang w:eastAsia="en-US"/>
              </w:rPr>
              <w:t>3</w:t>
            </w:r>
            <w:r w:rsidR="007724F5" w:rsidRPr="00A800C9">
              <w:rPr>
                <w:lang w:eastAsia="en-US"/>
              </w:rPr>
              <w:t xml:space="preserve"> &amp; 4</w:t>
            </w:r>
            <w:r w:rsidRPr="00A800C9">
              <w:rPr>
                <w:lang w:eastAsia="en-US"/>
              </w:rPr>
              <w:t>]</w:t>
            </w:r>
          </w:p>
        </w:tc>
        <w:tc>
          <w:tcPr>
            <w:tcW w:w="601" w:type="dxa"/>
            <w:shd w:val="clear" w:color="auto" w:fill="auto"/>
            <w:vAlign w:val="center"/>
          </w:tcPr>
          <w:p w14:paraId="563BD322" w14:textId="77777777" w:rsidR="00B60E55" w:rsidRPr="00A800C9" w:rsidRDefault="00B60E55" w:rsidP="00C66AE5">
            <w:pPr>
              <w:jc w:val="center"/>
              <w:rPr>
                <w:lang w:eastAsia="en-US"/>
              </w:rPr>
            </w:pPr>
            <w:r w:rsidRPr="00A800C9">
              <w:rPr>
                <w:lang w:eastAsia="en-US"/>
              </w:rPr>
              <w:t>1</w:t>
            </w:r>
          </w:p>
        </w:tc>
        <w:tc>
          <w:tcPr>
            <w:tcW w:w="851" w:type="dxa"/>
            <w:shd w:val="clear" w:color="auto" w:fill="auto"/>
            <w:vAlign w:val="center"/>
          </w:tcPr>
          <w:p w14:paraId="501F96CB" w14:textId="77777777" w:rsidR="00B60E55" w:rsidRPr="00A800C9" w:rsidRDefault="00B60E55" w:rsidP="00C66AE5">
            <w:pPr>
              <w:jc w:val="center"/>
              <w:rPr>
                <w:lang w:eastAsia="en-US"/>
              </w:rPr>
            </w:pPr>
            <w:r w:rsidRPr="00A800C9">
              <w:rPr>
                <w:lang w:eastAsia="en-US"/>
              </w:rPr>
              <w:t>0.01</w:t>
            </w:r>
          </w:p>
        </w:tc>
        <w:tc>
          <w:tcPr>
            <w:tcW w:w="1417" w:type="dxa"/>
            <w:shd w:val="clear" w:color="auto" w:fill="auto"/>
            <w:vAlign w:val="center"/>
          </w:tcPr>
          <w:p w14:paraId="66E8C29C" w14:textId="77777777" w:rsidR="00B60E55" w:rsidRPr="00A800C9" w:rsidRDefault="00502A62" w:rsidP="007724F5">
            <w:pPr>
              <w:jc w:val="center"/>
              <w:rPr>
                <w:lang w:eastAsia="en-US"/>
              </w:rPr>
            </w:pPr>
            <w:r w:rsidRPr="00A800C9">
              <w:rPr>
                <w:lang w:eastAsia="en-US"/>
              </w:rPr>
              <w:t>9.56</w:t>
            </w:r>
            <w:r w:rsidR="00B60E55" w:rsidRPr="00A800C9">
              <w:rPr>
                <w:lang w:eastAsia="en-US"/>
              </w:rPr>
              <w:t>× 10</w:t>
            </w:r>
            <w:r w:rsidR="00B60E55" w:rsidRPr="00A800C9">
              <w:rPr>
                <w:rFonts w:ascii="Cambria Math" w:hAnsi="Cambria Math" w:cs="Cambria Math"/>
                <w:vertAlign w:val="superscript"/>
                <w:lang w:eastAsia="en-US"/>
              </w:rPr>
              <w:t>⁻</w:t>
            </w:r>
            <w:r w:rsidR="00B60E55" w:rsidRPr="00A800C9">
              <w:rPr>
                <w:rFonts w:cs="Cambria Math"/>
                <w:vertAlign w:val="superscript"/>
                <w:lang w:eastAsia="en-US"/>
              </w:rPr>
              <w:t>3</w:t>
            </w:r>
          </w:p>
        </w:tc>
        <w:tc>
          <w:tcPr>
            <w:tcW w:w="1276" w:type="dxa"/>
            <w:shd w:val="clear" w:color="auto" w:fill="auto"/>
            <w:vAlign w:val="center"/>
          </w:tcPr>
          <w:p w14:paraId="0A7EC4D9" w14:textId="77777777" w:rsidR="00B60E55" w:rsidRPr="00A800C9" w:rsidRDefault="00502A62" w:rsidP="00502A62">
            <w:pPr>
              <w:jc w:val="center"/>
              <w:rPr>
                <w:lang w:eastAsia="en-US"/>
              </w:rPr>
            </w:pPr>
            <w:r w:rsidRPr="00A800C9">
              <w:rPr>
                <w:lang w:eastAsia="en-US"/>
              </w:rPr>
              <w:t>95.6</w:t>
            </w:r>
          </w:p>
        </w:tc>
        <w:tc>
          <w:tcPr>
            <w:tcW w:w="1276" w:type="dxa"/>
            <w:shd w:val="clear" w:color="auto" w:fill="auto"/>
            <w:vAlign w:val="center"/>
          </w:tcPr>
          <w:p w14:paraId="3C527B12" w14:textId="77777777" w:rsidR="00B60E55" w:rsidRPr="00A800C9" w:rsidRDefault="00B60E55" w:rsidP="00CD42D5">
            <w:pPr>
              <w:jc w:val="center"/>
              <w:rPr>
                <w:lang w:eastAsia="en-US"/>
              </w:rPr>
            </w:pPr>
            <w:r w:rsidRPr="00A800C9">
              <w:rPr>
                <w:lang w:eastAsia="en-US"/>
              </w:rPr>
              <w:t>Yes</w:t>
            </w:r>
          </w:p>
        </w:tc>
        <w:tc>
          <w:tcPr>
            <w:tcW w:w="1417" w:type="dxa"/>
            <w:vAlign w:val="center"/>
          </w:tcPr>
          <w:p w14:paraId="43482AE5" w14:textId="77777777" w:rsidR="00B60E55" w:rsidRPr="00A800C9" w:rsidRDefault="007B07F3" w:rsidP="00502A62">
            <w:pPr>
              <w:jc w:val="center"/>
              <w:rPr>
                <w:b/>
                <w:lang w:eastAsia="en-US"/>
              </w:rPr>
            </w:pPr>
            <w:r w:rsidRPr="00A800C9">
              <w:rPr>
                <w:b/>
                <w:lang w:eastAsia="en-US"/>
              </w:rPr>
              <w:t>141.6</w:t>
            </w:r>
          </w:p>
        </w:tc>
        <w:tc>
          <w:tcPr>
            <w:tcW w:w="1276" w:type="dxa"/>
            <w:vAlign w:val="center"/>
          </w:tcPr>
          <w:p w14:paraId="42A2665D" w14:textId="77777777" w:rsidR="00B60E55" w:rsidRPr="00A800C9" w:rsidRDefault="007B07F3" w:rsidP="00502A62">
            <w:pPr>
              <w:jc w:val="center"/>
              <w:rPr>
                <w:lang w:eastAsia="en-US"/>
              </w:rPr>
            </w:pPr>
            <w:r w:rsidRPr="00A800C9">
              <w:rPr>
                <w:lang w:eastAsia="en-US"/>
              </w:rPr>
              <w:t>120</w:t>
            </w:r>
            <w:r w:rsidR="00502A62" w:rsidRPr="00A800C9">
              <w:rPr>
                <w:lang w:eastAsia="en-US"/>
              </w:rPr>
              <w:t>.6</w:t>
            </w:r>
          </w:p>
        </w:tc>
      </w:tr>
      <w:tr w:rsidR="008149EF" w:rsidRPr="00A800C9" w14:paraId="072A6B41" w14:textId="77777777" w:rsidTr="00A800C9">
        <w:tc>
          <w:tcPr>
            <w:tcW w:w="1242" w:type="dxa"/>
            <w:shd w:val="clear" w:color="auto" w:fill="auto"/>
          </w:tcPr>
          <w:p w14:paraId="3C583FE3" w14:textId="77777777" w:rsidR="00502A62" w:rsidRPr="00A800C9" w:rsidRDefault="00502A62" w:rsidP="00502A62">
            <w:pPr>
              <w:rPr>
                <w:lang w:eastAsia="en-US"/>
              </w:rPr>
            </w:pPr>
            <w:r w:rsidRPr="00A800C9">
              <w:rPr>
                <w:lang w:eastAsia="en-US"/>
              </w:rPr>
              <w:lastRenderedPageBreak/>
              <w:t xml:space="preserve">Mixing/ loading and cleaning phases </w:t>
            </w:r>
          </w:p>
          <w:p w14:paraId="2097BAB6" w14:textId="77777777" w:rsidR="008149EF" w:rsidRPr="00A800C9" w:rsidRDefault="00502A62" w:rsidP="00502A62">
            <w:pPr>
              <w:rPr>
                <w:lang w:eastAsia="en-US"/>
              </w:rPr>
            </w:pPr>
            <w:r w:rsidRPr="00A800C9">
              <w:rPr>
                <w:lang w:eastAsia="en-US"/>
              </w:rPr>
              <w:t>Scenarios  [1,</w:t>
            </w:r>
            <w:r w:rsidR="00EB0257" w:rsidRPr="00A800C9">
              <w:rPr>
                <w:lang w:eastAsia="en-US"/>
              </w:rPr>
              <w:t xml:space="preserve"> </w:t>
            </w:r>
            <w:r w:rsidRPr="00A800C9">
              <w:rPr>
                <w:lang w:eastAsia="en-US"/>
              </w:rPr>
              <w:t>3 &amp; 4]</w:t>
            </w:r>
          </w:p>
        </w:tc>
        <w:tc>
          <w:tcPr>
            <w:tcW w:w="601" w:type="dxa"/>
            <w:shd w:val="clear" w:color="auto" w:fill="auto"/>
            <w:vAlign w:val="center"/>
          </w:tcPr>
          <w:p w14:paraId="77E2AA63" w14:textId="77777777" w:rsidR="008149EF" w:rsidRPr="00A800C9" w:rsidRDefault="008149EF" w:rsidP="00C66AE5">
            <w:pPr>
              <w:jc w:val="center"/>
              <w:rPr>
                <w:lang w:eastAsia="en-US"/>
              </w:rPr>
            </w:pPr>
            <w:r w:rsidRPr="00A800C9">
              <w:rPr>
                <w:lang w:eastAsia="en-US"/>
              </w:rPr>
              <w:t>2</w:t>
            </w:r>
          </w:p>
        </w:tc>
        <w:tc>
          <w:tcPr>
            <w:tcW w:w="851" w:type="dxa"/>
            <w:shd w:val="clear" w:color="auto" w:fill="auto"/>
            <w:vAlign w:val="center"/>
          </w:tcPr>
          <w:p w14:paraId="4DAF82BD" w14:textId="77777777" w:rsidR="008149EF" w:rsidRPr="00A800C9" w:rsidRDefault="008149EF" w:rsidP="00C66AE5">
            <w:pPr>
              <w:jc w:val="center"/>
              <w:rPr>
                <w:lang w:eastAsia="en-US"/>
              </w:rPr>
            </w:pPr>
            <w:r w:rsidRPr="00A800C9">
              <w:rPr>
                <w:lang w:eastAsia="en-US"/>
              </w:rPr>
              <w:t>0.01</w:t>
            </w:r>
          </w:p>
        </w:tc>
        <w:tc>
          <w:tcPr>
            <w:tcW w:w="1417" w:type="dxa"/>
            <w:shd w:val="clear" w:color="auto" w:fill="auto"/>
            <w:vAlign w:val="center"/>
          </w:tcPr>
          <w:p w14:paraId="6137605A" w14:textId="77777777" w:rsidR="008149EF" w:rsidRPr="00A800C9" w:rsidRDefault="00502A62" w:rsidP="007724F5">
            <w:pPr>
              <w:jc w:val="center"/>
              <w:rPr>
                <w:lang w:eastAsia="en-US"/>
              </w:rPr>
            </w:pPr>
            <w:r w:rsidRPr="00A800C9">
              <w:rPr>
                <w:lang w:eastAsia="en-US"/>
              </w:rPr>
              <w:t>1.06</w:t>
            </w:r>
            <w:r w:rsidR="00B24C45" w:rsidRPr="00A800C9">
              <w:rPr>
                <w:lang w:eastAsia="en-US"/>
              </w:rPr>
              <w:t xml:space="preserve"> </w:t>
            </w:r>
            <w:r w:rsidRPr="00A800C9">
              <w:rPr>
                <w:lang w:eastAsia="en-US"/>
              </w:rPr>
              <w:t>× 10</w:t>
            </w:r>
            <w:r w:rsidRPr="00A800C9">
              <w:rPr>
                <w:rFonts w:ascii="Cambria Math" w:hAnsi="Cambria Math" w:cs="Cambria Math"/>
                <w:vertAlign w:val="superscript"/>
                <w:lang w:eastAsia="en-US"/>
              </w:rPr>
              <w:t>⁻</w:t>
            </w:r>
            <w:r w:rsidRPr="00A800C9">
              <w:rPr>
                <w:rFonts w:cs="Cambria Math"/>
                <w:vertAlign w:val="superscript"/>
                <w:lang w:eastAsia="en-US"/>
              </w:rPr>
              <w:t>3</w:t>
            </w:r>
          </w:p>
        </w:tc>
        <w:tc>
          <w:tcPr>
            <w:tcW w:w="1276" w:type="dxa"/>
            <w:shd w:val="clear" w:color="auto" w:fill="auto"/>
            <w:vAlign w:val="center"/>
          </w:tcPr>
          <w:p w14:paraId="247858C7" w14:textId="77777777" w:rsidR="008149EF" w:rsidRPr="00A800C9" w:rsidDel="000A1359" w:rsidRDefault="00502A62" w:rsidP="000A1359">
            <w:pPr>
              <w:jc w:val="center"/>
              <w:rPr>
                <w:lang w:eastAsia="en-US"/>
              </w:rPr>
            </w:pPr>
            <w:r w:rsidRPr="00A800C9">
              <w:rPr>
                <w:lang w:eastAsia="en-US"/>
              </w:rPr>
              <w:t>10.6</w:t>
            </w:r>
          </w:p>
        </w:tc>
        <w:tc>
          <w:tcPr>
            <w:tcW w:w="1276" w:type="dxa"/>
            <w:shd w:val="clear" w:color="auto" w:fill="auto"/>
            <w:vAlign w:val="center"/>
          </w:tcPr>
          <w:p w14:paraId="37F29C57" w14:textId="77777777" w:rsidR="008149EF" w:rsidRPr="00A800C9" w:rsidRDefault="008149EF" w:rsidP="00CD42D5">
            <w:pPr>
              <w:jc w:val="center"/>
              <w:rPr>
                <w:lang w:eastAsia="en-US"/>
              </w:rPr>
            </w:pPr>
            <w:r w:rsidRPr="00A800C9">
              <w:rPr>
                <w:lang w:eastAsia="en-US"/>
              </w:rPr>
              <w:t>Yes</w:t>
            </w:r>
          </w:p>
        </w:tc>
        <w:tc>
          <w:tcPr>
            <w:tcW w:w="1417" w:type="dxa"/>
            <w:vAlign w:val="center"/>
          </w:tcPr>
          <w:p w14:paraId="71648B78" w14:textId="77777777" w:rsidR="008149EF" w:rsidRPr="00A800C9" w:rsidDel="000A1359" w:rsidRDefault="007B07F3" w:rsidP="00CD42D5">
            <w:pPr>
              <w:jc w:val="center"/>
              <w:rPr>
                <w:b/>
                <w:lang w:eastAsia="en-US"/>
              </w:rPr>
            </w:pPr>
            <w:r w:rsidRPr="00A800C9">
              <w:rPr>
                <w:b/>
                <w:lang w:eastAsia="en-US"/>
              </w:rPr>
              <w:t>56.6</w:t>
            </w:r>
          </w:p>
        </w:tc>
        <w:tc>
          <w:tcPr>
            <w:tcW w:w="1276" w:type="dxa"/>
            <w:vAlign w:val="center"/>
          </w:tcPr>
          <w:p w14:paraId="394780F1" w14:textId="77777777" w:rsidR="008149EF" w:rsidRPr="00A800C9" w:rsidDel="000A1359" w:rsidRDefault="007B07F3" w:rsidP="00CD42D5">
            <w:pPr>
              <w:jc w:val="center"/>
              <w:rPr>
                <w:lang w:eastAsia="en-US"/>
              </w:rPr>
            </w:pPr>
            <w:r w:rsidRPr="00A800C9">
              <w:rPr>
                <w:lang w:eastAsia="en-US"/>
              </w:rPr>
              <w:t>35.6</w:t>
            </w:r>
          </w:p>
        </w:tc>
      </w:tr>
    </w:tbl>
    <w:p w14:paraId="01615DF4" w14:textId="77777777" w:rsidR="00063D06" w:rsidRPr="00492007" w:rsidRDefault="00063D06" w:rsidP="00AE5162">
      <w:pPr>
        <w:rPr>
          <w:b/>
          <w:bCs/>
          <w:lang w:eastAsia="en-US"/>
        </w:rPr>
      </w:pPr>
    </w:p>
    <w:p w14:paraId="0F5E1C1B" w14:textId="77777777" w:rsidR="00AE5162" w:rsidRDefault="00AE5162" w:rsidP="00AE5162">
      <w:pPr>
        <w:rPr>
          <w:b/>
          <w:bCs/>
          <w:lang w:eastAsia="en-US"/>
        </w:rPr>
      </w:pPr>
      <w:r w:rsidRPr="00492007">
        <w:rPr>
          <w:b/>
          <w:bCs/>
          <w:lang w:eastAsia="en-US"/>
        </w:rPr>
        <w:t xml:space="preserve">Local effects </w:t>
      </w:r>
    </w:p>
    <w:p w14:paraId="2868EFB5" w14:textId="77777777" w:rsidR="00AE5162" w:rsidRPr="00544DC9" w:rsidRDefault="00CD42D5" w:rsidP="00A800C9">
      <w:pPr>
        <w:keepNext/>
        <w:spacing w:before="60"/>
        <w:jc w:val="both"/>
        <w:rPr>
          <w:i/>
          <w:iCs/>
          <w:lang w:eastAsia="en-US"/>
        </w:rPr>
      </w:pPr>
      <w:r>
        <w:rPr>
          <w:iCs/>
          <w:lang w:eastAsia="en-US"/>
        </w:rPr>
        <w:t>I</w:t>
      </w:r>
      <w:r w:rsidR="00AE5162" w:rsidRPr="00DC12AC">
        <w:rPr>
          <w:iCs/>
          <w:lang w:eastAsia="en-US"/>
        </w:rPr>
        <w:t xml:space="preserve">odine has irritant property on respiratory tract, a local risk assessment </w:t>
      </w:r>
      <w:r>
        <w:rPr>
          <w:iCs/>
          <w:lang w:eastAsia="en-US"/>
        </w:rPr>
        <w:t>should</w:t>
      </w:r>
      <w:r w:rsidRPr="00DC12AC">
        <w:rPr>
          <w:iCs/>
          <w:lang w:eastAsia="en-US"/>
        </w:rPr>
        <w:t xml:space="preserve"> </w:t>
      </w:r>
      <w:r w:rsidR="00AE5162" w:rsidRPr="00DC12AC">
        <w:rPr>
          <w:iCs/>
          <w:lang w:eastAsia="en-US"/>
        </w:rPr>
        <w:t>be presented in the risk assessment part.</w:t>
      </w:r>
      <w:r>
        <w:rPr>
          <w:iCs/>
          <w:lang w:eastAsia="en-US"/>
        </w:rPr>
        <w:t xml:space="preserve"> However, as no inhalation exposure is expected for this type of formulation, no assessment is performed. </w:t>
      </w:r>
    </w:p>
    <w:p w14:paraId="5CC0C510" w14:textId="77777777" w:rsidR="00AE5162" w:rsidRPr="00206084" w:rsidRDefault="00AE5162" w:rsidP="00A800C9">
      <w:pPr>
        <w:rPr>
          <w:b/>
          <w:bCs/>
          <w:lang w:eastAsia="en-US"/>
        </w:rPr>
      </w:pPr>
    </w:p>
    <w:p w14:paraId="6A54D1E3" w14:textId="77777777" w:rsidR="00AE5162" w:rsidRPr="00206084" w:rsidRDefault="00AE5162" w:rsidP="00A800C9">
      <w:pPr>
        <w:jc w:val="both"/>
        <w:rPr>
          <w:iCs/>
          <w:lang w:eastAsia="en-US"/>
        </w:rPr>
      </w:pPr>
      <w:r w:rsidRPr="00206084">
        <w:rPr>
          <w:iCs/>
          <w:lang w:eastAsia="en-US"/>
        </w:rPr>
        <w:t>Local effects by inhalation are</w:t>
      </w:r>
      <w:r w:rsidRPr="007676A3">
        <w:rPr>
          <w:iCs/>
          <w:lang w:eastAsia="en-US"/>
        </w:rPr>
        <w:t xml:space="preserve"> considered</w:t>
      </w:r>
      <w:r w:rsidRPr="00544DC9">
        <w:rPr>
          <w:iCs/>
          <w:lang w:eastAsia="en-US"/>
        </w:rPr>
        <w:t>, taking into account the AEC of 1 mg/m</w:t>
      </w:r>
      <w:r w:rsidRPr="00DC12AC">
        <w:rPr>
          <w:iCs/>
          <w:vertAlign w:val="superscript"/>
          <w:lang w:eastAsia="en-US"/>
        </w:rPr>
        <w:t>3</w:t>
      </w:r>
      <w:r w:rsidRPr="00544DC9">
        <w:rPr>
          <w:iCs/>
          <w:lang w:eastAsia="en-US"/>
        </w:rPr>
        <w:t xml:space="preserve"> (0.1 ppm) </w:t>
      </w:r>
      <w:r w:rsidRPr="00206084">
        <w:rPr>
          <w:iCs/>
          <w:lang w:eastAsia="en-US"/>
        </w:rPr>
        <w:t>from the CAR.</w:t>
      </w:r>
    </w:p>
    <w:p w14:paraId="5304D62B" w14:textId="77777777" w:rsidR="00AE5162" w:rsidRPr="00544DC9" w:rsidRDefault="00AE5162" w:rsidP="00AE5162">
      <w:pPr>
        <w:rPr>
          <w:iCs/>
          <w:lang w:eastAsia="en-US"/>
        </w:rPr>
      </w:pPr>
    </w:p>
    <w:p w14:paraId="7B990E41" w14:textId="77777777" w:rsidR="00AE5162" w:rsidRPr="00492007" w:rsidRDefault="00AE5162" w:rsidP="00AE5162">
      <w:pPr>
        <w:keepNext/>
        <w:rPr>
          <w:b/>
          <w:bCs/>
          <w:lang w:eastAsia="en-US"/>
        </w:rPr>
      </w:pPr>
      <w:r w:rsidRPr="00B557B8">
        <w:rPr>
          <w:b/>
          <w:bCs/>
          <w:lang w:eastAsia="en-US"/>
        </w:rPr>
        <w:t>Conclusion</w:t>
      </w:r>
    </w:p>
    <w:p w14:paraId="39C4BD43" w14:textId="77777777" w:rsidR="00AE5162" w:rsidRDefault="00AE5162" w:rsidP="00AE5162">
      <w:pPr>
        <w:rPr>
          <w:iCs/>
          <w:lang w:eastAsia="en-US"/>
        </w:rPr>
      </w:pPr>
      <w:r w:rsidRPr="00DC12AC">
        <w:rPr>
          <w:iCs/>
          <w:lang w:eastAsia="en-US"/>
        </w:rPr>
        <w:t xml:space="preserve">The risk </w:t>
      </w:r>
      <w:r w:rsidR="007F547C">
        <w:rPr>
          <w:iCs/>
          <w:lang w:eastAsia="en-US"/>
        </w:rPr>
        <w:t xml:space="preserve">due to </w:t>
      </w:r>
      <w:r w:rsidR="007F547C" w:rsidRPr="00A800C9">
        <w:rPr>
          <w:iCs/>
          <w:lang w:eastAsia="en-US"/>
        </w:rPr>
        <w:t xml:space="preserve">biocidal use </w:t>
      </w:r>
      <w:r w:rsidRPr="00A800C9">
        <w:rPr>
          <w:iCs/>
          <w:lang w:eastAsia="en-US"/>
        </w:rPr>
        <w:t>is acceptable for professionals with</w:t>
      </w:r>
      <w:r w:rsidR="00B24C45" w:rsidRPr="00A800C9">
        <w:rPr>
          <w:iCs/>
          <w:lang w:eastAsia="en-US"/>
        </w:rPr>
        <w:t xml:space="preserve"> gloves during the cleaning of teats and equipment</w:t>
      </w:r>
      <w:r w:rsidRPr="00DC12AC">
        <w:rPr>
          <w:iCs/>
          <w:lang w:eastAsia="en-US"/>
        </w:rPr>
        <w:t xml:space="preserve">. </w:t>
      </w:r>
    </w:p>
    <w:p w14:paraId="4B9D91AD" w14:textId="77777777" w:rsidR="00A800C9" w:rsidRDefault="00A800C9" w:rsidP="00AE5162">
      <w:pPr>
        <w:rPr>
          <w:i/>
          <w:iCs/>
          <w:lang w:eastAsia="en-US"/>
        </w:rPr>
      </w:pPr>
    </w:p>
    <w:p w14:paraId="76EA679F" w14:textId="77777777" w:rsidR="00DB732F" w:rsidRPr="00A800C9" w:rsidRDefault="00DB732F" w:rsidP="00A800C9">
      <w:pPr>
        <w:jc w:val="both"/>
        <w:rPr>
          <w:iCs/>
          <w:lang w:eastAsia="en-US"/>
        </w:rPr>
      </w:pPr>
      <w:r w:rsidRPr="00A800C9">
        <w:rPr>
          <w:iCs/>
          <w:lang w:eastAsia="en-US"/>
        </w:rPr>
        <w:t xml:space="preserve">Considering the addition of the </w:t>
      </w:r>
      <w:r w:rsidR="00032DFA" w:rsidRPr="00A800C9">
        <w:rPr>
          <w:iCs/>
          <w:lang w:eastAsia="en-US"/>
        </w:rPr>
        <w:t xml:space="preserve">exposure due to the </w:t>
      </w:r>
      <w:r w:rsidRPr="00A800C9">
        <w:rPr>
          <w:iCs/>
          <w:lang w:eastAsia="en-US"/>
        </w:rPr>
        <w:t>dietary intake</w:t>
      </w:r>
      <w:r w:rsidR="00CD42D5" w:rsidRPr="00A800C9">
        <w:rPr>
          <w:iCs/>
          <w:lang w:eastAsia="en-US"/>
        </w:rPr>
        <w:t xml:space="preserve">, </w:t>
      </w:r>
      <w:r w:rsidRPr="00A800C9">
        <w:rPr>
          <w:iCs/>
          <w:lang w:eastAsia="en-US"/>
        </w:rPr>
        <w:t xml:space="preserve">the total exposure </w:t>
      </w:r>
      <w:r w:rsidR="00CD42D5" w:rsidRPr="00A800C9">
        <w:rPr>
          <w:iCs/>
          <w:lang w:eastAsia="en-US"/>
        </w:rPr>
        <w:t xml:space="preserve">to iodine </w:t>
      </w:r>
      <w:r w:rsidRPr="00A800C9">
        <w:rPr>
          <w:iCs/>
          <w:lang w:eastAsia="en-US"/>
        </w:rPr>
        <w:t xml:space="preserve">is </w:t>
      </w:r>
      <w:r w:rsidR="00CD42D5" w:rsidRPr="00A800C9">
        <w:rPr>
          <w:iCs/>
          <w:lang w:eastAsia="en-US"/>
        </w:rPr>
        <w:t>inferior</w:t>
      </w:r>
      <w:r w:rsidRPr="00A800C9">
        <w:rPr>
          <w:iCs/>
          <w:lang w:eastAsia="en-US"/>
        </w:rPr>
        <w:t xml:space="preserve"> to the</w:t>
      </w:r>
      <w:r w:rsidR="00CD42D5" w:rsidRPr="00A800C9">
        <w:rPr>
          <w:iCs/>
          <w:lang w:eastAsia="en-US"/>
        </w:rPr>
        <w:t xml:space="preserve"> upper limit intake proposed by Scientific Committee on Food of the European Commission (SCF)</w:t>
      </w:r>
      <w:r w:rsidR="00032DFA" w:rsidRPr="00A800C9">
        <w:rPr>
          <w:iCs/>
          <w:lang w:eastAsia="en-US"/>
        </w:rPr>
        <w:t>.</w:t>
      </w:r>
    </w:p>
    <w:p w14:paraId="19962D6F" w14:textId="77777777" w:rsidR="00063D06" w:rsidRPr="00063D06" w:rsidRDefault="00063D06" w:rsidP="00964E18">
      <w:pPr>
        <w:jc w:val="both"/>
        <w:rPr>
          <w:iCs/>
          <w:lang w:eastAsia="en-US"/>
        </w:rPr>
      </w:pPr>
      <w:r w:rsidRPr="00063D06">
        <w:rPr>
          <w:iCs/>
          <w:lang w:eastAsia="en-US"/>
        </w:rPr>
        <w:t>As the background value has been recently discussed (between 25% of 46% of UL) in the framework of Union authorisations, both risk assessment have been performed in this report</w:t>
      </w:r>
      <w:r>
        <w:rPr>
          <w:iCs/>
          <w:lang w:eastAsia="en-US"/>
        </w:rPr>
        <w:t>.</w:t>
      </w:r>
      <w:r w:rsidRPr="00063D06">
        <w:rPr>
          <w:iCs/>
          <w:lang w:eastAsia="en-US"/>
        </w:rPr>
        <w:br/>
        <w:t xml:space="preserve">Nevertheless, the 25% value is the one agreed in the CAR. </w:t>
      </w:r>
    </w:p>
    <w:p w14:paraId="3159B9BE" w14:textId="77777777" w:rsidR="00063D06" w:rsidRPr="00063D06" w:rsidRDefault="00063D06" w:rsidP="00964E18">
      <w:pPr>
        <w:jc w:val="both"/>
        <w:rPr>
          <w:iCs/>
          <w:lang w:eastAsia="en-US"/>
        </w:rPr>
      </w:pPr>
      <w:r w:rsidRPr="00063D06">
        <w:rPr>
          <w:iCs/>
          <w:lang w:eastAsia="en-US"/>
        </w:rPr>
        <w:t>Hence the conclusion from FRCA will be based on the agreed 25% value.</w:t>
      </w:r>
    </w:p>
    <w:p w14:paraId="5A376D43" w14:textId="77777777" w:rsidR="00063D06" w:rsidRDefault="00063D06" w:rsidP="00AE5162">
      <w:pPr>
        <w:rPr>
          <w:i/>
          <w:iCs/>
          <w:lang w:eastAsia="en-US"/>
        </w:rPr>
      </w:pPr>
    </w:p>
    <w:p w14:paraId="1B6788DF" w14:textId="77777777" w:rsidR="00AE5162" w:rsidRPr="00492007" w:rsidRDefault="00AE5162" w:rsidP="00AE5162">
      <w:pPr>
        <w:rPr>
          <w:b/>
          <w:i/>
          <w:szCs w:val="22"/>
          <w:lang w:eastAsia="en-US"/>
        </w:rPr>
      </w:pPr>
      <w:bookmarkStart w:id="98" w:name="_Toc389729091"/>
      <w:bookmarkStart w:id="99" w:name="_Toc403472777"/>
    </w:p>
    <w:p w14:paraId="6DFA8B35" w14:textId="77777777" w:rsidR="00AE5162" w:rsidRPr="00492007" w:rsidRDefault="00AE5162" w:rsidP="00AE5162">
      <w:pPr>
        <w:rPr>
          <w:b/>
          <w:i/>
          <w:szCs w:val="22"/>
          <w:lang w:eastAsia="en-US"/>
        </w:rPr>
      </w:pPr>
      <w:r w:rsidRPr="00492007">
        <w:rPr>
          <w:b/>
          <w:i/>
          <w:szCs w:val="22"/>
          <w:lang w:eastAsia="en-US"/>
        </w:rPr>
        <w:t>Risk for non-professional users</w:t>
      </w:r>
      <w:bookmarkEnd w:id="98"/>
      <w:bookmarkEnd w:id="99"/>
      <w:r w:rsidRPr="00492007">
        <w:rPr>
          <w:b/>
          <w:i/>
          <w:szCs w:val="22"/>
          <w:lang w:eastAsia="en-US"/>
        </w:rPr>
        <w:t xml:space="preserve"> </w:t>
      </w:r>
    </w:p>
    <w:p w14:paraId="3FBB52EF" w14:textId="77777777" w:rsidR="00AE5162" w:rsidRPr="004743C4" w:rsidRDefault="00AE5162" w:rsidP="00AE5162">
      <w:pPr>
        <w:rPr>
          <w:i/>
          <w:iCs/>
          <w:lang w:eastAsia="en-US"/>
        </w:rPr>
      </w:pPr>
      <w:r w:rsidRPr="004743C4">
        <w:rPr>
          <w:iCs/>
          <w:lang w:eastAsia="en-US"/>
        </w:rPr>
        <w:t>No exposure is foreseen.</w:t>
      </w:r>
    </w:p>
    <w:p w14:paraId="10697D35" w14:textId="77777777" w:rsidR="00AE5162" w:rsidRPr="00492007" w:rsidRDefault="00AE5162" w:rsidP="00AE5162">
      <w:pPr>
        <w:rPr>
          <w:lang w:eastAsia="en-US"/>
        </w:rPr>
      </w:pPr>
    </w:p>
    <w:p w14:paraId="39F520B0" w14:textId="77777777" w:rsidR="00AE5162" w:rsidRPr="00492007" w:rsidRDefault="00AE5162" w:rsidP="00AE5162">
      <w:pPr>
        <w:rPr>
          <w:b/>
          <w:i/>
          <w:szCs w:val="22"/>
          <w:lang w:eastAsia="en-US"/>
        </w:rPr>
      </w:pPr>
      <w:bookmarkStart w:id="100" w:name="_Toc389729092"/>
      <w:bookmarkStart w:id="101" w:name="_Toc403472778"/>
    </w:p>
    <w:p w14:paraId="0BF3CFE4" w14:textId="77777777" w:rsidR="00AE5162" w:rsidRPr="00492007" w:rsidRDefault="00AE5162" w:rsidP="00AE5162">
      <w:pPr>
        <w:rPr>
          <w:b/>
          <w:i/>
          <w:szCs w:val="22"/>
          <w:lang w:eastAsia="en-US"/>
        </w:rPr>
      </w:pPr>
      <w:r w:rsidRPr="00492007">
        <w:rPr>
          <w:b/>
          <w:i/>
          <w:szCs w:val="22"/>
          <w:lang w:eastAsia="en-US"/>
        </w:rPr>
        <w:t>Risk for the general public</w:t>
      </w:r>
      <w:bookmarkEnd w:id="100"/>
      <w:bookmarkEnd w:id="101"/>
      <w:r w:rsidRPr="00492007">
        <w:rPr>
          <w:b/>
          <w:i/>
          <w:szCs w:val="22"/>
          <w:lang w:eastAsia="en-US"/>
        </w:rPr>
        <w:t xml:space="preserve"> </w:t>
      </w:r>
    </w:p>
    <w:p w14:paraId="237B0A0A" w14:textId="77777777" w:rsidR="00AE5162" w:rsidRPr="004743C4" w:rsidRDefault="00AE5162" w:rsidP="00AE5162">
      <w:pPr>
        <w:rPr>
          <w:i/>
          <w:iCs/>
          <w:lang w:eastAsia="en-US"/>
        </w:rPr>
      </w:pPr>
      <w:r w:rsidRPr="004743C4">
        <w:rPr>
          <w:iCs/>
          <w:lang w:eastAsia="en-US"/>
        </w:rPr>
        <w:t>No exposure is foreseen.</w:t>
      </w:r>
    </w:p>
    <w:p w14:paraId="423CDB8D" w14:textId="77777777" w:rsidR="009D0C0B" w:rsidRDefault="009D0C0B">
      <w:pPr>
        <w:spacing w:line="260" w:lineRule="atLeast"/>
        <w:rPr>
          <w:rFonts w:ascii="Times New Roman" w:eastAsia="Calibri" w:hAnsi="Times New Roman" w:cs="Times New Roman"/>
          <w:i/>
          <w:iCs/>
          <w:lang w:eastAsia="en-US"/>
        </w:rPr>
      </w:pPr>
    </w:p>
    <w:p w14:paraId="33BF99B9" w14:textId="77777777" w:rsidR="009D0C0B" w:rsidRDefault="009D0C0B">
      <w:pPr>
        <w:spacing w:line="260" w:lineRule="atLeast"/>
        <w:rPr>
          <w:rFonts w:eastAsia="Calibri"/>
          <w:lang w:eastAsia="en-US"/>
        </w:rPr>
      </w:pPr>
    </w:p>
    <w:p w14:paraId="58791E74" w14:textId="77777777" w:rsidR="00411C91" w:rsidRPr="00C45A72" w:rsidRDefault="00411C91" w:rsidP="00411C91">
      <w:pPr>
        <w:rPr>
          <w:b/>
          <w:i/>
          <w:szCs w:val="22"/>
          <w:lang w:eastAsia="en-US"/>
        </w:rPr>
      </w:pPr>
      <w:r w:rsidRPr="00C45A72">
        <w:rPr>
          <w:b/>
          <w:i/>
          <w:szCs w:val="22"/>
          <w:lang w:eastAsia="en-US"/>
        </w:rPr>
        <w:t>Risk for consumers via residues in food</w:t>
      </w:r>
    </w:p>
    <w:p w14:paraId="39923696" w14:textId="77777777" w:rsidR="003D6A06" w:rsidRPr="00A800C9" w:rsidRDefault="003D6A06" w:rsidP="003D6A06">
      <w:pPr>
        <w:jc w:val="both"/>
        <w:rPr>
          <w:lang w:val="en-US"/>
        </w:rPr>
      </w:pPr>
      <w:r w:rsidRPr="00A800C9">
        <w:rPr>
          <w:lang w:val="en-US"/>
        </w:rPr>
        <w:t xml:space="preserve">The estimated dietary intakes of iodine have been compared to the relevant UL for adults (600 µg/d) and infants/toddlers (200 µg/d) and presented in the table below. </w:t>
      </w:r>
    </w:p>
    <w:p w14:paraId="3944E84B" w14:textId="77777777" w:rsidR="003D6A06" w:rsidRPr="00A800C9" w:rsidRDefault="003D6A06" w:rsidP="003D6A06">
      <w:pPr>
        <w:jc w:val="both"/>
        <w:rPr>
          <w:lang w:val="en-US"/>
        </w:rPr>
      </w:pPr>
    </w:p>
    <w:p w14:paraId="239049E2" w14:textId="77777777" w:rsidR="003D6A06" w:rsidRPr="00A800C9" w:rsidRDefault="003D6A06" w:rsidP="003D6A06">
      <w:pPr>
        <w:jc w:val="both"/>
        <w:rPr>
          <w:lang w:val="en-US"/>
        </w:rPr>
      </w:pPr>
      <w:r w:rsidRPr="00A800C9">
        <w:rPr>
          <w:lang w:val="en-US"/>
        </w:rPr>
        <w:t>Considering the above mentioned decisions, estimated daily iodine intakes were calculated for the IODIGUARD biocide product (0.255% available iodine).</w:t>
      </w:r>
      <w:r w:rsidRPr="00A800C9">
        <w:rPr>
          <w:lang w:val="en-US" w:eastAsia="de-DE"/>
        </w:rPr>
        <w:t xml:space="preserve"> Intakes which exceed the respective UL are highlighted in red text.</w:t>
      </w:r>
    </w:p>
    <w:p w14:paraId="716F2543" w14:textId="77777777" w:rsidR="003D6A06" w:rsidRPr="00A800C9" w:rsidRDefault="003D6A06" w:rsidP="003D6A06">
      <w:pPr>
        <w:rPr>
          <w:lang w:val="en-US"/>
        </w:rPr>
      </w:pPr>
    </w:p>
    <w:p w14:paraId="4FF56417" w14:textId="77777777" w:rsidR="003D6A06" w:rsidRPr="00A800C9" w:rsidRDefault="003D6A06" w:rsidP="003D6A06">
      <w:pPr>
        <w:jc w:val="both"/>
        <w:rPr>
          <w:lang w:val="en-US"/>
        </w:rPr>
      </w:pPr>
      <w:r w:rsidRPr="00A800C9">
        <w:rPr>
          <w:b/>
          <w:lang w:val="en-US" w:eastAsia="de-DE"/>
        </w:rPr>
        <w:t>Table 4 – Iodine Dietary risk assessment estimations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8"/>
        <w:gridCol w:w="3068"/>
      </w:tblGrid>
      <w:tr w:rsidR="003D6A06" w:rsidRPr="00A800C9" w14:paraId="57446616" w14:textId="77777777" w:rsidTr="003D6A06">
        <w:tc>
          <w:tcPr>
            <w:tcW w:w="3080" w:type="dxa"/>
            <w:shd w:val="clear" w:color="auto" w:fill="auto"/>
          </w:tcPr>
          <w:p w14:paraId="140D9DCD" w14:textId="77777777" w:rsidR="003D6A06" w:rsidRPr="00A800C9" w:rsidRDefault="003D6A06" w:rsidP="003D6A06">
            <w:pPr>
              <w:jc w:val="both"/>
              <w:rPr>
                <w:b/>
                <w:lang w:val="en-US"/>
              </w:rPr>
            </w:pPr>
          </w:p>
        </w:tc>
        <w:tc>
          <w:tcPr>
            <w:tcW w:w="3081" w:type="dxa"/>
            <w:shd w:val="clear" w:color="auto" w:fill="auto"/>
          </w:tcPr>
          <w:p w14:paraId="696B73F9" w14:textId="77777777" w:rsidR="003D6A06" w:rsidRPr="00A800C9" w:rsidRDefault="003D6A06" w:rsidP="003D6A06">
            <w:pPr>
              <w:jc w:val="both"/>
              <w:rPr>
                <w:b/>
              </w:rPr>
            </w:pPr>
            <w:r w:rsidRPr="00A800C9">
              <w:rPr>
                <w:b/>
              </w:rPr>
              <w:t>Adults (0.45 L/day)</w:t>
            </w:r>
          </w:p>
        </w:tc>
        <w:tc>
          <w:tcPr>
            <w:tcW w:w="3081" w:type="dxa"/>
            <w:shd w:val="clear" w:color="auto" w:fill="auto"/>
          </w:tcPr>
          <w:p w14:paraId="5A4D01A1" w14:textId="77777777" w:rsidR="003D6A06" w:rsidRPr="00A800C9" w:rsidRDefault="003D6A06" w:rsidP="003D6A06">
            <w:pPr>
              <w:jc w:val="both"/>
              <w:rPr>
                <w:b/>
              </w:rPr>
            </w:pPr>
            <w:r w:rsidRPr="00A800C9">
              <w:rPr>
                <w:b/>
              </w:rPr>
              <w:t>Toddler (0.46 L/day)</w:t>
            </w:r>
          </w:p>
        </w:tc>
      </w:tr>
      <w:tr w:rsidR="003D6A06" w:rsidRPr="00A800C9" w14:paraId="32EEB853" w14:textId="77777777" w:rsidTr="003D6A06">
        <w:tc>
          <w:tcPr>
            <w:tcW w:w="3080" w:type="dxa"/>
            <w:shd w:val="clear" w:color="auto" w:fill="auto"/>
          </w:tcPr>
          <w:p w14:paraId="760D49B5" w14:textId="77777777" w:rsidR="003D6A06" w:rsidRPr="00A800C9" w:rsidRDefault="003D6A06" w:rsidP="003D6A06">
            <w:pPr>
              <w:jc w:val="both"/>
              <w:rPr>
                <w:b/>
              </w:rPr>
            </w:pPr>
          </w:p>
        </w:tc>
        <w:tc>
          <w:tcPr>
            <w:tcW w:w="3081" w:type="dxa"/>
            <w:shd w:val="clear" w:color="auto" w:fill="auto"/>
          </w:tcPr>
          <w:p w14:paraId="76D19E49" w14:textId="77777777" w:rsidR="003D6A06" w:rsidRPr="00A800C9" w:rsidRDefault="003D6A06" w:rsidP="003D6A06">
            <w:pPr>
              <w:jc w:val="both"/>
              <w:rPr>
                <w:lang w:val="en-US" w:eastAsia="de-DE"/>
              </w:rPr>
            </w:pPr>
            <w:r w:rsidRPr="00A800C9">
              <w:rPr>
                <w:b/>
                <w:lang w:val="en-US"/>
              </w:rPr>
              <w:t xml:space="preserve">Estimated daily intake (µg/day) </w:t>
            </w:r>
          </w:p>
          <w:p w14:paraId="62B24855" w14:textId="77777777" w:rsidR="003D6A06" w:rsidRPr="00A800C9" w:rsidRDefault="003D6A06" w:rsidP="003D6A06">
            <w:pPr>
              <w:jc w:val="both"/>
              <w:rPr>
                <w:b/>
                <w:lang w:val="en-US"/>
              </w:rPr>
            </w:pPr>
            <w:r w:rsidRPr="00A800C9">
              <w:rPr>
                <w:lang w:eastAsia="de-DE"/>
              </w:rPr>
              <w:t>[% of UL]</w:t>
            </w:r>
          </w:p>
        </w:tc>
        <w:tc>
          <w:tcPr>
            <w:tcW w:w="3081" w:type="dxa"/>
            <w:shd w:val="clear" w:color="auto" w:fill="auto"/>
          </w:tcPr>
          <w:p w14:paraId="6C8DE1C8" w14:textId="77777777" w:rsidR="003D6A06" w:rsidRPr="00A800C9" w:rsidRDefault="003D6A06" w:rsidP="003D6A06">
            <w:pPr>
              <w:jc w:val="both"/>
              <w:rPr>
                <w:b/>
                <w:lang w:val="en-US"/>
              </w:rPr>
            </w:pPr>
            <w:r w:rsidRPr="00A800C9">
              <w:rPr>
                <w:b/>
                <w:lang w:val="en-US"/>
              </w:rPr>
              <w:t xml:space="preserve">Estimated daily intake (µg/day) </w:t>
            </w:r>
          </w:p>
          <w:p w14:paraId="1A1BADFE" w14:textId="77777777" w:rsidR="003D6A06" w:rsidRPr="00A800C9" w:rsidRDefault="003D6A06" w:rsidP="003D6A06">
            <w:pPr>
              <w:jc w:val="both"/>
              <w:rPr>
                <w:b/>
                <w:lang w:val="en-US"/>
              </w:rPr>
            </w:pPr>
            <w:r w:rsidRPr="00A800C9">
              <w:rPr>
                <w:lang w:eastAsia="de-DE"/>
              </w:rPr>
              <w:t>[% of UL]</w:t>
            </w:r>
          </w:p>
        </w:tc>
      </w:tr>
      <w:tr w:rsidR="003D6A06" w:rsidRPr="00A800C9" w14:paraId="355F9764" w14:textId="77777777" w:rsidTr="003D6A06">
        <w:tc>
          <w:tcPr>
            <w:tcW w:w="9242" w:type="dxa"/>
            <w:gridSpan w:val="3"/>
            <w:shd w:val="clear" w:color="auto" w:fill="auto"/>
          </w:tcPr>
          <w:p w14:paraId="0B2213D5" w14:textId="77777777" w:rsidR="003D6A06" w:rsidRPr="00A800C9" w:rsidRDefault="003D6A06" w:rsidP="003D6A06">
            <w:pPr>
              <w:rPr>
                <w:b/>
                <w:lang w:val="en-US"/>
              </w:rPr>
            </w:pPr>
            <w:r w:rsidRPr="00A800C9">
              <w:rPr>
                <w:b/>
                <w:lang w:val="en-US"/>
              </w:rPr>
              <w:t>2x post-milking teat disinfection (0.255% available iodine)</w:t>
            </w:r>
          </w:p>
        </w:tc>
      </w:tr>
      <w:tr w:rsidR="003D6A06" w:rsidRPr="00A800C9" w14:paraId="62108FD6" w14:textId="77777777" w:rsidTr="003D6A06">
        <w:tc>
          <w:tcPr>
            <w:tcW w:w="3080" w:type="dxa"/>
            <w:shd w:val="clear" w:color="auto" w:fill="auto"/>
            <w:vAlign w:val="center"/>
          </w:tcPr>
          <w:p w14:paraId="2F3F95F8" w14:textId="77777777" w:rsidR="003D6A06" w:rsidRPr="00A800C9" w:rsidRDefault="003D6A06" w:rsidP="003D6A06">
            <w:pPr>
              <w:rPr>
                <w:vertAlign w:val="superscript"/>
                <w:lang w:val="en-US"/>
              </w:rPr>
            </w:pPr>
            <w:r w:rsidRPr="00A800C9">
              <w:rPr>
                <w:lang w:val="en-US"/>
              </w:rPr>
              <w:t>Intake from milk due to teat treatment</w:t>
            </w:r>
            <w:r w:rsidRPr="00A800C9">
              <w:rPr>
                <w:vertAlign w:val="superscript"/>
                <w:lang w:val="en-US"/>
              </w:rPr>
              <w:t>1</w:t>
            </w:r>
          </w:p>
        </w:tc>
        <w:tc>
          <w:tcPr>
            <w:tcW w:w="3081" w:type="dxa"/>
            <w:shd w:val="clear" w:color="auto" w:fill="auto"/>
          </w:tcPr>
          <w:p w14:paraId="35691F3D" w14:textId="77777777" w:rsidR="003D6A06" w:rsidRPr="00A800C9" w:rsidRDefault="003D6A06" w:rsidP="003D6A06">
            <w:pPr>
              <w:jc w:val="center"/>
            </w:pPr>
            <w:r w:rsidRPr="00A800C9">
              <w:t xml:space="preserve">40 </w:t>
            </w:r>
            <w:r w:rsidRPr="00A800C9">
              <w:rPr>
                <w:lang w:eastAsia="de-DE"/>
              </w:rPr>
              <w:t>[6.7 % UL]</w:t>
            </w:r>
          </w:p>
        </w:tc>
        <w:tc>
          <w:tcPr>
            <w:tcW w:w="3081" w:type="dxa"/>
            <w:shd w:val="clear" w:color="auto" w:fill="auto"/>
          </w:tcPr>
          <w:p w14:paraId="1CE04054" w14:textId="77777777" w:rsidR="003D6A06" w:rsidRPr="00A800C9" w:rsidRDefault="003D6A06" w:rsidP="003D6A06">
            <w:pPr>
              <w:jc w:val="center"/>
            </w:pPr>
            <w:r w:rsidRPr="00A800C9">
              <w:t xml:space="preserve">41 </w:t>
            </w:r>
            <w:r w:rsidRPr="00A800C9">
              <w:rPr>
                <w:lang w:eastAsia="de-DE"/>
              </w:rPr>
              <w:t>[20.5 % UL]</w:t>
            </w:r>
          </w:p>
        </w:tc>
      </w:tr>
      <w:tr w:rsidR="003D6A06" w:rsidRPr="00A800C9" w14:paraId="6B1BC7D8" w14:textId="77777777" w:rsidTr="003D6A06">
        <w:tc>
          <w:tcPr>
            <w:tcW w:w="3080" w:type="dxa"/>
            <w:shd w:val="clear" w:color="auto" w:fill="auto"/>
            <w:vAlign w:val="center"/>
          </w:tcPr>
          <w:p w14:paraId="306ADCDC" w14:textId="77777777" w:rsidR="003D6A06" w:rsidRPr="00A800C9" w:rsidRDefault="003D6A06" w:rsidP="003D6A06">
            <w:r w:rsidRPr="00A800C9">
              <w:t>Total milk intake</w:t>
            </w:r>
            <w:r w:rsidRPr="00A800C9">
              <w:rPr>
                <w:vertAlign w:val="superscript"/>
              </w:rPr>
              <w:t>2</w:t>
            </w:r>
            <w:r w:rsidRPr="00A800C9">
              <w:t xml:space="preserve"> </w:t>
            </w:r>
          </w:p>
        </w:tc>
        <w:tc>
          <w:tcPr>
            <w:tcW w:w="3081" w:type="dxa"/>
            <w:shd w:val="clear" w:color="auto" w:fill="auto"/>
          </w:tcPr>
          <w:p w14:paraId="0EA7AEC7" w14:textId="77777777" w:rsidR="003D6A06" w:rsidRPr="00A800C9" w:rsidRDefault="003D6A06" w:rsidP="003D6A06">
            <w:pPr>
              <w:jc w:val="center"/>
            </w:pPr>
            <w:r w:rsidRPr="00A800C9">
              <w:t xml:space="preserve">130 </w:t>
            </w:r>
            <w:r w:rsidRPr="00A800C9">
              <w:rPr>
                <w:lang w:eastAsia="de-DE"/>
              </w:rPr>
              <w:t>[21.7 % UL]</w:t>
            </w:r>
          </w:p>
        </w:tc>
        <w:tc>
          <w:tcPr>
            <w:tcW w:w="3081" w:type="dxa"/>
            <w:shd w:val="clear" w:color="auto" w:fill="auto"/>
          </w:tcPr>
          <w:p w14:paraId="51E8CD60" w14:textId="77777777" w:rsidR="003D6A06" w:rsidRPr="00A800C9" w:rsidRDefault="003D6A06" w:rsidP="003D6A06">
            <w:pPr>
              <w:jc w:val="center"/>
            </w:pPr>
            <w:r w:rsidRPr="00A800C9">
              <w:t xml:space="preserve">133 </w:t>
            </w:r>
            <w:r w:rsidRPr="00A800C9">
              <w:rPr>
                <w:lang w:eastAsia="de-DE"/>
              </w:rPr>
              <w:t>[66.5 % UL]</w:t>
            </w:r>
          </w:p>
        </w:tc>
      </w:tr>
      <w:tr w:rsidR="003D6A06" w:rsidRPr="00A800C9" w14:paraId="367BE166" w14:textId="77777777" w:rsidTr="003D6A06">
        <w:tc>
          <w:tcPr>
            <w:tcW w:w="3080" w:type="dxa"/>
            <w:shd w:val="clear" w:color="auto" w:fill="auto"/>
            <w:vAlign w:val="center"/>
          </w:tcPr>
          <w:p w14:paraId="23CE9FDC" w14:textId="77777777" w:rsidR="003D6A06" w:rsidRPr="00A800C9" w:rsidRDefault="003D6A06" w:rsidP="003D6A06">
            <w:r w:rsidRPr="00A800C9">
              <w:t>Total dietary intake</w:t>
            </w:r>
            <w:r w:rsidRPr="00A800C9">
              <w:rPr>
                <w:vertAlign w:val="superscript"/>
              </w:rPr>
              <w:t>3</w:t>
            </w:r>
          </w:p>
        </w:tc>
        <w:tc>
          <w:tcPr>
            <w:tcW w:w="3081" w:type="dxa"/>
            <w:shd w:val="clear" w:color="auto" w:fill="auto"/>
          </w:tcPr>
          <w:p w14:paraId="48D76E19" w14:textId="77777777" w:rsidR="003D6A06" w:rsidRPr="00A800C9" w:rsidRDefault="003D6A06" w:rsidP="003D6A06">
            <w:pPr>
              <w:jc w:val="center"/>
            </w:pPr>
            <w:r w:rsidRPr="00A800C9">
              <w:t xml:space="preserve">315 </w:t>
            </w:r>
            <w:r w:rsidRPr="00A800C9">
              <w:rPr>
                <w:lang w:eastAsia="de-DE"/>
              </w:rPr>
              <w:t>[52.5 % UL]</w:t>
            </w:r>
          </w:p>
        </w:tc>
        <w:tc>
          <w:tcPr>
            <w:tcW w:w="3081" w:type="dxa"/>
            <w:shd w:val="clear" w:color="auto" w:fill="auto"/>
          </w:tcPr>
          <w:p w14:paraId="0BA7913F" w14:textId="77777777" w:rsidR="003D6A06" w:rsidRPr="00A800C9" w:rsidRDefault="003D6A06" w:rsidP="003D6A06">
            <w:pPr>
              <w:jc w:val="center"/>
            </w:pPr>
            <w:r w:rsidRPr="00A800C9">
              <w:t xml:space="preserve">229 </w:t>
            </w:r>
            <w:r w:rsidRPr="00A800C9">
              <w:rPr>
                <w:lang w:eastAsia="de-DE"/>
              </w:rPr>
              <w:t>[</w:t>
            </w:r>
            <w:r w:rsidRPr="00A800C9">
              <w:rPr>
                <w:color w:val="FF0000"/>
                <w:lang w:eastAsia="de-DE"/>
              </w:rPr>
              <w:t>114.5 % UL</w:t>
            </w:r>
            <w:r w:rsidRPr="00A800C9">
              <w:rPr>
                <w:lang w:eastAsia="de-DE"/>
              </w:rPr>
              <w:t>]</w:t>
            </w:r>
          </w:p>
        </w:tc>
      </w:tr>
    </w:tbl>
    <w:p w14:paraId="4982D2C8" w14:textId="77777777" w:rsidR="003D6A06" w:rsidRPr="00A800C9" w:rsidRDefault="003D6A06" w:rsidP="003D6A06">
      <w:pPr>
        <w:rPr>
          <w:sz w:val="18"/>
          <w:lang w:val="en-US"/>
        </w:rPr>
      </w:pPr>
      <w:r w:rsidRPr="00A800C9">
        <w:rPr>
          <w:sz w:val="18"/>
          <w:vertAlign w:val="superscript"/>
          <w:lang w:val="en-US"/>
        </w:rPr>
        <w:t>1</w:t>
      </w:r>
      <w:r w:rsidRPr="00A800C9">
        <w:rPr>
          <w:sz w:val="18"/>
          <w:lang w:val="en-US"/>
        </w:rPr>
        <w:t xml:space="preserve"> Iodine intake from milk due to teat treatment is derived from BP specific residue values (based on Iwarsson 1974).</w:t>
      </w:r>
    </w:p>
    <w:p w14:paraId="3ADD1C7F" w14:textId="77777777" w:rsidR="003D6A06" w:rsidRPr="00A800C9" w:rsidRDefault="003D6A06" w:rsidP="00A800C9">
      <w:pPr>
        <w:jc w:val="both"/>
        <w:rPr>
          <w:sz w:val="18"/>
          <w:lang w:val="en-US"/>
        </w:rPr>
      </w:pPr>
      <w:r w:rsidRPr="00A800C9">
        <w:rPr>
          <w:sz w:val="18"/>
          <w:vertAlign w:val="superscript"/>
          <w:lang w:val="en-US"/>
        </w:rPr>
        <w:t>2</w:t>
      </w:r>
      <w:r w:rsidRPr="00A800C9">
        <w:rPr>
          <w:sz w:val="18"/>
          <w:lang w:val="en-US"/>
        </w:rPr>
        <w:t xml:space="preserve"> Total milk intake is the sum of the estimated additional iodine intake resulting from the transfer into milk following teat disinfection and the iodine background in milk of 200 µg/l.</w:t>
      </w:r>
    </w:p>
    <w:p w14:paraId="4F9B05CF" w14:textId="77777777" w:rsidR="003D6A06" w:rsidRPr="00A800C9" w:rsidRDefault="003D6A06" w:rsidP="003D6A06">
      <w:pPr>
        <w:jc w:val="both"/>
        <w:rPr>
          <w:sz w:val="18"/>
          <w:lang w:val="en-US"/>
        </w:rPr>
      </w:pPr>
      <w:r w:rsidRPr="00A800C9">
        <w:rPr>
          <w:sz w:val="18"/>
          <w:vertAlign w:val="superscript"/>
          <w:lang w:val="en-US"/>
        </w:rPr>
        <w:t>3</w:t>
      </w:r>
      <w:r w:rsidRPr="00A800C9">
        <w:rPr>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p>
    <w:p w14:paraId="093AAF98" w14:textId="77777777" w:rsidR="003D6A06" w:rsidRPr="00A800C9" w:rsidRDefault="003D6A06" w:rsidP="003D6A06">
      <w:pPr>
        <w:jc w:val="both"/>
        <w:rPr>
          <w:lang w:val="en-US"/>
        </w:rPr>
      </w:pPr>
    </w:p>
    <w:p w14:paraId="2B6F0215" w14:textId="77777777" w:rsidR="003D6A06" w:rsidRPr="00A800C9" w:rsidRDefault="003D6A06" w:rsidP="003D6A06">
      <w:pPr>
        <w:jc w:val="both"/>
        <w:rPr>
          <w:i/>
          <w:u w:val="single"/>
          <w:lang w:val="en-US" w:eastAsia="de-DE"/>
        </w:rPr>
      </w:pPr>
      <w:r w:rsidRPr="00A800C9">
        <w:rPr>
          <w:i/>
          <w:u w:val="single"/>
          <w:lang w:val="en-US" w:eastAsia="de-DE"/>
        </w:rPr>
        <w:t>Calculation for 2x post-milking applications:</w:t>
      </w:r>
    </w:p>
    <w:p w14:paraId="5CAFAB61" w14:textId="77777777" w:rsidR="003D6A06" w:rsidRPr="00A800C9" w:rsidRDefault="003D6A06" w:rsidP="003D6A06">
      <w:pPr>
        <w:rPr>
          <w:i/>
          <w:lang w:val="en-US" w:eastAsia="de-DE"/>
        </w:rPr>
      </w:pPr>
      <w:r w:rsidRPr="00A800C9">
        <w:rPr>
          <w:i/>
          <w:lang w:val="en-US" w:eastAsia="de-DE"/>
        </w:rPr>
        <w:t>Percentage UL for adult= (40/600) = 6.7 % or (130/600) = 21.7 % or (315/600) = 52.5 %</w:t>
      </w:r>
    </w:p>
    <w:p w14:paraId="5A4E9A94" w14:textId="77777777" w:rsidR="003D6A06" w:rsidRPr="007A73EE" w:rsidRDefault="003D6A06" w:rsidP="003D6A06">
      <w:pPr>
        <w:rPr>
          <w:i/>
          <w:lang w:val="en-US" w:eastAsia="de-DE"/>
        </w:rPr>
      </w:pPr>
      <w:r w:rsidRPr="00A800C9">
        <w:rPr>
          <w:i/>
          <w:lang w:val="en-US" w:eastAsia="de-DE"/>
        </w:rPr>
        <w:t>Percentage UL for children= (41/200) = 20.5 % or (133/200) = 66.5 % or (229/200) = 114.5 %</w:t>
      </w:r>
    </w:p>
    <w:p w14:paraId="148D00A7" w14:textId="77777777" w:rsidR="00411C91" w:rsidRPr="00547005" w:rsidRDefault="00411C91" w:rsidP="00411C91">
      <w:pPr>
        <w:jc w:val="both"/>
      </w:pPr>
      <w:r w:rsidRPr="00547005">
        <w:t xml:space="preserve">An exceedance of the Upper Intake Level (UL) for infant, toddler and children cannot be excluded based on the available data. At this stage, no additional refinement can be realised without any measurements of iodine residue in milk. </w:t>
      </w:r>
    </w:p>
    <w:p w14:paraId="005EB4D4" w14:textId="77777777" w:rsidR="00411C91" w:rsidRPr="00547005" w:rsidRDefault="00411C91" w:rsidP="00411C91">
      <w:pPr>
        <w:jc w:val="both"/>
      </w:pPr>
    </w:p>
    <w:p w14:paraId="4C4BD84C" w14:textId="77777777" w:rsidR="00411C91" w:rsidRPr="00547005" w:rsidRDefault="00411C91" w:rsidP="00411C91">
      <w:pPr>
        <w:jc w:val="both"/>
        <w:rPr>
          <w:highlight w:val="yellow"/>
        </w:rPr>
      </w:pPr>
      <w:r w:rsidRPr="00547005">
        <w:t xml:space="preserve">The Upper Intake Level (UL) is a reference value considered to compare the exposure via food estimated for the uses of IODIGUARD. As stated above, the UL is an indicative upper value exposure, but does not represent a threshold directly linked to a toxicological risk. </w:t>
      </w:r>
    </w:p>
    <w:p w14:paraId="14B5A6B1" w14:textId="77777777" w:rsidR="00411C91" w:rsidRDefault="00411C91" w:rsidP="00411C91">
      <w:pPr>
        <w:jc w:val="both"/>
        <w:rPr>
          <w:highlight w:val="yellow"/>
        </w:rPr>
      </w:pPr>
    </w:p>
    <w:p w14:paraId="17C89651" w14:textId="77777777" w:rsidR="00411C91" w:rsidRPr="00D52562" w:rsidRDefault="00411C91" w:rsidP="00411C91">
      <w:pPr>
        <w:jc w:val="both"/>
        <w:rPr>
          <w:highlight w:val="yellow"/>
        </w:rPr>
      </w:pPr>
      <w:r>
        <w:rPr>
          <w:b/>
          <w:bCs/>
          <w:lang w:eastAsia="en-US"/>
        </w:rPr>
        <w:t>Conclusion</w:t>
      </w:r>
    </w:p>
    <w:p w14:paraId="053B55E1" w14:textId="77777777" w:rsidR="003D6A06" w:rsidRPr="007A73EE" w:rsidRDefault="003D6A06" w:rsidP="003D6A06">
      <w:pPr>
        <w:jc w:val="both"/>
        <w:rPr>
          <w:rFonts w:cs="Arial"/>
          <w:lang w:val="en-US"/>
        </w:rPr>
      </w:pPr>
      <w:r>
        <w:rPr>
          <w:lang w:eastAsia="en-US"/>
        </w:rPr>
        <w:t>T</w:t>
      </w:r>
      <w:r w:rsidR="00411C91" w:rsidRPr="00143A7D">
        <w:rPr>
          <w:lang w:eastAsia="en-US"/>
        </w:rPr>
        <w:t>he estimation of iodine contamination in milk is performed considering the worst case situation</w:t>
      </w:r>
      <w:r>
        <w:rPr>
          <w:lang w:eastAsia="en-US"/>
        </w:rPr>
        <w:t>.</w:t>
      </w:r>
      <w:r w:rsidRPr="00A800C9">
        <w:rPr>
          <w:rFonts w:cs="Arial"/>
          <w:lang w:val="en-US"/>
        </w:rPr>
        <w:t xml:space="preserve">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w:t>
      </w:r>
    </w:p>
    <w:p w14:paraId="505A51E8" w14:textId="77777777" w:rsidR="003D6A06" w:rsidRPr="007A73EE" w:rsidRDefault="003D6A06" w:rsidP="003D6A06">
      <w:pPr>
        <w:jc w:val="both"/>
        <w:rPr>
          <w:lang w:val="en-US"/>
        </w:rPr>
      </w:pPr>
      <w:r w:rsidRPr="007A73EE">
        <w:rPr>
          <w:lang w:val="en-US"/>
        </w:rPr>
        <w:t xml:space="preserve"> </w:t>
      </w:r>
    </w:p>
    <w:p w14:paraId="340521D3" w14:textId="77777777" w:rsidR="009D0C0B" w:rsidRDefault="009D0C0B">
      <w:pPr>
        <w:spacing w:line="260" w:lineRule="atLeast"/>
        <w:rPr>
          <w:rFonts w:ascii="Times New Roman" w:eastAsia="Calibri" w:hAnsi="Times New Roman" w:cs="Times New Roman"/>
          <w:i/>
          <w:iCs/>
          <w:lang w:eastAsia="en-US"/>
        </w:rPr>
      </w:pPr>
    </w:p>
    <w:p w14:paraId="43EF6EBF" w14:textId="77777777" w:rsidR="009D0C0B" w:rsidRDefault="00FA480B">
      <w:pPr>
        <w:pStyle w:val="Titre3"/>
        <w:rPr>
          <w:rFonts w:ascii="Times New Roman" w:eastAsia="Calibri" w:hAnsi="Times New Roman" w:cs="Times New Roman"/>
          <w:i/>
          <w:iCs/>
          <w:lang w:eastAsia="en-US"/>
        </w:rPr>
      </w:pPr>
      <w:bookmarkStart w:id="102" w:name="_Toc516669790"/>
      <w:r>
        <w:t>Risk assessment for animal health</w:t>
      </w:r>
      <w:bookmarkEnd w:id="102"/>
    </w:p>
    <w:p w14:paraId="53788015" w14:textId="77777777" w:rsidR="00EA3266" w:rsidRPr="00DC12AC" w:rsidRDefault="00EA3266" w:rsidP="00EA3266">
      <w:pPr>
        <w:jc w:val="both"/>
        <w:rPr>
          <w:iCs/>
          <w:lang w:eastAsia="en-US"/>
        </w:rPr>
      </w:pPr>
      <w:r w:rsidRPr="00DC12AC">
        <w:rPr>
          <w:iCs/>
          <w:lang w:eastAsia="en-US"/>
        </w:rPr>
        <w:t>As no guidance is currently available to assess animal health, the eCA did</w:t>
      </w:r>
      <w:r w:rsidR="00C21524">
        <w:rPr>
          <w:iCs/>
          <w:lang w:eastAsia="en-US"/>
        </w:rPr>
        <w:t xml:space="preserve"> </w:t>
      </w:r>
      <w:r w:rsidRPr="00DC12AC">
        <w:rPr>
          <w:iCs/>
          <w:lang w:eastAsia="en-US"/>
        </w:rPr>
        <w:t>n</w:t>
      </w:r>
      <w:r w:rsidR="00C21524">
        <w:rPr>
          <w:iCs/>
          <w:lang w:eastAsia="en-US"/>
        </w:rPr>
        <w:t>o</w:t>
      </w:r>
      <w:r w:rsidRPr="00DC12AC">
        <w:rPr>
          <w:iCs/>
          <w:lang w:eastAsia="en-US"/>
        </w:rPr>
        <w:t>t perform assessment for animal health.</w:t>
      </w:r>
    </w:p>
    <w:p w14:paraId="50D698A5" w14:textId="77777777" w:rsidR="00EA3266" w:rsidRPr="00492007" w:rsidRDefault="00EA3266" w:rsidP="00EA3266">
      <w:pPr>
        <w:jc w:val="both"/>
        <w:rPr>
          <w:i/>
          <w:iCs/>
          <w:lang w:eastAsia="en-US"/>
        </w:rPr>
      </w:pPr>
    </w:p>
    <w:p w14:paraId="53AAC4D0" w14:textId="77777777" w:rsidR="00EA3266" w:rsidRPr="000D1536" w:rsidRDefault="00EA3266" w:rsidP="00EA3266">
      <w:pPr>
        <w:widowControl w:val="0"/>
        <w:spacing w:after="120"/>
        <w:jc w:val="both"/>
        <w:rPr>
          <w:snapToGrid w:val="0"/>
          <w:lang w:eastAsia="fi-FI"/>
        </w:rPr>
      </w:pPr>
      <w:r w:rsidRPr="000D1536">
        <w:rPr>
          <w:snapToGrid w:val="0"/>
          <w:lang w:eastAsia="fi-FI"/>
        </w:rPr>
        <w:t xml:space="preserve">The Committee for Veterinary Medicinal Products (CVMP) has reviewed iodine for the use in veterinary medicine as antiseptic, sanitiser, teat dip for prevention and control of the mastitis, topical preparation for preventing wounds infections. </w:t>
      </w:r>
    </w:p>
    <w:p w14:paraId="594D355B" w14:textId="77777777" w:rsidR="00EA3266" w:rsidRPr="000D1536" w:rsidRDefault="00EA3266" w:rsidP="00EA3266">
      <w:pPr>
        <w:widowControl w:val="0"/>
        <w:spacing w:after="120"/>
        <w:jc w:val="both"/>
        <w:rPr>
          <w:snapToGrid w:val="0"/>
          <w:lang w:eastAsia="fi-FI"/>
        </w:rPr>
      </w:pPr>
      <w:r w:rsidRPr="000D1536">
        <w:rPr>
          <w:snapToGrid w:val="0"/>
          <w:lang w:eastAsia="fi-FI"/>
        </w:rPr>
        <w:t xml:space="preserve">CVMP reported that “only small increases in serum iodine concentration were found after teat dipping indicating that the procedure had a negligible effect on tissue iodine concentrations”. </w:t>
      </w:r>
    </w:p>
    <w:p w14:paraId="0204BD14" w14:textId="77777777" w:rsidR="00EA3266" w:rsidRPr="000D1536" w:rsidRDefault="00EA3266" w:rsidP="00EA3266">
      <w:pPr>
        <w:widowControl w:val="0"/>
        <w:spacing w:after="120"/>
        <w:jc w:val="both"/>
        <w:rPr>
          <w:snapToGrid w:val="0"/>
          <w:lang w:eastAsia="fi-FI"/>
        </w:rPr>
      </w:pPr>
      <w:r w:rsidRPr="000D1536">
        <w:rPr>
          <w:snapToGrid w:val="0"/>
          <w:lang w:eastAsia="fi-FI"/>
        </w:rPr>
        <w:t>As teat dipping does not increase significantly the iodine concentration in animal tissues, it could be concluded that the use of iodine in teat disinfection does not raise systemic concerns for animal health.</w:t>
      </w:r>
    </w:p>
    <w:p w14:paraId="0AD653A7" w14:textId="77777777" w:rsidR="009D0C0B" w:rsidRDefault="009D0C0B">
      <w:pPr>
        <w:spacing w:line="260" w:lineRule="atLeast"/>
        <w:ind w:left="360"/>
        <w:contextualSpacing/>
        <w:rPr>
          <w:rFonts w:ascii="Times New Roman" w:eastAsia="Calibri" w:hAnsi="Times New Roman" w:cs="Times New Roman"/>
          <w:i/>
          <w:iCs/>
          <w:lang w:eastAsia="en-US"/>
        </w:rPr>
      </w:pPr>
    </w:p>
    <w:p w14:paraId="5B53E7AA" w14:textId="77777777" w:rsidR="009D0C0B" w:rsidRDefault="009D0C0B">
      <w:pPr>
        <w:spacing w:line="260" w:lineRule="atLeast"/>
        <w:rPr>
          <w:rFonts w:ascii="Times New Roman" w:eastAsia="Calibri" w:hAnsi="Times New Roman" w:cs="Times New Roman"/>
          <w:i/>
          <w:iCs/>
          <w:lang w:eastAsia="en-US"/>
        </w:rPr>
      </w:pPr>
    </w:p>
    <w:p w14:paraId="3CEB45DB" w14:textId="77777777" w:rsidR="009D0C0B" w:rsidRDefault="00FA480B">
      <w:pPr>
        <w:pStyle w:val="Titre3"/>
      </w:pPr>
      <w:bookmarkStart w:id="103" w:name="_Toc516669791"/>
      <w:r>
        <w:t>Risk assessment for the environment</w:t>
      </w:r>
      <w:bookmarkEnd w:id="103"/>
    </w:p>
    <w:tbl>
      <w:tblPr>
        <w:tblStyle w:val="Grilledutableau4"/>
        <w:tblpPr w:leftFromText="180" w:rightFromText="180" w:vertAnchor="text" w:horzAnchor="margin" w:tblpX="108" w:tblpY="106"/>
        <w:tblW w:w="9180" w:type="dxa"/>
        <w:tblLook w:val="04A0" w:firstRow="1" w:lastRow="0" w:firstColumn="1" w:lastColumn="0" w:noHBand="0" w:noVBand="1"/>
      </w:tblPr>
      <w:tblGrid>
        <w:gridCol w:w="9180"/>
      </w:tblGrid>
      <w:tr w:rsidR="00660FFE" w:rsidRPr="0069123B" w14:paraId="43CAE636" w14:textId="77777777" w:rsidTr="00660FFE">
        <w:tc>
          <w:tcPr>
            <w:tcW w:w="9180" w:type="dxa"/>
            <w:shd w:val="clear" w:color="auto" w:fill="D6E3BC" w:themeFill="accent3" w:themeFillTint="66"/>
          </w:tcPr>
          <w:p w14:paraId="28E3BCB3" w14:textId="77777777" w:rsidR="00660FFE" w:rsidRPr="0069123B" w:rsidRDefault="00660FFE" w:rsidP="00660FFE">
            <w:pPr>
              <w:spacing w:line="276" w:lineRule="auto"/>
              <w:jc w:val="both"/>
              <w:rPr>
                <w:rFonts w:cs="Arial"/>
                <w:sz w:val="20"/>
                <w:szCs w:val="20"/>
              </w:rPr>
            </w:pPr>
            <w:r w:rsidRPr="0069123B">
              <w:rPr>
                <w:rFonts w:cs="Arial"/>
                <w:sz w:val="20"/>
                <w:szCs w:val="20"/>
              </w:rPr>
              <w:t xml:space="preserve">Please notice that the risk assessment for the environment (section 2.2.8) is reported as provided by the applicant. The FR CA position is presented in </w:t>
            </w:r>
            <w:r w:rsidRPr="0069123B">
              <w:rPr>
                <w:rFonts w:cs="Arial"/>
                <w:b/>
                <w:sz w:val="20"/>
                <w:szCs w:val="20"/>
              </w:rPr>
              <w:t>green evaluation boxes.</w:t>
            </w:r>
          </w:p>
        </w:tc>
      </w:tr>
    </w:tbl>
    <w:p w14:paraId="59EE6E85" w14:textId="77777777" w:rsidR="009D0C0B" w:rsidRDefault="00FA480B">
      <w:pPr>
        <w:pStyle w:val="Titre4"/>
        <w:rPr>
          <w:rFonts w:ascii="Times New Roman" w:hAnsi="Times New Roman" w:cs="Times New Roman"/>
          <w:i/>
          <w:iCs/>
          <w:lang w:eastAsia="en-US"/>
        </w:rPr>
      </w:pPr>
      <w:bookmarkStart w:id="104" w:name="_Toc516669792"/>
      <w:r>
        <w:t>Effects assessment on the environment</w:t>
      </w:r>
      <w:bookmarkEnd w:id="104"/>
    </w:p>
    <w:p w14:paraId="2B12DA68" w14:textId="77777777" w:rsidR="009D0C0B" w:rsidRDefault="009D0C0B">
      <w:pPr>
        <w:spacing w:line="260" w:lineRule="atLeast"/>
        <w:contextualSpacing/>
        <w:jc w:val="both"/>
        <w:rPr>
          <w:rFonts w:ascii="Times New Roman" w:eastAsia="Calibri" w:hAnsi="Times New Roman" w:cs="Times New Roman"/>
          <w:i/>
          <w:iCs/>
          <w:lang w:eastAsia="en-US"/>
        </w:rPr>
      </w:pPr>
    </w:p>
    <w:p w14:paraId="0D518573" w14:textId="77777777" w:rsidR="00660FFE" w:rsidRDefault="00660FFE" w:rsidP="00660FFE">
      <w:pPr>
        <w:contextualSpacing/>
        <w:jc w:val="both"/>
        <w:rPr>
          <w:i/>
          <w:iCs/>
          <w:lang w:eastAsia="en-US"/>
        </w:rPr>
      </w:pPr>
      <w:bookmarkStart w:id="105" w:name="bookmark37"/>
      <w:r w:rsidRPr="005D5E05">
        <w:rPr>
          <w:rFonts w:ascii="Arial" w:hAnsi="Arial" w:cs="Arial"/>
          <w:b/>
          <w:i/>
          <w:color w:val="000000"/>
          <w:sz w:val="24"/>
          <w:lang w:eastAsia="en-GB" w:bidi="en-GB"/>
        </w:rPr>
        <w:t>Background levels</w:t>
      </w:r>
      <w:bookmarkEnd w:id="105"/>
      <w:r w:rsidRPr="000114BB">
        <w:rPr>
          <w:i/>
          <w:iCs/>
          <w:lang w:eastAsia="en-US"/>
        </w:rPr>
        <w:t xml:space="preserve"> </w:t>
      </w:r>
    </w:p>
    <w:p w14:paraId="0B795310" w14:textId="77777777" w:rsidR="00660FFE" w:rsidRDefault="00660FFE" w:rsidP="00660FFE">
      <w:pPr>
        <w:jc w:val="both"/>
      </w:pPr>
    </w:p>
    <w:p w14:paraId="48744ED3" w14:textId="77777777" w:rsidR="00660FFE" w:rsidRDefault="00660FFE" w:rsidP="00660FFE">
      <w:pPr>
        <w:jc w:val="both"/>
      </w:pPr>
      <w:r w:rsidRPr="00685978">
        <w:t>Iodine and iodine compounds are ubiquitously distributed and there is a natural cycle of iodine species in the environment. Accordingly, environmental background values as presented in the table below are likely to be encountered for soil, water and air.</w:t>
      </w:r>
    </w:p>
    <w:tbl>
      <w:tblPr>
        <w:tblStyle w:val="Grilledutableau4"/>
        <w:tblpPr w:leftFromText="180" w:rightFromText="180" w:vertAnchor="text" w:horzAnchor="margin" w:tblpX="108" w:tblpY="106"/>
        <w:tblW w:w="9180" w:type="dxa"/>
        <w:tblLook w:val="04A0" w:firstRow="1" w:lastRow="0" w:firstColumn="1" w:lastColumn="0" w:noHBand="0" w:noVBand="1"/>
      </w:tblPr>
      <w:tblGrid>
        <w:gridCol w:w="9180"/>
      </w:tblGrid>
      <w:tr w:rsidR="00660FFE" w:rsidRPr="00660FFE" w14:paraId="077F1463" w14:textId="77777777" w:rsidTr="00660FFE">
        <w:tc>
          <w:tcPr>
            <w:tcW w:w="9180" w:type="dxa"/>
            <w:shd w:val="clear" w:color="auto" w:fill="D6E3BC" w:themeFill="accent3" w:themeFillTint="66"/>
          </w:tcPr>
          <w:p w14:paraId="3100CF77" w14:textId="77777777" w:rsidR="00660FFE" w:rsidRPr="00660FFE" w:rsidRDefault="00660FFE" w:rsidP="00660FFE">
            <w:pPr>
              <w:pStyle w:val="Lgende"/>
              <w:rPr>
                <w:rFonts w:ascii="Verdana" w:hAnsi="Verdana"/>
                <w:b/>
              </w:rPr>
            </w:pPr>
            <w:r w:rsidRPr="00660FFE">
              <w:rPr>
                <w:rFonts w:ascii="Verdana" w:hAnsi="Verdana"/>
                <w:b/>
              </w:rPr>
              <w:t xml:space="preserve">Infobox </w:t>
            </w:r>
            <w:r w:rsidRPr="00660FFE">
              <w:rPr>
                <w:rFonts w:ascii="Verdana" w:hAnsi="Verdana"/>
                <w:b/>
              </w:rPr>
              <w:fldChar w:fldCharType="begin"/>
            </w:r>
            <w:r w:rsidRPr="00660FFE">
              <w:rPr>
                <w:rFonts w:ascii="Verdana" w:hAnsi="Verdana"/>
                <w:b/>
              </w:rPr>
              <w:instrText xml:space="preserve"> SEQ Infobox \* ARABIC </w:instrText>
            </w:r>
            <w:r w:rsidRPr="00660FFE">
              <w:rPr>
                <w:rFonts w:ascii="Verdana" w:hAnsi="Verdana"/>
                <w:b/>
              </w:rPr>
              <w:fldChar w:fldCharType="separate"/>
            </w:r>
            <w:r w:rsidR="00D3764E">
              <w:rPr>
                <w:rFonts w:ascii="Verdana" w:hAnsi="Verdana"/>
                <w:b/>
                <w:noProof/>
              </w:rPr>
              <w:t>1</w:t>
            </w:r>
            <w:r w:rsidRPr="00660FFE">
              <w:rPr>
                <w:rFonts w:ascii="Verdana" w:hAnsi="Verdana"/>
                <w:b/>
              </w:rPr>
              <w:fldChar w:fldCharType="end"/>
            </w:r>
            <w:r w:rsidRPr="00660FFE">
              <w:rPr>
                <w:rFonts w:ascii="Verdana" w:hAnsi="Verdana"/>
                <w:b/>
              </w:rPr>
              <w:t xml:space="preserve"> - FR CA position:</w:t>
            </w:r>
          </w:p>
          <w:p w14:paraId="0723E7C5" w14:textId="77777777" w:rsidR="00660FFE" w:rsidRPr="00660FFE" w:rsidRDefault="00660FFE" w:rsidP="00660FFE">
            <w:pPr>
              <w:spacing w:line="276" w:lineRule="auto"/>
              <w:jc w:val="both"/>
              <w:rPr>
                <w:rFonts w:cs="Arial"/>
                <w:sz w:val="20"/>
                <w:szCs w:val="20"/>
              </w:rPr>
            </w:pPr>
            <w:r w:rsidRPr="00660FFE">
              <w:rPr>
                <w:rFonts w:cs="Arial"/>
                <w:sz w:val="20"/>
                <w:szCs w:val="20"/>
              </w:rPr>
              <w:t>We agree with the following summary of background levels. These background levels cover also the iodine compounds.</w:t>
            </w:r>
          </w:p>
        </w:tc>
      </w:tr>
    </w:tbl>
    <w:p w14:paraId="313DC6B3" w14:textId="77777777" w:rsidR="00660FFE" w:rsidRDefault="00660FFE" w:rsidP="00660FFE">
      <w:pPr>
        <w:jc w:val="both"/>
      </w:pPr>
    </w:p>
    <w:p w14:paraId="29FC855D" w14:textId="77777777" w:rsidR="00660FFE" w:rsidRPr="00685978" w:rsidRDefault="00660FFE" w:rsidP="00660FFE">
      <w:pPr>
        <w:jc w:val="both"/>
      </w:pPr>
    </w:p>
    <w:tbl>
      <w:tblPr>
        <w:tblW w:w="0" w:type="auto"/>
        <w:tblLayout w:type="fixed"/>
        <w:tblCellMar>
          <w:left w:w="10" w:type="dxa"/>
          <w:right w:w="10" w:type="dxa"/>
        </w:tblCellMar>
        <w:tblLook w:val="0000" w:firstRow="0" w:lastRow="0" w:firstColumn="0" w:lastColumn="0" w:noHBand="0" w:noVBand="0"/>
      </w:tblPr>
      <w:tblGrid>
        <w:gridCol w:w="2448"/>
        <w:gridCol w:w="6776"/>
      </w:tblGrid>
      <w:tr w:rsidR="00660FFE" w:rsidRPr="00660FFE" w14:paraId="0C315490" w14:textId="77777777" w:rsidTr="00660FFE">
        <w:trPr>
          <w:trHeight w:hRule="exact" w:val="333"/>
        </w:trPr>
        <w:tc>
          <w:tcPr>
            <w:tcW w:w="9224" w:type="dxa"/>
            <w:gridSpan w:val="2"/>
            <w:tcBorders>
              <w:top w:val="single" w:sz="4" w:space="0" w:color="auto"/>
              <w:left w:val="single" w:sz="4" w:space="0" w:color="auto"/>
              <w:right w:val="single" w:sz="4" w:space="0" w:color="auto"/>
            </w:tcBorders>
            <w:shd w:val="clear" w:color="auto" w:fill="FFFFCB"/>
            <w:vAlign w:val="bottom"/>
          </w:tcPr>
          <w:p w14:paraId="57950D70" w14:textId="77777777" w:rsidR="00660FFE" w:rsidRPr="00660FFE" w:rsidRDefault="00660FFE" w:rsidP="00DC4AD8">
            <w:pPr>
              <w:widowControl w:val="0"/>
              <w:spacing w:line="200" w:lineRule="exact"/>
              <w:jc w:val="center"/>
              <w:rPr>
                <w:rFonts w:eastAsia="Arial" w:cs="Arial"/>
                <w:color w:val="000000"/>
                <w:lang w:eastAsia="en-GB" w:bidi="en-GB"/>
              </w:rPr>
            </w:pPr>
            <w:r w:rsidRPr="00660FFE">
              <w:rPr>
                <w:rFonts w:eastAsia="Arial" w:cs="Arial"/>
                <w:b/>
                <w:bCs/>
                <w:color w:val="000000"/>
                <w:szCs w:val="18"/>
                <w:lang w:eastAsia="en-GB" w:bidi="en-GB"/>
              </w:rPr>
              <w:t>Summary table of background levels</w:t>
            </w:r>
          </w:p>
        </w:tc>
      </w:tr>
      <w:tr w:rsidR="00660FFE" w:rsidRPr="00660FFE" w14:paraId="34315A61" w14:textId="77777777" w:rsidTr="00660FFE">
        <w:trPr>
          <w:trHeight w:val="325"/>
        </w:trPr>
        <w:tc>
          <w:tcPr>
            <w:tcW w:w="2448" w:type="dxa"/>
            <w:tcBorders>
              <w:top w:val="single" w:sz="4" w:space="0" w:color="auto"/>
              <w:left w:val="single" w:sz="4" w:space="0" w:color="auto"/>
            </w:tcBorders>
            <w:shd w:val="clear" w:color="auto" w:fill="FFFFFF"/>
            <w:vAlign w:val="center"/>
          </w:tcPr>
          <w:p w14:paraId="5B85C7BE" w14:textId="77777777" w:rsidR="00660FFE" w:rsidRPr="00660FFE" w:rsidRDefault="00660FFE" w:rsidP="00DC4AD8">
            <w:pPr>
              <w:widowControl w:val="0"/>
              <w:spacing w:line="200" w:lineRule="exact"/>
              <w:ind w:left="142" w:right="-124"/>
              <w:rPr>
                <w:rFonts w:eastAsia="Arial" w:cs="Arial"/>
                <w:color w:val="000000"/>
                <w:lang w:eastAsia="en-GB" w:bidi="en-GB"/>
              </w:rPr>
            </w:pPr>
            <w:r w:rsidRPr="00660FFE">
              <w:rPr>
                <w:rStyle w:val="MSGENFONTSTYLENAMETEMPLATEROLENUMBERMSGENFONTSTYLENAMEBYROLETEXT2MSGENFONTSTYLEMODIFERSIZE9"/>
                <w:rFonts w:ascii="Verdana" w:hAnsi="Verdana"/>
                <w:sz w:val="20"/>
              </w:rPr>
              <w:t>Compartment</w:t>
            </w:r>
          </w:p>
        </w:tc>
        <w:tc>
          <w:tcPr>
            <w:tcW w:w="6776" w:type="dxa"/>
            <w:tcBorders>
              <w:top w:val="single" w:sz="4" w:space="0" w:color="auto"/>
              <w:left w:val="single" w:sz="4" w:space="0" w:color="auto"/>
              <w:right w:val="single" w:sz="4" w:space="0" w:color="auto"/>
            </w:tcBorders>
            <w:shd w:val="clear" w:color="auto" w:fill="FFFFFF"/>
            <w:vAlign w:val="center"/>
          </w:tcPr>
          <w:p w14:paraId="364C9D0A" w14:textId="77777777" w:rsidR="00660FFE" w:rsidRPr="00660FFE" w:rsidRDefault="00660FFE" w:rsidP="00DC4AD8">
            <w:pPr>
              <w:widowControl w:val="0"/>
              <w:spacing w:line="200" w:lineRule="exact"/>
              <w:ind w:left="142" w:right="-124"/>
              <w:rPr>
                <w:rFonts w:eastAsia="Arial" w:cs="Arial"/>
                <w:color w:val="000000"/>
                <w:lang w:eastAsia="en-GB" w:bidi="en-GB"/>
              </w:rPr>
            </w:pPr>
            <w:r w:rsidRPr="00660FFE">
              <w:rPr>
                <w:rStyle w:val="MSGENFONTSTYLENAMETEMPLATEROLENUMBERMSGENFONTSTYLENAMEBYROLETEXT2MSGENFONTSTYLEMODIFERSIZE9"/>
                <w:rFonts w:ascii="Verdana" w:hAnsi="Verdana"/>
                <w:sz w:val="20"/>
              </w:rPr>
              <w:t>Background level (as iodine)</w:t>
            </w:r>
          </w:p>
        </w:tc>
      </w:tr>
      <w:tr w:rsidR="00660FFE" w:rsidRPr="00660FFE" w14:paraId="330986A2" w14:textId="77777777" w:rsidTr="00660FFE">
        <w:trPr>
          <w:trHeight w:hRule="exact" w:val="435"/>
        </w:trPr>
        <w:tc>
          <w:tcPr>
            <w:tcW w:w="2448" w:type="dxa"/>
            <w:tcBorders>
              <w:top w:val="single" w:sz="4" w:space="0" w:color="auto"/>
              <w:left w:val="single" w:sz="4" w:space="0" w:color="auto"/>
              <w:bottom w:val="single" w:sz="4" w:space="0" w:color="auto"/>
            </w:tcBorders>
            <w:shd w:val="clear" w:color="auto" w:fill="FFFFFF"/>
            <w:vAlign w:val="center"/>
          </w:tcPr>
          <w:p w14:paraId="64651B98" w14:textId="77777777" w:rsidR="00660FFE" w:rsidRPr="00660FFE" w:rsidRDefault="00660FFE" w:rsidP="00DC4AD8">
            <w:pPr>
              <w:widowControl w:val="0"/>
              <w:spacing w:line="259" w:lineRule="exact"/>
              <w:ind w:left="142" w:right="-124"/>
              <w:rPr>
                <w:rFonts w:eastAsia="Arial" w:cs="Arial"/>
                <w:b/>
                <w:color w:val="000000"/>
                <w:lang w:eastAsia="en-GB" w:bidi="en-GB"/>
              </w:rPr>
            </w:pPr>
            <w:r w:rsidRPr="00660FFE">
              <w:rPr>
                <w:rStyle w:val="MSGENFONTSTYLENAMETEMPLATEROLENUMBERMSGENFONTSTYLENAMEBYROLETEXT2MSGENFONTSTYLEMODIFERSIZE9"/>
                <w:rFonts w:ascii="Verdana" w:hAnsi="Verdana"/>
                <w:b w:val="0"/>
                <w:sz w:val="20"/>
              </w:rPr>
              <w:t>Soil</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15E086B0" w14:textId="77777777" w:rsidR="00660FFE" w:rsidRPr="00660FFE" w:rsidRDefault="00660FFE" w:rsidP="00DC4AD8">
            <w:pPr>
              <w:pStyle w:val="MSGENFONTSTYLENAMETEMPLATEROLENUMBERMSGENFONTSTYLENAMEBYROLETEXT20"/>
              <w:shd w:val="clear" w:color="auto" w:fill="auto"/>
              <w:spacing w:before="0" w:after="0" w:line="200" w:lineRule="exact"/>
              <w:ind w:left="142" w:right="-124"/>
              <w:jc w:val="left"/>
              <w:rPr>
                <w:rFonts w:ascii="Verdana" w:hAnsi="Verdana"/>
                <w:b/>
                <w:lang w:val="en-US"/>
              </w:rPr>
            </w:pPr>
            <w:r w:rsidRPr="00660FFE">
              <w:rPr>
                <w:rStyle w:val="MSGENFONTSTYLENAMETEMPLATEROLENUMBERMSGENFONTSTYLENAMEBYROLETEXT2MSGENFONTSTYLEMODIFERSIZE9"/>
                <w:rFonts w:ascii="Verdana" w:hAnsi="Verdana"/>
                <w:b w:val="0"/>
                <w:sz w:val="20"/>
              </w:rPr>
              <w:t>Typically 0.5 - 20 mg/kg dwt but with extremes up to 98 mg/kg</w:t>
            </w:r>
          </w:p>
          <w:p w14:paraId="619BDA10" w14:textId="77777777" w:rsidR="00660FFE" w:rsidRPr="00660FFE" w:rsidRDefault="00660FFE" w:rsidP="00DC4AD8">
            <w:pPr>
              <w:widowControl w:val="0"/>
              <w:spacing w:line="200" w:lineRule="exact"/>
              <w:ind w:left="142" w:right="-124"/>
              <w:rPr>
                <w:rFonts w:eastAsia="Arial" w:cs="Arial"/>
                <w:b/>
                <w:color w:val="000000"/>
                <w:lang w:eastAsia="en-GB" w:bidi="en-GB"/>
              </w:rPr>
            </w:pPr>
            <w:r w:rsidRPr="00660FFE">
              <w:rPr>
                <w:rStyle w:val="MSGENFONTSTYLENAMETEMPLATEROLENUMBERMSGENFONTSTYLENAMEBYROLETEXT2MSGENFONTSTYLEMODIFERSIZE9"/>
                <w:rFonts w:ascii="Verdana" w:hAnsi="Verdana"/>
                <w:b w:val="0"/>
                <w:sz w:val="20"/>
              </w:rPr>
              <w:t>Global mean value of 5 mg/kg</w:t>
            </w:r>
          </w:p>
        </w:tc>
      </w:tr>
      <w:tr w:rsidR="00660FFE" w:rsidRPr="00660FFE" w14:paraId="080FD85C" w14:textId="77777777" w:rsidTr="00660FFE">
        <w:trPr>
          <w:trHeight w:hRule="exact" w:val="429"/>
        </w:trPr>
        <w:tc>
          <w:tcPr>
            <w:tcW w:w="2448" w:type="dxa"/>
            <w:tcBorders>
              <w:top w:val="single" w:sz="4" w:space="0" w:color="auto"/>
              <w:left w:val="single" w:sz="4" w:space="0" w:color="auto"/>
              <w:bottom w:val="single" w:sz="4" w:space="0" w:color="auto"/>
            </w:tcBorders>
            <w:shd w:val="clear" w:color="auto" w:fill="FFFFFF"/>
            <w:vAlign w:val="center"/>
          </w:tcPr>
          <w:p w14:paraId="0F7EC122" w14:textId="77777777" w:rsidR="00660FFE" w:rsidRPr="00660FFE" w:rsidRDefault="00660FFE" w:rsidP="00DC4AD8">
            <w:pPr>
              <w:widowControl w:val="0"/>
              <w:spacing w:line="259"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Groundwater</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0CC3E562" w14:textId="77777777" w:rsidR="00660FFE" w:rsidRPr="00660FFE" w:rsidRDefault="00660FFE" w:rsidP="00DC4AD8">
            <w:pPr>
              <w:pStyle w:val="MSGENFONTSTYLENAMETEMPLATEROLENUMBERMSGENFONTSTYLENAMEBYROLETEXT20"/>
              <w:shd w:val="clear" w:color="auto" w:fill="auto"/>
              <w:spacing w:before="0" w:after="0" w:line="200" w:lineRule="exact"/>
              <w:ind w:left="142" w:right="-124"/>
              <w:jc w:val="left"/>
              <w:rPr>
                <w:rFonts w:ascii="Verdana" w:hAnsi="Verdana"/>
                <w:b/>
                <w:lang w:val="en-US"/>
              </w:rPr>
            </w:pPr>
            <w:r w:rsidRPr="00660FFE">
              <w:rPr>
                <w:rStyle w:val="MSGENFONTSTYLENAMETEMPLATEROLENUMBERMSGENFONTSTYLENAMEBYROLETEXT2MSGENFONTSTYLEMODIFERSIZE9"/>
                <w:rFonts w:ascii="Verdana" w:hAnsi="Verdana"/>
                <w:b w:val="0"/>
                <w:sz w:val="20"/>
              </w:rPr>
              <w:t>Mean concentration: 1 µg/L</w:t>
            </w:r>
          </w:p>
          <w:p w14:paraId="5243A4A3" w14:textId="77777777" w:rsidR="00660FFE" w:rsidRPr="00660FFE" w:rsidRDefault="00660FFE" w:rsidP="00DC4AD8">
            <w:pPr>
              <w:widowControl w:val="0"/>
              <w:spacing w:line="200"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Range: &lt; 1 - 70 µg/L with extremes up to 400 µg/L</w:t>
            </w:r>
          </w:p>
        </w:tc>
      </w:tr>
      <w:tr w:rsidR="00660FFE" w:rsidRPr="00660FFE" w14:paraId="1F6E2B94" w14:textId="77777777" w:rsidTr="00660FFE">
        <w:trPr>
          <w:trHeight w:hRule="exact" w:val="281"/>
        </w:trPr>
        <w:tc>
          <w:tcPr>
            <w:tcW w:w="2448" w:type="dxa"/>
            <w:tcBorders>
              <w:top w:val="single" w:sz="4" w:space="0" w:color="auto"/>
              <w:left w:val="single" w:sz="4" w:space="0" w:color="auto"/>
              <w:bottom w:val="single" w:sz="4" w:space="0" w:color="auto"/>
            </w:tcBorders>
            <w:shd w:val="clear" w:color="auto" w:fill="FFFFFF"/>
            <w:vAlign w:val="center"/>
          </w:tcPr>
          <w:p w14:paraId="62EBFE69" w14:textId="77777777" w:rsidR="00660FFE" w:rsidRPr="00660FFE" w:rsidRDefault="00660FFE" w:rsidP="00DC4AD8">
            <w:pPr>
              <w:widowControl w:val="0"/>
              <w:spacing w:line="259"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Freshwater (river and lake)</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128BFCCE" w14:textId="77777777" w:rsidR="00660FFE" w:rsidRPr="00660FFE" w:rsidRDefault="00660FFE" w:rsidP="00DC4AD8">
            <w:pPr>
              <w:widowControl w:val="0"/>
              <w:spacing w:line="200"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0.5 - 20 µg/L</w:t>
            </w:r>
          </w:p>
        </w:tc>
      </w:tr>
      <w:tr w:rsidR="00660FFE" w:rsidRPr="00660FFE" w14:paraId="7EB5C70C" w14:textId="77777777" w:rsidTr="00660FFE">
        <w:trPr>
          <w:trHeight w:hRule="exact" w:val="272"/>
        </w:trPr>
        <w:tc>
          <w:tcPr>
            <w:tcW w:w="2448" w:type="dxa"/>
            <w:tcBorders>
              <w:top w:val="single" w:sz="4" w:space="0" w:color="auto"/>
              <w:left w:val="single" w:sz="4" w:space="0" w:color="auto"/>
              <w:bottom w:val="single" w:sz="4" w:space="0" w:color="auto"/>
            </w:tcBorders>
            <w:shd w:val="clear" w:color="auto" w:fill="FFFFFF"/>
            <w:vAlign w:val="center"/>
          </w:tcPr>
          <w:p w14:paraId="608A7DD8" w14:textId="77777777" w:rsidR="00660FFE" w:rsidRPr="00660FFE" w:rsidRDefault="00660FFE" w:rsidP="00DC4AD8">
            <w:pPr>
              <w:widowControl w:val="0"/>
              <w:spacing w:line="259"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Marine water</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3C0AA056" w14:textId="77777777" w:rsidR="00660FFE" w:rsidRPr="00660FFE" w:rsidRDefault="00660FFE" w:rsidP="00DC4AD8">
            <w:pPr>
              <w:widowControl w:val="0"/>
              <w:spacing w:line="200"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45 - 60 µg/L</w:t>
            </w:r>
          </w:p>
        </w:tc>
      </w:tr>
      <w:tr w:rsidR="00660FFE" w:rsidRPr="00660FFE" w14:paraId="4F1DD965" w14:textId="77777777" w:rsidTr="00660FFE">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1EA22653" w14:textId="77777777" w:rsidR="00660FFE" w:rsidRPr="00660FFE" w:rsidRDefault="00660FFE" w:rsidP="00DC4AD8">
            <w:pPr>
              <w:widowControl w:val="0"/>
              <w:spacing w:line="259"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Rainwater</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4DA50782" w14:textId="77777777" w:rsidR="00660FFE" w:rsidRPr="00660FFE" w:rsidRDefault="00660FFE" w:rsidP="00DC4AD8">
            <w:pPr>
              <w:widowControl w:val="0"/>
              <w:spacing w:line="200"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0.1 - 15 µg/L</w:t>
            </w:r>
          </w:p>
        </w:tc>
      </w:tr>
      <w:tr w:rsidR="00660FFE" w:rsidRPr="00660FFE" w14:paraId="0D4B01E4" w14:textId="77777777" w:rsidTr="00660FFE">
        <w:trPr>
          <w:trHeight w:hRule="exact" w:val="529"/>
        </w:trPr>
        <w:tc>
          <w:tcPr>
            <w:tcW w:w="2448" w:type="dxa"/>
            <w:tcBorders>
              <w:top w:val="single" w:sz="4" w:space="0" w:color="auto"/>
              <w:left w:val="single" w:sz="4" w:space="0" w:color="auto"/>
              <w:bottom w:val="single" w:sz="4" w:space="0" w:color="auto"/>
            </w:tcBorders>
            <w:shd w:val="clear" w:color="auto" w:fill="FFFFFF"/>
            <w:vAlign w:val="center"/>
          </w:tcPr>
          <w:p w14:paraId="4729E95C" w14:textId="77777777" w:rsidR="00660FFE" w:rsidRPr="00660FFE" w:rsidRDefault="00660FFE" w:rsidP="00DC4AD8">
            <w:pPr>
              <w:widowControl w:val="0"/>
              <w:spacing w:line="259"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lastRenderedPageBreak/>
              <w:t>Freshwater sediment</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2DEA36F4" w14:textId="77777777" w:rsidR="00660FFE" w:rsidRPr="00660FFE" w:rsidRDefault="00660FFE" w:rsidP="00DC4AD8">
            <w:pPr>
              <w:widowControl w:val="0"/>
              <w:spacing w:line="200"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Typically: 6 mg/kg</w:t>
            </w:r>
          </w:p>
        </w:tc>
      </w:tr>
      <w:tr w:rsidR="00660FFE" w:rsidRPr="00660FFE" w14:paraId="5669EC28" w14:textId="77777777" w:rsidTr="00660FFE">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119433BD" w14:textId="77777777" w:rsidR="00660FFE" w:rsidRPr="00660FFE" w:rsidRDefault="00660FFE" w:rsidP="00DC4AD8">
            <w:pPr>
              <w:widowControl w:val="0"/>
              <w:spacing w:line="259"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Marine sediment</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7D919E11" w14:textId="77777777" w:rsidR="00660FFE" w:rsidRPr="00660FFE" w:rsidRDefault="00660FFE" w:rsidP="00DC4AD8">
            <w:pPr>
              <w:widowControl w:val="0"/>
              <w:spacing w:line="200"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Typically: 3 - 400 mg/kg</w:t>
            </w:r>
          </w:p>
        </w:tc>
      </w:tr>
      <w:tr w:rsidR="00660FFE" w:rsidRPr="00660FFE" w14:paraId="1136E393" w14:textId="77777777" w:rsidTr="00660FFE">
        <w:trPr>
          <w:trHeight w:hRule="exact" w:val="952"/>
        </w:trPr>
        <w:tc>
          <w:tcPr>
            <w:tcW w:w="2448" w:type="dxa"/>
            <w:tcBorders>
              <w:top w:val="single" w:sz="4" w:space="0" w:color="auto"/>
              <w:left w:val="single" w:sz="4" w:space="0" w:color="auto"/>
              <w:bottom w:val="single" w:sz="4" w:space="0" w:color="auto"/>
            </w:tcBorders>
            <w:shd w:val="clear" w:color="auto" w:fill="FFFFFF"/>
            <w:vAlign w:val="center"/>
          </w:tcPr>
          <w:p w14:paraId="3895AFA5" w14:textId="77777777" w:rsidR="00660FFE" w:rsidRPr="00660FFE" w:rsidRDefault="00660FFE" w:rsidP="00DC4AD8">
            <w:pPr>
              <w:widowControl w:val="0"/>
              <w:spacing w:line="259"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Air</w:t>
            </w:r>
          </w:p>
        </w:tc>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14:paraId="6180231B" w14:textId="77777777" w:rsidR="00660FFE" w:rsidRPr="00660FFE" w:rsidRDefault="00660FFE" w:rsidP="00DC4AD8">
            <w:pPr>
              <w:pStyle w:val="MSGENFONTSTYLENAMETEMPLATEROLENUMBERMSGENFONTSTYLENAMEBYROLETEXT20"/>
              <w:shd w:val="clear" w:color="auto" w:fill="auto"/>
              <w:spacing w:before="0" w:after="0" w:line="254" w:lineRule="exact"/>
              <w:ind w:left="142" w:right="-124"/>
              <w:jc w:val="left"/>
              <w:rPr>
                <w:rFonts w:ascii="Verdana" w:hAnsi="Verdana"/>
                <w:b/>
                <w:lang w:val="en-US"/>
              </w:rPr>
            </w:pPr>
            <w:r w:rsidRPr="00660FFE">
              <w:rPr>
                <w:rStyle w:val="MSGENFONTSTYLENAMETEMPLATEROLENUMBERMSGENFONTSTYLENAMEBYROLETEXT2MSGENFONTSTYLEMODIFERSIZE9"/>
                <w:rFonts w:ascii="Verdana" w:hAnsi="Verdana"/>
                <w:b w:val="0"/>
                <w:sz w:val="20"/>
              </w:rPr>
              <w:t>Atmosphere: 10 - 20 ng/m</w:t>
            </w:r>
            <w:r w:rsidRPr="00660FFE">
              <w:rPr>
                <w:rStyle w:val="MSGENFONTSTYLENAMETEMPLATEROLENUMBERMSGENFONTSTYLENAMEBYROLETEXT2MSGENFONTSTYLEMODIFERSIZE9"/>
                <w:rFonts w:ascii="Verdana" w:hAnsi="Verdana"/>
                <w:b w:val="0"/>
                <w:sz w:val="20"/>
                <w:vertAlign w:val="superscript"/>
              </w:rPr>
              <w:t>3</w:t>
            </w:r>
          </w:p>
          <w:p w14:paraId="0BCFBEAB" w14:textId="77777777" w:rsidR="00660FFE" w:rsidRPr="00660FFE" w:rsidRDefault="00660FFE" w:rsidP="00DC4AD8">
            <w:pPr>
              <w:pStyle w:val="MSGENFONTSTYLENAMETEMPLATEROLENUMBERMSGENFONTSTYLENAMEBYROLETEXT20"/>
              <w:shd w:val="clear" w:color="auto" w:fill="auto"/>
              <w:spacing w:before="0" w:after="0" w:line="254" w:lineRule="exact"/>
              <w:ind w:left="142" w:right="-124"/>
              <w:jc w:val="left"/>
              <w:rPr>
                <w:rFonts w:ascii="Verdana" w:hAnsi="Verdana"/>
                <w:b/>
                <w:lang w:val="en-US"/>
              </w:rPr>
            </w:pPr>
            <w:r w:rsidRPr="00660FFE">
              <w:rPr>
                <w:rStyle w:val="MSGENFONTSTYLENAMETEMPLATEROLENUMBERMSGENFONTSTYLENAMEBYROLETEXT2MSGENFONTSTYLEMODIFERSIZE9"/>
                <w:rFonts w:ascii="Verdana" w:hAnsi="Verdana"/>
                <w:b w:val="0"/>
                <w:sz w:val="20"/>
              </w:rPr>
              <w:t>Atmospheric concentration: over land 2 - 14 ng/m3; over ocean 17 - 52 ng/m</w:t>
            </w:r>
            <w:r w:rsidRPr="00660FFE">
              <w:rPr>
                <w:rStyle w:val="MSGENFONTSTYLENAMETEMPLATEROLENUMBERMSGENFONTSTYLENAMEBYROLETEXT2MSGENFONTSTYLEMODIFERSIZE9"/>
                <w:rFonts w:ascii="Verdana" w:hAnsi="Verdana"/>
                <w:b w:val="0"/>
                <w:sz w:val="20"/>
                <w:vertAlign w:val="superscript"/>
              </w:rPr>
              <w:t>3</w:t>
            </w:r>
          </w:p>
          <w:p w14:paraId="3BD26343" w14:textId="77777777" w:rsidR="00660FFE" w:rsidRPr="00660FFE" w:rsidRDefault="00660FFE" w:rsidP="00DC4AD8">
            <w:pPr>
              <w:widowControl w:val="0"/>
              <w:spacing w:line="200" w:lineRule="exact"/>
              <w:ind w:left="142" w:right="-124"/>
              <w:rPr>
                <w:rFonts w:eastAsia="Arial" w:cs="Arial"/>
                <w:b/>
                <w:color w:val="000000"/>
                <w:szCs w:val="18"/>
                <w:lang w:eastAsia="en-GB" w:bidi="en-GB"/>
              </w:rPr>
            </w:pPr>
            <w:r w:rsidRPr="00660FFE">
              <w:rPr>
                <w:rStyle w:val="MSGENFONTSTYLENAMETEMPLATEROLENUMBERMSGENFONTSTYLENAMEBYROLETEXT2MSGENFONTSTYLEMODIFERSIZE9"/>
                <w:rFonts w:ascii="Verdana" w:hAnsi="Verdana"/>
                <w:b w:val="0"/>
                <w:sz w:val="20"/>
              </w:rPr>
              <w:t>Marine air contains: 100 µg/L (may refer to local inhalable air)</w:t>
            </w:r>
          </w:p>
        </w:tc>
      </w:tr>
    </w:tbl>
    <w:p w14:paraId="01C536E7" w14:textId="77777777" w:rsidR="00660FFE" w:rsidRDefault="00660FFE" w:rsidP="00660FFE">
      <w:pPr>
        <w:contextualSpacing/>
        <w:jc w:val="both"/>
        <w:rPr>
          <w:i/>
          <w:iCs/>
          <w:lang w:eastAsia="en-US"/>
        </w:rPr>
      </w:pPr>
    </w:p>
    <w:p w14:paraId="05D7EDC0" w14:textId="77777777" w:rsidR="00660FFE" w:rsidRPr="00E34D03" w:rsidRDefault="00660FFE" w:rsidP="00660FFE">
      <w:pPr>
        <w:rPr>
          <w:b/>
        </w:rPr>
      </w:pPr>
      <w:r w:rsidRPr="00E34D03">
        <w:rPr>
          <w:b/>
        </w:rPr>
        <w:t>Route and rate of degradation in water:</w:t>
      </w:r>
    </w:p>
    <w:p w14:paraId="47C88A36" w14:textId="77777777" w:rsidR="00660FFE" w:rsidRDefault="00660FFE" w:rsidP="00660FFE"/>
    <w:p w14:paraId="736B1192" w14:textId="77777777" w:rsidR="00660FFE" w:rsidRDefault="00660FFE" w:rsidP="00660FFE">
      <w:pPr>
        <w:jc w:val="both"/>
      </w:pPr>
      <w:r w:rsidRPr="00685978">
        <w:t>In water, iodide and iodate are the predominant species. In addition a natural background level of methyl iodide might also be found in water. Photolytic dissociation of these compounds can result in the formation of elemental iodine and inorganic iodine species.</w:t>
      </w:r>
    </w:p>
    <w:p w14:paraId="6D8E0865" w14:textId="77777777" w:rsidR="00660FFE" w:rsidRDefault="00660FFE" w:rsidP="00660FFE">
      <w:pPr>
        <w:jc w:val="both"/>
      </w:pPr>
      <w:r>
        <w:t>Hydrolysis reaction of iodine occurs to a very small extent because iodine is sparingly soluble. Hydrolysis of I2 as the reactant is a pH-dependent dynamic equilibrium reaction with iodide (I-) and iodate (IO3) as products.</w:t>
      </w:r>
    </w:p>
    <w:p w14:paraId="7CE4FC5B" w14:textId="77777777" w:rsidR="00660FFE" w:rsidRPr="00E34D03" w:rsidRDefault="00660FFE" w:rsidP="00660FFE">
      <w:pPr>
        <w:jc w:val="both"/>
        <w:rPr>
          <w:u w:val="single"/>
        </w:rPr>
      </w:pPr>
      <w:r w:rsidRPr="00E34D03">
        <w:rPr>
          <w:u w:val="single"/>
        </w:rPr>
        <w:t>At pH values between 4 and 9, iodide is the predominant species. In alkaline and well oxidized waters iodate is the predominant specie.</w:t>
      </w:r>
    </w:p>
    <w:p w14:paraId="77B21E06" w14:textId="77777777" w:rsidR="00660FFE" w:rsidRDefault="00660FFE" w:rsidP="00660FFE">
      <w:pPr>
        <w:jc w:val="both"/>
      </w:pPr>
      <w:r w:rsidRPr="00685978">
        <w:t>In natural water/sediment system, iodide would be the predominant species under aerobic conditions. Iodine can enter sediments through accumulation of plant matter or fixation of iodide in water to humic substances. Weaker and reversible binding of iodide to inorganic components in sediments may also occur (</w:t>
      </w:r>
      <w:proofErr w:type="gramStart"/>
      <w:r w:rsidRPr="00685978">
        <w:t>Kd</w:t>
      </w:r>
      <w:proofErr w:type="gramEnd"/>
      <w:r w:rsidRPr="00685978">
        <w:t xml:space="preserve"> values ranging from -0.22 mL/g for chlorite minerals to 15.14 mL/g for iolite minerals).</w:t>
      </w:r>
    </w:p>
    <w:p w14:paraId="0736CCD6" w14:textId="77777777" w:rsidR="00660FFE" w:rsidRDefault="00660FFE" w:rsidP="00660FFE"/>
    <w:p w14:paraId="5C5CDC92" w14:textId="77777777" w:rsidR="00660FFE" w:rsidRPr="00E34D03" w:rsidRDefault="00660FFE" w:rsidP="00660FFE">
      <w:pPr>
        <w:rPr>
          <w:b/>
        </w:rPr>
      </w:pPr>
      <w:r w:rsidRPr="00E34D03">
        <w:rPr>
          <w:b/>
        </w:rPr>
        <w:t xml:space="preserve">Route and rate of degradation in soil: </w:t>
      </w:r>
    </w:p>
    <w:p w14:paraId="7186BB08" w14:textId="77777777" w:rsidR="00660FFE" w:rsidRDefault="00660FFE" w:rsidP="00660FFE"/>
    <w:p w14:paraId="58C2149F" w14:textId="77777777" w:rsidR="00660FFE" w:rsidRDefault="00660FFE" w:rsidP="00660FFE">
      <w:r>
        <w:t>Iodine is an element so no degradation will occur in soil.</w:t>
      </w:r>
    </w:p>
    <w:p w14:paraId="289DF533" w14:textId="77777777" w:rsidR="00660FFE" w:rsidRDefault="00660FFE" w:rsidP="00660FFE"/>
    <w:p w14:paraId="4ED46C69" w14:textId="77777777" w:rsidR="00660FFE" w:rsidRDefault="00660FFE" w:rsidP="00660FFE"/>
    <w:p w14:paraId="464FCB8A" w14:textId="77777777" w:rsidR="00660FFE" w:rsidRPr="00E34D03" w:rsidRDefault="00660FFE" w:rsidP="00660FFE">
      <w:pPr>
        <w:rPr>
          <w:b/>
        </w:rPr>
      </w:pPr>
      <w:r w:rsidRPr="00E34D03">
        <w:rPr>
          <w:b/>
        </w:rPr>
        <w:t>Adsorption/desorption:</w:t>
      </w:r>
    </w:p>
    <w:p w14:paraId="7E404D56" w14:textId="77777777" w:rsidR="00660FFE" w:rsidRDefault="00660FFE" w:rsidP="00660FFE"/>
    <w:p w14:paraId="03E3E524" w14:textId="77777777" w:rsidR="00660FFE" w:rsidRDefault="00660FFE" w:rsidP="00660FFE">
      <w:r>
        <w:t>Lab-data:</w:t>
      </w:r>
    </w:p>
    <w:p w14:paraId="58DA4428" w14:textId="77777777" w:rsidR="00660FFE" w:rsidRDefault="00660FFE" w:rsidP="00660FFE">
      <w:r>
        <w:t>Ka = 1.22 to 124 cm3/g (five soils); 5.8 cm3/g (geometrical mean)</w:t>
      </w:r>
    </w:p>
    <w:p w14:paraId="4875A792" w14:textId="77777777" w:rsidR="00660FFE" w:rsidRDefault="00660FFE" w:rsidP="00660FFE">
      <w:r>
        <w:t>Kao c = 51.3 to 3650 cm3/g (five soils)</w:t>
      </w:r>
    </w:p>
    <w:p w14:paraId="64AA5B3D" w14:textId="77777777" w:rsidR="00660FFE" w:rsidRDefault="00660FFE" w:rsidP="00660FFE">
      <w:r>
        <w:t>No pH dependency</w:t>
      </w:r>
    </w:p>
    <w:p w14:paraId="767B0CC5" w14:textId="77777777" w:rsidR="00660FFE" w:rsidRDefault="00660FFE" w:rsidP="00660FFE"/>
    <w:p w14:paraId="69A5EB0F" w14:textId="77777777" w:rsidR="00660FFE" w:rsidRDefault="00660FFE" w:rsidP="00660FFE">
      <w:r>
        <w:t>Data from open literature</w:t>
      </w:r>
    </w:p>
    <w:p w14:paraId="1D378447" w14:textId="77777777" w:rsidR="00660FFE" w:rsidRDefault="00660FFE" w:rsidP="00660FFE">
      <w:r>
        <w:t>Kpsusp = 220 cm3/g (geometrical mean)</w:t>
      </w:r>
    </w:p>
    <w:p w14:paraId="75DA6BDC" w14:textId="77777777" w:rsidR="00660FFE" w:rsidRDefault="00660FFE" w:rsidP="00660FFE">
      <w:r>
        <w:t>Kpsoil = 0.01- 580 cm3/g; 6.9 cm3/g (geometrical mean)</w:t>
      </w:r>
    </w:p>
    <w:p w14:paraId="5768CF7B" w14:textId="77777777" w:rsidR="00660FFE" w:rsidRDefault="00660FFE" w:rsidP="00660FFE"/>
    <w:p w14:paraId="6AEC8590" w14:textId="77777777" w:rsidR="00660FFE" w:rsidRPr="00E34D03" w:rsidRDefault="00660FFE" w:rsidP="00660FFE">
      <w:pPr>
        <w:rPr>
          <w:u w:val="single"/>
        </w:rPr>
      </w:pPr>
      <w:r w:rsidRPr="00E34D03">
        <w:rPr>
          <w:u w:val="single"/>
        </w:rPr>
        <w:t>Values used for the risk assessment:</w:t>
      </w:r>
    </w:p>
    <w:p w14:paraId="0ECCC406" w14:textId="77777777" w:rsidR="00660FFE" w:rsidRDefault="00660FFE" w:rsidP="00660FFE">
      <w:r>
        <w:t xml:space="preserve">Kpsusp = 220 cm3/g </w:t>
      </w:r>
    </w:p>
    <w:p w14:paraId="6088E46F" w14:textId="77777777" w:rsidR="00660FFE" w:rsidRDefault="00660FFE" w:rsidP="00660FFE">
      <w:r>
        <w:t>Kpsoil = 5</w:t>
      </w:r>
      <w:proofErr w:type="gramStart"/>
      <w:r>
        <w:t>,8</w:t>
      </w:r>
      <w:proofErr w:type="gramEnd"/>
      <w:r>
        <w:t xml:space="preserve"> cm3/g</w:t>
      </w:r>
    </w:p>
    <w:p w14:paraId="7EB05062" w14:textId="77777777" w:rsidR="00660FFE" w:rsidRDefault="00660FFE" w:rsidP="00660FFE"/>
    <w:p w14:paraId="4D08CC8B" w14:textId="77777777" w:rsidR="00660FFE" w:rsidRPr="00E34D03" w:rsidRDefault="00660FFE" w:rsidP="00660FFE">
      <w:pPr>
        <w:rPr>
          <w:b/>
        </w:rPr>
      </w:pPr>
      <w:r w:rsidRPr="00E34D03">
        <w:rPr>
          <w:b/>
        </w:rPr>
        <w:t>Fate and behaviour in air:</w:t>
      </w:r>
    </w:p>
    <w:p w14:paraId="659BBD98" w14:textId="77777777" w:rsidR="00660FFE" w:rsidRDefault="00660FFE" w:rsidP="00660FFE"/>
    <w:p w14:paraId="22C56CE7" w14:textId="77777777" w:rsidR="00660FFE" w:rsidRDefault="00660FFE" w:rsidP="00660FFE">
      <w:pPr>
        <w:jc w:val="both"/>
      </w:pPr>
      <w:r w:rsidRPr="00D22ABD">
        <w:t>Methyl iodide and molecular iodine are the predominant iodine species in air. Both iodine and methyl iodide undergo photochemical reactions to form iodine radicals, which can then go on to form a number of other iodine species through a complex series of reaction pathways.</w:t>
      </w:r>
    </w:p>
    <w:p w14:paraId="0AEF96FD" w14:textId="77777777" w:rsidR="00660FFE" w:rsidRDefault="00660FFE" w:rsidP="00660FFE">
      <w:pPr>
        <w:jc w:val="both"/>
      </w:pPr>
      <w:r w:rsidRPr="00D22ABD">
        <w:t>Lifetime = 5-10 s for an overhead sun</w:t>
      </w:r>
    </w:p>
    <w:p w14:paraId="24801CD0" w14:textId="77777777" w:rsidR="00660FFE" w:rsidRDefault="00660FFE" w:rsidP="00660FFE">
      <w:pPr>
        <w:jc w:val="both"/>
      </w:pPr>
    </w:p>
    <w:p w14:paraId="61DE142E" w14:textId="77777777" w:rsidR="00660FFE" w:rsidRPr="00E34D03" w:rsidRDefault="00660FFE" w:rsidP="00660FFE">
      <w:pPr>
        <w:jc w:val="both"/>
        <w:rPr>
          <w:u w:val="single"/>
        </w:rPr>
      </w:pPr>
      <w:r w:rsidRPr="00E34D03">
        <w:rPr>
          <w:u w:val="single"/>
        </w:rPr>
        <w:t>In view of the high background values of iodine in air, emission to air resulting from application of iodine as disinfectant is not considered to be relevant.</w:t>
      </w:r>
    </w:p>
    <w:p w14:paraId="1FB90087" w14:textId="77777777" w:rsidR="00660FFE" w:rsidRDefault="00660FFE" w:rsidP="00660FFE"/>
    <w:p w14:paraId="17561064" w14:textId="77777777" w:rsidR="00660FFE" w:rsidRPr="00E34D03" w:rsidRDefault="00660FFE" w:rsidP="00660FFE">
      <w:pPr>
        <w:rPr>
          <w:b/>
        </w:rPr>
      </w:pPr>
      <w:r w:rsidRPr="00E34D03">
        <w:rPr>
          <w:b/>
        </w:rPr>
        <w:t>Distribution of iodine species in sewage treatment plants:</w:t>
      </w:r>
    </w:p>
    <w:p w14:paraId="5BBF7B88" w14:textId="77777777" w:rsidR="00660FFE" w:rsidRDefault="00660FFE" w:rsidP="00660FFE"/>
    <w:p w14:paraId="5BF2FAE1" w14:textId="77777777" w:rsidR="00660FFE" w:rsidRDefault="00660FFE" w:rsidP="00660FFE">
      <w:pPr>
        <w:jc w:val="both"/>
      </w:pPr>
      <w:r w:rsidRPr="00D22ABD">
        <w:t xml:space="preserve">When assessing the distribution of iodine species in sewage treatment plants (STP), it was established that the Simple Treat model normally used, and that resulted in a sludge retention factor of 1.93%, was not appropriate. </w:t>
      </w:r>
      <w:r w:rsidRPr="00E34D03">
        <w:rPr>
          <w:u w:val="single"/>
        </w:rPr>
        <w:t>Molecular iodine is a chemically unstable element with oxidizing properties and it is assumed that when iodine reaches the wastewater stream it will speciate into iodate and iodide</w:t>
      </w:r>
      <w:r w:rsidRPr="00D22ABD">
        <w:t xml:space="preserve">. Therefore, sludge retention factors are based on literature data and laboratory and field experiments, which range between 20 and 80% retention. Considering that iodide is not highly adsorbed to sludge under typical conditions and iodate can form complexes with calcium which easily adsorb to negatively charged particle surfaces, </w:t>
      </w:r>
      <w:r w:rsidRPr="00E34D03">
        <w:rPr>
          <w:u w:val="single"/>
        </w:rPr>
        <w:t>the majority of the iodine that passes an STP will most probably not be retained in sludge and a sludge retention factor of 20% is chosen for the risk assessment (i.e. 80% of the iodine discharged to the STP remains in the effluent)</w:t>
      </w:r>
      <w:r w:rsidRPr="00D22ABD">
        <w:t>. Exposure to air is not considered as iodide and iodate are assumed not to be volatile.</w:t>
      </w:r>
    </w:p>
    <w:p w14:paraId="138F67DA" w14:textId="77777777" w:rsidR="00660FFE" w:rsidRDefault="00660FFE" w:rsidP="00660FFE">
      <w:pPr>
        <w:jc w:val="both"/>
      </w:pPr>
    </w:p>
    <w:p w14:paraId="7F8FCF10" w14:textId="77777777" w:rsidR="00660FFE" w:rsidRDefault="00660FFE" w:rsidP="00660FFE">
      <w:pPr>
        <w:jc w:val="both"/>
      </w:pPr>
      <w:r w:rsidRPr="00D22ABD">
        <w:t>Estimation of Kow and bioaccumulation potential for an inorganic substance such as iodine is not considered relevant.</w:t>
      </w:r>
    </w:p>
    <w:p w14:paraId="4B0793D8" w14:textId="77777777" w:rsidR="00660FFE" w:rsidRDefault="00660FFE" w:rsidP="00DC29E4">
      <w:pPr>
        <w:rPr>
          <w:lang w:eastAsia="en-GB" w:bidi="en-GB"/>
        </w:rPr>
      </w:pPr>
      <w:bookmarkStart w:id="106" w:name="bookmark38"/>
    </w:p>
    <w:p w14:paraId="7CBFA932" w14:textId="77777777" w:rsidR="00660FFE" w:rsidRPr="00ED50F5" w:rsidRDefault="00660FFE" w:rsidP="00ED50F5">
      <w:pPr>
        <w:rPr>
          <w:b/>
          <w:i/>
          <w:sz w:val="24"/>
          <w:lang w:val="en-US"/>
        </w:rPr>
      </w:pPr>
      <w:r w:rsidRPr="00ED50F5">
        <w:rPr>
          <w:b/>
          <w:i/>
          <w:sz w:val="24"/>
          <w:lang w:eastAsia="en-GB" w:bidi="en-GB"/>
        </w:rPr>
        <w:t>PNEC derivation:</w:t>
      </w:r>
      <w:bookmarkEnd w:id="106"/>
    </w:p>
    <w:p w14:paraId="5FCADA4C" w14:textId="77777777" w:rsidR="00660FFE" w:rsidRDefault="00660FFE" w:rsidP="00660FFE">
      <w:pPr>
        <w:rPr>
          <w:lang w:val="en-US"/>
        </w:rPr>
      </w:pPr>
      <w:r w:rsidRPr="00426199">
        <w:rPr>
          <w:lang w:val="en-US"/>
        </w:rPr>
        <w:t>PNEC values (source: assessment report iodine PT 1</w:t>
      </w:r>
      <w:proofErr w:type="gramStart"/>
      <w:r w:rsidRPr="00426199">
        <w:rPr>
          <w:lang w:val="en-US"/>
        </w:rPr>
        <w:t>,3,4,22</w:t>
      </w:r>
      <w:proofErr w:type="gramEnd"/>
      <w:r w:rsidRPr="00426199">
        <w:rPr>
          <w:lang w:val="en-US"/>
        </w:rPr>
        <w:t xml:space="preserve"> – 13 December 2013)</w:t>
      </w:r>
    </w:p>
    <w:p w14:paraId="04258E9F" w14:textId="77777777" w:rsidR="00660FFE" w:rsidRPr="00426199" w:rsidRDefault="00660FFE" w:rsidP="00660FF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3068"/>
        <w:gridCol w:w="3068"/>
      </w:tblGrid>
      <w:tr w:rsidR="00660FFE" w:rsidRPr="00660FFE" w14:paraId="45C59532" w14:textId="77777777" w:rsidTr="00660FFE">
        <w:tc>
          <w:tcPr>
            <w:tcW w:w="6033" w:type="dxa"/>
            <w:gridSpan w:val="2"/>
            <w:shd w:val="clear" w:color="auto" w:fill="auto"/>
          </w:tcPr>
          <w:p w14:paraId="2FDD2AA7" w14:textId="77777777" w:rsidR="00660FFE" w:rsidRPr="00660FFE" w:rsidRDefault="00660FFE" w:rsidP="00DC4AD8">
            <w:r w:rsidRPr="00660FFE">
              <w:t>Environmental compartment</w:t>
            </w:r>
          </w:p>
        </w:tc>
        <w:tc>
          <w:tcPr>
            <w:tcW w:w="3071" w:type="dxa"/>
            <w:shd w:val="clear" w:color="auto" w:fill="auto"/>
          </w:tcPr>
          <w:p w14:paraId="52BA07AF" w14:textId="77777777" w:rsidR="00660FFE" w:rsidRPr="00660FFE" w:rsidRDefault="00660FFE" w:rsidP="00DC4AD8">
            <w:r w:rsidRPr="00660FFE">
              <w:t>PNEC</w:t>
            </w:r>
          </w:p>
        </w:tc>
      </w:tr>
      <w:tr w:rsidR="00660FFE" w:rsidRPr="00660FFE" w14:paraId="5C5FCED9" w14:textId="77777777" w:rsidTr="00660FFE">
        <w:trPr>
          <w:trHeight w:val="180"/>
        </w:trPr>
        <w:tc>
          <w:tcPr>
            <w:tcW w:w="2962" w:type="dxa"/>
            <w:vMerge w:val="restart"/>
            <w:shd w:val="clear" w:color="auto" w:fill="auto"/>
          </w:tcPr>
          <w:p w14:paraId="47F98A16" w14:textId="77777777" w:rsidR="00660FFE" w:rsidRPr="00660FFE" w:rsidRDefault="00660FFE" w:rsidP="00DC4AD8">
            <w:r w:rsidRPr="00660FFE">
              <w:t>Aquatic freshwater</w:t>
            </w:r>
          </w:p>
        </w:tc>
        <w:tc>
          <w:tcPr>
            <w:tcW w:w="3071" w:type="dxa"/>
            <w:vMerge w:val="restart"/>
            <w:shd w:val="clear" w:color="auto" w:fill="auto"/>
          </w:tcPr>
          <w:p w14:paraId="4B334F8C" w14:textId="77777777" w:rsidR="00660FFE" w:rsidRPr="00660FFE" w:rsidRDefault="00660FFE" w:rsidP="00DC4AD8">
            <w:r w:rsidRPr="00660FFE">
              <w:t>Surface water</w:t>
            </w:r>
          </w:p>
        </w:tc>
        <w:tc>
          <w:tcPr>
            <w:tcW w:w="3071" w:type="dxa"/>
            <w:shd w:val="clear" w:color="auto" w:fill="auto"/>
          </w:tcPr>
          <w:p w14:paraId="0A7F9ABC" w14:textId="77777777" w:rsidR="00660FFE" w:rsidRPr="00660FFE" w:rsidRDefault="00660FFE" w:rsidP="00DC4AD8">
            <w:pPr>
              <w:rPr>
                <w:lang w:val="en-US"/>
              </w:rPr>
            </w:pPr>
            <w:r w:rsidRPr="00660FFE">
              <w:rPr>
                <w:lang w:val="en-US"/>
              </w:rPr>
              <w:t>0,00059 mg/L (iodine)</w:t>
            </w:r>
          </w:p>
        </w:tc>
      </w:tr>
      <w:tr w:rsidR="00660FFE" w:rsidRPr="00660FFE" w14:paraId="41346BF5" w14:textId="77777777" w:rsidTr="00660FFE">
        <w:trPr>
          <w:trHeight w:val="180"/>
        </w:trPr>
        <w:tc>
          <w:tcPr>
            <w:tcW w:w="2962" w:type="dxa"/>
            <w:vMerge/>
            <w:shd w:val="clear" w:color="auto" w:fill="auto"/>
          </w:tcPr>
          <w:p w14:paraId="628F4FA5" w14:textId="77777777" w:rsidR="00660FFE" w:rsidRPr="00660FFE" w:rsidRDefault="00660FFE" w:rsidP="00DC4AD8"/>
        </w:tc>
        <w:tc>
          <w:tcPr>
            <w:tcW w:w="3071" w:type="dxa"/>
            <w:vMerge/>
            <w:shd w:val="clear" w:color="auto" w:fill="auto"/>
          </w:tcPr>
          <w:p w14:paraId="2EEF4D9A" w14:textId="77777777" w:rsidR="00660FFE" w:rsidRPr="00660FFE" w:rsidRDefault="00660FFE" w:rsidP="00DC4AD8"/>
        </w:tc>
        <w:tc>
          <w:tcPr>
            <w:tcW w:w="3071" w:type="dxa"/>
            <w:shd w:val="clear" w:color="auto" w:fill="auto"/>
          </w:tcPr>
          <w:p w14:paraId="2D80CC90" w14:textId="77777777" w:rsidR="00660FFE" w:rsidRPr="00660FFE" w:rsidRDefault="00660FFE" w:rsidP="00DC4AD8">
            <w:pPr>
              <w:rPr>
                <w:lang w:val="en-US"/>
              </w:rPr>
            </w:pPr>
            <w:r w:rsidRPr="00660FFE">
              <w:rPr>
                <w:lang w:val="en-US"/>
              </w:rPr>
              <w:t>0,00083 mg/L (iodide)</w:t>
            </w:r>
          </w:p>
        </w:tc>
      </w:tr>
      <w:tr w:rsidR="00660FFE" w:rsidRPr="00660FFE" w14:paraId="10FBBFD6" w14:textId="77777777" w:rsidTr="00660FFE">
        <w:trPr>
          <w:trHeight w:val="180"/>
        </w:trPr>
        <w:tc>
          <w:tcPr>
            <w:tcW w:w="2962" w:type="dxa"/>
            <w:vMerge/>
            <w:shd w:val="clear" w:color="auto" w:fill="auto"/>
          </w:tcPr>
          <w:p w14:paraId="131E5FF6" w14:textId="77777777" w:rsidR="00660FFE" w:rsidRPr="00660FFE" w:rsidRDefault="00660FFE" w:rsidP="00DC4AD8"/>
        </w:tc>
        <w:tc>
          <w:tcPr>
            <w:tcW w:w="3071" w:type="dxa"/>
            <w:vMerge/>
            <w:shd w:val="clear" w:color="auto" w:fill="auto"/>
          </w:tcPr>
          <w:p w14:paraId="0F541E90" w14:textId="77777777" w:rsidR="00660FFE" w:rsidRPr="00660FFE" w:rsidRDefault="00660FFE" w:rsidP="00DC4AD8"/>
        </w:tc>
        <w:tc>
          <w:tcPr>
            <w:tcW w:w="3071" w:type="dxa"/>
            <w:shd w:val="clear" w:color="auto" w:fill="auto"/>
          </w:tcPr>
          <w:p w14:paraId="292524A6" w14:textId="77777777" w:rsidR="00660FFE" w:rsidRPr="00660FFE" w:rsidRDefault="00660FFE" w:rsidP="00DC4AD8">
            <w:pPr>
              <w:rPr>
                <w:lang w:val="en-US"/>
              </w:rPr>
            </w:pPr>
            <w:r w:rsidRPr="00660FFE">
              <w:rPr>
                <w:lang w:val="en-US"/>
              </w:rPr>
              <w:t>0,0585 mg/L (iodate)</w:t>
            </w:r>
          </w:p>
        </w:tc>
      </w:tr>
      <w:tr w:rsidR="00660FFE" w:rsidRPr="00660FFE" w14:paraId="2AF7CE6E" w14:textId="77777777" w:rsidTr="00660FFE">
        <w:tc>
          <w:tcPr>
            <w:tcW w:w="2962" w:type="dxa"/>
            <w:vMerge/>
            <w:shd w:val="clear" w:color="auto" w:fill="auto"/>
          </w:tcPr>
          <w:p w14:paraId="24FB2BD1" w14:textId="77777777" w:rsidR="00660FFE" w:rsidRPr="00660FFE" w:rsidRDefault="00660FFE" w:rsidP="00DC4AD8">
            <w:pPr>
              <w:rPr>
                <w:lang w:val="en-US"/>
              </w:rPr>
            </w:pPr>
          </w:p>
        </w:tc>
        <w:tc>
          <w:tcPr>
            <w:tcW w:w="3071" w:type="dxa"/>
            <w:shd w:val="clear" w:color="auto" w:fill="auto"/>
          </w:tcPr>
          <w:p w14:paraId="52CCB7CF" w14:textId="77777777" w:rsidR="00660FFE" w:rsidRPr="00660FFE" w:rsidRDefault="00660FFE" w:rsidP="00DC4AD8">
            <w:r w:rsidRPr="00660FFE">
              <w:t>Freshwater sediment</w:t>
            </w:r>
          </w:p>
        </w:tc>
        <w:tc>
          <w:tcPr>
            <w:tcW w:w="3071" w:type="dxa"/>
            <w:shd w:val="clear" w:color="auto" w:fill="auto"/>
          </w:tcPr>
          <w:p w14:paraId="12B45399" w14:textId="77777777" w:rsidR="00660FFE" w:rsidRPr="00660FFE" w:rsidRDefault="00660FFE" w:rsidP="00DC4AD8">
            <w:pPr>
              <w:rPr>
                <w:lang w:val="en-US"/>
              </w:rPr>
            </w:pPr>
            <w:r w:rsidRPr="00660FFE">
              <w:rPr>
                <w:lang w:val="en-US"/>
              </w:rPr>
              <w:t>0,028 mg/kg sediment</w:t>
            </w:r>
          </w:p>
        </w:tc>
      </w:tr>
      <w:tr w:rsidR="00660FFE" w:rsidRPr="00660FFE" w14:paraId="0AE9EE0E" w14:textId="77777777" w:rsidTr="00660FFE">
        <w:trPr>
          <w:trHeight w:val="90"/>
        </w:trPr>
        <w:tc>
          <w:tcPr>
            <w:tcW w:w="2962" w:type="dxa"/>
            <w:vMerge w:val="restart"/>
            <w:shd w:val="clear" w:color="auto" w:fill="auto"/>
          </w:tcPr>
          <w:p w14:paraId="7FB70E20" w14:textId="77777777" w:rsidR="00660FFE" w:rsidRPr="00660FFE" w:rsidRDefault="00660FFE" w:rsidP="00DC4AD8">
            <w:r w:rsidRPr="00660FFE">
              <w:t>Aquatic marine</w:t>
            </w:r>
          </w:p>
        </w:tc>
        <w:tc>
          <w:tcPr>
            <w:tcW w:w="3071" w:type="dxa"/>
            <w:vMerge w:val="restart"/>
            <w:shd w:val="clear" w:color="auto" w:fill="auto"/>
          </w:tcPr>
          <w:p w14:paraId="2CA5DC5C" w14:textId="77777777" w:rsidR="00660FFE" w:rsidRPr="00660FFE" w:rsidRDefault="00660FFE" w:rsidP="00DC4AD8">
            <w:r w:rsidRPr="00660FFE">
              <w:t>Seawater</w:t>
            </w:r>
          </w:p>
        </w:tc>
        <w:tc>
          <w:tcPr>
            <w:tcW w:w="3071" w:type="dxa"/>
            <w:shd w:val="clear" w:color="auto" w:fill="auto"/>
          </w:tcPr>
          <w:p w14:paraId="72037D46" w14:textId="77777777" w:rsidR="00660FFE" w:rsidRPr="00660FFE" w:rsidRDefault="00660FFE" w:rsidP="00DC4AD8">
            <w:pPr>
              <w:rPr>
                <w:lang w:val="en-US"/>
              </w:rPr>
            </w:pPr>
            <w:r w:rsidRPr="00660FFE">
              <w:rPr>
                <w:lang w:val="en-US"/>
              </w:rPr>
              <w:t>0,000059 mg/L (iodine)</w:t>
            </w:r>
          </w:p>
        </w:tc>
      </w:tr>
      <w:tr w:rsidR="00660FFE" w:rsidRPr="00660FFE" w14:paraId="1120B0F8" w14:textId="77777777" w:rsidTr="00660FFE">
        <w:trPr>
          <w:trHeight w:val="90"/>
        </w:trPr>
        <w:tc>
          <w:tcPr>
            <w:tcW w:w="2962" w:type="dxa"/>
            <w:vMerge/>
            <w:shd w:val="clear" w:color="auto" w:fill="auto"/>
          </w:tcPr>
          <w:p w14:paraId="4B5E39DF" w14:textId="77777777" w:rsidR="00660FFE" w:rsidRPr="00660FFE" w:rsidRDefault="00660FFE" w:rsidP="00DC4AD8"/>
        </w:tc>
        <w:tc>
          <w:tcPr>
            <w:tcW w:w="3071" w:type="dxa"/>
            <w:vMerge/>
            <w:shd w:val="clear" w:color="auto" w:fill="auto"/>
          </w:tcPr>
          <w:p w14:paraId="78DEEEFC" w14:textId="77777777" w:rsidR="00660FFE" w:rsidRPr="00660FFE" w:rsidRDefault="00660FFE" w:rsidP="00DC4AD8"/>
        </w:tc>
        <w:tc>
          <w:tcPr>
            <w:tcW w:w="3071" w:type="dxa"/>
            <w:shd w:val="clear" w:color="auto" w:fill="auto"/>
          </w:tcPr>
          <w:p w14:paraId="1B83249F" w14:textId="77777777" w:rsidR="00660FFE" w:rsidRPr="00660FFE" w:rsidRDefault="00660FFE" w:rsidP="00DC4AD8">
            <w:pPr>
              <w:rPr>
                <w:lang w:val="en-US"/>
              </w:rPr>
            </w:pPr>
            <w:r w:rsidRPr="00660FFE">
              <w:rPr>
                <w:lang w:val="en-US"/>
              </w:rPr>
              <w:t>0,000083 mg/L (iodide)</w:t>
            </w:r>
          </w:p>
        </w:tc>
      </w:tr>
      <w:tr w:rsidR="00660FFE" w:rsidRPr="00660FFE" w14:paraId="7ABC8F81" w14:textId="77777777" w:rsidTr="00660FFE">
        <w:trPr>
          <w:trHeight w:val="90"/>
        </w:trPr>
        <w:tc>
          <w:tcPr>
            <w:tcW w:w="2962" w:type="dxa"/>
            <w:vMerge/>
            <w:shd w:val="clear" w:color="auto" w:fill="auto"/>
          </w:tcPr>
          <w:p w14:paraId="2E31DF54" w14:textId="77777777" w:rsidR="00660FFE" w:rsidRPr="00660FFE" w:rsidRDefault="00660FFE" w:rsidP="00DC4AD8"/>
        </w:tc>
        <w:tc>
          <w:tcPr>
            <w:tcW w:w="3071" w:type="dxa"/>
            <w:vMerge/>
            <w:shd w:val="clear" w:color="auto" w:fill="auto"/>
          </w:tcPr>
          <w:p w14:paraId="4A516D0F" w14:textId="77777777" w:rsidR="00660FFE" w:rsidRPr="00660FFE" w:rsidRDefault="00660FFE" w:rsidP="00DC4AD8"/>
        </w:tc>
        <w:tc>
          <w:tcPr>
            <w:tcW w:w="3071" w:type="dxa"/>
            <w:shd w:val="clear" w:color="auto" w:fill="auto"/>
          </w:tcPr>
          <w:p w14:paraId="30D1C698" w14:textId="77777777" w:rsidR="00660FFE" w:rsidRPr="00660FFE" w:rsidRDefault="00660FFE" w:rsidP="00DC4AD8">
            <w:pPr>
              <w:rPr>
                <w:lang w:val="en-US"/>
              </w:rPr>
            </w:pPr>
            <w:r w:rsidRPr="00660FFE">
              <w:rPr>
                <w:lang w:val="en-US"/>
              </w:rPr>
              <w:t>0,00585 mg/L (iodate)</w:t>
            </w:r>
          </w:p>
        </w:tc>
      </w:tr>
      <w:tr w:rsidR="00660FFE" w:rsidRPr="00660FFE" w14:paraId="2AF92F29" w14:textId="77777777" w:rsidTr="00660FFE">
        <w:tc>
          <w:tcPr>
            <w:tcW w:w="2962" w:type="dxa"/>
            <w:vMerge/>
            <w:shd w:val="clear" w:color="auto" w:fill="auto"/>
          </w:tcPr>
          <w:p w14:paraId="2EDA4359" w14:textId="77777777" w:rsidR="00660FFE" w:rsidRPr="00660FFE" w:rsidRDefault="00660FFE" w:rsidP="00DC4AD8">
            <w:pPr>
              <w:rPr>
                <w:lang w:val="en-US"/>
              </w:rPr>
            </w:pPr>
          </w:p>
        </w:tc>
        <w:tc>
          <w:tcPr>
            <w:tcW w:w="3071" w:type="dxa"/>
            <w:shd w:val="clear" w:color="auto" w:fill="auto"/>
          </w:tcPr>
          <w:p w14:paraId="06566E00" w14:textId="77777777" w:rsidR="00660FFE" w:rsidRPr="00660FFE" w:rsidRDefault="00660FFE" w:rsidP="00DC4AD8">
            <w:r w:rsidRPr="00660FFE">
              <w:t>Marine sediment</w:t>
            </w:r>
          </w:p>
        </w:tc>
        <w:tc>
          <w:tcPr>
            <w:tcW w:w="3071" w:type="dxa"/>
            <w:shd w:val="clear" w:color="auto" w:fill="auto"/>
          </w:tcPr>
          <w:p w14:paraId="3CC6A01C" w14:textId="77777777" w:rsidR="00660FFE" w:rsidRPr="00660FFE" w:rsidRDefault="00660FFE" w:rsidP="00DC4AD8">
            <w:pPr>
              <w:rPr>
                <w:lang w:val="en-US"/>
              </w:rPr>
            </w:pPr>
            <w:r w:rsidRPr="00660FFE">
              <w:rPr>
                <w:lang w:val="en-US"/>
              </w:rPr>
              <w:t>0,0028 mg/kg sediment</w:t>
            </w:r>
          </w:p>
        </w:tc>
      </w:tr>
      <w:tr w:rsidR="00660FFE" w:rsidRPr="00660FFE" w14:paraId="4C6B982D" w14:textId="77777777" w:rsidTr="00660FFE">
        <w:trPr>
          <w:trHeight w:val="180"/>
        </w:trPr>
        <w:tc>
          <w:tcPr>
            <w:tcW w:w="6033" w:type="dxa"/>
            <w:gridSpan w:val="2"/>
            <w:vMerge w:val="restart"/>
            <w:shd w:val="clear" w:color="auto" w:fill="auto"/>
          </w:tcPr>
          <w:p w14:paraId="3492FB55" w14:textId="77777777" w:rsidR="00660FFE" w:rsidRPr="00660FFE" w:rsidRDefault="00660FFE" w:rsidP="00DC4AD8">
            <w:r w:rsidRPr="00660FFE">
              <w:t>Terrestrial</w:t>
            </w:r>
          </w:p>
        </w:tc>
        <w:tc>
          <w:tcPr>
            <w:tcW w:w="3071" w:type="dxa"/>
            <w:shd w:val="clear" w:color="auto" w:fill="auto"/>
          </w:tcPr>
          <w:p w14:paraId="05C0B1A4" w14:textId="77777777" w:rsidR="00660FFE" w:rsidRPr="00660FFE" w:rsidRDefault="00660FFE" w:rsidP="00DC4AD8">
            <w:pPr>
              <w:rPr>
                <w:lang w:val="en-US"/>
              </w:rPr>
            </w:pPr>
            <w:r w:rsidRPr="00660FFE">
              <w:rPr>
                <w:lang w:val="en-US"/>
              </w:rPr>
              <w:t>0,0043 mg/kg (iodide)</w:t>
            </w:r>
          </w:p>
        </w:tc>
      </w:tr>
      <w:tr w:rsidR="00660FFE" w:rsidRPr="00660FFE" w14:paraId="44E14B07" w14:textId="77777777" w:rsidTr="00660FFE">
        <w:trPr>
          <w:trHeight w:val="180"/>
        </w:trPr>
        <w:tc>
          <w:tcPr>
            <w:tcW w:w="6033" w:type="dxa"/>
            <w:gridSpan w:val="2"/>
            <w:vMerge/>
            <w:shd w:val="clear" w:color="auto" w:fill="auto"/>
          </w:tcPr>
          <w:p w14:paraId="56B9C7A5" w14:textId="77777777" w:rsidR="00660FFE" w:rsidRPr="00660FFE" w:rsidRDefault="00660FFE" w:rsidP="00DC4AD8"/>
        </w:tc>
        <w:tc>
          <w:tcPr>
            <w:tcW w:w="3071" w:type="dxa"/>
            <w:shd w:val="clear" w:color="auto" w:fill="auto"/>
          </w:tcPr>
          <w:p w14:paraId="302CE1DB" w14:textId="77777777" w:rsidR="00660FFE" w:rsidRPr="00660FFE" w:rsidRDefault="00660FFE" w:rsidP="00DC4AD8">
            <w:pPr>
              <w:rPr>
                <w:lang w:val="en-US"/>
              </w:rPr>
            </w:pPr>
            <w:r w:rsidRPr="00660FFE">
              <w:rPr>
                <w:lang w:val="en-US"/>
              </w:rPr>
              <w:t>0,0118 mg/kg (iodine)</w:t>
            </w:r>
          </w:p>
        </w:tc>
      </w:tr>
      <w:tr w:rsidR="00660FFE" w:rsidRPr="00660FFE" w14:paraId="0F5B261C" w14:textId="77777777" w:rsidTr="00660FFE">
        <w:trPr>
          <w:trHeight w:val="180"/>
        </w:trPr>
        <w:tc>
          <w:tcPr>
            <w:tcW w:w="6033" w:type="dxa"/>
            <w:gridSpan w:val="2"/>
            <w:vMerge/>
            <w:shd w:val="clear" w:color="auto" w:fill="auto"/>
          </w:tcPr>
          <w:p w14:paraId="1208156D" w14:textId="77777777" w:rsidR="00660FFE" w:rsidRPr="00660FFE" w:rsidRDefault="00660FFE" w:rsidP="00DC4AD8"/>
        </w:tc>
        <w:tc>
          <w:tcPr>
            <w:tcW w:w="3071" w:type="dxa"/>
            <w:shd w:val="clear" w:color="auto" w:fill="auto"/>
          </w:tcPr>
          <w:p w14:paraId="5B2AADD2" w14:textId="77777777" w:rsidR="00660FFE" w:rsidRPr="00660FFE" w:rsidRDefault="00660FFE" w:rsidP="00DC4AD8">
            <w:pPr>
              <w:rPr>
                <w:lang w:val="en-US"/>
              </w:rPr>
            </w:pPr>
            <w:r w:rsidRPr="00660FFE">
              <w:rPr>
                <w:lang w:val="en-US"/>
              </w:rPr>
              <w:t>0,304 mg/kg (iodate)</w:t>
            </w:r>
          </w:p>
        </w:tc>
      </w:tr>
      <w:tr w:rsidR="00660FFE" w:rsidRPr="00660FFE" w14:paraId="17E0DDA9" w14:textId="77777777" w:rsidTr="00660FFE">
        <w:tc>
          <w:tcPr>
            <w:tcW w:w="6033" w:type="dxa"/>
            <w:gridSpan w:val="2"/>
            <w:shd w:val="clear" w:color="auto" w:fill="auto"/>
          </w:tcPr>
          <w:p w14:paraId="36D1CB53" w14:textId="77777777" w:rsidR="00660FFE" w:rsidRPr="00660FFE" w:rsidRDefault="00660FFE" w:rsidP="00DC4AD8">
            <w:r w:rsidRPr="00660FFE">
              <w:t>STP</w:t>
            </w:r>
          </w:p>
        </w:tc>
        <w:tc>
          <w:tcPr>
            <w:tcW w:w="3071" w:type="dxa"/>
            <w:shd w:val="clear" w:color="auto" w:fill="auto"/>
          </w:tcPr>
          <w:p w14:paraId="2972101C" w14:textId="77777777" w:rsidR="00660FFE" w:rsidRPr="00660FFE" w:rsidRDefault="00660FFE" w:rsidP="00DC4AD8">
            <w:r w:rsidRPr="00660FFE">
              <w:t>2.9 mg/L (iodine)</w:t>
            </w:r>
          </w:p>
        </w:tc>
      </w:tr>
      <w:tr w:rsidR="00660FFE" w:rsidRPr="00660FFE" w14:paraId="3C7BC41F" w14:textId="77777777" w:rsidTr="00660FFE">
        <w:tc>
          <w:tcPr>
            <w:tcW w:w="6033" w:type="dxa"/>
            <w:gridSpan w:val="2"/>
            <w:vMerge w:val="restart"/>
            <w:shd w:val="clear" w:color="auto" w:fill="auto"/>
          </w:tcPr>
          <w:p w14:paraId="28A46DEB" w14:textId="77777777" w:rsidR="00660FFE" w:rsidRPr="00660FFE" w:rsidRDefault="00660FFE" w:rsidP="00DC4AD8">
            <w:r w:rsidRPr="00660FFE">
              <w:lastRenderedPageBreak/>
              <w:t>Groundwater</w:t>
            </w:r>
          </w:p>
        </w:tc>
        <w:tc>
          <w:tcPr>
            <w:tcW w:w="3071" w:type="dxa"/>
            <w:shd w:val="clear" w:color="auto" w:fill="auto"/>
          </w:tcPr>
          <w:p w14:paraId="47199BD3" w14:textId="77777777" w:rsidR="00660FFE" w:rsidRPr="00660FFE" w:rsidRDefault="00660FFE" w:rsidP="00DC4AD8">
            <w:r w:rsidRPr="00660FFE">
              <w:t>4,43E-03 mg/L (iodide)</w:t>
            </w:r>
          </w:p>
        </w:tc>
      </w:tr>
      <w:tr w:rsidR="00660FFE" w:rsidRPr="00660FFE" w14:paraId="78E277EF" w14:textId="77777777" w:rsidTr="00660FFE">
        <w:tc>
          <w:tcPr>
            <w:tcW w:w="6033" w:type="dxa"/>
            <w:gridSpan w:val="2"/>
            <w:vMerge/>
            <w:shd w:val="clear" w:color="auto" w:fill="auto"/>
          </w:tcPr>
          <w:p w14:paraId="731FA443" w14:textId="77777777" w:rsidR="00660FFE" w:rsidRPr="00660FFE" w:rsidRDefault="00660FFE" w:rsidP="00DC4AD8"/>
        </w:tc>
        <w:tc>
          <w:tcPr>
            <w:tcW w:w="3071" w:type="dxa"/>
            <w:shd w:val="clear" w:color="auto" w:fill="auto"/>
          </w:tcPr>
          <w:p w14:paraId="1FED97BA" w14:textId="77777777" w:rsidR="00660FFE" w:rsidRPr="00660FFE" w:rsidRDefault="00660FFE" w:rsidP="00DC4AD8">
            <w:r w:rsidRPr="00660FFE">
              <w:rPr>
                <w:lang w:val="en-US"/>
              </w:rPr>
              <w:t>1,29E-02</w:t>
            </w:r>
            <w:r w:rsidRPr="00660FFE">
              <w:t xml:space="preserve"> mg/L (iodine)</w:t>
            </w:r>
          </w:p>
        </w:tc>
      </w:tr>
      <w:tr w:rsidR="00660FFE" w:rsidRPr="00660FFE" w14:paraId="0FD5DC58" w14:textId="77777777" w:rsidTr="00660FFE">
        <w:tc>
          <w:tcPr>
            <w:tcW w:w="6033" w:type="dxa"/>
            <w:gridSpan w:val="2"/>
            <w:vMerge/>
            <w:shd w:val="clear" w:color="auto" w:fill="auto"/>
          </w:tcPr>
          <w:p w14:paraId="232002F6" w14:textId="77777777" w:rsidR="00660FFE" w:rsidRPr="00660FFE" w:rsidRDefault="00660FFE" w:rsidP="00DC4AD8"/>
        </w:tc>
        <w:tc>
          <w:tcPr>
            <w:tcW w:w="3071" w:type="dxa"/>
            <w:shd w:val="clear" w:color="auto" w:fill="auto"/>
          </w:tcPr>
          <w:p w14:paraId="1E1E6A04" w14:textId="77777777" w:rsidR="00660FFE" w:rsidRPr="00660FFE" w:rsidRDefault="00660FFE" w:rsidP="00DC4AD8">
            <w:r w:rsidRPr="00660FFE">
              <w:rPr>
                <w:lang w:val="en-US"/>
              </w:rPr>
              <w:t>1,78E-02</w:t>
            </w:r>
            <w:r w:rsidRPr="00660FFE">
              <w:t xml:space="preserve"> mg/L (iodate)</w:t>
            </w:r>
          </w:p>
        </w:tc>
      </w:tr>
    </w:tbl>
    <w:tbl>
      <w:tblPr>
        <w:tblStyle w:val="Grilledutableau4"/>
        <w:tblpPr w:leftFromText="180" w:rightFromText="180" w:vertAnchor="text" w:horzAnchor="margin" w:tblpX="108" w:tblpY="106"/>
        <w:tblW w:w="9072" w:type="dxa"/>
        <w:tblLook w:val="04A0" w:firstRow="1" w:lastRow="0" w:firstColumn="1" w:lastColumn="0" w:noHBand="0" w:noVBand="1"/>
      </w:tblPr>
      <w:tblGrid>
        <w:gridCol w:w="9072"/>
      </w:tblGrid>
      <w:tr w:rsidR="00660FFE" w:rsidRPr="00660FFE" w14:paraId="60F958E7" w14:textId="77777777" w:rsidTr="00705A8C">
        <w:trPr>
          <w:trHeight w:val="2967"/>
        </w:trPr>
        <w:tc>
          <w:tcPr>
            <w:tcW w:w="9072" w:type="dxa"/>
            <w:shd w:val="clear" w:color="auto" w:fill="D6E3BC" w:themeFill="accent3" w:themeFillTint="66"/>
          </w:tcPr>
          <w:p w14:paraId="1A72DAFC" w14:textId="77777777" w:rsidR="00660FFE" w:rsidRPr="00660FFE" w:rsidRDefault="00660FFE" w:rsidP="00660FFE">
            <w:pPr>
              <w:spacing w:line="276" w:lineRule="auto"/>
              <w:jc w:val="both"/>
              <w:rPr>
                <w:rFonts w:cs="Arial"/>
                <w:b/>
                <w:sz w:val="20"/>
                <w:szCs w:val="20"/>
              </w:rPr>
            </w:pPr>
            <w:r w:rsidRPr="00660FFE">
              <w:rPr>
                <w:rStyle w:val="LgendeCar"/>
                <w:b/>
                <w:sz w:val="20"/>
                <w:szCs w:val="20"/>
              </w:rPr>
              <w:t xml:space="preserve">Infobox </w:t>
            </w:r>
            <w:r w:rsidRPr="00660FFE">
              <w:rPr>
                <w:rStyle w:val="LgendeCar"/>
                <w:b/>
                <w:sz w:val="20"/>
              </w:rPr>
              <w:fldChar w:fldCharType="begin"/>
            </w:r>
            <w:r w:rsidRPr="00660FFE">
              <w:rPr>
                <w:rStyle w:val="LgendeCar"/>
                <w:b/>
                <w:sz w:val="20"/>
                <w:szCs w:val="20"/>
              </w:rPr>
              <w:instrText xml:space="preserve"> SEQ Infobox \* ARABIC </w:instrText>
            </w:r>
            <w:r w:rsidRPr="00660FFE">
              <w:rPr>
                <w:rStyle w:val="LgendeCar"/>
                <w:b/>
                <w:sz w:val="20"/>
              </w:rPr>
              <w:fldChar w:fldCharType="separate"/>
            </w:r>
            <w:r w:rsidR="00D3764E">
              <w:rPr>
                <w:rStyle w:val="LgendeCar"/>
                <w:b/>
                <w:noProof/>
                <w:sz w:val="20"/>
                <w:szCs w:val="20"/>
              </w:rPr>
              <w:t>2</w:t>
            </w:r>
            <w:r w:rsidRPr="00660FFE">
              <w:rPr>
                <w:rStyle w:val="LgendeCar"/>
                <w:b/>
                <w:sz w:val="20"/>
              </w:rPr>
              <w:fldChar w:fldCharType="end"/>
            </w:r>
            <w:r w:rsidRPr="00660FFE">
              <w:rPr>
                <w:rStyle w:val="LgendeCar"/>
                <w:b/>
                <w:sz w:val="20"/>
                <w:szCs w:val="20"/>
              </w:rPr>
              <w:t xml:space="preserve"> -</w:t>
            </w:r>
            <w:r w:rsidRPr="00660FFE">
              <w:rPr>
                <w:rStyle w:val="LgendeCar"/>
                <w:sz w:val="20"/>
                <w:szCs w:val="20"/>
              </w:rPr>
              <w:t xml:space="preserve"> </w:t>
            </w:r>
            <w:r w:rsidRPr="00660FFE">
              <w:rPr>
                <w:rFonts w:cs="Arial"/>
                <w:b/>
                <w:sz w:val="20"/>
                <w:szCs w:val="20"/>
              </w:rPr>
              <w:t>FR CA position:</w:t>
            </w:r>
          </w:p>
          <w:p w14:paraId="4347C62B" w14:textId="77777777" w:rsidR="00660FFE" w:rsidRPr="00660FFE" w:rsidRDefault="00660FFE" w:rsidP="00660FFE">
            <w:pPr>
              <w:spacing w:line="276" w:lineRule="auto"/>
              <w:jc w:val="both"/>
              <w:rPr>
                <w:rFonts w:cs="Arial"/>
                <w:sz w:val="20"/>
                <w:szCs w:val="20"/>
              </w:rPr>
            </w:pPr>
            <w:r w:rsidRPr="00660FFE">
              <w:rPr>
                <w:rFonts w:cs="Arial"/>
                <w:sz w:val="20"/>
                <w:szCs w:val="20"/>
              </w:rPr>
              <w:t>The following PNEC are applicable.</w:t>
            </w:r>
          </w:p>
          <w:tbl>
            <w:tblPr>
              <w:tblW w:w="0" w:type="auto"/>
              <w:tblCellMar>
                <w:left w:w="10" w:type="dxa"/>
                <w:right w:w="10" w:type="dxa"/>
              </w:tblCellMar>
              <w:tblLook w:val="0000" w:firstRow="0" w:lastRow="0" w:firstColumn="0" w:lastColumn="0" w:noHBand="0" w:noVBand="0"/>
            </w:tblPr>
            <w:tblGrid>
              <w:gridCol w:w="1221"/>
              <w:gridCol w:w="1824"/>
              <w:gridCol w:w="2327"/>
              <w:gridCol w:w="3474"/>
            </w:tblGrid>
            <w:tr w:rsidR="00660FFE" w:rsidRPr="00660FFE" w14:paraId="5B5A980D" w14:textId="77777777" w:rsidTr="00DC4AD8">
              <w:trPr>
                <w:cantSplit/>
                <w:trHeight w:hRule="exact" w:val="333"/>
              </w:trPr>
              <w:tc>
                <w:tcPr>
                  <w:tcW w:w="8954" w:type="dxa"/>
                  <w:gridSpan w:val="4"/>
                  <w:tcBorders>
                    <w:top w:val="single" w:sz="4" w:space="0" w:color="auto"/>
                    <w:left w:val="single" w:sz="4" w:space="0" w:color="auto"/>
                    <w:right w:val="single" w:sz="4" w:space="0" w:color="auto"/>
                  </w:tcBorders>
                  <w:shd w:val="clear" w:color="auto" w:fill="FFFFCB"/>
                  <w:vAlign w:val="bottom"/>
                </w:tcPr>
                <w:p w14:paraId="338A4A8B" w14:textId="77777777" w:rsidR="00660FFE" w:rsidRPr="00660FFE" w:rsidRDefault="00660FFE" w:rsidP="00FA101C">
                  <w:pPr>
                    <w:framePr w:hSpace="180" w:wrap="around" w:vAnchor="text" w:hAnchor="margin" w:x="108" w:y="106"/>
                    <w:widowControl w:val="0"/>
                    <w:spacing w:line="200" w:lineRule="exact"/>
                    <w:jc w:val="center"/>
                    <w:rPr>
                      <w:rFonts w:eastAsia="Arial" w:cs="Arial"/>
                      <w:color w:val="000000"/>
                      <w:lang w:eastAsia="en-GB" w:bidi="en-GB"/>
                    </w:rPr>
                  </w:pPr>
                  <w:r w:rsidRPr="00660FFE">
                    <w:rPr>
                      <w:rFonts w:eastAsia="Arial" w:cs="Arial"/>
                      <w:b/>
                      <w:bCs/>
                      <w:color w:val="000000"/>
                      <w:lang w:eastAsia="en-GB" w:bidi="en-GB"/>
                    </w:rPr>
                    <w:t>Summary table on PNEC</w:t>
                  </w:r>
                </w:p>
              </w:tc>
            </w:tr>
            <w:tr w:rsidR="00660FFE" w:rsidRPr="00660FFE" w14:paraId="15CD65EB" w14:textId="77777777" w:rsidTr="00DC4AD8">
              <w:trPr>
                <w:cantSplit/>
                <w:trHeight w:val="325"/>
              </w:trPr>
              <w:tc>
                <w:tcPr>
                  <w:tcW w:w="3051" w:type="dxa"/>
                  <w:gridSpan w:val="2"/>
                  <w:tcBorders>
                    <w:top w:val="single" w:sz="4" w:space="0" w:color="auto"/>
                    <w:left w:val="single" w:sz="4" w:space="0" w:color="auto"/>
                  </w:tcBorders>
                  <w:shd w:val="clear" w:color="auto" w:fill="FFFFFF"/>
                  <w:vAlign w:val="center"/>
                </w:tcPr>
                <w:p w14:paraId="3D881798" w14:textId="77777777" w:rsidR="00660FFE" w:rsidRPr="00660FFE" w:rsidRDefault="00660FFE" w:rsidP="00FA101C">
                  <w:pPr>
                    <w:framePr w:hSpace="180" w:wrap="around" w:vAnchor="text" w:hAnchor="margin" w:x="108" w:y="106"/>
                    <w:widowControl w:val="0"/>
                    <w:spacing w:line="200" w:lineRule="exact"/>
                    <w:ind w:left="127"/>
                    <w:rPr>
                      <w:rFonts w:eastAsia="Arial" w:cs="Arial"/>
                      <w:color w:val="000000"/>
                      <w:lang w:eastAsia="en-GB" w:bidi="en-GB"/>
                    </w:rPr>
                  </w:pPr>
                  <w:r w:rsidRPr="00660FFE">
                    <w:rPr>
                      <w:rStyle w:val="MSGENFONTSTYLENAMETEMPLATEROLENUMBERMSGENFONTSTYLENAMEBYROLETEXT2MSGENFONTSTYLEMODIFERSIZE9"/>
                      <w:rFonts w:ascii="Verdana" w:hAnsi="Verdana"/>
                      <w:sz w:val="20"/>
                      <w:szCs w:val="20"/>
                    </w:rPr>
                    <w:t>Environmental compartment</w:t>
                  </w:r>
                </w:p>
              </w:tc>
              <w:tc>
                <w:tcPr>
                  <w:tcW w:w="2368" w:type="dxa"/>
                  <w:tcBorders>
                    <w:top w:val="single" w:sz="4" w:space="0" w:color="auto"/>
                    <w:left w:val="single" w:sz="4" w:space="0" w:color="auto"/>
                    <w:right w:val="single" w:sz="4" w:space="0" w:color="auto"/>
                  </w:tcBorders>
                  <w:shd w:val="clear" w:color="auto" w:fill="FFFFFF"/>
                  <w:vAlign w:val="center"/>
                </w:tcPr>
                <w:p w14:paraId="28FDF923" w14:textId="77777777" w:rsidR="00660FFE" w:rsidRPr="00660FFE" w:rsidRDefault="00660FFE" w:rsidP="00FA101C">
                  <w:pPr>
                    <w:framePr w:hSpace="180" w:wrap="around" w:vAnchor="text" w:hAnchor="margin" w:x="108" w:y="106"/>
                    <w:widowControl w:val="0"/>
                    <w:spacing w:line="200" w:lineRule="exact"/>
                    <w:ind w:left="127"/>
                    <w:rPr>
                      <w:rFonts w:eastAsia="Arial" w:cs="Arial"/>
                      <w:color w:val="000000"/>
                      <w:lang w:eastAsia="en-GB" w:bidi="en-GB"/>
                    </w:rPr>
                  </w:pPr>
                  <w:r w:rsidRPr="00660FFE">
                    <w:rPr>
                      <w:rStyle w:val="MSGENFONTSTYLENAMETEMPLATEROLENUMBERMSGENFONTSTYLENAMEBYROLETEXT2MSGENFONTSTYLEMODIFERSIZE9"/>
                      <w:rFonts w:ascii="Verdana" w:hAnsi="Verdana"/>
                      <w:sz w:val="20"/>
                      <w:szCs w:val="20"/>
                    </w:rPr>
                    <w:t>Iodine species</w:t>
                  </w:r>
                </w:p>
              </w:tc>
              <w:tc>
                <w:tcPr>
                  <w:tcW w:w="3535" w:type="dxa"/>
                  <w:tcBorders>
                    <w:top w:val="single" w:sz="4" w:space="0" w:color="auto"/>
                    <w:left w:val="single" w:sz="4" w:space="0" w:color="auto"/>
                    <w:right w:val="single" w:sz="4" w:space="0" w:color="auto"/>
                  </w:tcBorders>
                  <w:shd w:val="clear" w:color="auto" w:fill="FFFFFF"/>
                  <w:vAlign w:val="center"/>
                </w:tcPr>
                <w:p w14:paraId="324B822A" w14:textId="77777777" w:rsidR="00660FFE" w:rsidRPr="00660FFE" w:rsidRDefault="00660FFE" w:rsidP="00FA101C">
                  <w:pPr>
                    <w:framePr w:hSpace="180" w:wrap="around" w:vAnchor="text" w:hAnchor="margin" w:x="108" w:y="106"/>
                    <w:widowControl w:val="0"/>
                    <w:spacing w:line="200" w:lineRule="exact"/>
                    <w:ind w:left="127"/>
                    <w:rPr>
                      <w:rFonts w:eastAsia="Arial" w:cs="Arial"/>
                      <w:color w:val="000000"/>
                      <w:lang w:eastAsia="en-GB" w:bidi="en-GB"/>
                    </w:rPr>
                  </w:pPr>
                  <w:r w:rsidRPr="00660FFE">
                    <w:rPr>
                      <w:rStyle w:val="MSGENFONTSTYLENAMETEMPLATEROLENUMBERMSGENFONTSTYLENAMEBYROLETEXT2MSGENFONTSTYLEMODIFERSIZE9"/>
                      <w:rFonts w:ascii="Verdana" w:hAnsi="Verdana"/>
                      <w:sz w:val="20"/>
                      <w:szCs w:val="20"/>
                    </w:rPr>
                    <w:t>PNEC</w:t>
                  </w:r>
                </w:p>
              </w:tc>
            </w:tr>
            <w:tr w:rsidR="00660FFE" w:rsidRPr="00660FFE" w14:paraId="16AB23CA" w14:textId="77777777" w:rsidTr="00DC4AD8">
              <w:trPr>
                <w:cantSplit/>
                <w:trHeight w:hRule="exact" w:val="397"/>
              </w:trPr>
              <w:tc>
                <w:tcPr>
                  <w:tcW w:w="1210" w:type="dxa"/>
                  <w:vMerge w:val="restart"/>
                  <w:tcBorders>
                    <w:top w:val="single" w:sz="4" w:space="0" w:color="auto"/>
                    <w:left w:val="single" w:sz="4" w:space="0" w:color="auto"/>
                  </w:tcBorders>
                  <w:shd w:val="clear" w:color="auto" w:fill="FFFFFF"/>
                  <w:vAlign w:val="center"/>
                </w:tcPr>
                <w:p w14:paraId="03CBA7FD"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r w:rsidRPr="00660FFE">
                    <w:rPr>
                      <w:rStyle w:val="MSGENFONTSTYLENAMETEMPLATEROLENUMBERMSGENFONTSTYLENAMEBYROLETEXT2MSGENFONTSTYLEMODIFERSIZE9"/>
                      <w:rFonts w:ascii="Verdana" w:hAnsi="Verdana"/>
                      <w:b w:val="0"/>
                      <w:sz w:val="20"/>
                      <w:szCs w:val="20"/>
                    </w:rPr>
                    <w:t>Aquatic, freshwater</w:t>
                  </w:r>
                </w:p>
              </w:tc>
              <w:tc>
                <w:tcPr>
                  <w:tcW w:w="1841" w:type="dxa"/>
                  <w:vMerge w:val="restart"/>
                  <w:tcBorders>
                    <w:top w:val="single" w:sz="4" w:space="0" w:color="auto"/>
                    <w:left w:val="single" w:sz="4" w:space="0" w:color="auto"/>
                  </w:tcBorders>
                  <w:shd w:val="clear" w:color="auto" w:fill="FFFFFF"/>
                  <w:vAlign w:val="center"/>
                </w:tcPr>
                <w:p w14:paraId="36F8508E" w14:textId="77777777" w:rsidR="00660FFE" w:rsidRPr="00660FFE" w:rsidRDefault="00660FFE" w:rsidP="00FA101C">
                  <w:pPr>
                    <w:framePr w:hSpace="180" w:wrap="around" w:vAnchor="text" w:hAnchor="margin" w:x="108" w:y="106"/>
                    <w:widowControl w:val="0"/>
                    <w:spacing w:line="259" w:lineRule="exact"/>
                    <w:ind w:left="127"/>
                    <w:rPr>
                      <w:rFonts w:eastAsia="Arial" w:cs="Arial"/>
                      <w:b/>
                      <w:color w:val="000000"/>
                      <w:lang w:eastAsia="en-GB" w:bidi="en-GB"/>
                    </w:rPr>
                  </w:pPr>
                  <w:r w:rsidRPr="00660FFE">
                    <w:rPr>
                      <w:rStyle w:val="MSGENFONTSTYLENAMETEMPLATEROLENUMBERMSGENFONTSTYLENAMEBYROLETEXT2MSGENFONTSTYLEMODIFERSIZE9"/>
                      <w:rFonts w:ascii="Verdana" w:hAnsi="Verdana"/>
                      <w:b w:val="0"/>
                      <w:sz w:val="20"/>
                      <w:szCs w:val="20"/>
                    </w:rPr>
                    <w:t>Surface water</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bottom"/>
                </w:tcPr>
                <w:p w14:paraId="6F37218A"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rPr>
                  </w:pPr>
                  <w:r w:rsidRPr="00660FFE">
                    <w:rPr>
                      <w:rStyle w:val="MSGENFONTSTYLENAMETEMPLATEROLENUMBERMSGENFONTSTYLENAMEBYROLETEXT2MSGENFONTSTYLEMODIFERSIZE9"/>
                      <w:rFonts w:ascii="Verdana" w:hAnsi="Verdana"/>
                      <w:b w:val="0"/>
                      <w:sz w:val="20"/>
                      <w:szCs w:val="20"/>
                    </w:rPr>
                    <w:t>Iodine (I</w:t>
                  </w:r>
                  <w:r w:rsidRPr="00A800C9">
                    <w:rPr>
                      <w:rStyle w:val="MSGENFONTSTYLENAMETEMPLATEROLENUMBERMSGENFONTSTYLENAMEBYROLETEXT2MSGENFONTSTYLEMODIFERSIZE55"/>
                      <w:rFonts w:ascii="Verdana" w:hAnsi="Verdana"/>
                      <w:b/>
                      <w:sz w:val="20"/>
                      <w:szCs w:val="20"/>
                      <w:vertAlign w:val="subscript"/>
                    </w:rPr>
                    <w:t>2</w:t>
                  </w:r>
                  <w:r w:rsidRPr="00660FFE">
                    <w:rPr>
                      <w:rStyle w:val="MSGENFONTSTYLENAMETEMPLATEROLENUMBERMSGENFONTSTYLENAMEBYROLETEXT2MSGENFONTSTYLEMODIFERSIZE9"/>
                      <w:rFonts w:ascii="Verdana" w:hAnsi="Verdana"/>
                      <w:b w:val="0"/>
                      <w:sz w:val="20"/>
                      <w:szCs w:val="20"/>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310E8FB0"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rPr>
                  </w:pPr>
                  <w:r w:rsidRPr="00660FFE">
                    <w:rPr>
                      <w:rStyle w:val="MSGENFONTSTYLENAMETEMPLATEROLENUMBERMSGENFONTSTYLENAMEBYROLETEXT2MSGENFONTSTYLEMODIFERSIZE9"/>
                      <w:rFonts w:ascii="Verdana" w:hAnsi="Verdana"/>
                      <w:b w:val="0"/>
                      <w:sz w:val="20"/>
                      <w:szCs w:val="20"/>
                    </w:rPr>
                    <w:t>0.00059 mg/L</w:t>
                  </w:r>
                </w:p>
              </w:tc>
            </w:tr>
            <w:tr w:rsidR="00660FFE" w:rsidRPr="00660FFE" w14:paraId="15093077" w14:textId="77777777" w:rsidTr="00DC4AD8">
              <w:trPr>
                <w:cantSplit/>
                <w:trHeight w:hRule="exact" w:val="397"/>
              </w:trPr>
              <w:tc>
                <w:tcPr>
                  <w:tcW w:w="1210" w:type="dxa"/>
                  <w:vMerge/>
                  <w:tcBorders>
                    <w:top w:val="single" w:sz="4" w:space="0" w:color="auto"/>
                    <w:left w:val="single" w:sz="4" w:space="0" w:color="auto"/>
                  </w:tcBorders>
                  <w:shd w:val="clear" w:color="auto" w:fill="FFFFFF"/>
                  <w:vAlign w:val="center"/>
                </w:tcPr>
                <w:p w14:paraId="3E88AF7C" w14:textId="77777777" w:rsidR="00660FFE" w:rsidRPr="00660FFE" w:rsidRDefault="00660FFE" w:rsidP="00FA101C">
                  <w:pPr>
                    <w:framePr w:hSpace="180" w:wrap="around" w:vAnchor="text" w:hAnchor="margin" w:x="108" w:y="106"/>
                    <w:widowControl w:val="0"/>
                    <w:spacing w:line="259" w:lineRule="exact"/>
                    <w:ind w:left="127"/>
                    <w:rPr>
                      <w:rStyle w:val="MSGENFONTSTYLENAMETEMPLATEROLENUMBERMSGENFONTSTYLENAMEBYROLETEXT2MSGENFONTSTYLEMODIFERSIZE9"/>
                      <w:rFonts w:ascii="Verdana" w:hAnsi="Verdana"/>
                      <w:b w:val="0"/>
                      <w:sz w:val="20"/>
                      <w:szCs w:val="20"/>
                    </w:rPr>
                  </w:pPr>
                </w:p>
              </w:tc>
              <w:tc>
                <w:tcPr>
                  <w:tcW w:w="1841" w:type="dxa"/>
                  <w:vMerge/>
                  <w:tcBorders>
                    <w:left w:val="single" w:sz="4" w:space="0" w:color="auto"/>
                  </w:tcBorders>
                  <w:shd w:val="clear" w:color="auto" w:fill="FFFFFF"/>
                  <w:vAlign w:val="center"/>
                </w:tcPr>
                <w:p w14:paraId="1CC0FD3E" w14:textId="77777777" w:rsidR="00660FFE" w:rsidRPr="00660FFE" w:rsidRDefault="00660FFE" w:rsidP="00FA101C">
                  <w:pPr>
                    <w:framePr w:hSpace="180" w:wrap="around" w:vAnchor="text" w:hAnchor="margin" w:x="108" w:y="106"/>
                    <w:widowControl w:val="0"/>
                    <w:spacing w:line="259" w:lineRule="exact"/>
                    <w:ind w:left="127"/>
                    <w:rPr>
                      <w:rStyle w:val="MSGENFONTSTYLENAMETEMPLATEROLENUMBERMSGENFONTSTYLENAMEBYROLETEXT2MSGENFONTSTYLEMODIFERSIZE9"/>
                      <w:rFonts w:ascii="Verdana" w:hAnsi="Verdana"/>
                      <w:b w:val="0"/>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FFFFFF"/>
                  <w:vAlign w:val="bottom"/>
                </w:tcPr>
                <w:p w14:paraId="32BFFB28"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rPr>
                  </w:pPr>
                  <w:r w:rsidRPr="00660FFE">
                    <w:rPr>
                      <w:rStyle w:val="MSGENFONTSTYLENAMETEMPLATEROLENUMBERMSGENFONTSTYLENAMEBYROLETEXT2MSGENFONTSTYLEMODIFERSIZE9"/>
                      <w:rFonts w:ascii="Verdana" w:hAnsi="Verdana"/>
                      <w:b w:val="0"/>
                      <w:sz w:val="20"/>
                      <w:szCs w:val="20"/>
                    </w:rPr>
                    <w:t>Iodate (IO</w:t>
                  </w:r>
                  <w:r w:rsidRPr="00A800C9">
                    <w:rPr>
                      <w:rStyle w:val="MSGENFONTSTYLENAMETEMPLATEROLENUMBERMSGENFONTSTYLENAMEBYROLETEXT2MSGENFONTSTYLEMODIFERSIZE55"/>
                      <w:rFonts w:ascii="Verdana" w:hAnsi="Verdana"/>
                      <w:b/>
                      <w:sz w:val="20"/>
                      <w:szCs w:val="20"/>
                      <w:vertAlign w:val="subscript"/>
                    </w:rPr>
                    <w:t>3</w:t>
                  </w:r>
                  <w:r w:rsidRPr="00660FFE">
                    <w:rPr>
                      <w:rStyle w:val="MSGENFONTSTYLENAMETEMPLATEROLENUMBERMSGENFONTSTYLENAMEBYROLETEXT2MSGENFONTSTYLEMODIFERSIZE9"/>
                      <w:rFonts w:ascii="Verdana" w:hAnsi="Verdana"/>
                      <w:b w:val="0"/>
                      <w:sz w:val="20"/>
                      <w:szCs w:val="20"/>
                      <w:vertAlign w:val="superscript"/>
                    </w:rPr>
                    <w:t>-</w:t>
                  </w:r>
                  <w:r w:rsidRPr="00660FFE">
                    <w:rPr>
                      <w:rStyle w:val="MSGENFONTSTYLENAMETEMPLATEROLENUMBERMSGENFONTSTYLENAMEBYROLETEXT2MSGENFONTSTYLEMODIFERSIZE9"/>
                      <w:rFonts w:ascii="Verdana" w:hAnsi="Verdana"/>
                      <w:b w:val="0"/>
                      <w:sz w:val="20"/>
                      <w:szCs w:val="20"/>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0A12F9E3"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rPr>
                  </w:pPr>
                  <w:r w:rsidRPr="00660FFE">
                    <w:rPr>
                      <w:rStyle w:val="MSGENFONTSTYLENAMETEMPLATEROLENUMBERMSGENFONTSTYLENAMEBYROLETEXT2MSGENFONTSTYLEMODIFERSIZE9"/>
                      <w:rFonts w:ascii="Verdana" w:hAnsi="Verdana"/>
                      <w:b w:val="0"/>
                      <w:sz w:val="20"/>
                      <w:szCs w:val="20"/>
                    </w:rPr>
                    <w:t>0.0585 mg/L</w:t>
                  </w:r>
                </w:p>
              </w:tc>
            </w:tr>
            <w:tr w:rsidR="00660FFE" w:rsidRPr="00660FFE" w14:paraId="1B6FD4B9" w14:textId="77777777" w:rsidTr="00DC4AD8">
              <w:trPr>
                <w:cantSplit/>
                <w:trHeight w:hRule="exact" w:val="397"/>
              </w:trPr>
              <w:tc>
                <w:tcPr>
                  <w:tcW w:w="1210" w:type="dxa"/>
                  <w:vMerge/>
                  <w:tcBorders>
                    <w:top w:val="single" w:sz="4" w:space="0" w:color="auto"/>
                    <w:left w:val="single" w:sz="4" w:space="0" w:color="auto"/>
                  </w:tcBorders>
                  <w:shd w:val="clear" w:color="auto" w:fill="FFFFFF"/>
                  <w:vAlign w:val="center"/>
                </w:tcPr>
                <w:p w14:paraId="1C950526" w14:textId="77777777" w:rsidR="00660FFE" w:rsidRPr="00660FFE" w:rsidRDefault="00660FFE" w:rsidP="00FA101C">
                  <w:pPr>
                    <w:framePr w:hSpace="180" w:wrap="around" w:vAnchor="text" w:hAnchor="margin" w:x="108" w:y="106"/>
                    <w:widowControl w:val="0"/>
                    <w:spacing w:line="259" w:lineRule="exact"/>
                    <w:ind w:left="127"/>
                    <w:rPr>
                      <w:rStyle w:val="MSGENFONTSTYLENAMETEMPLATEROLENUMBERMSGENFONTSTYLENAMEBYROLETEXT2MSGENFONTSTYLEMODIFERSIZE9"/>
                      <w:rFonts w:ascii="Verdana" w:hAnsi="Verdana"/>
                      <w:b w:val="0"/>
                      <w:sz w:val="20"/>
                      <w:szCs w:val="20"/>
                    </w:rPr>
                  </w:pPr>
                </w:p>
              </w:tc>
              <w:tc>
                <w:tcPr>
                  <w:tcW w:w="1841" w:type="dxa"/>
                  <w:vMerge/>
                  <w:tcBorders>
                    <w:left w:val="single" w:sz="4" w:space="0" w:color="auto"/>
                    <w:bottom w:val="single" w:sz="4" w:space="0" w:color="auto"/>
                  </w:tcBorders>
                  <w:shd w:val="clear" w:color="auto" w:fill="FFFFFF"/>
                  <w:vAlign w:val="center"/>
                </w:tcPr>
                <w:p w14:paraId="1BF333F6" w14:textId="77777777" w:rsidR="00660FFE" w:rsidRPr="00660FFE" w:rsidRDefault="00660FFE" w:rsidP="00FA101C">
                  <w:pPr>
                    <w:framePr w:hSpace="180" w:wrap="around" w:vAnchor="text" w:hAnchor="margin" w:x="108" w:y="106"/>
                    <w:widowControl w:val="0"/>
                    <w:spacing w:line="259" w:lineRule="exact"/>
                    <w:ind w:left="127"/>
                    <w:rPr>
                      <w:rStyle w:val="MSGENFONTSTYLENAMETEMPLATEROLENUMBERMSGENFONTSTYLENAMEBYROLETEXT2MSGENFONTSTYLEMODIFERSIZE9"/>
                      <w:rFonts w:ascii="Verdana" w:hAnsi="Verdana"/>
                      <w:b w:val="0"/>
                      <w:sz w:val="20"/>
                      <w:szCs w:val="20"/>
                    </w:rPr>
                  </w:pPr>
                </w:p>
              </w:tc>
              <w:tc>
                <w:tcPr>
                  <w:tcW w:w="2368" w:type="dxa"/>
                  <w:tcBorders>
                    <w:top w:val="single" w:sz="4" w:space="0" w:color="auto"/>
                    <w:left w:val="single" w:sz="4" w:space="0" w:color="auto"/>
                    <w:bottom w:val="single" w:sz="4" w:space="0" w:color="auto"/>
                    <w:right w:val="single" w:sz="4" w:space="0" w:color="auto"/>
                  </w:tcBorders>
                  <w:shd w:val="clear" w:color="auto" w:fill="FFFFFF"/>
                  <w:vAlign w:val="bottom"/>
                </w:tcPr>
                <w:p w14:paraId="5C1D1DD6"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rPr>
                  </w:pPr>
                  <w:r w:rsidRPr="00660FFE">
                    <w:rPr>
                      <w:rStyle w:val="MSGENFONTSTYLENAMETEMPLATEROLENUMBERMSGENFONTSTYLENAMEBYROLETEXT2MSGENFONTSTYLEMODIFERSIZE9"/>
                      <w:rFonts w:ascii="Verdana" w:hAnsi="Verdana"/>
                      <w:b w:val="0"/>
                      <w:sz w:val="20"/>
                      <w:szCs w:val="20"/>
                    </w:rPr>
                    <w:t>Iodide (I</w:t>
                  </w:r>
                  <w:r w:rsidRPr="00660FFE">
                    <w:rPr>
                      <w:rStyle w:val="MSGENFONTSTYLENAMETEMPLATEROLENUMBERMSGENFONTSTYLENAMEBYROLETEXT2MSGENFONTSTYLEMODIFERSIZE9"/>
                      <w:rFonts w:ascii="Verdana" w:hAnsi="Verdana"/>
                      <w:b w:val="0"/>
                      <w:sz w:val="20"/>
                      <w:szCs w:val="20"/>
                      <w:vertAlign w:val="superscript"/>
                    </w:rPr>
                    <w:t>-</w:t>
                  </w:r>
                  <w:r w:rsidRPr="00660FFE">
                    <w:rPr>
                      <w:rStyle w:val="MSGENFONTSTYLENAMETEMPLATEROLENUMBERMSGENFONTSTYLENAMEBYROLETEXT2MSGENFONTSTYLEMODIFERSIZE9"/>
                      <w:rFonts w:ascii="Verdana" w:hAnsi="Verdana"/>
                      <w:b w:val="0"/>
                      <w:sz w:val="20"/>
                      <w:szCs w:val="20"/>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640E80CB"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rPr>
                  </w:pPr>
                  <w:r w:rsidRPr="00660FFE">
                    <w:rPr>
                      <w:rStyle w:val="MSGENFONTSTYLENAMETEMPLATEROLENUMBERMSGENFONTSTYLENAMEBYROLETEXT2MSGENFONTSTYLEMODIFERSIZE9"/>
                      <w:rFonts w:ascii="Verdana" w:hAnsi="Verdana"/>
                      <w:b w:val="0"/>
                      <w:sz w:val="20"/>
                      <w:szCs w:val="20"/>
                    </w:rPr>
                    <w:t>0.00083 mg/L</w:t>
                  </w:r>
                </w:p>
              </w:tc>
            </w:tr>
            <w:tr w:rsidR="00660FFE" w:rsidRPr="00660FFE" w14:paraId="5B94D3F9" w14:textId="77777777" w:rsidTr="00DC4AD8">
              <w:trPr>
                <w:cantSplit/>
                <w:trHeight w:val="397"/>
              </w:trPr>
              <w:tc>
                <w:tcPr>
                  <w:tcW w:w="1210" w:type="dxa"/>
                  <w:vMerge/>
                  <w:tcBorders>
                    <w:left w:val="single" w:sz="4" w:space="0" w:color="auto"/>
                    <w:bottom w:val="single" w:sz="4" w:space="0" w:color="auto"/>
                  </w:tcBorders>
                  <w:shd w:val="clear" w:color="auto" w:fill="FFFFFF"/>
                  <w:vAlign w:val="center"/>
                </w:tcPr>
                <w:p w14:paraId="2C40830B"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p>
              </w:tc>
              <w:tc>
                <w:tcPr>
                  <w:tcW w:w="1841" w:type="dxa"/>
                  <w:tcBorders>
                    <w:top w:val="single" w:sz="4" w:space="0" w:color="auto"/>
                    <w:left w:val="single" w:sz="4" w:space="0" w:color="auto"/>
                    <w:bottom w:val="single" w:sz="4" w:space="0" w:color="auto"/>
                  </w:tcBorders>
                  <w:shd w:val="clear" w:color="auto" w:fill="FFFFFF"/>
                  <w:vAlign w:val="center"/>
                </w:tcPr>
                <w:p w14:paraId="41EFFB90"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r w:rsidRPr="00660FFE">
                    <w:rPr>
                      <w:rFonts w:eastAsia="Arial" w:cs="Arial"/>
                      <w:color w:val="000000"/>
                      <w:lang w:eastAsia="en-GB" w:bidi="en-GB"/>
                    </w:rPr>
                    <w:t>Freshwater sediment</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center"/>
                </w:tcPr>
                <w:p w14:paraId="2E92907D" w14:textId="77777777" w:rsidR="00660FFE" w:rsidRPr="00660FFE" w:rsidRDefault="00660FFE" w:rsidP="00FA101C">
                  <w:pPr>
                    <w:framePr w:hSpace="180" w:wrap="around" w:vAnchor="text" w:hAnchor="margin" w:x="108" w:y="106"/>
                    <w:widowControl w:val="0"/>
                    <w:spacing w:line="200" w:lineRule="exact"/>
                    <w:ind w:left="127"/>
                    <w:rPr>
                      <w:rFonts w:eastAsia="Arial" w:cs="Arial"/>
                      <w:color w:val="000000"/>
                      <w:lang w:eastAsia="en-GB" w:bidi="en-GB"/>
                    </w:rPr>
                  </w:pPr>
                  <w:r w:rsidRPr="00660FFE">
                    <w:rPr>
                      <w:rFonts w:eastAsia="Arial" w:cs="Arial"/>
                      <w:color w:val="000000"/>
                      <w:lang w:eastAsia="en-GB" w:bidi="en-GB"/>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tcPr>
                <w:p w14:paraId="47BDE8B2"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Not used in the risk assessment*</w:t>
                  </w:r>
                </w:p>
              </w:tc>
            </w:tr>
            <w:tr w:rsidR="00660FFE" w:rsidRPr="00660FFE" w14:paraId="0C29C663" w14:textId="77777777" w:rsidTr="00DC4AD8">
              <w:trPr>
                <w:cantSplit/>
                <w:trHeight w:val="415"/>
              </w:trPr>
              <w:tc>
                <w:tcPr>
                  <w:tcW w:w="1210" w:type="dxa"/>
                  <w:vMerge w:val="restart"/>
                  <w:tcBorders>
                    <w:top w:val="single" w:sz="4" w:space="0" w:color="auto"/>
                    <w:left w:val="single" w:sz="4" w:space="0" w:color="auto"/>
                  </w:tcBorders>
                  <w:shd w:val="clear" w:color="auto" w:fill="FFFFFF"/>
                  <w:vAlign w:val="center"/>
                </w:tcPr>
                <w:p w14:paraId="7794D317"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r w:rsidRPr="00660FFE">
                    <w:rPr>
                      <w:rFonts w:eastAsia="Arial" w:cs="Arial"/>
                      <w:color w:val="000000"/>
                      <w:lang w:eastAsia="en-GB" w:bidi="en-GB"/>
                    </w:rPr>
                    <w:t>Aquatic, marine</w:t>
                  </w:r>
                </w:p>
              </w:tc>
              <w:tc>
                <w:tcPr>
                  <w:tcW w:w="1841" w:type="dxa"/>
                  <w:tcBorders>
                    <w:top w:val="single" w:sz="4" w:space="0" w:color="auto"/>
                    <w:left w:val="single" w:sz="4" w:space="0" w:color="auto"/>
                  </w:tcBorders>
                  <w:shd w:val="clear" w:color="auto" w:fill="FFFFFF"/>
                  <w:vAlign w:val="center"/>
                </w:tcPr>
                <w:p w14:paraId="23731F2E"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r w:rsidRPr="00660FFE">
                    <w:rPr>
                      <w:rFonts w:eastAsia="Arial" w:cs="Arial"/>
                      <w:color w:val="000000"/>
                      <w:lang w:eastAsia="en-GB" w:bidi="en-GB"/>
                    </w:rPr>
                    <w:t>Seawater</w:t>
                  </w:r>
                </w:p>
              </w:tc>
              <w:tc>
                <w:tcPr>
                  <w:tcW w:w="2368" w:type="dxa"/>
                  <w:tcBorders>
                    <w:top w:val="single" w:sz="4" w:space="0" w:color="auto"/>
                    <w:left w:val="single" w:sz="4" w:space="0" w:color="auto"/>
                    <w:right w:val="single" w:sz="4" w:space="0" w:color="auto"/>
                  </w:tcBorders>
                  <w:shd w:val="clear" w:color="auto" w:fill="FFFFFF"/>
                  <w:vAlign w:val="bottom"/>
                </w:tcPr>
                <w:p w14:paraId="127FEB13"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jc w:val="left"/>
                    <w:rPr>
                      <w:rFonts w:ascii="Verdana" w:hAnsi="Verdana"/>
                      <w:b/>
                    </w:rPr>
                  </w:pPr>
                </w:p>
              </w:tc>
              <w:tc>
                <w:tcPr>
                  <w:tcW w:w="3535" w:type="dxa"/>
                  <w:tcBorders>
                    <w:top w:val="single" w:sz="4" w:space="0" w:color="auto"/>
                    <w:left w:val="single" w:sz="4" w:space="0" w:color="auto"/>
                    <w:right w:val="single" w:sz="4" w:space="0" w:color="auto"/>
                  </w:tcBorders>
                  <w:shd w:val="clear" w:color="auto" w:fill="FFFFFF"/>
                  <w:vAlign w:val="center"/>
                </w:tcPr>
                <w:p w14:paraId="5069F6B1"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95"/>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Not used in the risk assessment</w:t>
                  </w:r>
                  <w:r w:rsidRPr="00660FFE" w:rsidDel="00495D25">
                    <w:rPr>
                      <w:rStyle w:val="MSGENFONTSTYLENAMETEMPLATEROLENUMBERMSGENFONTSTYLENAMEBYROLETEXT2MSGENFONTSTYLEMODIFERSIZE9"/>
                      <w:rFonts w:ascii="Verdana" w:hAnsi="Verdana"/>
                      <w:b w:val="0"/>
                      <w:sz w:val="20"/>
                      <w:szCs w:val="20"/>
                    </w:rPr>
                    <w:t xml:space="preserve"> </w:t>
                  </w:r>
                </w:p>
              </w:tc>
            </w:tr>
            <w:tr w:rsidR="00660FFE" w:rsidRPr="00660FFE" w14:paraId="440C2C0B" w14:textId="77777777" w:rsidTr="00DC4AD8">
              <w:trPr>
                <w:cantSplit/>
                <w:trHeight w:val="397"/>
              </w:trPr>
              <w:tc>
                <w:tcPr>
                  <w:tcW w:w="1210" w:type="dxa"/>
                  <w:vMerge/>
                  <w:tcBorders>
                    <w:left w:val="single" w:sz="4" w:space="0" w:color="auto"/>
                    <w:bottom w:val="single" w:sz="4" w:space="0" w:color="auto"/>
                  </w:tcBorders>
                  <w:shd w:val="clear" w:color="auto" w:fill="FFFFFF"/>
                  <w:vAlign w:val="center"/>
                </w:tcPr>
                <w:p w14:paraId="39AC6E86" w14:textId="77777777" w:rsidR="00660FFE" w:rsidRPr="00660FFE" w:rsidRDefault="00660FFE" w:rsidP="00FA101C">
                  <w:pPr>
                    <w:framePr w:hSpace="180" w:wrap="around" w:vAnchor="text" w:hAnchor="margin" w:x="108" w:y="106"/>
                    <w:widowControl w:val="0"/>
                    <w:spacing w:line="259" w:lineRule="exact"/>
                    <w:rPr>
                      <w:rFonts w:eastAsia="Arial" w:cs="Arial"/>
                      <w:color w:val="000000"/>
                      <w:lang w:eastAsia="en-GB" w:bidi="en-GB"/>
                    </w:rPr>
                  </w:pPr>
                </w:p>
              </w:tc>
              <w:tc>
                <w:tcPr>
                  <w:tcW w:w="1841" w:type="dxa"/>
                  <w:tcBorders>
                    <w:top w:val="single" w:sz="4" w:space="0" w:color="auto"/>
                    <w:left w:val="single" w:sz="4" w:space="0" w:color="auto"/>
                    <w:bottom w:val="single" w:sz="4" w:space="0" w:color="auto"/>
                  </w:tcBorders>
                  <w:shd w:val="clear" w:color="auto" w:fill="FFFFFF"/>
                  <w:vAlign w:val="center"/>
                </w:tcPr>
                <w:p w14:paraId="2718EB1D"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r w:rsidRPr="00660FFE">
                    <w:rPr>
                      <w:rFonts w:eastAsia="Arial" w:cs="Arial"/>
                      <w:color w:val="000000"/>
                      <w:lang w:eastAsia="en-GB" w:bidi="en-GB"/>
                    </w:rPr>
                    <w:t>Marine sediment</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center"/>
                </w:tcPr>
                <w:p w14:paraId="0200889D" w14:textId="77777777" w:rsidR="00660FFE" w:rsidRPr="00660FFE" w:rsidRDefault="00660FFE" w:rsidP="00FA101C">
                  <w:pPr>
                    <w:framePr w:hSpace="180" w:wrap="around" w:vAnchor="text" w:hAnchor="margin" w:x="108" w:y="106"/>
                    <w:widowControl w:val="0"/>
                    <w:spacing w:line="200" w:lineRule="exact"/>
                    <w:ind w:left="127"/>
                    <w:rPr>
                      <w:rFonts w:eastAsia="Arial" w:cs="Arial"/>
                      <w:color w:val="000000"/>
                      <w:lang w:eastAsia="en-GB" w:bidi="en-GB"/>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center"/>
                </w:tcPr>
                <w:p w14:paraId="698590AD"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Not used in the risk assessment</w:t>
                  </w:r>
                  <w:r w:rsidRPr="00660FFE" w:rsidDel="00495D25">
                    <w:rPr>
                      <w:rStyle w:val="MSGENFONTSTYLENAMETEMPLATEROLENUMBERMSGENFONTSTYLENAMEBYROLETEXT2MSGENFONTSTYLEMODIFERSIZE9"/>
                      <w:rFonts w:ascii="Verdana" w:hAnsi="Verdana"/>
                      <w:b w:val="0"/>
                      <w:sz w:val="20"/>
                      <w:szCs w:val="20"/>
                    </w:rPr>
                    <w:t xml:space="preserve"> </w:t>
                  </w:r>
                </w:p>
              </w:tc>
            </w:tr>
            <w:tr w:rsidR="00660FFE" w:rsidRPr="00660FFE" w14:paraId="0EE796CD" w14:textId="77777777" w:rsidTr="00DC4AD8">
              <w:trPr>
                <w:cantSplit/>
                <w:trHeight w:val="397"/>
              </w:trPr>
              <w:tc>
                <w:tcPr>
                  <w:tcW w:w="3051" w:type="dxa"/>
                  <w:gridSpan w:val="2"/>
                  <w:vMerge w:val="restart"/>
                  <w:tcBorders>
                    <w:top w:val="single" w:sz="4" w:space="0" w:color="auto"/>
                    <w:left w:val="single" w:sz="4" w:space="0" w:color="auto"/>
                  </w:tcBorders>
                  <w:shd w:val="clear" w:color="auto" w:fill="FFFFFF"/>
                  <w:vAlign w:val="center"/>
                </w:tcPr>
                <w:p w14:paraId="220281C2" w14:textId="77777777" w:rsidR="00660FFE" w:rsidRPr="00660FFE" w:rsidRDefault="00660FFE" w:rsidP="00FA101C">
                  <w:pPr>
                    <w:framePr w:hSpace="180" w:wrap="around" w:vAnchor="text" w:hAnchor="margin" w:x="108" w:y="106"/>
                    <w:widowControl w:val="0"/>
                    <w:spacing w:line="259" w:lineRule="exact"/>
                    <w:ind w:left="127"/>
                    <w:rPr>
                      <w:rFonts w:eastAsia="Arial" w:cs="Arial"/>
                      <w:b/>
                      <w:color w:val="000000"/>
                      <w:lang w:eastAsia="en-GB" w:bidi="en-GB"/>
                    </w:rPr>
                  </w:pPr>
                  <w:r w:rsidRPr="00660FFE">
                    <w:rPr>
                      <w:rStyle w:val="MSGENFONTSTYLENAMETEMPLATEROLENUMBERMSGENFONTSTYLENAMEBYROLETEXT2MSGENFONTSTYLEMODIFERSIZE9"/>
                      <w:rFonts w:ascii="Verdana" w:hAnsi="Verdana"/>
                      <w:b w:val="0"/>
                      <w:sz w:val="20"/>
                      <w:szCs w:val="20"/>
                    </w:rPr>
                    <w:t>Terrestrial</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bottom"/>
                </w:tcPr>
                <w:p w14:paraId="5538A832"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Iodine (I</w:t>
                  </w:r>
                  <w:r w:rsidRPr="00A800C9">
                    <w:rPr>
                      <w:rStyle w:val="MSGENFONTSTYLENAMETEMPLATEROLENUMBERMSGENFONTSTYLENAMEBYROLETEXT2MSGENFONTSTYLEMODIFERSIZE55"/>
                      <w:rFonts w:ascii="Verdana" w:hAnsi="Verdana"/>
                      <w:b/>
                      <w:sz w:val="20"/>
                      <w:szCs w:val="20"/>
                      <w:vertAlign w:val="subscript"/>
                    </w:rPr>
                    <w:t>2</w:t>
                  </w:r>
                  <w:r w:rsidRPr="00660FFE">
                    <w:rPr>
                      <w:rStyle w:val="MSGENFONTSTYLENAMETEMPLATEROLENUMBERMSGENFONTSTYLENAMEBYROLETEXT2MSGENFONTSTYLEMODIFERSIZE9"/>
                      <w:rFonts w:ascii="Verdana" w:hAnsi="Verdana"/>
                      <w:b w:val="0"/>
                      <w:sz w:val="20"/>
                      <w:szCs w:val="20"/>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79997342"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0.0118 mg/kg wwt</w:t>
                  </w:r>
                </w:p>
              </w:tc>
            </w:tr>
            <w:tr w:rsidR="00660FFE" w:rsidRPr="00660FFE" w14:paraId="467E0D17" w14:textId="77777777" w:rsidTr="00DC4AD8">
              <w:trPr>
                <w:cantSplit/>
                <w:trHeight w:val="397"/>
              </w:trPr>
              <w:tc>
                <w:tcPr>
                  <w:tcW w:w="3051" w:type="dxa"/>
                  <w:gridSpan w:val="2"/>
                  <w:vMerge/>
                  <w:tcBorders>
                    <w:left w:val="single" w:sz="4" w:space="0" w:color="auto"/>
                  </w:tcBorders>
                  <w:shd w:val="clear" w:color="auto" w:fill="FFFFFF"/>
                  <w:vAlign w:val="center"/>
                </w:tcPr>
                <w:p w14:paraId="6590F8A2"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p>
              </w:tc>
              <w:tc>
                <w:tcPr>
                  <w:tcW w:w="2368" w:type="dxa"/>
                  <w:tcBorders>
                    <w:top w:val="single" w:sz="4" w:space="0" w:color="auto"/>
                    <w:left w:val="single" w:sz="4" w:space="0" w:color="auto"/>
                    <w:bottom w:val="single" w:sz="4" w:space="0" w:color="auto"/>
                    <w:right w:val="single" w:sz="4" w:space="0" w:color="auto"/>
                  </w:tcBorders>
                  <w:shd w:val="clear" w:color="auto" w:fill="FFFFFF"/>
                  <w:vAlign w:val="bottom"/>
                </w:tcPr>
                <w:p w14:paraId="059F479B"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Iodate (IO</w:t>
                  </w:r>
                  <w:r w:rsidRPr="00A800C9">
                    <w:rPr>
                      <w:rStyle w:val="MSGENFONTSTYLENAMETEMPLATEROLENUMBERMSGENFONTSTYLENAMEBYROLETEXT2MSGENFONTSTYLEMODIFERSIZE55"/>
                      <w:rFonts w:ascii="Verdana" w:hAnsi="Verdana"/>
                      <w:b/>
                      <w:sz w:val="20"/>
                      <w:szCs w:val="20"/>
                      <w:vertAlign w:val="subscript"/>
                    </w:rPr>
                    <w:t>3</w:t>
                  </w:r>
                  <w:r w:rsidRPr="00660FFE">
                    <w:rPr>
                      <w:rStyle w:val="MSGENFONTSTYLENAMETEMPLATEROLENUMBERMSGENFONTSTYLENAMEBYROLETEXT2MSGENFONTSTYLEMODIFERSIZE9"/>
                      <w:rFonts w:ascii="Verdana" w:hAnsi="Verdana"/>
                      <w:b w:val="0"/>
                      <w:sz w:val="20"/>
                      <w:szCs w:val="20"/>
                      <w:vertAlign w:val="superscript"/>
                    </w:rPr>
                    <w:t>-</w:t>
                  </w:r>
                  <w:r w:rsidRPr="00660FFE">
                    <w:rPr>
                      <w:rStyle w:val="MSGENFONTSTYLENAMETEMPLATEROLENUMBERMSGENFONTSTYLENAMEBYROLETEXT2MSGENFONTSTYLEMODIFERSIZE9"/>
                      <w:rFonts w:ascii="Verdana" w:hAnsi="Verdana"/>
                      <w:b w:val="0"/>
                      <w:sz w:val="20"/>
                      <w:szCs w:val="20"/>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4A8AB63D"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0.304 mg/kg</w:t>
                  </w:r>
                </w:p>
              </w:tc>
            </w:tr>
            <w:tr w:rsidR="00660FFE" w:rsidRPr="00660FFE" w14:paraId="438B8016" w14:textId="77777777" w:rsidTr="00DC4AD8">
              <w:trPr>
                <w:cantSplit/>
                <w:trHeight w:val="397"/>
              </w:trPr>
              <w:tc>
                <w:tcPr>
                  <w:tcW w:w="3051" w:type="dxa"/>
                  <w:gridSpan w:val="2"/>
                  <w:vMerge/>
                  <w:tcBorders>
                    <w:left w:val="single" w:sz="4" w:space="0" w:color="auto"/>
                    <w:bottom w:val="single" w:sz="4" w:space="0" w:color="auto"/>
                  </w:tcBorders>
                  <w:shd w:val="clear" w:color="auto" w:fill="FFFFFF"/>
                  <w:vAlign w:val="center"/>
                </w:tcPr>
                <w:p w14:paraId="6CC8F768" w14:textId="77777777" w:rsidR="00660FFE" w:rsidRPr="00660FFE" w:rsidRDefault="00660FFE" w:rsidP="00FA101C">
                  <w:pPr>
                    <w:framePr w:hSpace="180" w:wrap="around" w:vAnchor="text" w:hAnchor="margin" w:x="108" w:y="106"/>
                    <w:widowControl w:val="0"/>
                    <w:spacing w:line="259" w:lineRule="exact"/>
                    <w:ind w:left="127"/>
                    <w:rPr>
                      <w:rFonts w:eastAsia="Arial" w:cs="Arial"/>
                      <w:color w:val="000000"/>
                      <w:lang w:eastAsia="en-GB" w:bidi="en-GB"/>
                    </w:rPr>
                  </w:pPr>
                </w:p>
              </w:tc>
              <w:tc>
                <w:tcPr>
                  <w:tcW w:w="2368" w:type="dxa"/>
                  <w:tcBorders>
                    <w:top w:val="single" w:sz="4" w:space="0" w:color="auto"/>
                    <w:left w:val="single" w:sz="4" w:space="0" w:color="auto"/>
                    <w:bottom w:val="single" w:sz="4" w:space="0" w:color="auto"/>
                    <w:right w:val="single" w:sz="4" w:space="0" w:color="auto"/>
                  </w:tcBorders>
                  <w:shd w:val="clear" w:color="auto" w:fill="FFFFFF"/>
                  <w:vAlign w:val="bottom"/>
                </w:tcPr>
                <w:p w14:paraId="74C838A1"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Iodide (I</w:t>
                  </w:r>
                  <w:r w:rsidRPr="00660FFE">
                    <w:rPr>
                      <w:rStyle w:val="MSGENFONTSTYLENAMETEMPLATEROLENUMBERMSGENFONTSTYLENAMEBYROLETEXT2MSGENFONTSTYLEMODIFERSIZE9"/>
                      <w:rFonts w:ascii="Verdana" w:hAnsi="Verdana"/>
                      <w:b w:val="0"/>
                      <w:sz w:val="20"/>
                      <w:szCs w:val="20"/>
                      <w:vertAlign w:val="superscript"/>
                    </w:rPr>
                    <w:t>-</w:t>
                  </w:r>
                  <w:r w:rsidRPr="00660FFE">
                    <w:rPr>
                      <w:rStyle w:val="MSGENFONTSTYLENAMETEMPLATEROLENUMBERMSGENFONTSTYLENAMEBYROLETEXT2MSGENFONTSTYLEMODIFERSIZE9"/>
                      <w:rFonts w:ascii="Verdana" w:hAnsi="Verdana"/>
                      <w:b w:val="0"/>
                      <w:sz w:val="20"/>
                      <w:szCs w:val="20"/>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40316F66"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0.0043 mg/kg</w:t>
                  </w:r>
                </w:p>
              </w:tc>
            </w:tr>
            <w:tr w:rsidR="00660FFE" w:rsidRPr="00660FFE" w14:paraId="0E311BD7" w14:textId="77777777" w:rsidTr="00DC4AD8">
              <w:trPr>
                <w:cantSplit/>
                <w:trHeight w:hRule="exact" w:val="431"/>
              </w:trPr>
              <w:tc>
                <w:tcPr>
                  <w:tcW w:w="3051" w:type="dxa"/>
                  <w:gridSpan w:val="2"/>
                  <w:tcBorders>
                    <w:top w:val="single" w:sz="4" w:space="0" w:color="auto"/>
                    <w:left w:val="single" w:sz="4" w:space="0" w:color="auto"/>
                    <w:bottom w:val="single" w:sz="4" w:space="0" w:color="auto"/>
                  </w:tcBorders>
                  <w:shd w:val="clear" w:color="auto" w:fill="FFFFFF"/>
                  <w:vAlign w:val="center"/>
                </w:tcPr>
                <w:p w14:paraId="59BD9246" w14:textId="77777777" w:rsidR="00660FFE" w:rsidRPr="00660FFE" w:rsidRDefault="00660FFE" w:rsidP="00FA101C">
                  <w:pPr>
                    <w:framePr w:hSpace="180" w:wrap="around" w:vAnchor="text" w:hAnchor="margin" w:x="108" w:y="106"/>
                    <w:widowControl w:val="0"/>
                    <w:spacing w:line="259" w:lineRule="exact"/>
                    <w:ind w:left="127"/>
                    <w:rPr>
                      <w:rFonts w:eastAsia="Arial" w:cs="Arial"/>
                      <w:b/>
                      <w:color w:val="000000"/>
                      <w:lang w:eastAsia="en-GB" w:bidi="en-GB"/>
                    </w:rPr>
                  </w:pPr>
                  <w:r w:rsidRPr="00660FFE">
                    <w:rPr>
                      <w:rStyle w:val="MSGENFONTSTYLENAMETEMPLATEROLENUMBERMSGENFONTSTYLENAMEBYROLETEXT2MSGENFONTSTYLEMODIFERSIZE9"/>
                      <w:rFonts w:ascii="Verdana" w:hAnsi="Verdana"/>
                      <w:b w:val="0"/>
                      <w:sz w:val="20"/>
                      <w:szCs w:val="20"/>
                    </w:rPr>
                    <w:t>STP</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center"/>
                </w:tcPr>
                <w:p w14:paraId="58A16FCE" w14:textId="77777777" w:rsidR="00660FFE" w:rsidRPr="00660FFE" w:rsidRDefault="00660FFE" w:rsidP="00FA101C">
                  <w:pPr>
                    <w:framePr w:hSpace="180" w:wrap="around" w:vAnchor="text" w:hAnchor="margin" w:x="108" w:y="106"/>
                    <w:widowControl w:val="0"/>
                    <w:spacing w:line="200" w:lineRule="exact"/>
                    <w:ind w:left="127"/>
                    <w:rPr>
                      <w:rFonts w:eastAsia="Arial" w:cs="Arial"/>
                      <w:b/>
                      <w:color w:val="000000"/>
                      <w:lang w:eastAsia="en-GB" w:bidi="en-GB"/>
                    </w:rPr>
                  </w:pPr>
                  <w:r w:rsidRPr="00660FFE">
                    <w:rPr>
                      <w:rStyle w:val="MSGENFONTSTYLENAMETEMPLATEROLENUMBERMSGENFONTSTYLENAMEBYROLETEXT2MSGENFONTSTYLEMODIFERSIZE9"/>
                      <w:rFonts w:ascii="Verdana" w:hAnsi="Verdana"/>
                      <w:b w:val="0"/>
                      <w:sz w:val="20"/>
                      <w:szCs w:val="20"/>
                    </w:rPr>
                    <w:t>Iodine (I</w:t>
                  </w:r>
                  <w:r w:rsidRPr="00A800C9">
                    <w:rPr>
                      <w:rStyle w:val="MSGENFONTSTYLENAMETEMPLATEROLENUMBERMSGENFONTSTYLENAMEBYROLETEXT2MSGENFONTSTYLEMODIFERSIZE55"/>
                      <w:rFonts w:ascii="Verdana" w:hAnsi="Verdana"/>
                      <w:b/>
                      <w:sz w:val="20"/>
                      <w:szCs w:val="20"/>
                      <w:vertAlign w:val="subscript"/>
                    </w:rPr>
                    <w:t>2</w:t>
                  </w:r>
                  <w:r w:rsidRPr="00660FFE">
                    <w:rPr>
                      <w:rStyle w:val="MSGENFONTSTYLENAMETEMPLATEROLENUMBERMSGENFONTSTYLENAMEBYROLETEXT2MSGENFONTSTYLEMODIFERSIZE9"/>
                      <w:rFonts w:ascii="Verdana" w:hAnsi="Verdana"/>
                      <w:b w:val="0"/>
                      <w:sz w:val="20"/>
                      <w:szCs w:val="20"/>
                    </w:rPr>
                    <w:t>)</w:t>
                  </w: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444B0CA6"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Fonts w:ascii="Verdana" w:hAnsi="Verdana"/>
                      <w:b/>
                      <w:lang w:val="en-US"/>
                    </w:rPr>
                  </w:pPr>
                  <w:r w:rsidRPr="00660FFE">
                    <w:rPr>
                      <w:rStyle w:val="MSGENFONTSTYLENAMETEMPLATEROLENUMBERMSGENFONTSTYLENAMEBYROLETEXT2MSGENFONTSTYLEMODIFERSIZE9"/>
                      <w:rFonts w:ascii="Verdana" w:hAnsi="Verdana"/>
                      <w:b w:val="0"/>
                      <w:sz w:val="20"/>
                      <w:szCs w:val="20"/>
                    </w:rPr>
                    <w:t>2.9 mg/L</w:t>
                  </w:r>
                </w:p>
              </w:tc>
            </w:tr>
            <w:tr w:rsidR="00660FFE" w:rsidRPr="00660FFE" w14:paraId="3D3035F3" w14:textId="77777777" w:rsidTr="00DC4AD8">
              <w:trPr>
                <w:cantSplit/>
                <w:trHeight w:hRule="exact" w:val="431"/>
              </w:trPr>
              <w:tc>
                <w:tcPr>
                  <w:tcW w:w="3051" w:type="dxa"/>
                  <w:gridSpan w:val="2"/>
                  <w:tcBorders>
                    <w:top w:val="single" w:sz="4" w:space="0" w:color="auto"/>
                    <w:left w:val="single" w:sz="4" w:space="0" w:color="auto"/>
                    <w:bottom w:val="single" w:sz="4" w:space="0" w:color="auto"/>
                  </w:tcBorders>
                  <w:shd w:val="clear" w:color="auto" w:fill="FFFFFF"/>
                  <w:vAlign w:val="center"/>
                </w:tcPr>
                <w:p w14:paraId="0D05D14A" w14:textId="77777777" w:rsidR="00660FFE" w:rsidRPr="00660FFE" w:rsidRDefault="00660FFE" w:rsidP="00FA101C">
                  <w:pPr>
                    <w:framePr w:hSpace="180" w:wrap="around" w:vAnchor="text" w:hAnchor="margin" w:x="108" w:y="106"/>
                    <w:widowControl w:val="0"/>
                    <w:spacing w:line="259" w:lineRule="exact"/>
                    <w:ind w:left="127"/>
                    <w:rPr>
                      <w:rStyle w:val="MSGENFONTSTYLENAMETEMPLATEROLENUMBERMSGENFONTSTYLENAMEBYROLETEXT2MSGENFONTSTYLEMODIFERSIZE9"/>
                      <w:rFonts w:ascii="Verdana" w:hAnsi="Verdana"/>
                      <w:b w:val="0"/>
                      <w:sz w:val="20"/>
                      <w:szCs w:val="20"/>
                    </w:rPr>
                  </w:pPr>
                  <w:r w:rsidRPr="00660FFE">
                    <w:rPr>
                      <w:rStyle w:val="MSGENFONTSTYLENAMETEMPLATEROLENUMBERMSGENFONTSTYLENAMEBYROLETEXT2MSGENFONTSTYLEMODIFERSIZE9"/>
                      <w:rFonts w:ascii="Verdana" w:hAnsi="Verdana"/>
                      <w:b w:val="0"/>
                      <w:sz w:val="20"/>
                      <w:szCs w:val="20"/>
                    </w:rPr>
                    <w:t>Groundwater</w:t>
                  </w:r>
                </w:p>
              </w:tc>
              <w:tc>
                <w:tcPr>
                  <w:tcW w:w="2368" w:type="dxa"/>
                  <w:tcBorders>
                    <w:top w:val="single" w:sz="4" w:space="0" w:color="auto"/>
                    <w:left w:val="single" w:sz="4" w:space="0" w:color="auto"/>
                    <w:bottom w:val="single" w:sz="4" w:space="0" w:color="auto"/>
                    <w:right w:val="single" w:sz="4" w:space="0" w:color="auto"/>
                  </w:tcBorders>
                  <w:shd w:val="clear" w:color="auto" w:fill="FFFFFF"/>
                  <w:vAlign w:val="center"/>
                </w:tcPr>
                <w:p w14:paraId="333AB09E" w14:textId="77777777" w:rsidR="00660FFE" w:rsidRPr="00660FFE" w:rsidRDefault="00660FFE" w:rsidP="00FA101C">
                  <w:pPr>
                    <w:framePr w:hSpace="180" w:wrap="around" w:vAnchor="text" w:hAnchor="margin" w:x="108" w:y="106"/>
                    <w:widowControl w:val="0"/>
                    <w:spacing w:line="200" w:lineRule="exact"/>
                    <w:ind w:left="127"/>
                    <w:rPr>
                      <w:rStyle w:val="MSGENFONTSTYLENAMETEMPLATEROLENUMBERMSGENFONTSTYLENAMEBYROLETEXT2MSGENFONTSTYLEMODIFERSIZE9"/>
                      <w:rFonts w:ascii="Verdana" w:hAnsi="Verdana"/>
                      <w:b w:val="0"/>
                      <w:sz w:val="20"/>
                      <w:szCs w:val="20"/>
                    </w:rPr>
                  </w:pPr>
                </w:p>
              </w:tc>
              <w:tc>
                <w:tcPr>
                  <w:tcW w:w="3535" w:type="dxa"/>
                  <w:tcBorders>
                    <w:top w:val="single" w:sz="4" w:space="0" w:color="auto"/>
                    <w:left w:val="single" w:sz="4" w:space="0" w:color="auto"/>
                    <w:bottom w:val="single" w:sz="4" w:space="0" w:color="auto"/>
                    <w:right w:val="single" w:sz="4" w:space="0" w:color="auto"/>
                  </w:tcBorders>
                  <w:shd w:val="clear" w:color="auto" w:fill="FFFFFF"/>
                  <w:vAlign w:val="bottom"/>
                </w:tcPr>
                <w:p w14:paraId="6D9661BB" w14:textId="77777777" w:rsidR="00660FFE" w:rsidRPr="00660FFE" w:rsidRDefault="00660FFE" w:rsidP="00FA101C">
                  <w:pPr>
                    <w:pStyle w:val="MSGENFONTSTYLENAMETEMPLATEROLENUMBERMSGENFONTSTYLENAMEBYROLETEXT20"/>
                    <w:framePr w:hSpace="180" w:wrap="around" w:vAnchor="text" w:hAnchor="margin" w:x="108" w:y="106"/>
                    <w:shd w:val="clear" w:color="auto" w:fill="auto"/>
                    <w:spacing w:before="0" w:after="0" w:line="200" w:lineRule="exact"/>
                    <w:ind w:left="127"/>
                    <w:jc w:val="left"/>
                    <w:rPr>
                      <w:rStyle w:val="MSGENFONTSTYLENAMETEMPLATEROLENUMBERMSGENFONTSTYLENAMEBYROLETEXT2MSGENFONTSTYLEMODIFERSIZE9"/>
                      <w:rFonts w:ascii="Verdana" w:hAnsi="Verdana"/>
                      <w:b w:val="0"/>
                      <w:sz w:val="20"/>
                      <w:szCs w:val="20"/>
                    </w:rPr>
                  </w:pPr>
                  <w:r w:rsidRPr="00660FFE">
                    <w:rPr>
                      <w:rStyle w:val="MSGENFONTSTYLENAMETEMPLATEROLENUMBERMSGENFONTSTYLENAMEBYROLETEXT2MSGENFONTSTYLEMODIFERSIZE9"/>
                      <w:rFonts w:ascii="Verdana" w:hAnsi="Verdana"/>
                      <w:b w:val="0"/>
                      <w:sz w:val="20"/>
                      <w:szCs w:val="20"/>
                    </w:rPr>
                    <w:t>0.1 µg/L**</w:t>
                  </w:r>
                </w:p>
              </w:tc>
            </w:tr>
          </w:tbl>
          <w:p w14:paraId="7D927E38" w14:textId="77777777" w:rsidR="00660FFE" w:rsidRPr="00660FFE" w:rsidRDefault="00660FFE" w:rsidP="00660FFE">
            <w:pPr>
              <w:spacing w:line="276" w:lineRule="auto"/>
              <w:jc w:val="both"/>
              <w:rPr>
                <w:rFonts w:cs="Arial"/>
                <w:sz w:val="20"/>
                <w:szCs w:val="20"/>
              </w:rPr>
            </w:pPr>
          </w:p>
          <w:p w14:paraId="78012D77" w14:textId="77777777" w:rsidR="00660FFE" w:rsidRPr="00660FFE" w:rsidRDefault="00660FFE" w:rsidP="00660FFE">
            <w:pPr>
              <w:spacing w:line="276" w:lineRule="auto"/>
              <w:jc w:val="both"/>
              <w:rPr>
                <w:rFonts w:cs="Arial"/>
                <w:sz w:val="20"/>
                <w:szCs w:val="20"/>
              </w:rPr>
            </w:pPr>
            <w:r w:rsidRPr="00660FFE">
              <w:rPr>
                <w:rFonts w:cs="Arial"/>
                <w:sz w:val="20"/>
                <w:szCs w:val="20"/>
              </w:rPr>
              <w:t>* According to the iodine CAR (December</w:t>
            </w:r>
            <w:proofErr w:type="gramStart"/>
            <w:r w:rsidRPr="00660FFE">
              <w:rPr>
                <w:rFonts w:cs="Arial"/>
                <w:sz w:val="20"/>
                <w:szCs w:val="20"/>
              </w:rPr>
              <w:t>,2013</w:t>
            </w:r>
            <w:proofErr w:type="gramEnd"/>
            <w:r w:rsidRPr="00660FFE">
              <w:rPr>
                <w:rFonts w:cs="Arial"/>
                <w:sz w:val="20"/>
                <w:szCs w:val="20"/>
              </w:rPr>
              <w:t xml:space="preserve">), The PNECsediment values were calculated on the basis of the PNECaquatic values, using the equilibrium partitioning method.  </w:t>
            </w:r>
          </w:p>
          <w:p w14:paraId="603A29A3" w14:textId="77777777" w:rsidR="00660FFE" w:rsidRPr="00660FFE" w:rsidRDefault="00660FFE" w:rsidP="00660FFE">
            <w:pPr>
              <w:spacing w:line="276" w:lineRule="auto"/>
              <w:jc w:val="both"/>
              <w:rPr>
                <w:rFonts w:cs="Arial"/>
                <w:sz w:val="20"/>
                <w:szCs w:val="20"/>
              </w:rPr>
            </w:pPr>
            <w:proofErr w:type="gramStart"/>
            <w:r w:rsidRPr="00660FFE">
              <w:rPr>
                <w:rFonts w:cs="Arial"/>
                <w:sz w:val="20"/>
                <w:szCs w:val="20"/>
              </w:rPr>
              <w:t>PNEC(</w:t>
            </w:r>
            <w:proofErr w:type="gramEnd"/>
            <w:r w:rsidRPr="00660FFE">
              <w:rPr>
                <w:rFonts w:cs="Arial"/>
                <w:sz w:val="20"/>
                <w:szCs w:val="20"/>
              </w:rPr>
              <w:t>I</w:t>
            </w:r>
            <w:r w:rsidRPr="00A800C9">
              <w:rPr>
                <w:rFonts w:cs="Arial"/>
                <w:vertAlign w:val="subscript"/>
              </w:rPr>
              <w:t>2</w:t>
            </w:r>
            <w:r w:rsidRPr="00660FFE">
              <w:rPr>
                <w:rFonts w:cs="Arial"/>
                <w:sz w:val="20"/>
                <w:szCs w:val="20"/>
              </w:rPr>
              <w:t xml:space="preserve">)sediment = 0.029 mg iodine/kg. </w:t>
            </w:r>
          </w:p>
          <w:p w14:paraId="325C3259" w14:textId="77777777" w:rsidR="00660FFE" w:rsidRPr="00660FFE" w:rsidRDefault="00660FFE" w:rsidP="00660FFE">
            <w:pPr>
              <w:jc w:val="both"/>
              <w:rPr>
                <w:rFonts w:cs="Arial"/>
                <w:sz w:val="20"/>
                <w:szCs w:val="20"/>
              </w:rPr>
            </w:pPr>
            <w:r w:rsidRPr="00660FFE">
              <w:rPr>
                <w:rFonts w:cs="Arial"/>
                <w:sz w:val="20"/>
                <w:szCs w:val="20"/>
              </w:rPr>
              <w:t>The natural background levels of iodine in freshwater sediments is typically 6 mg/kg. Thus, in analogy with the PNECaquatic the derived PNECsediment values are very conservative and may be regarded as unrealistic. Given that both PEC’s and PNEC’s are calculated using the partitioning equilibrium method, the derived PNEC will not be used in the risk assessment.</w:t>
            </w:r>
          </w:p>
          <w:p w14:paraId="16045BE6" w14:textId="77777777" w:rsidR="00660FFE" w:rsidRPr="00660FFE" w:rsidRDefault="00660FFE" w:rsidP="00660FFE">
            <w:pPr>
              <w:jc w:val="both"/>
              <w:rPr>
                <w:rFonts w:cs="Arial"/>
                <w:sz w:val="20"/>
                <w:szCs w:val="20"/>
              </w:rPr>
            </w:pPr>
          </w:p>
          <w:p w14:paraId="404638AF" w14:textId="77777777" w:rsidR="00660FFE" w:rsidRPr="00660FFE" w:rsidRDefault="00660FFE" w:rsidP="0069123B">
            <w:pPr>
              <w:spacing w:line="276" w:lineRule="auto"/>
              <w:jc w:val="both"/>
              <w:rPr>
                <w:rFonts w:cs="Arial"/>
                <w:sz w:val="20"/>
                <w:szCs w:val="20"/>
                <w:lang w:val="it-IT"/>
              </w:rPr>
            </w:pPr>
            <w:r w:rsidRPr="00660FFE">
              <w:rPr>
                <w:rFonts w:cs="Arial"/>
                <w:sz w:val="20"/>
                <w:szCs w:val="20"/>
              </w:rPr>
              <w:t>**The PNECgroundwater proposed by the applicant are not presented in the iodine CAR (December</w:t>
            </w:r>
            <w:proofErr w:type="gramStart"/>
            <w:r w:rsidRPr="00660FFE">
              <w:rPr>
                <w:rFonts w:cs="Arial"/>
                <w:sz w:val="20"/>
                <w:szCs w:val="20"/>
              </w:rPr>
              <w:t>,2013</w:t>
            </w:r>
            <w:proofErr w:type="gramEnd"/>
            <w:r w:rsidRPr="00660FFE">
              <w:rPr>
                <w:rFonts w:cs="Arial"/>
                <w:sz w:val="20"/>
                <w:szCs w:val="20"/>
              </w:rPr>
              <w:t xml:space="preserve">). </w:t>
            </w:r>
            <w:r w:rsidRPr="00660FFE">
              <w:rPr>
                <w:rFonts w:cs="Arial"/>
                <w:sz w:val="20"/>
                <w:szCs w:val="20"/>
                <w:lang w:eastAsia="fr-FR"/>
              </w:rPr>
              <w:t xml:space="preserve">The calculated PECgroundwater will be compared with the threshold value of 0.1 µg/L provided in the Drinking Water Directive 98/83/EC and with the natural background level of iodine.  </w:t>
            </w:r>
          </w:p>
        </w:tc>
      </w:tr>
    </w:tbl>
    <w:p w14:paraId="58D4931F" w14:textId="77777777" w:rsidR="009D0C0B" w:rsidRDefault="009D0C0B">
      <w:pPr>
        <w:spacing w:line="260" w:lineRule="atLeast"/>
        <w:contextualSpacing/>
        <w:jc w:val="both"/>
        <w:rPr>
          <w:rFonts w:ascii="Times New Roman" w:eastAsia="Calibri" w:hAnsi="Times New Roman" w:cs="Times New Roman"/>
          <w:i/>
          <w:iCs/>
          <w:lang w:eastAsia="en-US"/>
        </w:rPr>
      </w:pPr>
    </w:p>
    <w:p w14:paraId="6E1CFA1B" w14:textId="77777777" w:rsidR="009D0C0B" w:rsidRDefault="00FA480B">
      <w:pPr>
        <w:rPr>
          <w:rFonts w:eastAsia="Calibri"/>
          <w:b/>
          <w:i/>
          <w:sz w:val="22"/>
          <w:szCs w:val="22"/>
          <w:lang w:eastAsia="en-US"/>
        </w:rPr>
      </w:pPr>
      <w:r>
        <w:rPr>
          <w:rFonts w:eastAsia="Calibri"/>
          <w:b/>
          <w:i/>
          <w:sz w:val="22"/>
          <w:szCs w:val="22"/>
          <w:lang w:eastAsia="en-US"/>
        </w:rPr>
        <w:t>Information relating to the ecotoxicity of the biocidal product which is sufficient to enable a decision to be made concerning the classification of the product is required</w:t>
      </w:r>
    </w:p>
    <w:p w14:paraId="68B3C296" w14:textId="77777777" w:rsidR="009D0C0B" w:rsidRDefault="009D0C0B">
      <w:pPr>
        <w:rPr>
          <w:rFonts w:eastAsia="Calibri"/>
          <w:b/>
          <w:i/>
          <w:sz w:val="22"/>
          <w:szCs w:val="22"/>
          <w:lang w:eastAsia="en-US"/>
        </w:rPr>
      </w:pPr>
    </w:p>
    <w:tbl>
      <w:tblPr>
        <w:tblStyle w:val="Grilledutableau4"/>
        <w:tblpPr w:leftFromText="180" w:rightFromText="180" w:vertAnchor="text" w:horzAnchor="margin" w:tblpX="108" w:tblpY="-48"/>
        <w:tblW w:w="9072" w:type="dxa"/>
        <w:tblLook w:val="04A0" w:firstRow="1" w:lastRow="0" w:firstColumn="1" w:lastColumn="0" w:noHBand="0" w:noVBand="1"/>
      </w:tblPr>
      <w:tblGrid>
        <w:gridCol w:w="9127"/>
      </w:tblGrid>
      <w:tr w:rsidR="00660FFE" w:rsidRPr="00660FFE" w14:paraId="2D8CD169" w14:textId="77777777" w:rsidTr="00660FFE">
        <w:trPr>
          <w:trHeight w:val="2967"/>
        </w:trPr>
        <w:tc>
          <w:tcPr>
            <w:tcW w:w="9072" w:type="dxa"/>
            <w:shd w:val="clear" w:color="auto" w:fill="D6E3BC" w:themeFill="accent3" w:themeFillTint="66"/>
          </w:tcPr>
          <w:p w14:paraId="533CDA2B" w14:textId="77777777" w:rsidR="00660FFE" w:rsidRPr="00660FFE" w:rsidRDefault="00660FFE" w:rsidP="00660FFE">
            <w:pPr>
              <w:spacing w:line="276" w:lineRule="auto"/>
              <w:jc w:val="both"/>
              <w:rPr>
                <w:rFonts w:cs="Arial"/>
                <w:b/>
                <w:sz w:val="20"/>
                <w:szCs w:val="20"/>
              </w:rPr>
            </w:pPr>
            <w:r w:rsidRPr="00660FFE">
              <w:rPr>
                <w:rStyle w:val="LgendeCar"/>
                <w:b/>
              </w:rPr>
              <w:lastRenderedPageBreak/>
              <w:t xml:space="preserve">Infobox </w:t>
            </w:r>
            <w:r w:rsidRPr="00660FFE">
              <w:rPr>
                <w:rStyle w:val="LgendeCar"/>
                <w:b/>
              </w:rPr>
              <w:fldChar w:fldCharType="begin"/>
            </w:r>
            <w:r w:rsidRPr="00660FFE">
              <w:rPr>
                <w:rStyle w:val="LgendeCar"/>
                <w:b/>
              </w:rPr>
              <w:instrText xml:space="preserve"> SEQ Infobox \* ARABIC </w:instrText>
            </w:r>
            <w:r w:rsidRPr="00660FFE">
              <w:rPr>
                <w:rStyle w:val="LgendeCar"/>
                <w:b/>
              </w:rPr>
              <w:fldChar w:fldCharType="separate"/>
            </w:r>
            <w:r w:rsidR="00D3764E">
              <w:rPr>
                <w:rStyle w:val="LgendeCar"/>
                <w:b/>
                <w:noProof/>
              </w:rPr>
              <w:t>3</w:t>
            </w:r>
            <w:r w:rsidRPr="00660FFE">
              <w:rPr>
                <w:rStyle w:val="LgendeCar"/>
                <w:b/>
              </w:rPr>
              <w:fldChar w:fldCharType="end"/>
            </w:r>
            <w:r w:rsidRPr="00660FFE">
              <w:rPr>
                <w:rStyle w:val="LgendeCar"/>
                <w:b/>
              </w:rPr>
              <w:t xml:space="preserve"> - </w:t>
            </w:r>
            <w:r w:rsidRPr="00660FFE">
              <w:rPr>
                <w:rFonts w:cs="Arial"/>
                <w:b/>
                <w:sz w:val="20"/>
                <w:szCs w:val="20"/>
              </w:rPr>
              <w:t>FR CA position:</w:t>
            </w:r>
          </w:p>
          <w:tbl>
            <w:tblPr>
              <w:tblpPr w:leftFromText="141" w:rightFromText="141" w:vertAnchor="page" w:horzAnchor="margin" w:tblpY="668"/>
              <w:tblOverlap w:val="never"/>
              <w:tblW w:w="8901" w:type="dxa"/>
              <w:tblCellMar>
                <w:left w:w="10" w:type="dxa"/>
                <w:right w:w="10" w:type="dxa"/>
              </w:tblCellMar>
              <w:tblLook w:val="0000" w:firstRow="0" w:lastRow="0" w:firstColumn="0" w:lastColumn="0" w:noHBand="0" w:noVBand="0"/>
            </w:tblPr>
            <w:tblGrid>
              <w:gridCol w:w="2107"/>
              <w:gridCol w:w="6794"/>
            </w:tblGrid>
            <w:tr w:rsidR="00660FFE" w:rsidRPr="0069123B" w14:paraId="3EC7A956" w14:textId="77777777" w:rsidTr="00705A8C">
              <w:trPr>
                <w:trHeight w:hRule="exact" w:val="384"/>
              </w:trPr>
              <w:tc>
                <w:tcPr>
                  <w:tcW w:w="8901" w:type="dxa"/>
                  <w:gridSpan w:val="2"/>
                  <w:tcBorders>
                    <w:top w:val="single" w:sz="4" w:space="0" w:color="auto"/>
                    <w:left w:val="single" w:sz="4" w:space="0" w:color="auto"/>
                    <w:right w:val="single" w:sz="4" w:space="0" w:color="auto"/>
                  </w:tcBorders>
                  <w:shd w:val="clear" w:color="auto" w:fill="CDFFCC"/>
                  <w:vAlign w:val="bottom"/>
                </w:tcPr>
                <w:p w14:paraId="608A901E" w14:textId="77777777" w:rsidR="00660FFE" w:rsidRPr="0069123B" w:rsidRDefault="00660FFE" w:rsidP="00660FFE">
                  <w:pPr>
                    <w:widowControl w:val="0"/>
                    <w:spacing w:line="200" w:lineRule="exact"/>
                    <w:ind w:left="127"/>
                    <w:rPr>
                      <w:rFonts w:eastAsia="Arial" w:cs="Arial"/>
                      <w:color w:val="000000"/>
                      <w:lang w:eastAsia="en-GB" w:bidi="en-GB"/>
                    </w:rPr>
                  </w:pPr>
                  <w:r w:rsidRPr="0069123B">
                    <w:rPr>
                      <w:rFonts w:eastAsia="Arial" w:cs="Arial"/>
                      <w:b/>
                      <w:bCs/>
                      <w:color w:val="000000"/>
                      <w:szCs w:val="18"/>
                      <w:lang w:eastAsia="en-GB" w:bidi="en-GB"/>
                    </w:rPr>
                    <w:t>Conclusion used in Risk Assessment – Environmental Hazards</w:t>
                  </w:r>
                </w:p>
              </w:tc>
            </w:tr>
            <w:tr w:rsidR="00660FFE" w:rsidRPr="0069123B" w14:paraId="1610B0EB" w14:textId="77777777" w:rsidTr="00705A8C">
              <w:trPr>
                <w:trHeight w:hRule="exact" w:val="377"/>
              </w:trPr>
              <w:tc>
                <w:tcPr>
                  <w:tcW w:w="2107" w:type="dxa"/>
                  <w:tcBorders>
                    <w:top w:val="single" w:sz="4" w:space="0" w:color="auto"/>
                    <w:left w:val="single" w:sz="4" w:space="0" w:color="auto"/>
                  </w:tcBorders>
                  <w:shd w:val="clear" w:color="auto" w:fill="FFFFFF"/>
                  <w:vAlign w:val="bottom"/>
                </w:tcPr>
                <w:p w14:paraId="0CB82B4D" w14:textId="77777777" w:rsidR="00660FFE" w:rsidRPr="0069123B" w:rsidRDefault="00660FFE" w:rsidP="00660FFE">
                  <w:pPr>
                    <w:widowControl w:val="0"/>
                    <w:spacing w:line="200" w:lineRule="exact"/>
                    <w:ind w:left="127"/>
                    <w:rPr>
                      <w:rFonts w:eastAsia="Arial" w:cs="Arial"/>
                      <w:color w:val="000000"/>
                      <w:lang w:eastAsia="en-GB" w:bidi="en-GB"/>
                    </w:rPr>
                  </w:pPr>
                  <w:r w:rsidRPr="0069123B">
                    <w:rPr>
                      <w:rFonts w:eastAsia="Arial" w:cs="Arial"/>
                      <w:color w:val="000000"/>
                      <w:szCs w:val="18"/>
                      <w:lang w:eastAsia="en-GB" w:bidi="en-GB"/>
                    </w:rPr>
                    <w:t>Value/conclusion</w:t>
                  </w:r>
                </w:p>
              </w:tc>
              <w:tc>
                <w:tcPr>
                  <w:tcW w:w="6794" w:type="dxa"/>
                  <w:tcBorders>
                    <w:top w:val="single" w:sz="4" w:space="0" w:color="auto"/>
                    <w:left w:val="single" w:sz="4" w:space="0" w:color="auto"/>
                    <w:right w:val="single" w:sz="4" w:space="0" w:color="auto"/>
                  </w:tcBorders>
                  <w:shd w:val="clear" w:color="auto" w:fill="FFFFFF"/>
                  <w:vAlign w:val="bottom"/>
                </w:tcPr>
                <w:p w14:paraId="1061E166" w14:textId="77777777" w:rsidR="00660FFE" w:rsidRPr="0069123B" w:rsidRDefault="00660FFE" w:rsidP="00660FFE">
                  <w:pPr>
                    <w:widowControl w:val="0"/>
                    <w:spacing w:line="200" w:lineRule="exact"/>
                    <w:ind w:left="127"/>
                    <w:jc w:val="both"/>
                    <w:rPr>
                      <w:rFonts w:eastAsia="Arial" w:cs="Arial"/>
                      <w:b/>
                      <w:color w:val="000000"/>
                      <w:lang w:eastAsia="en-GB" w:bidi="en-GB"/>
                    </w:rPr>
                  </w:pPr>
                </w:p>
              </w:tc>
            </w:tr>
            <w:tr w:rsidR="00660FFE" w:rsidRPr="0069123B" w14:paraId="254313F1" w14:textId="77777777" w:rsidTr="00705A8C">
              <w:trPr>
                <w:trHeight w:hRule="exact" w:val="759"/>
              </w:trPr>
              <w:tc>
                <w:tcPr>
                  <w:tcW w:w="2107" w:type="dxa"/>
                  <w:tcBorders>
                    <w:top w:val="single" w:sz="4" w:space="0" w:color="auto"/>
                    <w:left w:val="single" w:sz="4" w:space="0" w:color="auto"/>
                    <w:bottom w:val="single" w:sz="4" w:space="0" w:color="auto"/>
                  </w:tcBorders>
                  <w:shd w:val="clear" w:color="auto" w:fill="FFFFFF"/>
                  <w:vAlign w:val="bottom"/>
                </w:tcPr>
                <w:p w14:paraId="195FD6F4" w14:textId="77777777" w:rsidR="00660FFE" w:rsidRPr="0069123B" w:rsidRDefault="00660FFE" w:rsidP="00660FFE">
                  <w:pPr>
                    <w:widowControl w:val="0"/>
                    <w:spacing w:line="259" w:lineRule="exact"/>
                    <w:ind w:left="127"/>
                    <w:rPr>
                      <w:rFonts w:eastAsia="Arial" w:cs="Arial"/>
                      <w:color w:val="000000"/>
                      <w:lang w:eastAsia="en-GB" w:bidi="en-GB"/>
                    </w:rPr>
                  </w:pPr>
                  <w:r w:rsidRPr="0069123B">
                    <w:rPr>
                      <w:rFonts w:eastAsia="Arial" w:cs="Arial"/>
                      <w:color w:val="000000"/>
                      <w:szCs w:val="18"/>
                      <w:lang w:eastAsia="en-GB" w:bidi="en-GB"/>
                    </w:rPr>
                    <w:t>Justification for the value/conclusion</w:t>
                  </w:r>
                </w:p>
              </w:tc>
              <w:tc>
                <w:tcPr>
                  <w:tcW w:w="6794" w:type="dxa"/>
                  <w:tcBorders>
                    <w:top w:val="single" w:sz="4" w:space="0" w:color="auto"/>
                    <w:left w:val="single" w:sz="4" w:space="0" w:color="auto"/>
                    <w:bottom w:val="single" w:sz="4" w:space="0" w:color="auto"/>
                    <w:right w:val="single" w:sz="4" w:space="0" w:color="auto"/>
                  </w:tcBorders>
                  <w:shd w:val="clear" w:color="auto" w:fill="FFFFFF"/>
                </w:tcPr>
                <w:p w14:paraId="0CC60F3B" w14:textId="77777777" w:rsidR="00660FFE" w:rsidRPr="0069123B" w:rsidRDefault="00660FFE" w:rsidP="00660FFE">
                  <w:pPr>
                    <w:widowControl w:val="0"/>
                    <w:spacing w:line="259" w:lineRule="exact"/>
                    <w:ind w:left="127"/>
                    <w:rPr>
                      <w:rFonts w:eastAsia="Arial" w:cs="Arial"/>
                      <w:b/>
                      <w:color w:val="000000"/>
                      <w:lang w:eastAsia="en-GB" w:bidi="en-GB"/>
                    </w:rPr>
                  </w:pPr>
                  <w:r w:rsidRPr="0069123B">
                    <w:rPr>
                      <w:rStyle w:val="MSGENFONTSTYLENAMETEMPLATEROLENUMBERMSGENFONTSTYLENAMEBYROLETEXT2MSGENFONTSTYLEMODIFERSIZE9"/>
                      <w:rFonts w:ascii="Verdana" w:hAnsi="Verdana"/>
                      <w:b w:val="0"/>
                      <w:sz w:val="20"/>
                    </w:rPr>
                    <w:t>-</w:t>
                  </w:r>
                </w:p>
              </w:tc>
            </w:tr>
            <w:tr w:rsidR="00660FFE" w:rsidRPr="0069123B" w14:paraId="2685AF68" w14:textId="77777777" w:rsidTr="00705A8C">
              <w:trPr>
                <w:trHeight w:hRule="exact" w:val="1314"/>
              </w:trPr>
              <w:tc>
                <w:tcPr>
                  <w:tcW w:w="2107" w:type="dxa"/>
                  <w:tcBorders>
                    <w:top w:val="single" w:sz="4" w:space="0" w:color="auto"/>
                    <w:left w:val="single" w:sz="4" w:space="0" w:color="auto"/>
                    <w:bottom w:val="single" w:sz="4" w:space="0" w:color="auto"/>
                  </w:tcBorders>
                  <w:shd w:val="clear" w:color="auto" w:fill="FFFFFF"/>
                </w:tcPr>
                <w:p w14:paraId="1960BF4C" w14:textId="77777777" w:rsidR="00660FFE" w:rsidRPr="0069123B" w:rsidRDefault="00660FFE" w:rsidP="00660FFE">
                  <w:pPr>
                    <w:widowControl w:val="0"/>
                    <w:spacing w:line="259" w:lineRule="exact"/>
                    <w:ind w:left="127"/>
                    <w:rPr>
                      <w:rFonts w:eastAsia="Arial" w:cs="Arial"/>
                      <w:color w:val="000000"/>
                      <w:szCs w:val="18"/>
                      <w:lang w:eastAsia="en-GB" w:bidi="en-GB"/>
                    </w:rPr>
                  </w:pPr>
                  <w:r w:rsidRPr="0069123B">
                    <w:rPr>
                      <w:rFonts w:eastAsia="Arial" w:cs="Arial"/>
                      <w:color w:val="000000"/>
                      <w:szCs w:val="18"/>
                      <w:lang w:eastAsia="en-GB" w:bidi="en-GB"/>
                    </w:rPr>
                    <w:t>Classification of the product according to CLP and DSD</w:t>
                  </w:r>
                </w:p>
              </w:tc>
              <w:tc>
                <w:tcPr>
                  <w:tcW w:w="6794" w:type="dxa"/>
                  <w:tcBorders>
                    <w:top w:val="single" w:sz="4" w:space="0" w:color="auto"/>
                    <w:left w:val="single" w:sz="4" w:space="0" w:color="auto"/>
                    <w:bottom w:val="single" w:sz="4" w:space="0" w:color="auto"/>
                    <w:right w:val="single" w:sz="4" w:space="0" w:color="auto"/>
                  </w:tcBorders>
                  <w:shd w:val="clear" w:color="auto" w:fill="FFFFFF"/>
                </w:tcPr>
                <w:p w14:paraId="2F9789AC" w14:textId="77777777" w:rsidR="00660FFE" w:rsidRPr="00A800C9" w:rsidRDefault="00660FFE" w:rsidP="00660FFE">
                  <w:pPr>
                    <w:widowControl w:val="0"/>
                    <w:spacing w:line="259" w:lineRule="exact"/>
                    <w:ind w:left="127"/>
                    <w:rPr>
                      <w:rFonts w:eastAsia="Arial" w:cs="Arial"/>
                      <w:color w:val="000000"/>
                      <w:szCs w:val="18"/>
                      <w:lang w:eastAsia="en-GB" w:bidi="en-GB"/>
                    </w:rPr>
                  </w:pPr>
                  <w:r w:rsidRPr="00A800C9">
                    <w:rPr>
                      <w:rFonts w:eastAsia="Arial" w:cs="Arial"/>
                      <w:color w:val="000000"/>
                      <w:szCs w:val="18"/>
                      <w:lang w:eastAsia="en-GB" w:bidi="en-GB"/>
                    </w:rPr>
                    <w:t>Based on calculation method (Guidance on the application of the CLP criteria, ECHA, version 4.1, June 2015), the following classification is proposed:</w:t>
                  </w:r>
                </w:p>
                <w:p w14:paraId="638954C3" w14:textId="77777777" w:rsidR="00660FFE" w:rsidRPr="0069123B" w:rsidRDefault="00660FFE" w:rsidP="00D124A3">
                  <w:pPr>
                    <w:pStyle w:val="Paragraphedeliste"/>
                    <w:widowControl w:val="0"/>
                    <w:numPr>
                      <w:ilvl w:val="0"/>
                      <w:numId w:val="7"/>
                    </w:numPr>
                    <w:suppressAutoHyphens w:val="0"/>
                    <w:spacing w:line="259" w:lineRule="exact"/>
                    <w:ind w:left="127"/>
                    <w:contextualSpacing/>
                    <w:rPr>
                      <w:rFonts w:eastAsia="Arial" w:cs="Arial"/>
                      <w:color w:val="000000"/>
                      <w:szCs w:val="18"/>
                      <w:lang w:eastAsia="en-GB" w:bidi="en-GB"/>
                    </w:rPr>
                  </w:pPr>
                  <w:r w:rsidRPr="00A800C9">
                    <w:rPr>
                      <w:rFonts w:eastAsia="Arial" w:cs="Arial"/>
                      <w:b/>
                      <w:color w:val="000000"/>
                      <w:szCs w:val="18"/>
                      <w:lang w:eastAsia="en-GB" w:bidi="en-GB"/>
                    </w:rPr>
                    <w:t>In accordance with the criteria in Regulation (EC) No 1272/2008:</w:t>
                  </w:r>
                  <w:r w:rsidRPr="00A800C9">
                    <w:rPr>
                      <w:rFonts w:eastAsia="Arial" w:cs="Arial"/>
                      <w:color w:val="000000"/>
                      <w:szCs w:val="18"/>
                      <w:lang w:eastAsia="en-GB" w:bidi="en-GB"/>
                    </w:rPr>
                    <w:t xml:space="preserve"> the product is </w:t>
                  </w:r>
                  <w:r w:rsidR="00D124A3" w:rsidRPr="00A800C9">
                    <w:rPr>
                      <w:rFonts w:eastAsia="Arial" w:cs="Arial"/>
                      <w:color w:val="000000"/>
                      <w:szCs w:val="18"/>
                      <w:lang w:eastAsia="en-GB" w:bidi="en-GB"/>
                    </w:rPr>
                    <w:t>classified H412</w:t>
                  </w:r>
                  <w:r w:rsidR="006D64A0" w:rsidRPr="00A800C9">
                    <w:rPr>
                      <w:rFonts w:eastAsia="Arial" w:cs="Arial"/>
                      <w:color w:val="000000"/>
                      <w:szCs w:val="18"/>
                      <w:lang w:eastAsia="en-GB" w:bidi="en-GB"/>
                    </w:rPr>
                    <w:t>.</w:t>
                  </w:r>
                </w:p>
              </w:tc>
            </w:tr>
          </w:tbl>
          <w:p w14:paraId="71A6F834" w14:textId="77777777" w:rsidR="00660FFE" w:rsidRPr="00660FFE" w:rsidRDefault="00660FFE" w:rsidP="00660FFE">
            <w:pPr>
              <w:spacing w:line="276" w:lineRule="auto"/>
              <w:jc w:val="both"/>
              <w:rPr>
                <w:rFonts w:cs="Arial"/>
                <w:sz w:val="20"/>
                <w:szCs w:val="20"/>
              </w:rPr>
            </w:pPr>
          </w:p>
        </w:tc>
      </w:tr>
    </w:tbl>
    <w:p w14:paraId="0E4A7FFD" w14:textId="77777777" w:rsidR="009D0C0B" w:rsidRDefault="009D0C0B">
      <w:pPr>
        <w:spacing w:line="260" w:lineRule="atLeast"/>
        <w:rPr>
          <w:rFonts w:eastAsia="Calibri"/>
          <w:lang w:eastAsia="en-US"/>
        </w:rPr>
      </w:pPr>
    </w:p>
    <w:p w14:paraId="5B1CD464" w14:textId="77777777" w:rsidR="009D0C0B" w:rsidRDefault="00FA480B">
      <w:pPr>
        <w:pStyle w:val="Titre4"/>
        <w:rPr>
          <w:rFonts w:ascii="Times New Roman" w:hAnsi="Times New Roman" w:cs="Times New Roman"/>
          <w:lang w:eastAsia="en-US"/>
        </w:rPr>
      </w:pPr>
      <w:bookmarkStart w:id="107" w:name="_Toc516669793"/>
      <w:r>
        <w:t>Exposure assessment</w:t>
      </w:r>
      <w:bookmarkEnd w:id="107"/>
    </w:p>
    <w:p w14:paraId="7C0CE51A" w14:textId="77777777" w:rsidR="009D0C0B" w:rsidRDefault="009D0C0B">
      <w:pPr>
        <w:spacing w:line="276" w:lineRule="auto"/>
        <w:rPr>
          <w:rFonts w:ascii="Times New Roman" w:eastAsia="Calibri" w:hAnsi="Times New Roman" w:cs="Times New Roman"/>
          <w:lang w:eastAsia="en-US"/>
        </w:rPr>
      </w:pPr>
    </w:p>
    <w:p w14:paraId="15BE226A" w14:textId="77777777" w:rsidR="00660FFE" w:rsidRDefault="00660FFE" w:rsidP="00660FFE">
      <w:r w:rsidRPr="002A0BCD">
        <w:rPr>
          <w:b/>
          <w:lang w:eastAsia="en-US"/>
        </w:rPr>
        <w:t>General information</w:t>
      </w:r>
      <w:r>
        <w:t xml:space="preserve"> </w:t>
      </w:r>
    </w:p>
    <w:p w14:paraId="3A3AFBAC" w14:textId="77777777" w:rsidR="00660FFE" w:rsidRDefault="00660FFE" w:rsidP="00660FFE"/>
    <w:p w14:paraId="03D5D40C" w14:textId="77777777" w:rsidR="00660FFE" w:rsidRDefault="00660FFE" w:rsidP="00660FFE">
      <w:pPr>
        <w:jc w:val="both"/>
      </w:pPr>
      <w:r>
        <w:t>IODIGUARD is applied to cows</w:t>
      </w:r>
      <w:r w:rsidR="006D64A0">
        <w:t>, ewes and goats</w:t>
      </w:r>
      <w:r>
        <w:t xml:space="preserve"> teats after milking. </w:t>
      </w:r>
    </w:p>
    <w:p w14:paraId="3D348CAD" w14:textId="77777777" w:rsidR="00660FFE" w:rsidRDefault="00660FFE" w:rsidP="00660FFE">
      <w:pPr>
        <w:jc w:val="both"/>
      </w:pPr>
    </w:p>
    <w:p w14:paraId="2405AB28" w14:textId="77777777" w:rsidR="00660FFE" w:rsidRDefault="00660FFE" w:rsidP="00660FFE">
      <w:pPr>
        <w:jc w:val="both"/>
      </w:pPr>
      <w:r w:rsidRPr="00EC7163">
        <w:t>The route of exposure of iodine to the environment is either via application of manure/slurry to agricultural land or by release from the facility drain to an STP and subsequent compartments. Relevant receiving compartments are soil, groundwater and surface water. PEC values are reported as iodine, iodide and iodate. The reason is that it is assumed that iodine is transformed to iodide in the alkaline anaerobic conditions in the manure, whilst when it is spread and mixed into the top layer of agricultural soil it will predominantly be transformed into iodate. In the case of release via STP iodine will be transformed into iodide and iodate, depending on the redox conditions. PECsoil, PECgw and PECsw values were calculated for application to grassland and arable land, each based on phosphate and nitrogen standards. It should be noted that the nitrogen standard is the most relevant in Europe and the focus during the evaluation of iodine species is put on the nitrogen standard.</w:t>
      </w:r>
    </w:p>
    <w:p w14:paraId="0883DD00" w14:textId="77777777" w:rsidR="00660FFE" w:rsidRDefault="00660FFE" w:rsidP="00660FFE">
      <w:pPr>
        <w:jc w:val="both"/>
      </w:pPr>
    </w:p>
    <w:p w14:paraId="45C1F6B5" w14:textId="77777777" w:rsidR="00660FFE" w:rsidRDefault="0069123B" w:rsidP="00660FFE">
      <w:pPr>
        <w:jc w:val="both"/>
      </w:pPr>
      <w:r>
        <w:t>S</w:t>
      </w:r>
      <w:r w:rsidR="00660FFE" w:rsidRPr="00EC7163">
        <w:t>ewage treatment plants (STP) are an important emission pathway. Release of STP effluents containing potential iodine residues leads to emissions to surface water and sediment, both freshwater and marine. Emissions to soil could arise indirectly, via the application of STP sludge and via aerial deposition. Furthermore, soil pore</w:t>
      </w:r>
      <w:r w:rsidR="005233B5">
        <w:t xml:space="preserve"> </w:t>
      </w:r>
      <w:r w:rsidR="00660FFE" w:rsidRPr="00EC7163">
        <w:t>water concentrations as an indicator for potential groundwater levels will be assessed.</w:t>
      </w:r>
    </w:p>
    <w:p w14:paraId="3D224FF3" w14:textId="77777777" w:rsidR="00660FFE" w:rsidRDefault="00660FFE" w:rsidP="00660FFE"/>
    <w:p w14:paraId="68620114" w14:textId="77777777" w:rsidR="00660FFE" w:rsidRDefault="00660FFE" w:rsidP="00660FFE">
      <w:pPr>
        <w:jc w:val="both"/>
      </w:pPr>
      <w:r w:rsidRPr="00EC7163">
        <w:t>For spreading of sewage sludge on arable land it is assumed that 100% of iodine is transformed into iodate and 14% into iodide.</w:t>
      </w:r>
      <w:r>
        <w:t xml:space="preserve"> </w:t>
      </w:r>
      <w:r w:rsidRPr="00CD1597">
        <w:t>For the calculation of PECsoil it is assumed that 100% of iodine is transformed into iodate and 14% into iodide.</w:t>
      </w:r>
    </w:p>
    <w:p w14:paraId="12D05A5F" w14:textId="77777777" w:rsidR="00660FFE" w:rsidRDefault="00660FFE" w:rsidP="00660FFE">
      <w:pPr>
        <w:jc w:val="both"/>
      </w:pPr>
    </w:p>
    <w:p w14:paraId="5E27BCE3" w14:textId="77777777" w:rsidR="00660FFE" w:rsidRDefault="00660FFE" w:rsidP="00660FFE">
      <w:pPr>
        <w:jc w:val="both"/>
      </w:pPr>
      <w:r w:rsidRPr="003C41D0">
        <w:t>Release to seawater may occur in the case of teat dip use and disinfection of milking equipment through runoff after sewage sludge application</w:t>
      </w:r>
      <w:r>
        <w:t>.</w:t>
      </w:r>
    </w:p>
    <w:p w14:paraId="35862A28" w14:textId="77777777" w:rsidR="00660FFE" w:rsidRDefault="00660FFE" w:rsidP="00660FFE">
      <w:pPr>
        <w:jc w:val="both"/>
      </w:pPr>
    </w:p>
    <w:p w14:paraId="770C0443" w14:textId="77777777" w:rsidR="00660FFE" w:rsidRDefault="00660FFE" w:rsidP="00660FFE">
      <w:pPr>
        <w:jc w:val="both"/>
      </w:pPr>
      <w:r w:rsidRPr="003C41D0">
        <w:t>Accordingly, also the PEC’s calculated for freshwater and marine sediments are negligible compared to the natural background levels and not further summarised here.</w:t>
      </w:r>
    </w:p>
    <w:p w14:paraId="230C8656" w14:textId="77777777" w:rsidR="00660FFE" w:rsidRDefault="00660FFE" w:rsidP="00660FFE">
      <w:pPr>
        <w:jc w:val="both"/>
      </w:pPr>
    </w:p>
    <w:p w14:paraId="328A5ECB" w14:textId="77777777" w:rsidR="00660FFE" w:rsidRPr="00685978" w:rsidRDefault="00660FFE" w:rsidP="00660FFE">
      <w:pPr>
        <w:jc w:val="both"/>
      </w:pPr>
      <w:r w:rsidRPr="003C41D0">
        <w:t>The iodine concentrations in pore water of agricultural soil (after application of sewage sludge – case A) or in the pore water of cemetery soil (due to direct release from buried embalmed corpses – case B) are taken as indication of potential groundwater levels, assuming that the concentration in soil pore water is identical to the concentration in groundwater. PECgw values are thus calculated using this “pore</w:t>
      </w:r>
      <w:r w:rsidR="005233B5">
        <w:t xml:space="preserve"> </w:t>
      </w:r>
      <w:r w:rsidRPr="003C41D0">
        <w:t>water approach” based on PECsoil.</w:t>
      </w:r>
    </w:p>
    <w:p w14:paraId="01636B84" w14:textId="77777777" w:rsidR="00660FFE" w:rsidRDefault="00660FFE" w:rsidP="00660FFE">
      <w:pPr>
        <w:spacing w:line="276" w:lineRule="auto"/>
        <w:jc w:val="both"/>
        <w:rPr>
          <w:lang w:eastAsia="en-US"/>
        </w:rPr>
      </w:pPr>
    </w:p>
    <w:p w14:paraId="5E204B4B" w14:textId="77777777" w:rsidR="00660FFE" w:rsidRDefault="00660FFE" w:rsidP="00660FFE">
      <w:pPr>
        <w:jc w:val="both"/>
        <w:rPr>
          <w:lang w:val="en-US"/>
        </w:rPr>
      </w:pPr>
      <w:r>
        <w:rPr>
          <w:lang w:val="en-US"/>
        </w:rPr>
        <w:t>The biocidal product IODIGUARD is used as ready-to-use product. The IODIGUARD container is equiped with an outlet tap by screwing on the container. Teat dips are filled in with 500</w:t>
      </w:r>
      <w:r w:rsidR="005233B5">
        <w:rPr>
          <w:lang w:val="en-US"/>
        </w:rPr>
        <w:t xml:space="preserve"> </w:t>
      </w:r>
      <w:r>
        <w:rPr>
          <w:lang w:val="en-US"/>
        </w:rPr>
        <w:t xml:space="preserve">mL of IODIGUARD, the top of the dip is screwed. The correct quantity of liquid to cover a teat is pushed in the top of the dip by pression on the flexible reserve flask containing IODIGUARD. After the milking, teats of cows, sheep or goats are treated with IODIGUARD by quickly dipping of the teats into the top of the dip. The top of the dip contains approximately 30 mL of IODIGUARD and it is designed in order not to allow a flow back in the reserve to avoid contaminations between cows. 8mL are enough to treat the four teats of a cow. The content of the flexible reserve flask will stay in it. IODIGUARD is moreover a viscous solution for two purposes: the first is to adhere to the teats and stay on it (the total drying time is approximately 50 minutes) and the second is to avoid any spill during manipulation by the operator. Nevertheless, for hygiene reasons mainly, operators wear simple gloves during the operation. Thus direct dermal contact is not foreseen even if the top of the dip is spilled. Each teat is quickly dipped into the solution; a cow is treated in 4 or 5 seconds. Once the teats are dipped IODIGUARD forms a droplet on the sphincter at the basis of the teat. This place is the crucial place to be protected since it is the entry point of the contaminants. The cows are then maintained walking during </w:t>
      </w:r>
      <w:r w:rsidRPr="00F501EA">
        <w:rPr>
          <w:rStyle w:val="hps"/>
          <w:lang w:val="en-US"/>
        </w:rPr>
        <w:t>at least</w:t>
      </w:r>
      <w:r>
        <w:rPr>
          <w:lang w:val="en-US"/>
        </w:rPr>
        <w:t xml:space="preserve"> 30 minutes in order to let dry the product. Before the next milking, the potential remaining product is washed with a foaming soap and wipes in order to have disappeared for the next milking. Between two milking, the teats are thus protected from contamination by the film formed by IODIGUARD and no IODIGUARD remains during the milking.</w:t>
      </w:r>
    </w:p>
    <w:p w14:paraId="17F559C3" w14:textId="77777777" w:rsidR="00660FFE" w:rsidRDefault="00660FFE" w:rsidP="00660FFE">
      <w:pPr>
        <w:jc w:val="both"/>
        <w:rPr>
          <w:lang w:val="en-US"/>
        </w:rPr>
      </w:pPr>
      <w:r w:rsidRPr="00A31189">
        <w:rPr>
          <w:lang w:val="en-US"/>
        </w:rPr>
        <w:t>IODIGUARD</w:t>
      </w:r>
      <w:r>
        <w:rPr>
          <w:lang w:val="en-US"/>
        </w:rPr>
        <w:t xml:space="preserve"> </w:t>
      </w:r>
      <w:r w:rsidRPr="00A31189">
        <w:rPr>
          <w:lang w:val="en-US"/>
        </w:rPr>
        <w:t>remains in contact with teat dips as a protective film (DVG, 2009).</w:t>
      </w:r>
      <w:r>
        <w:rPr>
          <w:lang w:val="en-US"/>
        </w:rPr>
        <w:t xml:space="preserve"> The fraction of the product remaining on teats depends on the viscosity of the solution. The worst case is used in this assessment according to ESD TP3: as a conservative approach, the fraction of disinfectant remaining on teats is considered to be 0</w:t>
      </w:r>
      <w:proofErr w:type="gramStart"/>
      <w:r>
        <w:rPr>
          <w:lang w:val="en-US"/>
        </w:rPr>
        <w:t>,5</w:t>
      </w:r>
      <w:proofErr w:type="gramEnd"/>
      <w:r>
        <w:rPr>
          <w:lang w:val="en-US"/>
        </w:rPr>
        <w:t>.</w:t>
      </w:r>
    </w:p>
    <w:p w14:paraId="3A8140CB" w14:textId="77777777" w:rsidR="00660FFE" w:rsidRDefault="00660FFE" w:rsidP="00660FFE">
      <w:pPr>
        <w:spacing w:line="276" w:lineRule="auto"/>
        <w:jc w:val="both"/>
        <w:rPr>
          <w:lang w:val="en-US" w:eastAsia="en-US"/>
        </w:rPr>
      </w:pPr>
    </w:p>
    <w:p w14:paraId="0B9F7302" w14:textId="77777777" w:rsidR="00660FFE" w:rsidRDefault="00660FFE" w:rsidP="00660FFE">
      <w:pPr>
        <w:jc w:val="both"/>
        <w:rPr>
          <w:lang w:val="en-US"/>
        </w:rPr>
      </w:pPr>
      <w:r w:rsidRPr="00DF3944">
        <w:rPr>
          <w:lang w:val="en-US"/>
        </w:rPr>
        <w:t>In the various environmental compartm</w:t>
      </w:r>
      <w:r>
        <w:rPr>
          <w:lang w:val="en-US"/>
        </w:rPr>
        <w:t>ents, the presence of different</w:t>
      </w:r>
      <w:r w:rsidRPr="00DF3944">
        <w:rPr>
          <w:lang w:val="en-US"/>
        </w:rPr>
        <w:t xml:space="preserve"> forms of iodine is largely dependant on the redox potential and pH.</w:t>
      </w:r>
    </w:p>
    <w:p w14:paraId="7F0BBD3C" w14:textId="77777777" w:rsidR="00660FFE" w:rsidRDefault="00660FFE" w:rsidP="00660FFE">
      <w:pPr>
        <w:pStyle w:val="Paragraphedeliste"/>
        <w:numPr>
          <w:ilvl w:val="0"/>
          <w:numId w:val="8"/>
        </w:numPr>
        <w:suppressAutoHyphens w:val="0"/>
        <w:contextualSpacing/>
        <w:jc w:val="both"/>
        <w:rPr>
          <w:lang w:val="en-US"/>
        </w:rPr>
      </w:pPr>
      <w:r w:rsidRPr="00DF3944">
        <w:rPr>
          <w:lang w:val="en-US"/>
        </w:rPr>
        <w:t xml:space="preserve"> Iodide and iodate are the dominant iodine species in soil</w:t>
      </w:r>
    </w:p>
    <w:p w14:paraId="006798C4" w14:textId="77777777" w:rsidR="00660FFE" w:rsidRDefault="00660FFE" w:rsidP="00660FFE">
      <w:pPr>
        <w:pStyle w:val="Paragraphedeliste"/>
        <w:numPr>
          <w:ilvl w:val="0"/>
          <w:numId w:val="8"/>
        </w:numPr>
        <w:suppressAutoHyphens w:val="0"/>
        <w:contextualSpacing/>
        <w:jc w:val="both"/>
        <w:rPr>
          <w:lang w:val="en-US"/>
        </w:rPr>
      </w:pPr>
      <w:r>
        <w:rPr>
          <w:lang w:val="en-US"/>
        </w:rPr>
        <w:t>In water the prevalent forms of iodine are iodide and iodate</w:t>
      </w:r>
    </w:p>
    <w:p w14:paraId="215C5552" w14:textId="77777777" w:rsidR="00660FFE" w:rsidRDefault="00660FFE" w:rsidP="00660FFE">
      <w:pPr>
        <w:pStyle w:val="Paragraphedeliste"/>
        <w:numPr>
          <w:ilvl w:val="0"/>
          <w:numId w:val="8"/>
        </w:numPr>
        <w:suppressAutoHyphens w:val="0"/>
        <w:contextualSpacing/>
        <w:jc w:val="both"/>
        <w:rPr>
          <w:lang w:val="en-US"/>
        </w:rPr>
      </w:pPr>
      <w:r>
        <w:rPr>
          <w:lang w:val="en-US"/>
        </w:rPr>
        <w:t>When iodine reaches the waste water stream, it will speciate into iodate and iodide</w:t>
      </w:r>
    </w:p>
    <w:p w14:paraId="6E41F484" w14:textId="77777777" w:rsidR="00660FFE" w:rsidRDefault="00660FFE" w:rsidP="00660FFE">
      <w:pPr>
        <w:pStyle w:val="Paragraphedeliste"/>
        <w:numPr>
          <w:ilvl w:val="0"/>
          <w:numId w:val="8"/>
        </w:numPr>
        <w:suppressAutoHyphens w:val="0"/>
        <w:contextualSpacing/>
        <w:jc w:val="both"/>
        <w:rPr>
          <w:lang w:val="en-US"/>
        </w:rPr>
      </w:pPr>
      <w:r>
        <w:rPr>
          <w:lang w:val="en-US"/>
        </w:rPr>
        <w:t>Kp susp and Kp soil values as stated in the List of Endpoints of the European assessment (2013)</w:t>
      </w:r>
    </w:p>
    <w:p w14:paraId="734E7059" w14:textId="77777777" w:rsidR="00660FFE" w:rsidRDefault="00660FFE" w:rsidP="00660FFE">
      <w:pPr>
        <w:jc w:val="both"/>
        <w:rPr>
          <w:lang w:val="en-US"/>
        </w:rPr>
      </w:pPr>
    </w:p>
    <w:p w14:paraId="2339050A" w14:textId="77777777" w:rsidR="00660FFE" w:rsidRDefault="00660FFE" w:rsidP="00660FFE">
      <w:pPr>
        <w:jc w:val="both"/>
        <w:rPr>
          <w:lang w:val="en-US"/>
        </w:rPr>
      </w:pPr>
      <w:r>
        <w:rPr>
          <w:lang w:val="en-US"/>
        </w:rPr>
        <w:lastRenderedPageBreak/>
        <w:t>Considering that iodide is not highly adsorbed to sludge under typical conditions and iodate can form complexes with calcium which easily adsorb to negatively charged particle surfaces, the majority of the iodide that passes an STP will most probably not be retained in sludge and a sludge retention factor of 20% is chosen for the risk assessment (ie 80% of the iodine discharges to the STP remains in the effluent).</w:t>
      </w:r>
    </w:p>
    <w:p w14:paraId="5D830A1A" w14:textId="77777777" w:rsidR="00660FFE" w:rsidRDefault="00660FFE" w:rsidP="00660FFE">
      <w:pPr>
        <w:jc w:val="both"/>
        <w:rPr>
          <w:lang w:val="en-US"/>
        </w:rPr>
      </w:pPr>
    </w:p>
    <w:p w14:paraId="07276D80" w14:textId="77777777" w:rsidR="00660FFE" w:rsidRDefault="00660FFE" w:rsidP="00660FFE">
      <w:pPr>
        <w:jc w:val="both"/>
        <w:rPr>
          <w:lang w:val="en-US"/>
        </w:rPr>
      </w:pPr>
      <w:r>
        <w:rPr>
          <w:lang w:val="en-US"/>
        </w:rPr>
        <w:t xml:space="preserve">Thus for the environmental risk assessment, the following quantities of iodine species in IODIGUARD will be considered (see also discussion </w:t>
      </w:r>
      <w:r w:rsidRPr="000518F8">
        <w:rPr>
          <w:lang w:val="en-US"/>
        </w:rPr>
        <w:t>“iodine compounds quantities in IODIGUARD” attached in section 13)</w:t>
      </w:r>
      <w:r>
        <w:rPr>
          <w:lang w:val="en-US"/>
        </w:rPr>
        <w:t>:</w:t>
      </w:r>
    </w:p>
    <w:p w14:paraId="0EA08A1D" w14:textId="77777777" w:rsidR="00660FFE" w:rsidRDefault="00660FFE" w:rsidP="00660FFE">
      <w:pPr>
        <w:pStyle w:val="Paragraphedeliste"/>
        <w:numPr>
          <w:ilvl w:val="0"/>
          <w:numId w:val="8"/>
        </w:numPr>
        <w:suppressAutoHyphens w:val="0"/>
        <w:contextualSpacing/>
        <w:jc w:val="both"/>
        <w:rPr>
          <w:lang w:val="en-US"/>
        </w:rPr>
      </w:pPr>
      <w:r>
        <w:rPr>
          <w:lang w:val="en-US"/>
        </w:rPr>
        <w:t>In soil: 0,182% iodine, 0,182% iodide and 0,182% iodate in first intention and as a worst case</w:t>
      </w:r>
    </w:p>
    <w:p w14:paraId="3FDF405E" w14:textId="77777777" w:rsidR="00660FFE" w:rsidRDefault="00660FFE" w:rsidP="00660FFE">
      <w:pPr>
        <w:pStyle w:val="Paragraphedeliste"/>
        <w:numPr>
          <w:ilvl w:val="0"/>
          <w:numId w:val="8"/>
        </w:numPr>
        <w:suppressAutoHyphens w:val="0"/>
        <w:contextualSpacing/>
        <w:jc w:val="both"/>
        <w:rPr>
          <w:lang w:val="en-US"/>
        </w:rPr>
      </w:pPr>
      <w:r>
        <w:rPr>
          <w:lang w:val="en-US"/>
        </w:rPr>
        <w:t>In water: 0,182% iodine, 0,182% iodide and 0,182% iodate in first intention and as a worst case</w:t>
      </w:r>
    </w:p>
    <w:p w14:paraId="72B53B13" w14:textId="77777777" w:rsidR="00660FFE" w:rsidRDefault="00660FFE" w:rsidP="00660FFE">
      <w:pPr>
        <w:pStyle w:val="Paragraphedeliste"/>
        <w:numPr>
          <w:ilvl w:val="0"/>
          <w:numId w:val="8"/>
        </w:numPr>
        <w:suppressAutoHyphens w:val="0"/>
        <w:contextualSpacing/>
        <w:jc w:val="both"/>
        <w:rPr>
          <w:lang w:val="en-US"/>
        </w:rPr>
      </w:pPr>
      <w:r>
        <w:rPr>
          <w:lang w:val="en-US"/>
        </w:rPr>
        <w:t>In waste water: 0,182% iodide and 0,182% iodate in first intention and as a worst case</w:t>
      </w:r>
    </w:p>
    <w:p w14:paraId="2DA83B71" w14:textId="77777777" w:rsidR="00660FFE" w:rsidRPr="000518F8" w:rsidRDefault="00660FFE" w:rsidP="00660FFE">
      <w:pPr>
        <w:pStyle w:val="Paragraphedeliste"/>
        <w:numPr>
          <w:ilvl w:val="0"/>
          <w:numId w:val="8"/>
        </w:numPr>
        <w:suppressAutoHyphens w:val="0"/>
        <w:contextualSpacing/>
        <w:jc w:val="both"/>
        <w:rPr>
          <w:lang w:val="en-US"/>
        </w:rPr>
      </w:pPr>
      <w:r>
        <w:rPr>
          <w:lang w:val="en-US"/>
        </w:rPr>
        <w:t>80% of the iodine discharges to the STP remains in the effluent</w:t>
      </w:r>
    </w:p>
    <w:p w14:paraId="29FD3B7D" w14:textId="77777777" w:rsidR="00660FFE" w:rsidRDefault="00660FFE" w:rsidP="00660FFE">
      <w:pPr>
        <w:jc w:val="both"/>
        <w:rPr>
          <w:lang w:val="en-US"/>
        </w:rPr>
      </w:pPr>
    </w:p>
    <w:p w14:paraId="72DFF14A" w14:textId="77777777" w:rsidR="00660FFE" w:rsidRDefault="00660FFE" w:rsidP="00660FFE">
      <w:pPr>
        <w:jc w:val="both"/>
        <w:rPr>
          <w:lang w:val="en-US"/>
        </w:rPr>
      </w:pPr>
      <w:r>
        <w:rPr>
          <w:lang w:val="en-US"/>
        </w:rPr>
        <w:t>According to the European assessment (2013), in view of the high background values for iodine in air, emission to air resulting from application of iodine as disinfectant is not considered to be relevant.</w:t>
      </w:r>
    </w:p>
    <w:p w14:paraId="14389DA5" w14:textId="77777777" w:rsidR="00660FFE" w:rsidRPr="00DF3944" w:rsidRDefault="00660FFE" w:rsidP="00660FFE">
      <w:pPr>
        <w:jc w:val="both"/>
        <w:rPr>
          <w:lang w:val="en-US"/>
        </w:rPr>
      </w:pPr>
      <w:r>
        <w:rPr>
          <w:lang w:val="en-US"/>
        </w:rPr>
        <w:t>As the amount of iodine potentially released into the environment through biocidal uses are within the natural occurring background levels, there is no concern with respect to secondary poisoning. Thus, emissions to air and secondary poisoning will not be examined in this risk assessment.</w:t>
      </w:r>
    </w:p>
    <w:p w14:paraId="5B047CDC" w14:textId="77777777" w:rsidR="00660FFE" w:rsidRDefault="00660FFE" w:rsidP="00660FFE">
      <w:pPr>
        <w:spacing w:line="276" w:lineRule="auto"/>
        <w:jc w:val="both"/>
        <w:rPr>
          <w:lang w:val="en-US" w:eastAsia="en-US"/>
        </w:rPr>
      </w:pPr>
    </w:p>
    <w:p w14:paraId="5636ED6B" w14:textId="77777777" w:rsidR="00660FFE" w:rsidRDefault="00660FFE" w:rsidP="00660FFE">
      <w:pPr>
        <w:jc w:val="both"/>
        <w:rPr>
          <w:lang w:val="en-US"/>
        </w:rPr>
      </w:pPr>
      <w:r>
        <w:rPr>
          <w:lang w:val="en-US"/>
        </w:rPr>
        <w:t>According to ESD TP3, after dipping, two pathways are possible:</w:t>
      </w:r>
    </w:p>
    <w:p w14:paraId="143F187C" w14:textId="77777777" w:rsidR="00660FFE" w:rsidRDefault="00660FFE" w:rsidP="00660FFE">
      <w:pPr>
        <w:pStyle w:val="Paragraphedeliste"/>
        <w:numPr>
          <w:ilvl w:val="0"/>
          <w:numId w:val="9"/>
        </w:numPr>
        <w:suppressAutoHyphens w:val="0"/>
        <w:contextualSpacing/>
        <w:jc w:val="both"/>
        <w:rPr>
          <w:lang w:val="en-US"/>
        </w:rPr>
      </w:pPr>
      <w:r>
        <w:rPr>
          <w:lang w:val="en-US"/>
        </w:rPr>
        <w:t xml:space="preserve">Emission to waste water </w:t>
      </w:r>
    </w:p>
    <w:p w14:paraId="539B1521" w14:textId="77777777" w:rsidR="00660FFE" w:rsidRDefault="00660FFE" w:rsidP="00660FFE">
      <w:pPr>
        <w:pStyle w:val="Paragraphedeliste"/>
        <w:numPr>
          <w:ilvl w:val="0"/>
          <w:numId w:val="9"/>
        </w:numPr>
        <w:suppressAutoHyphens w:val="0"/>
        <w:contextualSpacing/>
        <w:jc w:val="both"/>
        <w:rPr>
          <w:lang w:val="en-US"/>
        </w:rPr>
      </w:pPr>
      <w:r>
        <w:rPr>
          <w:lang w:val="en-US"/>
        </w:rPr>
        <w:t>Emission to the slurry</w:t>
      </w:r>
    </w:p>
    <w:p w14:paraId="7F8662C9" w14:textId="77777777" w:rsidR="00660FFE" w:rsidRDefault="00660FFE" w:rsidP="00660FFE">
      <w:pPr>
        <w:jc w:val="both"/>
        <w:rPr>
          <w:lang w:val="en-US"/>
        </w:rPr>
      </w:pPr>
      <w:r>
        <w:rPr>
          <w:lang w:val="en-US"/>
        </w:rPr>
        <w:t>According to the Iodine assessment report (2013), the route of exposure of iodine to the environment is either:</w:t>
      </w:r>
    </w:p>
    <w:p w14:paraId="6188A404" w14:textId="77777777" w:rsidR="00660FFE" w:rsidRDefault="00660FFE" w:rsidP="00660FFE">
      <w:pPr>
        <w:pStyle w:val="Paragraphedeliste"/>
        <w:numPr>
          <w:ilvl w:val="0"/>
          <w:numId w:val="9"/>
        </w:numPr>
        <w:suppressAutoHyphens w:val="0"/>
        <w:contextualSpacing/>
        <w:jc w:val="both"/>
        <w:rPr>
          <w:lang w:val="en-US"/>
        </w:rPr>
      </w:pPr>
      <w:r w:rsidRPr="0031584B">
        <w:rPr>
          <w:lang w:val="en-US"/>
        </w:rPr>
        <w:t>via application of manure/slurry to agricultural land or</w:t>
      </w:r>
    </w:p>
    <w:p w14:paraId="520915FA" w14:textId="77777777" w:rsidR="00660FFE" w:rsidRPr="0031584B" w:rsidRDefault="00660FFE" w:rsidP="00660FFE">
      <w:pPr>
        <w:pStyle w:val="Paragraphedeliste"/>
        <w:numPr>
          <w:ilvl w:val="0"/>
          <w:numId w:val="9"/>
        </w:numPr>
        <w:suppressAutoHyphens w:val="0"/>
        <w:contextualSpacing/>
        <w:jc w:val="both"/>
        <w:rPr>
          <w:lang w:val="en-US"/>
        </w:rPr>
      </w:pPr>
      <w:proofErr w:type="gramStart"/>
      <w:r w:rsidRPr="0031584B">
        <w:rPr>
          <w:lang w:val="en-US"/>
        </w:rPr>
        <w:t>by</w:t>
      </w:r>
      <w:proofErr w:type="gramEnd"/>
      <w:r w:rsidRPr="0031584B">
        <w:rPr>
          <w:lang w:val="en-US"/>
        </w:rPr>
        <w:t xml:space="preserve"> release from the facility drain to an STP and subsequent compartments.</w:t>
      </w:r>
    </w:p>
    <w:p w14:paraId="419D0092" w14:textId="77777777" w:rsidR="00660FFE" w:rsidRDefault="00660FFE" w:rsidP="00660FFE">
      <w:pPr>
        <w:jc w:val="both"/>
        <w:rPr>
          <w:lang w:val="en-US"/>
        </w:rPr>
      </w:pPr>
      <w:r>
        <w:rPr>
          <w:lang w:val="en-US"/>
        </w:rPr>
        <w:t>Relevant receiving compartments are:</w:t>
      </w:r>
    </w:p>
    <w:p w14:paraId="3F2BB855" w14:textId="77777777" w:rsidR="00660FFE" w:rsidRDefault="00660FFE" w:rsidP="00660FFE">
      <w:pPr>
        <w:pStyle w:val="Paragraphedeliste"/>
        <w:numPr>
          <w:ilvl w:val="0"/>
          <w:numId w:val="9"/>
        </w:numPr>
        <w:suppressAutoHyphens w:val="0"/>
        <w:contextualSpacing/>
        <w:jc w:val="both"/>
        <w:rPr>
          <w:lang w:val="en-US"/>
        </w:rPr>
      </w:pPr>
      <w:r w:rsidRPr="0031584B">
        <w:rPr>
          <w:lang w:val="en-US"/>
        </w:rPr>
        <w:t xml:space="preserve">soil, </w:t>
      </w:r>
    </w:p>
    <w:p w14:paraId="0B4B5FD0" w14:textId="77777777" w:rsidR="00660FFE" w:rsidRDefault="00660FFE" w:rsidP="00660FFE">
      <w:pPr>
        <w:pStyle w:val="Paragraphedeliste"/>
        <w:numPr>
          <w:ilvl w:val="0"/>
          <w:numId w:val="9"/>
        </w:numPr>
        <w:suppressAutoHyphens w:val="0"/>
        <w:contextualSpacing/>
        <w:jc w:val="both"/>
        <w:rPr>
          <w:lang w:val="en-US"/>
        </w:rPr>
      </w:pPr>
      <w:r w:rsidRPr="0031584B">
        <w:rPr>
          <w:lang w:val="en-US"/>
        </w:rPr>
        <w:t xml:space="preserve">groundwater and </w:t>
      </w:r>
    </w:p>
    <w:p w14:paraId="65A75440" w14:textId="77777777" w:rsidR="00660FFE" w:rsidRPr="0031584B" w:rsidRDefault="00660FFE" w:rsidP="00660FFE">
      <w:pPr>
        <w:pStyle w:val="Paragraphedeliste"/>
        <w:numPr>
          <w:ilvl w:val="0"/>
          <w:numId w:val="9"/>
        </w:numPr>
        <w:suppressAutoHyphens w:val="0"/>
        <w:contextualSpacing/>
        <w:jc w:val="both"/>
        <w:rPr>
          <w:lang w:val="en-US"/>
        </w:rPr>
      </w:pPr>
      <w:r w:rsidRPr="0031584B">
        <w:rPr>
          <w:lang w:val="en-US"/>
        </w:rPr>
        <w:t>surface water</w:t>
      </w:r>
    </w:p>
    <w:p w14:paraId="5F580319" w14:textId="77777777" w:rsidR="00660FFE" w:rsidRDefault="00660FFE" w:rsidP="00660FFE">
      <w:pPr>
        <w:jc w:val="both"/>
        <w:rPr>
          <w:lang w:val="en-US"/>
        </w:rPr>
      </w:pPr>
    </w:p>
    <w:p w14:paraId="4E7BCCD8" w14:textId="77777777" w:rsidR="00660FFE" w:rsidRDefault="00660FFE" w:rsidP="00660FFE">
      <w:pPr>
        <w:jc w:val="both"/>
        <w:rPr>
          <w:lang w:val="en-US"/>
        </w:rPr>
      </w:pPr>
      <w:r>
        <w:rPr>
          <w:lang w:val="en-US"/>
        </w:rPr>
        <w:t>To calculate the various predicted environmental concentrations, we have used:</w:t>
      </w:r>
    </w:p>
    <w:p w14:paraId="7E6E507C" w14:textId="77777777" w:rsidR="00660FFE" w:rsidRPr="00656148" w:rsidRDefault="00660FFE" w:rsidP="00660FFE">
      <w:pPr>
        <w:pStyle w:val="Paragraphedeliste"/>
        <w:numPr>
          <w:ilvl w:val="0"/>
          <w:numId w:val="9"/>
        </w:numPr>
        <w:suppressAutoHyphens w:val="0"/>
        <w:contextualSpacing/>
        <w:jc w:val="both"/>
        <w:rPr>
          <w:lang w:val="en-US"/>
        </w:rPr>
      </w:pPr>
      <w:r w:rsidRPr="00656148">
        <w:rPr>
          <w:lang w:val="en-US"/>
        </w:rPr>
        <w:t xml:space="preserve"> ESD TP3 use: disinfection for veterinary hygiene: non-medicinal teat dips:</w:t>
      </w:r>
    </w:p>
    <w:p w14:paraId="691292F7" w14:textId="77777777" w:rsidR="00660FFE" w:rsidRPr="00DF3944" w:rsidRDefault="00660FFE" w:rsidP="00660FFE">
      <w:pPr>
        <w:pStyle w:val="Paragraphedeliste"/>
        <w:numPr>
          <w:ilvl w:val="1"/>
          <w:numId w:val="9"/>
        </w:numPr>
        <w:suppressAutoHyphens w:val="0"/>
        <w:contextualSpacing/>
        <w:jc w:val="both"/>
        <w:rPr>
          <w:lang w:val="en-US"/>
        </w:rPr>
      </w:pPr>
      <w:r w:rsidRPr="00DF3944">
        <w:rPr>
          <w:lang w:val="en-US"/>
        </w:rPr>
        <w:t xml:space="preserve">Estimation of exposure of iodine to the environment via application of manure/slurry to agricultural land (based on </w:t>
      </w:r>
      <w:r>
        <w:rPr>
          <w:lang w:val="en-US"/>
        </w:rPr>
        <w:t>nitrogen standard since</w:t>
      </w:r>
      <w:r w:rsidRPr="00DF3944">
        <w:rPr>
          <w:lang w:val="en-US"/>
        </w:rPr>
        <w:t xml:space="preserve"> nitrogen standard </w:t>
      </w:r>
      <w:r>
        <w:rPr>
          <w:lang w:val="en-US"/>
        </w:rPr>
        <w:t>is</w:t>
      </w:r>
      <w:r w:rsidRPr="00DF3944">
        <w:rPr>
          <w:lang w:val="en-US"/>
        </w:rPr>
        <w:t xml:space="preserve"> the most relevant in Europe)</w:t>
      </w:r>
    </w:p>
    <w:p w14:paraId="089CF98E" w14:textId="77777777" w:rsidR="00660FFE" w:rsidRDefault="00660FFE" w:rsidP="00660FFE">
      <w:pPr>
        <w:pStyle w:val="Paragraphedeliste"/>
        <w:numPr>
          <w:ilvl w:val="1"/>
          <w:numId w:val="9"/>
        </w:numPr>
        <w:suppressAutoHyphens w:val="0"/>
        <w:contextualSpacing/>
        <w:jc w:val="both"/>
        <w:rPr>
          <w:lang w:val="en-US"/>
        </w:rPr>
      </w:pPr>
      <w:r w:rsidRPr="00DF3944">
        <w:rPr>
          <w:lang w:val="en-US"/>
        </w:rPr>
        <w:t>Calculation of the release from the facility drain to an STP</w:t>
      </w:r>
    </w:p>
    <w:p w14:paraId="091E7EAD" w14:textId="77777777" w:rsidR="00660FFE" w:rsidRPr="00EC6B22" w:rsidRDefault="00660FFE" w:rsidP="00660FFE">
      <w:pPr>
        <w:pStyle w:val="Paragraphedeliste"/>
        <w:numPr>
          <w:ilvl w:val="0"/>
          <w:numId w:val="9"/>
        </w:numPr>
        <w:suppressAutoHyphens w:val="0"/>
        <w:contextualSpacing/>
        <w:jc w:val="both"/>
        <w:rPr>
          <w:lang w:val="fr-FR"/>
        </w:rPr>
      </w:pPr>
      <w:r w:rsidRPr="00EC6B22">
        <w:rPr>
          <w:lang w:val="fr-FR"/>
        </w:rPr>
        <w:t>R16 ECHA guidance document: environmental exposure estimation</w:t>
      </w:r>
    </w:p>
    <w:p w14:paraId="71EE6E43" w14:textId="77777777" w:rsidR="00660FFE" w:rsidRDefault="00660FFE" w:rsidP="00660FFE">
      <w:pPr>
        <w:spacing w:line="276" w:lineRule="auto"/>
        <w:jc w:val="both"/>
        <w:rPr>
          <w:lang w:val="fr-FR" w:eastAsia="en-US"/>
        </w:rPr>
      </w:pPr>
    </w:p>
    <w:p w14:paraId="6309021D" w14:textId="77777777" w:rsidR="00660FFE" w:rsidRDefault="00660FFE" w:rsidP="00660FFE">
      <w:pPr>
        <w:jc w:val="both"/>
        <w:rPr>
          <w:lang w:val="en-US"/>
        </w:rPr>
      </w:pPr>
      <w:r>
        <w:rPr>
          <w:lang w:val="en-US"/>
        </w:rPr>
        <w:t xml:space="preserve">The parameters used to make the calculations don’t make the difference between iodine, iodide or iodate. Actually, no additional parameter other than the AS content of the biocidal product is taken into account in the calculations. The repartition between the 3 iodine species in the environment is not clearly stated </w:t>
      </w:r>
      <w:r>
        <w:rPr>
          <w:lang w:val="en-US"/>
        </w:rPr>
        <w:lastRenderedPageBreak/>
        <w:t>in the publicly available documents but the maximum iodine content (taking into account PVPI and KI) in IODIGUARD is 0,182% meaning 1</w:t>
      </w:r>
      <w:proofErr w:type="gramStart"/>
      <w:r>
        <w:rPr>
          <w:lang w:val="en-US"/>
        </w:rPr>
        <w:t>,82</w:t>
      </w:r>
      <w:proofErr w:type="gramEnd"/>
      <w:r>
        <w:rPr>
          <w:lang w:val="en-US"/>
        </w:rPr>
        <w:t xml:space="preserve"> g/L. Thus, is we compare PEC values calculated for “iodine total content” and if we compare them to the lowest PNEC between the three forms of iodine, we will figure out the worst case. It will probably not be representative of the reality but it will demonstrate the absence of risk. </w:t>
      </w:r>
    </w:p>
    <w:p w14:paraId="6BA30373" w14:textId="77777777" w:rsidR="00660FFE" w:rsidRPr="00AB57C7" w:rsidRDefault="00660FFE" w:rsidP="00660FFE">
      <w:pPr>
        <w:spacing w:line="276" w:lineRule="auto"/>
        <w:jc w:val="both"/>
        <w:rPr>
          <w:lang w:val="en-US" w:eastAsia="en-US"/>
        </w:rPr>
      </w:pPr>
    </w:p>
    <w:p w14:paraId="67C848B6" w14:textId="77777777" w:rsidR="00DC4AD8" w:rsidRDefault="00DC4AD8" w:rsidP="00DC4AD8">
      <w:pPr>
        <w:rPr>
          <w:lang w:val="en-US"/>
        </w:rPr>
      </w:pPr>
      <w:r>
        <w:rPr>
          <w:lang w:val="en-US"/>
        </w:rPr>
        <w:t>END CALCULATION – OUTPUT PARAMETERS / risk assessment</w:t>
      </w:r>
    </w:p>
    <w:p w14:paraId="099A6ABA" w14:textId="77777777" w:rsidR="00DC4AD8" w:rsidRDefault="00DC4AD8" w:rsidP="00DC4AD8">
      <w:pPr>
        <w:rPr>
          <w:lang w:val="en-US"/>
        </w:rPr>
      </w:pPr>
    </w:p>
    <w:tbl>
      <w:tblPr>
        <w:tblW w:w="9332" w:type="dxa"/>
        <w:tblInd w:w="55" w:type="dxa"/>
        <w:tblCellMar>
          <w:left w:w="70" w:type="dxa"/>
          <w:right w:w="70" w:type="dxa"/>
        </w:tblCellMar>
        <w:tblLook w:val="04A0" w:firstRow="1" w:lastRow="0" w:firstColumn="1" w:lastColumn="0" w:noHBand="0" w:noVBand="1"/>
      </w:tblPr>
      <w:tblGrid>
        <w:gridCol w:w="2294"/>
        <w:gridCol w:w="1421"/>
        <w:gridCol w:w="1358"/>
        <w:gridCol w:w="1200"/>
        <w:gridCol w:w="1103"/>
        <w:gridCol w:w="1956"/>
      </w:tblGrid>
      <w:tr w:rsidR="00DC4AD8" w:rsidRPr="006B204E" w14:paraId="03BBDB92" w14:textId="77777777" w:rsidTr="00DC4AD8">
        <w:trPr>
          <w:trHeight w:val="564"/>
        </w:trPr>
        <w:tc>
          <w:tcPr>
            <w:tcW w:w="28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FD17AC" w14:textId="77777777" w:rsidR="00DC4AD8" w:rsidRPr="006B204E" w:rsidRDefault="00DC4AD8" w:rsidP="00DC4AD8">
            <w:pPr>
              <w:rPr>
                <w:color w:val="000000"/>
                <w:lang w:val="en-US" w:eastAsia="fr-FR"/>
              </w:rPr>
            </w:pPr>
            <w:r w:rsidRPr="006B204E">
              <w:rPr>
                <w:color w:val="000000"/>
                <w:lang w:val="en-US" w:eastAsia="fr-FR"/>
              </w:rPr>
              <w:t>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14:paraId="1F81DA82" w14:textId="77777777" w:rsidR="00DC4AD8" w:rsidRPr="006B204E" w:rsidRDefault="00DC4AD8" w:rsidP="00DC4AD8">
            <w:pPr>
              <w:rPr>
                <w:color w:val="000000"/>
                <w:lang w:val="en-US" w:eastAsia="fr-FR"/>
              </w:rPr>
            </w:pPr>
            <w:r w:rsidRPr="006B204E">
              <w:rPr>
                <w:color w:val="000000"/>
                <w:lang w:val="en-US" w:eastAsia="fr-FR"/>
              </w:rPr>
              <w:t> </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53A86978" w14:textId="77777777" w:rsidR="00DC4AD8" w:rsidRPr="006B204E" w:rsidRDefault="00DC4AD8" w:rsidP="00DC4AD8">
            <w:pPr>
              <w:rPr>
                <w:color w:val="000000"/>
                <w:lang w:eastAsia="fr-FR"/>
              </w:rPr>
            </w:pPr>
            <w:r w:rsidRPr="006B204E">
              <w:rPr>
                <w:color w:val="000000"/>
                <w:lang w:eastAsia="fr-FR"/>
              </w:rPr>
              <w:t>PEC</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7EE2FBEE" w14:textId="77777777" w:rsidR="00DC4AD8" w:rsidRPr="006B204E" w:rsidRDefault="00DC4AD8" w:rsidP="00DC4AD8">
            <w:pPr>
              <w:rPr>
                <w:color w:val="000000"/>
                <w:lang w:eastAsia="fr-FR"/>
              </w:rPr>
            </w:pPr>
            <w:r w:rsidRPr="006B204E">
              <w:rPr>
                <w:color w:val="000000"/>
                <w:lang w:eastAsia="fr-FR"/>
              </w:rPr>
              <w:t>unit</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14:paraId="64E7C368" w14:textId="77777777" w:rsidR="00DC4AD8" w:rsidRPr="006B204E" w:rsidRDefault="00DC4AD8" w:rsidP="00DC4AD8">
            <w:pPr>
              <w:rPr>
                <w:color w:val="000000"/>
                <w:lang w:eastAsia="fr-FR"/>
              </w:rPr>
            </w:pPr>
            <w:r w:rsidRPr="006B204E">
              <w:rPr>
                <w:color w:val="000000"/>
                <w:lang w:eastAsia="fr-FR"/>
              </w:rPr>
              <w:t>PNEC used</w:t>
            </w:r>
          </w:p>
        </w:tc>
        <w:tc>
          <w:tcPr>
            <w:tcW w:w="1956" w:type="dxa"/>
            <w:tcBorders>
              <w:top w:val="single" w:sz="4" w:space="0" w:color="auto"/>
              <w:left w:val="nil"/>
              <w:bottom w:val="single" w:sz="4" w:space="0" w:color="auto"/>
              <w:right w:val="single" w:sz="4" w:space="0" w:color="auto"/>
            </w:tcBorders>
            <w:shd w:val="clear" w:color="auto" w:fill="auto"/>
            <w:vAlign w:val="bottom"/>
            <w:hideMark/>
          </w:tcPr>
          <w:p w14:paraId="2A4066FE" w14:textId="77777777" w:rsidR="00DC4AD8" w:rsidRPr="006B204E" w:rsidRDefault="00DC4AD8" w:rsidP="00DC4AD8">
            <w:pPr>
              <w:rPr>
                <w:color w:val="000000"/>
                <w:lang w:eastAsia="fr-FR"/>
              </w:rPr>
            </w:pPr>
            <w:r w:rsidRPr="006B204E">
              <w:rPr>
                <w:color w:val="000000"/>
                <w:lang w:eastAsia="fr-FR"/>
              </w:rPr>
              <w:t>RCR</w:t>
            </w:r>
            <w:r>
              <w:rPr>
                <w:color w:val="000000"/>
                <w:lang w:eastAsia="fr-FR"/>
              </w:rPr>
              <w:t xml:space="preserve"> = PEC/PNEC</w:t>
            </w:r>
          </w:p>
        </w:tc>
      </w:tr>
      <w:tr w:rsidR="00DC4AD8" w:rsidRPr="006B204E" w14:paraId="636D45B0" w14:textId="77777777" w:rsidTr="00DC4AD8">
        <w:trPr>
          <w:trHeight w:val="861"/>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58E3137B" w14:textId="77777777" w:rsidR="00DC4AD8" w:rsidRPr="006B204E" w:rsidRDefault="00DC4AD8" w:rsidP="00DC4AD8">
            <w:pPr>
              <w:rPr>
                <w:color w:val="000000"/>
                <w:lang w:val="en-US" w:eastAsia="fr-FR"/>
              </w:rPr>
            </w:pPr>
            <w:r w:rsidRPr="006B204E">
              <w:rPr>
                <w:color w:val="000000"/>
                <w:lang w:val="en-US" w:eastAsia="fr-FR"/>
              </w:rPr>
              <w:t>Concentration of the biocide AI in soil in the case of an immission standard for nitrogen and land application on grassland</w:t>
            </w:r>
          </w:p>
        </w:tc>
        <w:tc>
          <w:tcPr>
            <w:tcW w:w="1425" w:type="dxa"/>
            <w:tcBorders>
              <w:top w:val="nil"/>
              <w:left w:val="nil"/>
              <w:bottom w:val="single" w:sz="4" w:space="0" w:color="auto"/>
              <w:right w:val="single" w:sz="4" w:space="0" w:color="auto"/>
            </w:tcBorders>
            <w:shd w:val="clear" w:color="auto" w:fill="auto"/>
            <w:vAlign w:val="bottom"/>
            <w:hideMark/>
          </w:tcPr>
          <w:p w14:paraId="1A6F2C4E" w14:textId="77777777" w:rsidR="00DC4AD8" w:rsidRPr="006B204E" w:rsidRDefault="00DC4AD8" w:rsidP="00DC4AD8">
            <w:pPr>
              <w:rPr>
                <w:color w:val="000000"/>
                <w:lang w:eastAsia="fr-FR"/>
              </w:rPr>
            </w:pPr>
            <w:r w:rsidRPr="006B204E">
              <w:rPr>
                <w:color w:val="000000"/>
                <w:lang w:eastAsia="fr-FR"/>
              </w:rPr>
              <w:t>PIECgrs-N</w:t>
            </w:r>
          </w:p>
        </w:tc>
        <w:tc>
          <w:tcPr>
            <w:tcW w:w="1126" w:type="dxa"/>
            <w:tcBorders>
              <w:top w:val="nil"/>
              <w:left w:val="nil"/>
              <w:bottom w:val="single" w:sz="4" w:space="0" w:color="auto"/>
              <w:right w:val="single" w:sz="4" w:space="0" w:color="auto"/>
            </w:tcBorders>
            <w:shd w:val="clear" w:color="auto" w:fill="auto"/>
            <w:vAlign w:val="bottom"/>
            <w:hideMark/>
          </w:tcPr>
          <w:p w14:paraId="36035EEA" w14:textId="77777777" w:rsidR="00DC4AD8" w:rsidRPr="006B204E" w:rsidRDefault="00DC4AD8" w:rsidP="00DC4AD8">
            <w:pPr>
              <w:jc w:val="right"/>
              <w:rPr>
                <w:color w:val="000000"/>
                <w:lang w:eastAsia="fr-FR"/>
              </w:rPr>
            </w:pPr>
            <w:r w:rsidRPr="006B204E">
              <w:rPr>
                <w:color w:val="000000"/>
                <w:lang w:eastAsia="fr-FR"/>
              </w:rPr>
              <w:t>0,00214813</w:t>
            </w:r>
          </w:p>
        </w:tc>
        <w:tc>
          <w:tcPr>
            <w:tcW w:w="1030" w:type="dxa"/>
            <w:tcBorders>
              <w:top w:val="nil"/>
              <w:left w:val="nil"/>
              <w:bottom w:val="single" w:sz="4" w:space="0" w:color="auto"/>
              <w:right w:val="single" w:sz="4" w:space="0" w:color="auto"/>
            </w:tcBorders>
            <w:shd w:val="clear" w:color="auto" w:fill="auto"/>
            <w:vAlign w:val="bottom"/>
            <w:hideMark/>
          </w:tcPr>
          <w:p w14:paraId="3A5D01C9" w14:textId="77777777" w:rsidR="00DC4AD8" w:rsidRPr="006B204E" w:rsidRDefault="00DC4AD8" w:rsidP="00DC4AD8">
            <w:pPr>
              <w:rPr>
                <w:color w:val="000000"/>
                <w:lang w:eastAsia="fr-FR"/>
              </w:rPr>
            </w:pPr>
            <w:r w:rsidRPr="006B204E">
              <w:rPr>
                <w:color w:val="000000"/>
                <w:lang w:eastAsia="fr-FR"/>
              </w:rPr>
              <w:t xml:space="preserve"> mg/kgwwt</w:t>
            </w:r>
          </w:p>
        </w:tc>
        <w:tc>
          <w:tcPr>
            <w:tcW w:w="942" w:type="dxa"/>
            <w:tcBorders>
              <w:top w:val="nil"/>
              <w:left w:val="nil"/>
              <w:bottom w:val="single" w:sz="4" w:space="0" w:color="auto"/>
              <w:right w:val="single" w:sz="4" w:space="0" w:color="auto"/>
            </w:tcBorders>
            <w:shd w:val="clear" w:color="auto" w:fill="auto"/>
            <w:vAlign w:val="center"/>
            <w:hideMark/>
          </w:tcPr>
          <w:p w14:paraId="1D1A6080" w14:textId="77777777" w:rsidR="00DC4AD8" w:rsidRDefault="00DC4AD8" w:rsidP="00DC4AD8">
            <w:pPr>
              <w:jc w:val="right"/>
              <w:rPr>
                <w:lang w:val="en-US" w:eastAsia="fr-FR"/>
              </w:rPr>
            </w:pPr>
            <w:r w:rsidRPr="006B204E">
              <w:rPr>
                <w:lang w:val="en-US" w:eastAsia="fr-FR"/>
              </w:rPr>
              <w:t>0,0043</w:t>
            </w:r>
          </w:p>
          <w:p w14:paraId="17F4D83B" w14:textId="77777777" w:rsidR="00DC4AD8" w:rsidRPr="006B204E" w:rsidRDefault="00DC4AD8" w:rsidP="00DC4AD8">
            <w:pPr>
              <w:jc w:val="right"/>
              <w:rPr>
                <w:lang w:eastAsia="fr-FR"/>
              </w:rPr>
            </w:pPr>
          </w:p>
        </w:tc>
        <w:tc>
          <w:tcPr>
            <w:tcW w:w="1956" w:type="dxa"/>
            <w:tcBorders>
              <w:top w:val="nil"/>
              <w:left w:val="nil"/>
              <w:bottom w:val="single" w:sz="4" w:space="0" w:color="auto"/>
              <w:right w:val="single" w:sz="4" w:space="0" w:color="auto"/>
            </w:tcBorders>
            <w:shd w:val="clear" w:color="auto" w:fill="auto"/>
            <w:noWrap/>
            <w:vAlign w:val="bottom"/>
            <w:hideMark/>
          </w:tcPr>
          <w:p w14:paraId="27181F16" w14:textId="77777777" w:rsidR="00DC4AD8" w:rsidRPr="006B204E" w:rsidRDefault="00DC4AD8" w:rsidP="00DC4AD8">
            <w:pPr>
              <w:jc w:val="right"/>
              <w:rPr>
                <w:color w:val="000000"/>
                <w:lang w:eastAsia="fr-FR"/>
              </w:rPr>
            </w:pPr>
            <w:r w:rsidRPr="006B204E">
              <w:rPr>
                <w:color w:val="000000"/>
                <w:lang w:eastAsia="fr-FR"/>
              </w:rPr>
              <w:t>0,</w:t>
            </w:r>
            <w:r>
              <w:rPr>
                <w:color w:val="000000"/>
                <w:lang w:eastAsia="fr-FR"/>
              </w:rPr>
              <w:t>5</w:t>
            </w:r>
          </w:p>
        </w:tc>
      </w:tr>
      <w:tr w:rsidR="00DC4AD8" w:rsidRPr="006B204E" w14:paraId="490BB4F1" w14:textId="77777777" w:rsidTr="00DC4AD8">
        <w:trPr>
          <w:trHeight w:val="861"/>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721761B4" w14:textId="77777777" w:rsidR="00DC4AD8" w:rsidRPr="006B204E" w:rsidRDefault="00DC4AD8" w:rsidP="00DC4AD8">
            <w:pPr>
              <w:rPr>
                <w:color w:val="000000"/>
                <w:lang w:val="en-US" w:eastAsia="fr-FR"/>
              </w:rPr>
            </w:pPr>
            <w:r w:rsidRPr="006B204E">
              <w:rPr>
                <w:color w:val="000000"/>
                <w:lang w:val="en-US" w:eastAsia="fr-FR"/>
              </w:rPr>
              <w:t>Concentration of the biocide AI in soil in the case of an immission standard for nitrogen and land application on arable land</w:t>
            </w:r>
          </w:p>
        </w:tc>
        <w:tc>
          <w:tcPr>
            <w:tcW w:w="1425" w:type="dxa"/>
            <w:tcBorders>
              <w:top w:val="nil"/>
              <w:left w:val="nil"/>
              <w:bottom w:val="single" w:sz="4" w:space="0" w:color="auto"/>
              <w:right w:val="single" w:sz="4" w:space="0" w:color="auto"/>
            </w:tcBorders>
            <w:shd w:val="clear" w:color="auto" w:fill="auto"/>
            <w:vAlign w:val="bottom"/>
            <w:hideMark/>
          </w:tcPr>
          <w:p w14:paraId="060C1E65" w14:textId="77777777" w:rsidR="00DC4AD8" w:rsidRPr="006B204E" w:rsidRDefault="00DC4AD8" w:rsidP="00DC4AD8">
            <w:pPr>
              <w:rPr>
                <w:color w:val="000000"/>
                <w:lang w:eastAsia="fr-FR"/>
              </w:rPr>
            </w:pPr>
            <w:r w:rsidRPr="006B204E">
              <w:rPr>
                <w:color w:val="000000"/>
                <w:lang w:eastAsia="fr-FR"/>
              </w:rPr>
              <w:t>PIECars-N</w:t>
            </w:r>
          </w:p>
        </w:tc>
        <w:tc>
          <w:tcPr>
            <w:tcW w:w="1126" w:type="dxa"/>
            <w:tcBorders>
              <w:top w:val="nil"/>
              <w:left w:val="nil"/>
              <w:bottom w:val="single" w:sz="4" w:space="0" w:color="auto"/>
              <w:right w:val="single" w:sz="4" w:space="0" w:color="auto"/>
            </w:tcBorders>
            <w:shd w:val="clear" w:color="auto" w:fill="auto"/>
            <w:vAlign w:val="bottom"/>
            <w:hideMark/>
          </w:tcPr>
          <w:p w14:paraId="19F6C0AA" w14:textId="77777777" w:rsidR="00DC4AD8" w:rsidRPr="006B204E" w:rsidRDefault="00DC4AD8" w:rsidP="00DC4AD8">
            <w:pPr>
              <w:jc w:val="right"/>
              <w:rPr>
                <w:color w:val="000000"/>
                <w:lang w:eastAsia="fr-FR"/>
              </w:rPr>
            </w:pPr>
            <w:r w:rsidRPr="006B204E">
              <w:rPr>
                <w:color w:val="000000"/>
                <w:lang w:eastAsia="fr-FR"/>
              </w:rPr>
              <w:t>0,00214813</w:t>
            </w:r>
          </w:p>
        </w:tc>
        <w:tc>
          <w:tcPr>
            <w:tcW w:w="1030" w:type="dxa"/>
            <w:tcBorders>
              <w:top w:val="nil"/>
              <w:left w:val="nil"/>
              <w:bottom w:val="single" w:sz="4" w:space="0" w:color="auto"/>
              <w:right w:val="single" w:sz="4" w:space="0" w:color="auto"/>
            </w:tcBorders>
            <w:shd w:val="clear" w:color="auto" w:fill="auto"/>
            <w:vAlign w:val="bottom"/>
            <w:hideMark/>
          </w:tcPr>
          <w:p w14:paraId="2A4A0789" w14:textId="77777777" w:rsidR="00DC4AD8" w:rsidRPr="006B204E" w:rsidRDefault="00DC4AD8" w:rsidP="00DC4AD8">
            <w:pPr>
              <w:rPr>
                <w:color w:val="000000"/>
                <w:lang w:eastAsia="fr-FR"/>
              </w:rPr>
            </w:pPr>
            <w:r w:rsidRPr="006B204E">
              <w:rPr>
                <w:color w:val="000000"/>
                <w:lang w:eastAsia="fr-FR"/>
              </w:rPr>
              <w:t>mg/kgwwt</w:t>
            </w:r>
          </w:p>
        </w:tc>
        <w:tc>
          <w:tcPr>
            <w:tcW w:w="942" w:type="dxa"/>
            <w:tcBorders>
              <w:top w:val="nil"/>
              <w:left w:val="nil"/>
              <w:bottom w:val="single" w:sz="4" w:space="0" w:color="auto"/>
              <w:right w:val="single" w:sz="4" w:space="0" w:color="auto"/>
            </w:tcBorders>
            <w:shd w:val="clear" w:color="auto" w:fill="auto"/>
            <w:vAlign w:val="center"/>
            <w:hideMark/>
          </w:tcPr>
          <w:p w14:paraId="750FDB13" w14:textId="77777777" w:rsidR="00DC4AD8" w:rsidRPr="006B204E" w:rsidRDefault="00DC4AD8" w:rsidP="00DC4AD8">
            <w:pPr>
              <w:jc w:val="right"/>
              <w:rPr>
                <w:lang w:eastAsia="fr-FR"/>
              </w:rPr>
            </w:pPr>
            <w:r w:rsidRPr="006B204E">
              <w:rPr>
                <w:lang w:val="en-US" w:eastAsia="fr-FR"/>
              </w:rPr>
              <w:t>0,0043</w:t>
            </w:r>
          </w:p>
        </w:tc>
        <w:tc>
          <w:tcPr>
            <w:tcW w:w="1956" w:type="dxa"/>
            <w:tcBorders>
              <w:top w:val="nil"/>
              <w:left w:val="nil"/>
              <w:bottom w:val="single" w:sz="4" w:space="0" w:color="auto"/>
              <w:right w:val="single" w:sz="4" w:space="0" w:color="auto"/>
            </w:tcBorders>
            <w:shd w:val="clear" w:color="auto" w:fill="auto"/>
            <w:noWrap/>
            <w:vAlign w:val="bottom"/>
            <w:hideMark/>
          </w:tcPr>
          <w:p w14:paraId="7C544C9A" w14:textId="77777777" w:rsidR="00DC4AD8" w:rsidRPr="006B204E" w:rsidRDefault="00DC4AD8" w:rsidP="00DC4AD8">
            <w:pPr>
              <w:jc w:val="right"/>
              <w:rPr>
                <w:color w:val="000000"/>
                <w:lang w:eastAsia="fr-FR"/>
              </w:rPr>
            </w:pPr>
            <w:r w:rsidRPr="006B204E">
              <w:rPr>
                <w:color w:val="000000"/>
                <w:lang w:eastAsia="fr-FR"/>
              </w:rPr>
              <w:t>0,</w:t>
            </w:r>
            <w:r>
              <w:rPr>
                <w:color w:val="000000"/>
                <w:lang w:eastAsia="fr-FR"/>
              </w:rPr>
              <w:t>5</w:t>
            </w:r>
          </w:p>
        </w:tc>
      </w:tr>
      <w:tr w:rsidR="00DC4AD8" w:rsidRPr="006B204E" w14:paraId="5B4155C1" w14:textId="77777777" w:rsidTr="00DC4AD8">
        <w:trPr>
          <w:trHeight w:val="579"/>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61296B46" w14:textId="77777777" w:rsidR="00DC4AD8" w:rsidRPr="006B204E" w:rsidRDefault="00DC4AD8" w:rsidP="00DC4AD8">
            <w:pPr>
              <w:rPr>
                <w:color w:val="000000"/>
                <w:lang w:val="en-US" w:eastAsia="fr-FR"/>
              </w:rPr>
            </w:pPr>
            <w:r w:rsidRPr="006B204E">
              <w:rPr>
                <w:color w:val="000000"/>
                <w:lang w:val="en-US" w:eastAsia="fr-FR"/>
              </w:rPr>
              <w:t>concentration of substance in the STP effluent</w:t>
            </w:r>
          </w:p>
        </w:tc>
        <w:tc>
          <w:tcPr>
            <w:tcW w:w="1425" w:type="dxa"/>
            <w:tcBorders>
              <w:top w:val="nil"/>
              <w:left w:val="nil"/>
              <w:bottom w:val="single" w:sz="4" w:space="0" w:color="auto"/>
              <w:right w:val="single" w:sz="4" w:space="0" w:color="auto"/>
            </w:tcBorders>
            <w:shd w:val="clear" w:color="auto" w:fill="auto"/>
            <w:vAlign w:val="bottom"/>
            <w:hideMark/>
          </w:tcPr>
          <w:p w14:paraId="0D054196" w14:textId="77777777" w:rsidR="00DC4AD8" w:rsidRPr="006B204E" w:rsidRDefault="00DC4AD8" w:rsidP="00DC4AD8">
            <w:pPr>
              <w:rPr>
                <w:color w:val="000000"/>
                <w:lang w:eastAsia="fr-FR"/>
              </w:rPr>
            </w:pPr>
            <w:r w:rsidRPr="006B204E">
              <w:rPr>
                <w:color w:val="000000"/>
                <w:lang w:eastAsia="fr-FR"/>
              </w:rPr>
              <w:t>Clocal eff /PEC stp</w:t>
            </w:r>
          </w:p>
        </w:tc>
        <w:tc>
          <w:tcPr>
            <w:tcW w:w="1126" w:type="dxa"/>
            <w:tcBorders>
              <w:top w:val="nil"/>
              <w:left w:val="nil"/>
              <w:bottom w:val="single" w:sz="4" w:space="0" w:color="auto"/>
              <w:right w:val="single" w:sz="4" w:space="0" w:color="auto"/>
            </w:tcBorders>
            <w:shd w:val="clear" w:color="auto" w:fill="auto"/>
            <w:vAlign w:val="bottom"/>
            <w:hideMark/>
          </w:tcPr>
          <w:p w14:paraId="1DB1D336" w14:textId="77777777" w:rsidR="00DC4AD8" w:rsidRPr="006B204E" w:rsidRDefault="00DC4AD8" w:rsidP="00DC4AD8">
            <w:pPr>
              <w:jc w:val="right"/>
              <w:rPr>
                <w:color w:val="000000"/>
                <w:lang w:eastAsia="fr-FR"/>
              </w:rPr>
            </w:pPr>
            <w:r w:rsidRPr="006B204E">
              <w:rPr>
                <w:color w:val="000000"/>
                <w:lang w:eastAsia="fr-FR"/>
              </w:rPr>
              <w:t>0,00095737</w:t>
            </w:r>
          </w:p>
        </w:tc>
        <w:tc>
          <w:tcPr>
            <w:tcW w:w="1030" w:type="dxa"/>
            <w:tcBorders>
              <w:top w:val="nil"/>
              <w:left w:val="nil"/>
              <w:bottom w:val="single" w:sz="4" w:space="0" w:color="auto"/>
              <w:right w:val="single" w:sz="4" w:space="0" w:color="auto"/>
            </w:tcBorders>
            <w:shd w:val="clear" w:color="auto" w:fill="auto"/>
            <w:vAlign w:val="bottom"/>
            <w:hideMark/>
          </w:tcPr>
          <w:p w14:paraId="4A008F8A" w14:textId="77777777" w:rsidR="00DC4AD8" w:rsidRPr="006B204E" w:rsidRDefault="00DC4AD8" w:rsidP="00DC4AD8">
            <w:pPr>
              <w:rPr>
                <w:color w:val="000000"/>
                <w:lang w:eastAsia="fr-FR"/>
              </w:rPr>
            </w:pPr>
            <w:r w:rsidRPr="006B204E">
              <w:rPr>
                <w:color w:val="000000"/>
                <w:lang w:eastAsia="fr-FR"/>
              </w:rPr>
              <w:t>mg/L</w:t>
            </w:r>
          </w:p>
        </w:tc>
        <w:tc>
          <w:tcPr>
            <w:tcW w:w="942" w:type="dxa"/>
            <w:tcBorders>
              <w:top w:val="nil"/>
              <w:left w:val="nil"/>
              <w:bottom w:val="single" w:sz="4" w:space="0" w:color="auto"/>
              <w:right w:val="single" w:sz="4" w:space="0" w:color="auto"/>
            </w:tcBorders>
            <w:shd w:val="clear" w:color="auto" w:fill="auto"/>
            <w:vAlign w:val="center"/>
            <w:hideMark/>
          </w:tcPr>
          <w:p w14:paraId="128F8192" w14:textId="77777777" w:rsidR="00DC4AD8" w:rsidRPr="006B204E" w:rsidRDefault="00DC4AD8" w:rsidP="00DC4AD8">
            <w:pPr>
              <w:jc w:val="right"/>
              <w:rPr>
                <w:lang w:eastAsia="fr-FR"/>
              </w:rPr>
            </w:pPr>
            <w:r w:rsidRPr="006B204E">
              <w:rPr>
                <w:lang w:eastAsia="fr-FR"/>
              </w:rPr>
              <w:t>2,9</w:t>
            </w:r>
          </w:p>
        </w:tc>
        <w:tc>
          <w:tcPr>
            <w:tcW w:w="1956" w:type="dxa"/>
            <w:tcBorders>
              <w:top w:val="nil"/>
              <w:left w:val="nil"/>
              <w:bottom w:val="single" w:sz="4" w:space="0" w:color="auto"/>
              <w:right w:val="single" w:sz="4" w:space="0" w:color="auto"/>
            </w:tcBorders>
            <w:shd w:val="clear" w:color="auto" w:fill="auto"/>
            <w:noWrap/>
            <w:vAlign w:val="bottom"/>
            <w:hideMark/>
          </w:tcPr>
          <w:p w14:paraId="266A68C0" w14:textId="77777777" w:rsidR="00DC4AD8" w:rsidRPr="006B204E" w:rsidRDefault="00DC4AD8" w:rsidP="00DC4AD8">
            <w:pPr>
              <w:jc w:val="right"/>
              <w:rPr>
                <w:color w:val="000000"/>
                <w:lang w:eastAsia="fr-FR"/>
              </w:rPr>
            </w:pPr>
            <w:r w:rsidRPr="006B204E">
              <w:rPr>
                <w:color w:val="000000"/>
                <w:lang w:eastAsia="fr-FR"/>
              </w:rPr>
              <w:t>0,0003</w:t>
            </w:r>
          </w:p>
        </w:tc>
      </w:tr>
      <w:tr w:rsidR="00DC4AD8" w:rsidRPr="006B204E" w14:paraId="411FA9AA" w14:textId="77777777" w:rsidTr="00DC4AD8">
        <w:trPr>
          <w:trHeight w:val="861"/>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7483BC4E" w14:textId="77777777" w:rsidR="00DC4AD8" w:rsidRPr="006B204E" w:rsidRDefault="00DC4AD8" w:rsidP="00DC4AD8">
            <w:pPr>
              <w:rPr>
                <w:color w:val="000000"/>
                <w:lang w:val="en-US" w:eastAsia="fr-FR"/>
              </w:rPr>
            </w:pPr>
            <w:r w:rsidRPr="006B204E">
              <w:rPr>
                <w:color w:val="000000"/>
                <w:lang w:val="en-US" w:eastAsia="fr-FR"/>
              </w:rPr>
              <w:t>local concentration in surface water during release episode from STP</w:t>
            </w:r>
          </w:p>
        </w:tc>
        <w:tc>
          <w:tcPr>
            <w:tcW w:w="1425" w:type="dxa"/>
            <w:tcBorders>
              <w:top w:val="nil"/>
              <w:left w:val="nil"/>
              <w:bottom w:val="single" w:sz="4" w:space="0" w:color="auto"/>
              <w:right w:val="single" w:sz="4" w:space="0" w:color="auto"/>
            </w:tcBorders>
            <w:shd w:val="clear" w:color="auto" w:fill="auto"/>
            <w:vAlign w:val="bottom"/>
            <w:hideMark/>
          </w:tcPr>
          <w:p w14:paraId="7CDBEB74" w14:textId="77777777" w:rsidR="00DC4AD8" w:rsidRPr="006B204E" w:rsidRDefault="00DC4AD8" w:rsidP="00DC4AD8">
            <w:pPr>
              <w:rPr>
                <w:color w:val="000000"/>
                <w:lang w:val="en-US" w:eastAsia="fr-FR"/>
              </w:rPr>
            </w:pPr>
            <w:r w:rsidRPr="006B204E">
              <w:rPr>
                <w:color w:val="000000"/>
                <w:lang w:val="en-US" w:eastAsia="fr-FR"/>
              </w:rPr>
              <w:t>Clocal water = PEC local water</w:t>
            </w:r>
          </w:p>
        </w:tc>
        <w:tc>
          <w:tcPr>
            <w:tcW w:w="1126" w:type="dxa"/>
            <w:tcBorders>
              <w:top w:val="nil"/>
              <w:left w:val="nil"/>
              <w:bottom w:val="single" w:sz="4" w:space="0" w:color="auto"/>
              <w:right w:val="single" w:sz="4" w:space="0" w:color="auto"/>
            </w:tcBorders>
            <w:shd w:val="clear" w:color="auto" w:fill="auto"/>
            <w:vAlign w:val="bottom"/>
            <w:hideMark/>
          </w:tcPr>
          <w:p w14:paraId="1BE4A95E" w14:textId="77777777" w:rsidR="00DC4AD8" w:rsidRPr="006B204E" w:rsidRDefault="00DC4AD8" w:rsidP="00DC4AD8">
            <w:pPr>
              <w:jc w:val="right"/>
              <w:rPr>
                <w:color w:val="000000"/>
                <w:lang w:eastAsia="fr-FR"/>
              </w:rPr>
            </w:pPr>
            <w:r w:rsidRPr="006B204E">
              <w:rPr>
                <w:color w:val="000000"/>
                <w:lang w:eastAsia="fr-FR"/>
              </w:rPr>
              <w:t>9,5422E-05</w:t>
            </w:r>
          </w:p>
        </w:tc>
        <w:tc>
          <w:tcPr>
            <w:tcW w:w="1030" w:type="dxa"/>
            <w:tcBorders>
              <w:top w:val="nil"/>
              <w:left w:val="nil"/>
              <w:bottom w:val="single" w:sz="4" w:space="0" w:color="auto"/>
              <w:right w:val="single" w:sz="4" w:space="0" w:color="auto"/>
            </w:tcBorders>
            <w:shd w:val="clear" w:color="auto" w:fill="auto"/>
            <w:vAlign w:val="bottom"/>
            <w:hideMark/>
          </w:tcPr>
          <w:p w14:paraId="2E42481A" w14:textId="77777777" w:rsidR="00DC4AD8" w:rsidRPr="006B204E" w:rsidRDefault="00DC4AD8" w:rsidP="00DC4AD8">
            <w:pPr>
              <w:rPr>
                <w:color w:val="000000"/>
                <w:lang w:eastAsia="fr-FR"/>
              </w:rPr>
            </w:pPr>
            <w:r w:rsidRPr="006B204E">
              <w:rPr>
                <w:color w:val="000000"/>
                <w:lang w:eastAsia="fr-FR"/>
              </w:rPr>
              <w:t>mg/L</w:t>
            </w:r>
          </w:p>
        </w:tc>
        <w:tc>
          <w:tcPr>
            <w:tcW w:w="942" w:type="dxa"/>
            <w:tcBorders>
              <w:top w:val="nil"/>
              <w:left w:val="nil"/>
              <w:bottom w:val="single" w:sz="4" w:space="0" w:color="auto"/>
              <w:right w:val="single" w:sz="4" w:space="0" w:color="auto"/>
            </w:tcBorders>
            <w:shd w:val="clear" w:color="auto" w:fill="auto"/>
            <w:vAlign w:val="center"/>
            <w:hideMark/>
          </w:tcPr>
          <w:p w14:paraId="3FD4D5D4" w14:textId="77777777" w:rsidR="00DC4AD8" w:rsidRPr="006B204E" w:rsidRDefault="00DC4AD8" w:rsidP="00DC4AD8">
            <w:pPr>
              <w:jc w:val="right"/>
              <w:rPr>
                <w:lang w:eastAsia="fr-FR"/>
              </w:rPr>
            </w:pPr>
            <w:r w:rsidRPr="006B204E">
              <w:rPr>
                <w:lang w:val="en-US" w:eastAsia="fr-FR"/>
              </w:rPr>
              <w:t>0,00059</w:t>
            </w:r>
          </w:p>
        </w:tc>
        <w:tc>
          <w:tcPr>
            <w:tcW w:w="1956" w:type="dxa"/>
            <w:tcBorders>
              <w:top w:val="nil"/>
              <w:left w:val="nil"/>
              <w:bottom w:val="single" w:sz="4" w:space="0" w:color="auto"/>
              <w:right w:val="single" w:sz="4" w:space="0" w:color="auto"/>
            </w:tcBorders>
            <w:shd w:val="clear" w:color="auto" w:fill="auto"/>
            <w:noWrap/>
            <w:vAlign w:val="bottom"/>
            <w:hideMark/>
          </w:tcPr>
          <w:p w14:paraId="631BEB53" w14:textId="77777777" w:rsidR="00DC4AD8" w:rsidRPr="006B204E" w:rsidRDefault="00DC4AD8" w:rsidP="00DC4AD8">
            <w:pPr>
              <w:jc w:val="right"/>
              <w:rPr>
                <w:color w:val="000000"/>
                <w:lang w:eastAsia="fr-FR"/>
              </w:rPr>
            </w:pPr>
            <w:r w:rsidRPr="006B204E">
              <w:rPr>
                <w:color w:val="000000"/>
                <w:lang w:eastAsia="fr-FR"/>
              </w:rPr>
              <w:t>0,</w:t>
            </w:r>
            <w:r>
              <w:rPr>
                <w:color w:val="000000"/>
                <w:lang w:eastAsia="fr-FR"/>
              </w:rPr>
              <w:t>2</w:t>
            </w:r>
          </w:p>
        </w:tc>
      </w:tr>
      <w:tr w:rsidR="00DC4AD8" w:rsidRPr="006B204E" w14:paraId="547E2F49" w14:textId="77777777" w:rsidTr="00DC4AD8">
        <w:trPr>
          <w:trHeight w:val="579"/>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76BCC8C7" w14:textId="77777777" w:rsidR="00DC4AD8" w:rsidRPr="006B204E" w:rsidRDefault="00DC4AD8" w:rsidP="00DC4AD8">
            <w:pPr>
              <w:rPr>
                <w:color w:val="000000"/>
                <w:lang w:val="en-US" w:eastAsia="fr-FR"/>
              </w:rPr>
            </w:pPr>
            <w:r w:rsidRPr="006B204E">
              <w:rPr>
                <w:color w:val="000000"/>
                <w:lang w:val="en-US" w:eastAsia="fr-FR"/>
              </w:rPr>
              <w:t>predicted environmental concentration in sediment freshwater</w:t>
            </w:r>
          </w:p>
        </w:tc>
        <w:tc>
          <w:tcPr>
            <w:tcW w:w="1425" w:type="dxa"/>
            <w:tcBorders>
              <w:top w:val="nil"/>
              <w:left w:val="nil"/>
              <w:bottom w:val="single" w:sz="4" w:space="0" w:color="auto"/>
              <w:right w:val="single" w:sz="4" w:space="0" w:color="auto"/>
            </w:tcBorders>
            <w:shd w:val="clear" w:color="auto" w:fill="auto"/>
            <w:vAlign w:val="bottom"/>
            <w:hideMark/>
          </w:tcPr>
          <w:p w14:paraId="436F7B52" w14:textId="77777777" w:rsidR="00DC4AD8" w:rsidRPr="006B204E" w:rsidRDefault="00DC4AD8" w:rsidP="00DC4AD8">
            <w:pPr>
              <w:rPr>
                <w:color w:val="000000"/>
                <w:lang w:eastAsia="fr-FR"/>
              </w:rPr>
            </w:pPr>
            <w:r w:rsidRPr="006B204E">
              <w:rPr>
                <w:color w:val="000000"/>
                <w:lang w:eastAsia="fr-FR"/>
              </w:rPr>
              <w:t>PEClocalsed</w:t>
            </w:r>
          </w:p>
        </w:tc>
        <w:tc>
          <w:tcPr>
            <w:tcW w:w="1126" w:type="dxa"/>
            <w:tcBorders>
              <w:top w:val="nil"/>
              <w:left w:val="nil"/>
              <w:bottom w:val="single" w:sz="4" w:space="0" w:color="auto"/>
              <w:right w:val="single" w:sz="4" w:space="0" w:color="auto"/>
            </w:tcBorders>
            <w:shd w:val="clear" w:color="auto" w:fill="auto"/>
            <w:vAlign w:val="bottom"/>
            <w:hideMark/>
          </w:tcPr>
          <w:p w14:paraId="26DACA8A" w14:textId="77777777" w:rsidR="00DC4AD8" w:rsidRPr="006B204E" w:rsidRDefault="00DC4AD8" w:rsidP="00DC4AD8">
            <w:pPr>
              <w:jc w:val="right"/>
              <w:rPr>
                <w:color w:val="000000"/>
                <w:lang w:eastAsia="fr-FR"/>
              </w:rPr>
            </w:pPr>
            <w:r w:rsidRPr="006B204E">
              <w:rPr>
                <w:color w:val="000000"/>
                <w:lang w:eastAsia="fr-FR"/>
              </w:rPr>
              <w:t>0,04571133</w:t>
            </w:r>
          </w:p>
        </w:tc>
        <w:tc>
          <w:tcPr>
            <w:tcW w:w="1030" w:type="dxa"/>
            <w:tcBorders>
              <w:top w:val="nil"/>
              <w:left w:val="nil"/>
              <w:bottom w:val="single" w:sz="4" w:space="0" w:color="auto"/>
              <w:right w:val="single" w:sz="4" w:space="0" w:color="auto"/>
            </w:tcBorders>
            <w:shd w:val="clear" w:color="auto" w:fill="auto"/>
            <w:vAlign w:val="bottom"/>
            <w:hideMark/>
          </w:tcPr>
          <w:p w14:paraId="3298CA21" w14:textId="77777777" w:rsidR="00DC4AD8" w:rsidRPr="006B204E" w:rsidRDefault="00DC4AD8" w:rsidP="00DC4AD8">
            <w:pPr>
              <w:rPr>
                <w:color w:val="000000"/>
                <w:lang w:eastAsia="fr-FR"/>
              </w:rPr>
            </w:pPr>
            <w:r w:rsidRPr="006B204E">
              <w:rPr>
                <w:color w:val="000000"/>
                <w:lang w:eastAsia="fr-FR"/>
              </w:rPr>
              <w:t>mg/kg</w:t>
            </w:r>
          </w:p>
        </w:tc>
        <w:tc>
          <w:tcPr>
            <w:tcW w:w="942" w:type="dxa"/>
            <w:tcBorders>
              <w:top w:val="nil"/>
              <w:left w:val="nil"/>
              <w:bottom w:val="single" w:sz="4" w:space="0" w:color="auto"/>
              <w:right w:val="single" w:sz="4" w:space="0" w:color="auto"/>
            </w:tcBorders>
            <w:shd w:val="clear" w:color="auto" w:fill="auto"/>
            <w:vAlign w:val="center"/>
            <w:hideMark/>
          </w:tcPr>
          <w:p w14:paraId="2A8F1E18" w14:textId="77777777" w:rsidR="00DC4AD8" w:rsidRPr="006B204E" w:rsidRDefault="00DC4AD8" w:rsidP="00DC4AD8">
            <w:pPr>
              <w:jc w:val="right"/>
              <w:rPr>
                <w:lang w:eastAsia="fr-FR"/>
              </w:rPr>
            </w:pPr>
            <w:r w:rsidRPr="006B204E">
              <w:rPr>
                <w:lang w:val="en-US" w:eastAsia="fr-FR"/>
              </w:rPr>
              <w:t>0,028</w:t>
            </w:r>
          </w:p>
        </w:tc>
        <w:tc>
          <w:tcPr>
            <w:tcW w:w="1956" w:type="dxa"/>
            <w:tcBorders>
              <w:top w:val="nil"/>
              <w:left w:val="nil"/>
              <w:bottom w:val="single" w:sz="4" w:space="0" w:color="auto"/>
              <w:right w:val="single" w:sz="4" w:space="0" w:color="auto"/>
            </w:tcBorders>
            <w:shd w:val="clear" w:color="auto" w:fill="auto"/>
            <w:noWrap/>
            <w:vAlign w:val="bottom"/>
            <w:hideMark/>
          </w:tcPr>
          <w:p w14:paraId="4F824AD8" w14:textId="77777777" w:rsidR="00DC4AD8" w:rsidRPr="006B204E" w:rsidRDefault="00DC4AD8" w:rsidP="00DC4AD8">
            <w:pPr>
              <w:jc w:val="right"/>
              <w:rPr>
                <w:color w:val="FF0000"/>
                <w:lang w:eastAsia="fr-FR"/>
              </w:rPr>
            </w:pPr>
            <w:r w:rsidRPr="006B204E">
              <w:rPr>
                <w:color w:val="FF0000"/>
                <w:lang w:eastAsia="fr-FR"/>
              </w:rPr>
              <w:t>1,6</w:t>
            </w:r>
          </w:p>
        </w:tc>
      </w:tr>
      <w:tr w:rsidR="00DC4AD8" w:rsidRPr="006B204E" w14:paraId="0855231F" w14:textId="77777777" w:rsidTr="00DC4AD8">
        <w:trPr>
          <w:trHeight w:val="1143"/>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07E8F62A" w14:textId="77777777" w:rsidR="00DC4AD8" w:rsidRPr="006B204E" w:rsidRDefault="00DC4AD8" w:rsidP="00DC4AD8">
            <w:pPr>
              <w:rPr>
                <w:color w:val="000000"/>
                <w:lang w:val="en-US" w:eastAsia="fr-FR"/>
              </w:rPr>
            </w:pPr>
            <w:r w:rsidRPr="006B204E">
              <w:rPr>
                <w:color w:val="000000"/>
                <w:lang w:val="en-US" w:eastAsia="fr-FR"/>
              </w:rPr>
              <w:t>local concentration in seewater during release episode</w:t>
            </w:r>
          </w:p>
        </w:tc>
        <w:tc>
          <w:tcPr>
            <w:tcW w:w="1425" w:type="dxa"/>
            <w:tcBorders>
              <w:top w:val="nil"/>
              <w:left w:val="nil"/>
              <w:bottom w:val="single" w:sz="4" w:space="0" w:color="auto"/>
              <w:right w:val="single" w:sz="4" w:space="0" w:color="auto"/>
            </w:tcBorders>
            <w:shd w:val="clear" w:color="auto" w:fill="auto"/>
            <w:vAlign w:val="bottom"/>
            <w:hideMark/>
          </w:tcPr>
          <w:p w14:paraId="0F38594A" w14:textId="77777777" w:rsidR="00DC4AD8" w:rsidRPr="006B204E" w:rsidRDefault="00DC4AD8" w:rsidP="00DC4AD8">
            <w:pPr>
              <w:rPr>
                <w:color w:val="000000"/>
                <w:lang w:val="en-US" w:eastAsia="fr-FR"/>
              </w:rPr>
            </w:pPr>
            <w:r w:rsidRPr="006B204E">
              <w:rPr>
                <w:color w:val="000000"/>
                <w:lang w:val="en-US" w:eastAsia="fr-FR"/>
              </w:rPr>
              <w:t>Clocal seawater = PEC local seawater</w:t>
            </w:r>
          </w:p>
        </w:tc>
        <w:tc>
          <w:tcPr>
            <w:tcW w:w="1126" w:type="dxa"/>
            <w:tcBorders>
              <w:top w:val="nil"/>
              <w:left w:val="nil"/>
              <w:bottom w:val="single" w:sz="4" w:space="0" w:color="auto"/>
              <w:right w:val="single" w:sz="4" w:space="0" w:color="auto"/>
            </w:tcBorders>
            <w:shd w:val="clear" w:color="auto" w:fill="auto"/>
            <w:vAlign w:val="bottom"/>
            <w:hideMark/>
          </w:tcPr>
          <w:p w14:paraId="7FC62FEA" w14:textId="77777777" w:rsidR="00DC4AD8" w:rsidRPr="006B204E" w:rsidRDefault="00DC4AD8" w:rsidP="00DC4AD8">
            <w:pPr>
              <w:jc w:val="right"/>
              <w:rPr>
                <w:color w:val="000000"/>
                <w:lang w:eastAsia="fr-FR"/>
              </w:rPr>
            </w:pPr>
            <w:r w:rsidRPr="006B204E">
              <w:rPr>
                <w:color w:val="000000"/>
                <w:lang w:eastAsia="fr-FR"/>
              </w:rPr>
              <w:t>9,5422E-06</w:t>
            </w:r>
          </w:p>
        </w:tc>
        <w:tc>
          <w:tcPr>
            <w:tcW w:w="1030" w:type="dxa"/>
            <w:tcBorders>
              <w:top w:val="nil"/>
              <w:left w:val="nil"/>
              <w:bottom w:val="single" w:sz="4" w:space="0" w:color="auto"/>
              <w:right w:val="single" w:sz="4" w:space="0" w:color="auto"/>
            </w:tcBorders>
            <w:shd w:val="clear" w:color="auto" w:fill="auto"/>
            <w:vAlign w:val="bottom"/>
            <w:hideMark/>
          </w:tcPr>
          <w:p w14:paraId="71292183" w14:textId="77777777" w:rsidR="00DC4AD8" w:rsidRPr="006B204E" w:rsidRDefault="00DC4AD8" w:rsidP="00DC4AD8">
            <w:pPr>
              <w:rPr>
                <w:color w:val="000000"/>
                <w:lang w:eastAsia="fr-FR"/>
              </w:rPr>
            </w:pPr>
            <w:r w:rsidRPr="006B204E">
              <w:rPr>
                <w:color w:val="000000"/>
                <w:lang w:eastAsia="fr-FR"/>
              </w:rPr>
              <w:t>mg/L</w:t>
            </w:r>
          </w:p>
        </w:tc>
        <w:tc>
          <w:tcPr>
            <w:tcW w:w="942" w:type="dxa"/>
            <w:tcBorders>
              <w:top w:val="nil"/>
              <w:left w:val="nil"/>
              <w:bottom w:val="single" w:sz="4" w:space="0" w:color="auto"/>
              <w:right w:val="single" w:sz="4" w:space="0" w:color="auto"/>
            </w:tcBorders>
            <w:shd w:val="clear" w:color="auto" w:fill="auto"/>
            <w:vAlign w:val="center"/>
            <w:hideMark/>
          </w:tcPr>
          <w:p w14:paraId="51F78205" w14:textId="77777777" w:rsidR="00DC4AD8" w:rsidRPr="006B204E" w:rsidRDefault="00DC4AD8" w:rsidP="00DC4AD8">
            <w:pPr>
              <w:jc w:val="right"/>
              <w:rPr>
                <w:lang w:eastAsia="fr-FR"/>
              </w:rPr>
            </w:pPr>
            <w:r w:rsidRPr="006B204E">
              <w:rPr>
                <w:lang w:val="en-US" w:eastAsia="fr-FR"/>
              </w:rPr>
              <w:t>0,000059</w:t>
            </w:r>
          </w:p>
        </w:tc>
        <w:tc>
          <w:tcPr>
            <w:tcW w:w="1956" w:type="dxa"/>
            <w:tcBorders>
              <w:top w:val="nil"/>
              <w:left w:val="nil"/>
              <w:bottom w:val="single" w:sz="4" w:space="0" w:color="auto"/>
              <w:right w:val="single" w:sz="4" w:space="0" w:color="auto"/>
            </w:tcBorders>
            <w:shd w:val="clear" w:color="auto" w:fill="auto"/>
            <w:noWrap/>
            <w:vAlign w:val="bottom"/>
            <w:hideMark/>
          </w:tcPr>
          <w:p w14:paraId="1F43D528" w14:textId="77777777" w:rsidR="00DC4AD8" w:rsidRPr="006B204E" w:rsidRDefault="00DC4AD8" w:rsidP="00DC4AD8">
            <w:pPr>
              <w:jc w:val="right"/>
              <w:rPr>
                <w:color w:val="000000"/>
                <w:lang w:eastAsia="fr-FR"/>
              </w:rPr>
            </w:pPr>
            <w:r w:rsidRPr="006B204E">
              <w:rPr>
                <w:color w:val="000000"/>
                <w:lang w:eastAsia="fr-FR"/>
              </w:rPr>
              <w:t>0,</w:t>
            </w:r>
            <w:r>
              <w:rPr>
                <w:color w:val="000000"/>
                <w:lang w:eastAsia="fr-FR"/>
              </w:rPr>
              <w:t>2</w:t>
            </w:r>
          </w:p>
        </w:tc>
      </w:tr>
      <w:tr w:rsidR="00DC4AD8" w:rsidRPr="006B204E" w14:paraId="037F68D3" w14:textId="77777777" w:rsidTr="00DC4AD8">
        <w:trPr>
          <w:trHeight w:val="579"/>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45310998" w14:textId="77777777" w:rsidR="00DC4AD8" w:rsidRPr="006B204E" w:rsidRDefault="00DC4AD8" w:rsidP="00DC4AD8">
            <w:pPr>
              <w:rPr>
                <w:color w:val="000000"/>
                <w:lang w:val="en-US" w:eastAsia="fr-FR"/>
              </w:rPr>
            </w:pPr>
            <w:r w:rsidRPr="006B204E">
              <w:rPr>
                <w:color w:val="000000"/>
                <w:lang w:val="en-US" w:eastAsia="fr-FR"/>
              </w:rPr>
              <w:t>predicted environmental concentration in sediment marine water</w:t>
            </w:r>
          </w:p>
        </w:tc>
        <w:tc>
          <w:tcPr>
            <w:tcW w:w="1425" w:type="dxa"/>
            <w:tcBorders>
              <w:top w:val="nil"/>
              <w:left w:val="nil"/>
              <w:bottom w:val="single" w:sz="4" w:space="0" w:color="auto"/>
              <w:right w:val="single" w:sz="4" w:space="0" w:color="auto"/>
            </w:tcBorders>
            <w:shd w:val="clear" w:color="auto" w:fill="auto"/>
            <w:vAlign w:val="bottom"/>
            <w:hideMark/>
          </w:tcPr>
          <w:p w14:paraId="0549E1F1" w14:textId="77777777" w:rsidR="00DC4AD8" w:rsidRPr="006B204E" w:rsidRDefault="00DC4AD8" w:rsidP="00DC4AD8">
            <w:pPr>
              <w:rPr>
                <w:color w:val="000000"/>
                <w:lang w:eastAsia="fr-FR"/>
              </w:rPr>
            </w:pPr>
            <w:r w:rsidRPr="006B204E">
              <w:rPr>
                <w:color w:val="000000"/>
                <w:lang w:eastAsia="fr-FR"/>
              </w:rPr>
              <w:t>PEClocal sed</w:t>
            </w:r>
          </w:p>
        </w:tc>
        <w:tc>
          <w:tcPr>
            <w:tcW w:w="1126" w:type="dxa"/>
            <w:tcBorders>
              <w:top w:val="nil"/>
              <w:left w:val="nil"/>
              <w:bottom w:val="single" w:sz="4" w:space="0" w:color="auto"/>
              <w:right w:val="single" w:sz="4" w:space="0" w:color="auto"/>
            </w:tcBorders>
            <w:shd w:val="clear" w:color="auto" w:fill="auto"/>
            <w:vAlign w:val="bottom"/>
            <w:hideMark/>
          </w:tcPr>
          <w:p w14:paraId="7E6D863B" w14:textId="77777777" w:rsidR="00DC4AD8" w:rsidRPr="006B204E" w:rsidRDefault="00DC4AD8" w:rsidP="00DC4AD8">
            <w:pPr>
              <w:jc w:val="right"/>
              <w:rPr>
                <w:color w:val="000000"/>
                <w:lang w:eastAsia="fr-FR"/>
              </w:rPr>
            </w:pPr>
            <w:r w:rsidRPr="006B204E">
              <w:rPr>
                <w:color w:val="000000"/>
                <w:lang w:eastAsia="fr-FR"/>
              </w:rPr>
              <w:t>0,00457113</w:t>
            </w:r>
          </w:p>
        </w:tc>
        <w:tc>
          <w:tcPr>
            <w:tcW w:w="1030" w:type="dxa"/>
            <w:tcBorders>
              <w:top w:val="nil"/>
              <w:left w:val="nil"/>
              <w:bottom w:val="single" w:sz="4" w:space="0" w:color="auto"/>
              <w:right w:val="single" w:sz="4" w:space="0" w:color="auto"/>
            </w:tcBorders>
            <w:shd w:val="clear" w:color="auto" w:fill="auto"/>
            <w:vAlign w:val="bottom"/>
            <w:hideMark/>
          </w:tcPr>
          <w:p w14:paraId="4AC381AA" w14:textId="77777777" w:rsidR="00DC4AD8" w:rsidRPr="006B204E" w:rsidRDefault="00DC4AD8" w:rsidP="00DC4AD8">
            <w:pPr>
              <w:rPr>
                <w:color w:val="000000"/>
                <w:lang w:eastAsia="fr-FR"/>
              </w:rPr>
            </w:pPr>
            <w:r w:rsidRPr="006B204E">
              <w:rPr>
                <w:color w:val="000000"/>
                <w:lang w:eastAsia="fr-FR"/>
              </w:rPr>
              <w:t>mg/kg</w:t>
            </w:r>
          </w:p>
        </w:tc>
        <w:tc>
          <w:tcPr>
            <w:tcW w:w="942" w:type="dxa"/>
            <w:tcBorders>
              <w:top w:val="nil"/>
              <w:left w:val="nil"/>
              <w:bottom w:val="single" w:sz="4" w:space="0" w:color="auto"/>
              <w:right w:val="single" w:sz="4" w:space="0" w:color="auto"/>
            </w:tcBorders>
            <w:shd w:val="clear" w:color="auto" w:fill="auto"/>
            <w:vAlign w:val="center"/>
            <w:hideMark/>
          </w:tcPr>
          <w:p w14:paraId="495236E4" w14:textId="77777777" w:rsidR="00DC4AD8" w:rsidRPr="006B204E" w:rsidRDefault="00DC4AD8" w:rsidP="00DC4AD8">
            <w:pPr>
              <w:jc w:val="right"/>
              <w:rPr>
                <w:lang w:eastAsia="fr-FR"/>
              </w:rPr>
            </w:pPr>
            <w:r w:rsidRPr="006B204E">
              <w:rPr>
                <w:lang w:val="en-US" w:eastAsia="fr-FR"/>
              </w:rPr>
              <w:t>0,0028</w:t>
            </w:r>
          </w:p>
        </w:tc>
        <w:tc>
          <w:tcPr>
            <w:tcW w:w="1956" w:type="dxa"/>
            <w:tcBorders>
              <w:top w:val="nil"/>
              <w:left w:val="nil"/>
              <w:bottom w:val="single" w:sz="4" w:space="0" w:color="auto"/>
              <w:right w:val="single" w:sz="4" w:space="0" w:color="auto"/>
            </w:tcBorders>
            <w:shd w:val="clear" w:color="auto" w:fill="auto"/>
            <w:noWrap/>
            <w:vAlign w:val="bottom"/>
            <w:hideMark/>
          </w:tcPr>
          <w:p w14:paraId="7210A463" w14:textId="77777777" w:rsidR="00DC4AD8" w:rsidRPr="006B204E" w:rsidRDefault="00DC4AD8" w:rsidP="00DC4AD8">
            <w:pPr>
              <w:jc w:val="right"/>
              <w:rPr>
                <w:color w:val="FF0000"/>
                <w:lang w:eastAsia="fr-FR"/>
              </w:rPr>
            </w:pPr>
            <w:r w:rsidRPr="006B204E">
              <w:rPr>
                <w:color w:val="FF0000"/>
                <w:lang w:eastAsia="fr-FR"/>
              </w:rPr>
              <w:t>1,6</w:t>
            </w:r>
          </w:p>
        </w:tc>
      </w:tr>
      <w:tr w:rsidR="00DC4AD8" w:rsidRPr="006B204E" w14:paraId="24EE0FAD" w14:textId="77777777" w:rsidTr="00DC4AD8">
        <w:trPr>
          <w:trHeight w:val="579"/>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49E507B2" w14:textId="77777777" w:rsidR="00DC4AD8" w:rsidRPr="006B204E" w:rsidRDefault="00DC4AD8" w:rsidP="00DC4AD8">
            <w:pPr>
              <w:rPr>
                <w:color w:val="000000"/>
                <w:lang w:val="en-US" w:eastAsia="fr-FR"/>
              </w:rPr>
            </w:pPr>
            <w:r w:rsidRPr="006B204E">
              <w:rPr>
                <w:color w:val="000000"/>
                <w:lang w:val="en-US" w:eastAsia="fr-FR"/>
              </w:rPr>
              <w:t>predicted environmental concentration in soil following spreading of sewage sludge</w:t>
            </w:r>
          </w:p>
        </w:tc>
        <w:tc>
          <w:tcPr>
            <w:tcW w:w="1425" w:type="dxa"/>
            <w:tcBorders>
              <w:top w:val="nil"/>
              <w:left w:val="nil"/>
              <w:bottom w:val="single" w:sz="4" w:space="0" w:color="auto"/>
              <w:right w:val="single" w:sz="4" w:space="0" w:color="auto"/>
            </w:tcBorders>
            <w:shd w:val="clear" w:color="auto" w:fill="auto"/>
            <w:vAlign w:val="bottom"/>
            <w:hideMark/>
          </w:tcPr>
          <w:p w14:paraId="72651579" w14:textId="77777777" w:rsidR="00DC4AD8" w:rsidRPr="006B204E" w:rsidRDefault="00DC4AD8" w:rsidP="00DC4AD8">
            <w:pPr>
              <w:rPr>
                <w:color w:val="000000"/>
                <w:lang w:eastAsia="fr-FR"/>
              </w:rPr>
            </w:pPr>
            <w:r w:rsidRPr="006B204E">
              <w:rPr>
                <w:color w:val="000000"/>
                <w:lang w:eastAsia="fr-FR"/>
              </w:rPr>
              <w:t>PEC soil</w:t>
            </w:r>
          </w:p>
        </w:tc>
        <w:tc>
          <w:tcPr>
            <w:tcW w:w="1126" w:type="dxa"/>
            <w:tcBorders>
              <w:top w:val="nil"/>
              <w:left w:val="nil"/>
              <w:bottom w:val="single" w:sz="4" w:space="0" w:color="auto"/>
              <w:right w:val="single" w:sz="4" w:space="0" w:color="auto"/>
            </w:tcBorders>
            <w:shd w:val="clear" w:color="auto" w:fill="auto"/>
            <w:vAlign w:val="bottom"/>
            <w:hideMark/>
          </w:tcPr>
          <w:p w14:paraId="2AF5ACAF" w14:textId="77777777" w:rsidR="00DC4AD8" w:rsidRPr="006B204E" w:rsidRDefault="00DC4AD8" w:rsidP="00DC4AD8">
            <w:pPr>
              <w:jc w:val="right"/>
              <w:rPr>
                <w:color w:val="000000"/>
                <w:lang w:eastAsia="fr-FR"/>
              </w:rPr>
            </w:pPr>
            <w:r w:rsidRPr="006B204E">
              <w:rPr>
                <w:color w:val="000000"/>
                <w:lang w:eastAsia="fr-FR"/>
              </w:rPr>
              <w:t>0,00098748</w:t>
            </w:r>
          </w:p>
        </w:tc>
        <w:tc>
          <w:tcPr>
            <w:tcW w:w="1030" w:type="dxa"/>
            <w:tcBorders>
              <w:top w:val="nil"/>
              <w:left w:val="nil"/>
              <w:bottom w:val="single" w:sz="4" w:space="0" w:color="auto"/>
              <w:right w:val="single" w:sz="4" w:space="0" w:color="auto"/>
            </w:tcBorders>
            <w:shd w:val="clear" w:color="auto" w:fill="auto"/>
            <w:vAlign w:val="bottom"/>
            <w:hideMark/>
          </w:tcPr>
          <w:p w14:paraId="2DEE7471" w14:textId="77777777" w:rsidR="00DC4AD8" w:rsidRPr="006B204E" w:rsidRDefault="00DC4AD8" w:rsidP="00DC4AD8">
            <w:pPr>
              <w:rPr>
                <w:color w:val="000000"/>
                <w:lang w:eastAsia="fr-FR"/>
              </w:rPr>
            </w:pPr>
            <w:r w:rsidRPr="006B204E">
              <w:rPr>
                <w:color w:val="000000"/>
                <w:lang w:eastAsia="fr-FR"/>
              </w:rPr>
              <w:t>mg/kg</w:t>
            </w:r>
          </w:p>
        </w:tc>
        <w:tc>
          <w:tcPr>
            <w:tcW w:w="942" w:type="dxa"/>
            <w:tcBorders>
              <w:top w:val="nil"/>
              <w:left w:val="nil"/>
              <w:bottom w:val="single" w:sz="4" w:space="0" w:color="auto"/>
              <w:right w:val="single" w:sz="4" w:space="0" w:color="auto"/>
            </w:tcBorders>
            <w:shd w:val="clear" w:color="auto" w:fill="auto"/>
            <w:vAlign w:val="center"/>
            <w:hideMark/>
          </w:tcPr>
          <w:p w14:paraId="2FF5D5BD" w14:textId="77777777" w:rsidR="00DC4AD8" w:rsidRPr="006B204E" w:rsidRDefault="00DC4AD8" w:rsidP="00DC4AD8">
            <w:pPr>
              <w:jc w:val="right"/>
              <w:rPr>
                <w:lang w:eastAsia="fr-FR"/>
              </w:rPr>
            </w:pPr>
            <w:r w:rsidRPr="006B204E">
              <w:rPr>
                <w:lang w:val="en-US" w:eastAsia="fr-FR"/>
              </w:rPr>
              <w:t>0,0043</w:t>
            </w:r>
          </w:p>
        </w:tc>
        <w:tc>
          <w:tcPr>
            <w:tcW w:w="1956" w:type="dxa"/>
            <w:tcBorders>
              <w:top w:val="nil"/>
              <w:left w:val="nil"/>
              <w:bottom w:val="single" w:sz="4" w:space="0" w:color="auto"/>
              <w:right w:val="single" w:sz="4" w:space="0" w:color="auto"/>
            </w:tcBorders>
            <w:shd w:val="clear" w:color="auto" w:fill="auto"/>
            <w:noWrap/>
            <w:vAlign w:val="bottom"/>
            <w:hideMark/>
          </w:tcPr>
          <w:p w14:paraId="05158077" w14:textId="77777777" w:rsidR="00DC4AD8" w:rsidRPr="006B204E" w:rsidRDefault="00DC4AD8" w:rsidP="00DC4AD8">
            <w:pPr>
              <w:jc w:val="right"/>
              <w:rPr>
                <w:color w:val="000000"/>
                <w:lang w:eastAsia="fr-FR"/>
              </w:rPr>
            </w:pPr>
            <w:r w:rsidRPr="006B204E">
              <w:rPr>
                <w:color w:val="000000"/>
                <w:lang w:eastAsia="fr-FR"/>
              </w:rPr>
              <w:t>0,2</w:t>
            </w:r>
          </w:p>
        </w:tc>
      </w:tr>
      <w:tr w:rsidR="00DC4AD8" w:rsidRPr="006B204E" w14:paraId="72589119" w14:textId="77777777" w:rsidTr="00DC4AD8">
        <w:trPr>
          <w:trHeight w:val="1143"/>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5BDC2D66" w14:textId="77777777" w:rsidR="00DC4AD8" w:rsidRPr="006B204E" w:rsidRDefault="00DC4AD8" w:rsidP="00DC4AD8">
            <w:pPr>
              <w:rPr>
                <w:color w:val="000000"/>
                <w:lang w:val="en-US" w:eastAsia="fr-FR"/>
              </w:rPr>
            </w:pPr>
            <w:r w:rsidRPr="006B204E">
              <w:rPr>
                <w:color w:val="000000"/>
                <w:lang w:val="en-US" w:eastAsia="fr-FR"/>
              </w:rPr>
              <w:t>PEC local groundwater following spreading of sewage sludge</w:t>
            </w:r>
          </w:p>
        </w:tc>
        <w:tc>
          <w:tcPr>
            <w:tcW w:w="1425" w:type="dxa"/>
            <w:tcBorders>
              <w:top w:val="nil"/>
              <w:left w:val="nil"/>
              <w:bottom w:val="single" w:sz="4" w:space="0" w:color="auto"/>
              <w:right w:val="single" w:sz="4" w:space="0" w:color="auto"/>
            </w:tcBorders>
            <w:shd w:val="clear" w:color="auto" w:fill="auto"/>
            <w:vAlign w:val="bottom"/>
            <w:hideMark/>
          </w:tcPr>
          <w:p w14:paraId="28C67BD2" w14:textId="77777777" w:rsidR="00DC4AD8" w:rsidRPr="006B204E" w:rsidRDefault="00DC4AD8" w:rsidP="00DC4AD8">
            <w:pPr>
              <w:rPr>
                <w:color w:val="000000"/>
                <w:lang w:eastAsia="fr-FR"/>
              </w:rPr>
            </w:pPr>
            <w:r w:rsidRPr="006B204E">
              <w:rPr>
                <w:color w:val="000000"/>
                <w:lang w:eastAsia="fr-FR"/>
              </w:rPr>
              <w:t>PEC groundwater sewage sludge</w:t>
            </w:r>
          </w:p>
        </w:tc>
        <w:tc>
          <w:tcPr>
            <w:tcW w:w="1126" w:type="dxa"/>
            <w:tcBorders>
              <w:top w:val="nil"/>
              <w:left w:val="nil"/>
              <w:bottom w:val="single" w:sz="4" w:space="0" w:color="auto"/>
              <w:right w:val="single" w:sz="4" w:space="0" w:color="auto"/>
            </w:tcBorders>
            <w:shd w:val="clear" w:color="auto" w:fill="auto"/>
            <w:vAlign w:val="bottom"/>
            <w:hideMark/>
          </w:tcPr>
          <w:p w14:paraId="6188F1FE" w14:textId="77777777" w:rsidR="00DC4AD8" w:rsidRPr="006B204E" w:rsidRDefault="00DC4AD8" w:rsidP="00DC4AD8">
            <w:pPr>
              <w:jc w:val="right"/>
              <w:rPr>
                <w:color w:val="000000"/>
                <w:lang w:eastAsia="fr-FR"/>
              </w:rPr>
            </w:pPr>
            <w:r w:rsidRPr="006B204E">
              <w:rPr>
                <w:color w:val="000000"/>
                <w:lang w:eastAsia="fr-FR"/>
              </w:rPr>
              <w:t>0,00018862</w:t>
            </w:r>
          </w:p>
        </w:tc>
        <w:tc>
          <w:tcPr>
            <w:tcW w:w="1030" w:type="dxa"/>
            <w:tcBorders>
              <w:top w:val="nil"/>
              <w:left w:val="nil"/>
              <w:bottom w:val="single" w:sz="4" w:space="0" w:color="auto"/>
              <w:right w:val="single" w:sz="4" w:space="0" w:color="auto"/>
            </w:tcBorders>
            <w:shd w:val="clear" w:color="auto" w:fill="auto"/>
            <w:vAlign w:val="bottom"/>
            <w:hideMark/>
          </w:tcPr>
          <w:p w14:paraId="5DB87AC8" w14:textId="77777777" w:rsidR="00DC4AD8" w:rsidRPr="006B204E" w:rsidRDefault="00DC4AD8" w:rsidP="00DC4AD8">
            <w:pPr>
              <w:rPr>
                <w:color w:val="000000"/>
                <w:lang w:eastAsia="fr-FR"/>
              </w:rPr>
            </w:pPr>
            <w:r w:rsidRPr="006B204E">
              <w:rPr>
                <w:color w:val="000000"/>
                <w:lang w:eastAsia="fr-FR"/>
              </w:rPr>
              <w:t>mg/L</w:t>
            </w:r>
          </w:p>
        </w:tc>
        <w:tc>
          <w:tcPr>
            <w:tcW w:w="942" w:type="dxa"/>
            <w:tcBorders>
              <w:top w:val="nil"/>
              <w:left w:val="nil"/>
              <w:bottom w:val="single" w:sz="4" w:space="0" w:color="auto"/>
              <w:right w:val="single" w:sz="4" w:space="0" w:color="auto"/>
            </w:tcBorders>
            <w:shd w:val="clear" w:color="auto" w:fill="auto"/>
            <w:vAlign w:val="center"/>
            <w:hideMark/>
          </w:tcPr>
          <w:p w14:paraId="094B3EE0" w14:textId="77777777" w:rsidR="00DC4AD8" w:rsidRPr="006B204E" w:rsidRDefault="00DC4AD8" w:rsidP="00DC4AD8">
            <w:pPr>
              <w:jc w:val="right"/>
              <w:rPr>
                <w:lang w:eastAsia="fr-FR"/>
              </w:rPr>
            </w:pPr>
            <w:r w:rsidRPr="006B204E">
              <w:rPr>
                <w:lang w:val="en-US" w:eastAsia="fr-FR"/>
              </w:rPr>
              <w:t>4,43E-03</w:t>
            </w:r>
          </w:p>
        </w:tc>
        <w:tc>
          <w:tcPr>
            <w:tcW w:w="1956" w:type="dxa"/>
            <w:tcBorders>
              <w:top w:val="nil"/>
              <w:left w:val="nil"/>
              <w:bottom w:val="single" w:sz="4" w:space="0" w:color="auto"/>
              <w:right w:val="single" w:sz="4" w:space="0" w:color="auto"/>
            </w:tcBorders>
            <w:shd w:val="clear" w:color="auto" w:fill="auto"/>
            <w:noWrap/>
            <w:vAlign w:val="bottom"/>
            <w:hideMark/>
          </w:tcPr>
          <w:p w14:paraId="26B7C04A" w14:textId="77777777" w:rsidR="00DC4AD8" w:rsidRPr="006B204E" w:rsidRDefault="00DC4AD8" w:rsidP="00DC4AD8">
            <w:pPr>
              <w:jc w:val="right"/>
              <w:rPr>
                <w:color w:val="000000"/>
                <w:lang w:eastAsia="fr-FR"/>
              </w:rPr>
            </w:pPr>
            <w:r w:rsidRPr="006B204E">
              <w:rPr>
                <w:color w:val="000000"/>
                <w:lang w:eastAsia="fr-FR"/>
              </w:rPr>
              <w:t>0,04</w:t>
            </w:r>
          </w:p>
        </w:tc>
      </w:tr>
      <w:tr w:rsidR="00DC4AD8" w:rsidRPr="006B204E" w14:paraId="5B68B608" w14:textId="77777777" w:rsidTr="00DC4AD8">
        <w:trPr>
          <w:trHeight w:val="1143"/>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4AC37174" w14:textId="77777777" w:rsidR="00DC4AD8" w:rsidRPr="006B204E" w:rsidRDefault="00DC4AD8" w:rsidP="00DC4AD8">
            <w:pPr>
              <w:rPr>
                <w:color w:val="000000"/>
                <w:lang w:val="en-US" w:eastAsia="fr-FR"/>
              </w:rPr>
            </w:pPr>
            <w:r w:rsidRPr="006B204E">
              <w:rPr>
                <w:color w:val="000000"/>
                <w:lang w:val="en-US" w:eastAsia="fr-FR"/>
              </w:rPr>
              <w:lastRenderedPageBreak/>
              <w:t>PEC local groundwater following spreading of manure/slurry to grassland</w:t>
            </w:r>
          </w:p>
        </w:tc>
        <w:tc>
          <w:tcPr>
            <w:tcW w:w="1425" w:type="dxa"/>
            <w:tcBorders>
              <w:top w:val="nil"/>
              <w:left w:val="nil"/>
              <w:bottom w:val="single" w:sz="4" w:space="0" w:color="auto"/>
              <w:right w:val="single" w:sz="4" w:space="0" w:color="auto"/>
            </w:tcBorders>
            <w:shd w:val="clear" w:color="auto" w:fill="auto"/>
            <w:vAlign w:val="bottom"/>
            <w:hideMark/>
          </w:tcPr>
          <w:p w14:paraId="46E45545" w14:textId="77777777" w:rsidR="00DC4AD8" w:rsidRPr="006B204E" w:rsidRDefault="00DC4AD8" w:rsidP="00DC4AD8">
            <w:pPr>
              <w:rPr>
                <w:color w:val="000000"/>
                <w:lang w:eastAsia="fr-FR"/>
              </w:rPr>
            </w:pPr>
            <w:r w:rsidRPr="006B204E">
              <w:rPr>
                <w:color w:val="000000"/>
                <w:lang w:eastAsia="fr-FR"/>
              </w:rPr>
              <w:t>PEC groundwater manure grassland</w:t>
            </w:r>
          </w:p>
        </w:tc>
        <w:tc>
          <w:tcPr>
            <w:tcW w:w="1126" w:type="dxa"/>
            <w:tcBorders>
              <w:top w:val="nil"/>
              <w:left w:val="nil"/>
              <w:bottom w:val="single" w:sz="4" w:space="0" w:color="auto"/>
              <w:right w:val="single" w:sz="4" w:space="0" w:color="auto"/>
            </w:tcBorders>
            <w:shd w:val="clear" w:color="auto" w:fill="auto"/>
            <w:vAlign w:val="bottom"/>
            <w:hideMark/>
          </w:tcPr>
          <w:p w14:paraId="40A801A5" w14:textId="77777777" w:rsidR="00DC4AD8" w:rsidRPr="006B204E" w:rsidRDefault="00DC4AD8" w:rsidP="00DC4AD8">
            <w:pPr>
              <w:jc w:val="right"/>
              <w:rPr>
                <w:color w:val="000000"/>
                <w:lang w:eastAsia="fr-FR"/>
              </w:rPr>
            </w:pPr>
            <w:r w:rsidRPr="006B204E">
              <w:rPr>
                <w:color w:val="000000"/>
                <w:lang w:eastAsia="fr-FR"/>
              </w:rPr>
              <w:t>0,00041032</w:t>
            </w:r>
          </w:p>
        </w:tc>
        <w:tc>
          <w:tcPr>
            <w:tcW w:w="1030" w:type="dxa"/>
            <w:tcBorders>
              <w:top w:val="nil"/>
              <w:left w:val="nil"/>
              <w:bottom w:val="single" w:sz="4" w:space="0" w:color="auto"/>
              <w:right w:val="single" w:sz="4" w:space="0" w:color="auto"/>
            </w:tcBorders>
            <w:shd w:val="clear" w:color="auto" w:fill="auto"/>
            <w:vAlign w:val="bottom"/>
            <w:hideMark/>
          </w:tcPr>
          <w:p w14:paraId="0853FF05" w14:textId="77777777" w:rsidR="00DC4AD8" w:rsidRPr="006B204E" w:rsidRDefault="00DC4AD8" w:rsidP="00DC4AD8">
            <w:pPr>
              <w:rPr>
                <w:color w:val="000000"/>
                <w:lang w:eastAsia="fr-FR"/>
              </w:rPr>
            </w:pPr>
            <w:r w:rsidRPr="006B204E">
              <w:rPr>
                <w:color w:val="000000"/>
                <w:lang w:eastAsia="fr-FR"/>
              </w:rPr>
              <w:t>mg/L</w:t>
            </w:r>
          </w:p>
        </w:tc>
        <w:tc>
          <w:tcPr>
            <w:tcW w:w="942" w:type="dxa"/>
            <w:tcBorders>
              <w:top w:val="nil"/>
              <w:left w:val="nil"/>
              <w:bottom w:val="single" w:sz="4" w:space="0" w:color="auto"/>
              <w:right w:val="single" w:sz="4" w:space="0" w:color="auto"/>
            </w:tcBorders>
            <w:shd w:val="clear" w:color="auto" w:fill="auto"/>
            <w:vAlign w:val="center"/>
            <w:hideMark/>
          </w:tcPr>
          <w:p w14:paraId="196B21C2" w14:textId="77777777" w:rsidR="00DC4AD8" w:rsidRPr="006B204E" w:rsidRDefault="00DC4AD8" w:rsidP="00DC4AD8">
            <w:pPr>
              <w:jc w:val="right"/>
              <w:rPr>
                <w:lang w:eastAsia="fr-FR"/>
              </w:rPr>
            </w:pPr>
            <w:r w:rsidRPr="006B204E">
              <w:rPr>
                <w:lang w:val="en-US" w:eastAsia="fr-FR"/>
              </w:rPr>
              <w:t>4,43E-03</w:t>
            </w:r>
          </w:p>
        </w:tc>
        <w:tc>
          <w:tcPr>
            <w:tcW w:w="1956" w:type="dxa"/>
            <w:tcBorders>
              <w:top w:val="nil"/>
              <w:left w:val="nil"/>
              <w:bottom w:val="single" w:sz="4" w:space="0" w:color="auto"/>
              <w:right w:val="single" w:sz="4" w:space="0" w:color="auto"/>
            </w:tcBorders>
            <w:shd w:val="clear" w:color="auto" w:fill="auto"/>
            <w:noWrap/>
            <w:vAlign w:val="bottom"/>
            <w:hideMark/>
          </w:tcPr>
          <w:p w14:paraId="3DFAD922" w14:textId="77777777" w:rsidR="00DC4AD8" w:rsidRPr="006B204E" w:rsidRDefault="00DC4AD8" w:rsidP="00DC4AD8">
            <w:pPr>
              <w:jc w:val="right"/>
              <w:rPr>
                <w:color w:val="000000"/>
                <w:lang w:eastAsia="fr-FR"/>
              </w:rPr>
            </w:pPr>
            <w:r w:rsidRPr="006B204E">
              <w:rPr>
                <w:color w:val="000000"/>
                <w:lang w:eastAsia="fr-FR"/>
              </w:rPr>
              <w:t>0,09</w:t>
            </w:r>
          </w:p>
        </w:tc>
      </w:tr>
      <w:tr w:rsidR="00DC4AD8" w:rsidRPr="006B204E" w14:paraId="7D34302E" w14:textId="77777777" w:rsidTr="00DC4AD8">
        <w:trPr>
          <w:trHeight w:val="1143"/>
        </w:trPr>
        <w:tc>
          <w:tcPr>
            <w:tcW w:w="2853" w:type="dxa"/>
            <w:tcBorders>
              <w:top w:val="nil"/>
              <w:left w:val="single" w:sz="4" w:space="0" w:color="auto"/>
              <w:bottom w:val="single" w:sz="4" w:space="0" w:color="auto"/>
              <w:right w:val="single" w:sz="4" w:space="0" w:color="auto"/>
            </w:tcBorders>
            <w:shd w:val="clear" w:color="auto" w:fill="auto"/>
            <w:vAlign w:val="bottom"/>
            <w:hideMark/>
          </w:tcPr>
          <w:p w14:paraId="5B1C3216" w14:textId="77777777" w:rsidR="00DC4AD8" w:rsidRPr="006B204E" w:rsidRDefault="00DC4AD8" w:rsidP="00DC4AD8">
            <w:pPr>
              <w:rPr>
                <w:color w:val="000000"/>
                <w:lang w:val="en-US" w:eastAsia="fr-FR"/>
              </w:rPr>
            </w:pPr>
            <w:r w:rsidRPr="006B204E">
              <w:rPr>
                <w:color w:val="000000"/>
                <w:lang w:val="en-US" w:eastAsia="fr-FR"/>
              </w:rPr>
              <w:t>PEC local groundwater following spreading of manure/slurry to arable land</w:t>
            </w:r>
          </w:p>
        </w:tc>
        <w:tc>
          <w:tcPr>
            <w:tcW w:w="1425" w:type="dxa"/>
            <w:tcBorders>
              <w:top w:val="nil"/>
              <w:left w:val="nil"/>
              <w:bottom w:val="single" w:sz="4" w:space="0" w:color="auto"/>
              <w:right w:val="single" w:sz="4" w:space="0" w:color="auto"/>
            </w:tcBorders>
            <w:shd w:val="clear" w:color="auto" w:fill="auto"/>
            <w:vAlign w:val="bottom"/>
            <w:hideMark/>
          </w:tcPr>
          <w:p w14:paraId="63BA6662" w14:textId="77777777" w:rsidR="00DC4AD8" w:rsidRPr="006B204E" w:rsidRDefault="00DC4AD8" w:rsidP="00DC4AD8">
            <w:pPr>
              <w:rPr>
                <w:color w:val="000000"/>
                <w:lang w:val="en-US" w:eastAsia="fr-FR"/>
              </w:rPr>
            </w:pPr>
            <w:r w:rsidRPr="006B204E">
              <w:rPr>
                <w:color w:val="000000"/>
                <w:lang w:val="en-US" w:eastAsia="fr-FR"/>
              </w:rPr>
              <w:t>PEC groundwater manure arable land</w:t>
            </w:r>
          </w:p>
        </w:tc>
        <w:tc>
          <w:tcPr>
            <w:tcW w:w="1126" w:type="dxa"/>
            <w:tcBorders>
              <w:top w:val="nil"/>
              <w:left w:val="nil"/>
              <w:bottom w:val="single" w:sz="4" w:space="0" w:color="auto"/>
              <w:right w:val="single" w:sz="4" w:space="0" w:color="auto"/>
            </w:tcBorders>
            <w:shd w:val="clear" w:color="auto" w:fill="auto"/>
            <w:vAlign w:val="bottom"/>
            <w:hideMark/>
          </w:tcPr>
          <w:p w14:paraId="00F6A921" w14:textId="77777777" w:rsidR="00DC4AD8" w:rsidRPr="006B204E" w:rsidRDefault="00DC4AD8" w:rsidP="00DC4AD8">
            <w:pPr>
              <w:jc w:val="right"/>
              <w:rPr>
                <w:color w:val="000000"/>
                <w:lang w:eastAsia="fr-FR"/>
              </w:rPr>
            </w:pPr>
            <w:r w:rsidRPr="006B204E">
              <w:rPr>
                <w:color w:val="000000"/>
                <w:lang w:eastAsia="fr-FR"/>
              </w:rPr>
              <w:t>0,00041032</w:t>
            </w:r>
          </w:p>
        </w:tc>
        <w:tc>
          <w:tcPr>
            <w:tcW w:w="1030" w:type="dxa"/>
            <w:tcBorders>
              <w:top w:val="nil"/>
              <w:left w:val="nil"/>
              <w:bottom w:val="single" w:sz="4" w:space="0" w:color="auto"/>
              <w:right w:val="single" w:sz="4" w:space="0" w:color="auto"/>
            </w:tcBorders>
            <w:shd w:val="clear" w:color="auto" w:fill="auto"/>
            <w:vAlign w:val="bottom"/>
            <w:hideMark/>
          </w:tcPr>
          <w:p w14:paraId="11C2FD34" w14:textId="77777777" w:rsidR="00DC4AD8" w:rsidRPr="006B204E" w:rsidRDefault="00DC4AD8" w:rsidP="00DC4AD8">
            <w:pPr>
              <w:rPr>
                <w:color w:val="000000"/>
                <w:lang w:eastAsia="fr-FR"/>
              </w:rPr>
            </w:pPr>
            <w:r w:rsidRPr="006B204E">
              <w:rPr>
                <w:color w:val="000000"/>
                <w:lang w:eastAsia="fr-FR"/>
              </w:rPr>
              <w:t>mg/L</w:t>
            </w:r>
          </w:p>
        </w:tc>
        <w:tc>
          <w:tcPr>
            <w:tcW w:w="942" w:type="dxa"/>
            <w:tcBorders>
              <w:top w:val="nil"/>
              <w:left w:val="nil"/>
              <w:bottom w:val="single" w:sz="4" w:space="0" w:color="auto"/>
              <w:right w:val="single" w:sz="4" w:space="0" w:color="auto"/>
            </w:tcBorders>
            <w:shd w:val="clear" w:color="auto" w:fill="auto"/>
            <w:vAlign w:val="center"/>
            <w:hideMark/>
          </w:tcPr>
          <w:p w14:paraId="00787FCC" w14:textId="77777777" w:rsidR="00DC4AD8" w:rsidRPr="006B204E" w:rsidRDefault="00DC4AD8" w:rsidP="00DC4AD8">
            <w:pPr>
              <w:jc w:val="right"/>
              <w:rPr>
                <w:lang w:eastAsia="fr-FR"/>
              </w:rPr>
            </w:pPr>
            <w:r w:rsidRPr="006B204E">
              <w:rPr>
                <w:lang w:val="en-US" w:eastAsia="fr-FR"/>
              </w:rPr>
              <w:t>4,43E-03</w:t>
            </w:r>
          </w:p>
        </w:tc>
        <w:tc>
          <w:tcPr>
            <w:tcW w:w="1956" w:type="dxa"/>
            <w:tcBorders>
              <w:top w:val="nil"/>
              <w:left w:val="nil"/>
              <w:bottom w:val="single" w:sz="4" w:space="0" w:color="auto"/>
              <w:right w:val="single" w:sz="4" w:space="0" w:color="auto"/>
            </w:tcBorders>
            <w:shd w:val="clear" w:color="auto" w:fill="auto"/>
            <w:noWrap/>
            <w:vAlign w:val="bottom"/>
            <w:hideMark/>
          </w:tcPr>
          <w:p w14:paraId="29CB742A" w14:textId="77777777" w:rsidR="00DC4AD8" w:rsidRPr="006B204E" w:rsidRDefault="00DC4AD8" w:rsidP="00DC4AD8">
            <w:pPr>
              <w:jc w:val="right"/>
              <w:rPr>
                <w:color w:val="000000"/>
                <w:lang w:eastAsia="fr-FR"/>
              </w:rPr>
            </w:pPr>
            <w:r w:rsidRPr="006B204E">
              <w:rPr>
                <w:color w:val="000000"/>
                <w:lang w:eastAsia="fr-FR"/>
              </w:rPr>
              <w:t>0,09</w:t>
            </w:r>
          </w:p>
        </w:tc>
      </w:tr>
    </w:tbl>
    <w:p w14:paraId="56295C41" w14:textId="77777777" w:rsidR="00DC4AD8" w:rsidRDefault="00DC4AD8" w:rsidP="00DC4AD8">
      <w:pPr>
        <w:rPr>
          <w:lang w:val="en-US"/>
        </w:rPr>
      </w:pPr>
    </w:p>
    <w:p w14:paraId="0BC51A16" w14:textId="77777777" w:rsidR="00DC4AD8" w:rsidRDefault="00DC4AD8" w:rsidP="00705A8C">
      <w:pPr>
        <w:jc w:val="both"/>
        <w:rPr>
          <w:lang w:val="en-US"/>
        </w:rPr>
      </w:pPr>
      <w:r>
        <w:rPr>
          <w:lang w:val="en-US"/>
        </w:rPr>
        <w:t>The only compartments found at risk in this risk assessment are the sediment compartments for marine water and freshwater. But the PEC values calculated are well below the natural background levels which are typically 6 mg/kg for freshwater and 10 times lower for marine water.</w:t>
      </w:r>
    </w:p>
    <w:p w14:paraId="238663C2" w14:textId="77777777" w:rsidR="00DC4AD8" w:rsidRDefault="00DC4AD8" w:rsidP="00DC4AD8">
      <w:pPr>
        <w:spacing w:line="276" w:lineRule="auto"/>
        <w:rPr>
          <w:b/>
          <w:lang w:eastAsia="en-US"/>
        </w:rPr>
      </w:pPr>
    </w:p>
    <w:tbl>
      <w:tblPr>
        <w:tblStyle w:val="Grilledutableau4"/>
        <w:tblpPr w:leftFromText="180" w:rightFromText="180" w:vertAnchor="text" w:horzAnchor="margin" w:tblpX="108" w:tblpY="106"/>
        <w:tblW w:w="9321" w:type="dxa"/>
        <w:tblLook w:val="04A0" w:firstRow="1" w:lastRow="0" w:firstColumn="1" w:lastColumn="0" w:noHBand="0" w:noVBand="1"/>
      </w:tblPr>
      <w:tblGrid>
        <w:gridCol w:w="9582"/>
      </w:tblGrid>
      <w:tr w:rsidR="00DC4AD8" w:rsidRPr="00D24EE1" w14:paraId="094903CE" w14:textId="77777777" w:rsidTr="00AB090C">
        <w:trPr>
          <w:trHeight w:val="3820"/>
        </w:trPr>
        <w:tc>
          <w:tcPr>
            <w:tcW w:w="9321" w:type="dxa"/>
            <w:shd w:val="clear" w:color="auto" w:fill="D6E3BC" w:themeFill="accent3" w:themeFillTint="66"/>
          </w:tcPr>
          <w:p w14:paraId="75ADD1EE" w14:textId="77777777" w:rsidR="00DC4AD8" w:rsidRPr="00DC4AD8" w:rsidRDefault="00DC4AD8" w:rsidP="00DC4AD8">
            <w:pPr>
              <w:spacing w:line="276" w:lineRule="auto"/>
              <w:jc w:val="both"/>
              <w:rPr>
                <w:rFonts w:cs="Arial"/>
                <w:b/>
                <w:sz w:val="20"/>
                <w:szCs w:val="20"/>
              </w:rPr>
            </w:pPr>
            <w:r w:rsidRPr="00DC4AD8">
              <w:rPr>
                <w:rStyle w:val="LgendeCar"/>
                <w:b/>
              </w:rPr>
              <w:t xml:space="preserve">Infobox </w:t>
            </w:r>
            <w:r w:rsidRPr="00DC4AD8">
              <w:rPr>
                <w:rStyle w:val="LgendeCar"/>
                <w:b/>
              </w:rPr>
              <w:fldChar w:fldCharType="begin"/>
            </w:r>
            <w:r w:rsidRPr="00DC4AD8">
              <w:rPr>
                <w:rStyle w:val="LgendeCar"/>
                <w:b/>
              </w:rPr>
              <w:instrText xml:space="preserve"> SEQ Infobox \* ARABIC </w:instrText>
            </w:r>
            <w:r w:rsidRPr="00DC4AD8">
              <w:rPr>
                <w:rStyle w:val="LgendeCar"/>
                <w:b/>
              </w:rPr>
              <w:fldChar w:fldCharType="separate"/>
            </w:r>
            <w:r w:rsidR="00D3764E">
              <w:rPr>
                <w:rStyle w:val="LgendeCar"/>
                <w:b/>
                <w:noProof/>
              </w:rPr>
              <w:t>4</w:t>
            </w:r>
            <w:r w:rsidRPr="00DC4AD8">
              <w:rPr>
                <w:rStyle w:val="LgendeCar"/>
                <w:b/>
              </w:rPr>
              <w:fldChar w:fldCharType="end"/>
            </w:r>
            <w:r w:rsidRPr="00DC4AD8">
              <w:rPr>
                <w:rStyle w:val="LgendeCar"/>
                <w:b/>
              </w:rPr>
              <w:t xml:space="preserve"> -</w:t>
            </w:r>
            <w:r w:rsidRPr="00DC4AD8">
              <w:rPr>
                <w:rStyle w:val="LgendeCar"/>
              </w:rPr>
              <w:t xml:space="preserve"> </w:t>
            </w:r>
            <w:r w:rsidRPr="00DC4AD8">
              <w:rPr>
                <w:rFonts w:cs="Arial"/>
                <w:b/>
                <w:sz w:val="20"/>
                <w:szCs w:val="20"/>
              </w:rPr>
              <w:t>FR CA position: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13"/>
            </w:tblGrid>
            <w:tr w:rsidR="00DC4AD8" w:rsidRPr="00DC4AD8" w14:paraId="26CA04E2" w14:textId="77777777" w:rsidTr="00DC4AD8">
              <w:tc>
                <w:tcPr>
                  <w:tcW w:w="2943" w:type="dxa"/>
                  <w:shd w:val="clear" w:color="auto" w:fill="FFFFCC"/>
                  <w:vAlign w:val="center"/>
                </w:tcPr>
                <w:p w14:paraId="285B8A1A"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Assessed PT</w:t>
                  </w:r>
                </w:p>
              </w:tc>
              <w:tc>
                <w:tcPr>
                  <w:tcW w:w="6413" w:type="dxa"/>
                  <w:shd w:val="clear" w:color="auto" w:fill="auto"/>
                  <w:vAlign w:val="center"/>
                </w:tcPr>
                <w:p w14:paraId="5ACDDDFC" w14:textId="77777777" w:rsidR="00DC4AD8" w:rsidRPr="00DC4AD8" w:rsidRDefault="00DC4AD8" w:rsidP="00FA101C">
                  <w:pPr>
                    <w:framePr w:hSpace="180" w:wrap="around" w:vAnchor="text" w:hAnchor="margin" w:x="108" w:y="106"/>
                    <w:spacing w:line="276" w:lineRule="auto"/>
                    <w:rPr>
                      <w:i/>
                      <w:lang w:eastAsia="en-US"/>
                    </w:rPr>
                  </w:pPr>
                  <w:r w:rsidRPr="00DC4AD8">
                    <w:rPr>
                      <w:i/>
                      <w:lang w:eastAsia="en-US"/>
                    </w:rPr>
                    <w:t>PT 3</w:t>
                  </w:r>
                </w:p>
              </w:tc>
            </w:tr>
            <w:tr w:rsidR="00DC4AD8" w:rsidRPr="00DC4AD8" w14:paraId="1A089610" w14:textId="77777777" w:rsidTr="00DC4AD8">
              <w:tc>
                <w:tcPr>
                  <w:tcW w:w="2943" w:type="dxa"/>
                  <w:shd w:val="clear" w:color="auto" w:fill="FFFFCC"/>
                  <w:vAlign w:val="center"/>
                </w:tcPr>
                <w:p w14:paraId="2F2A2101"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Assessed scenarios</w:t>
                  </w:r>
                </w:p>
              </w:tc>
              <w:tc>
                <w:tcPr>
                  <w:tcW w:w="6413" w:type="dxa"/>
                  <w:shd w:val="clear" w:color="auto" w:fill="auto"/>
                  <w:vAlign w:val="center"/>
                </w:tcPr>
                <w:p w14:paraId="7E40E11A" w14:textId="77777777" w:rsidR="00DC4AD8" w:rsidRPr="00DC4AD8" w:rsidRDefault="00DC4AD8" w:rsidP="00FA101C">
                  <w:pPr>
                    <w:framePr w:hSpace="180" w:wrap="around" w:vAnchor="text" w:hAnchor="margin" w:x="108" w:y="106"/>
                    <w:spacing w:line="276" w:lineRule="auto"/>
                    <w:rPr>
                      <w:i/>
                      <w:lang w:eastAsia="en-US"/>
                    </w:rPr>
                  </w:pPr>
                  <w:r w:rsidRPr="00DC4AD8">
                    <w:rPr>
                      <w:i/>
                      <w:lang w:eastAsia="en-US"/>
                    </w:rPr>
                    <w:t>Scenario 1: Teat disinfection; Liquid dipping after milking</w:t>
                  </w:r>
                </w:p>
              </w:tc>
            </w:tr>
            <w:tr w:rsidR="00DC4AD8" w:rsidRPr="00DC4AD8" w14:paraId="326DE0AB" w14:textId="77777777" w:rsidTr="00DC4AD8">
              <w:tc>
                <w:tcPr>
                  <w:tcW w:w="2943" w:type="dxa"/>
                  <w:shd w:val="clear" w:color="auto" w:fill="FFFFCC"/>
                  <w:vAlign w:val="center"/>
                </w:tcPr>
                <w:p w14:paraId="5671A1C7"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ESD(s) used</w:t>
                  </w:r>
                </w:p>
              </w:tc>
              <w:tc>
                <w:tcPr>
                  <w:tcW w:w="6413" w:type="dxa"/>
                  <w:shd w:val="clear" w:color="auto" w:fill="auto"/>
                  <w:vAlign w:val="center"/>
                </w:tcPr>
                <w:p w14:paraId="60583173" w14:textId="77777777" w:rsidR="00DC4AD8" w:rsidRPr="00DC4AD8" w:rsidRDefault="00DC4AD8" w:rsidP="00FA101C">
                  <w:pPr>
                    <w:framePr w:hSpace="180" w:wrap="around" w:vAnchor="text" w:hAnchor="margin" w:x="108" w:y="106"/>
                    <w:spacing w:line="276" w:lineRule="auto"/>
                    <w:rPr>
                      <w:i/>
                      <w:lang w:eastAsia="en-US"/>
                    </w:rPr>
                  </w:pPr>
                  <w:r w:rsidRPr="00DC4AD8">
                    <w:rPr>
                      <w:i/>
                      <w:lang w:eastAsia="en-US"/>
                    </w:rPr>
                    <w:t>Emission Scenario Document for Product Type 3: Veterinary hygiene biocidal products, 2011</w:t>
                  </w:r>
                </w:p>
              </w:tc>
            </w:tr>
            <w:tr w:rsidR="00DC4AD8" w:rsidRPr="00DC4AD8" w14:paraId="05D7F36B" w14:textId="77777777" w:rsidTr="00DC4AD8">
              <w:tc>
                <w:tcPr>
                  <w:tcW w:w="2943" w:type="dxa"/>
                  <w:shd w:val="clear" w:color="auto" w:fill="FFFFCC"/>
                  <w:vAlign w:val="center"/>
                </w:tcPr>
                <w:p w14:paraId="3C50DC6F"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Approach</w:t>
                  </w:r>
                </w:p>
              </w:tc>
              <w:tc>
                <w:tcPr>
                  <w:tcW w:w="6413" w:type="dxa"/>
                  <w:shd w:val="clear" w:color="auto" w:fill="auto"/>
                  <w:vAlign w:val="center"/>
                </w:tcPr>
                <w:p w14:paraId="05255FC6" w14:textId="77777777" w:rsidR="00DC4AD8" w:rsidRPr="00DC4AD8" w:rsidRDefault="00DC4AD8" w:rsidP="00FA101C">
                  <w:pPr>
                    <w:framePr w:hSpace="180" w:wrap="around" w:vAnchor="text" w:hAnchor="margin" w:x="108" w:y="106"/>
                    <w:spacing w:line="276" w:lineRule="auto"/>
                    <w:rPr>
                      <w:i/>
                      <w:lang w:val="it-IT" w:eastAsia="en-US"/>
                    </w:rPr>
                  </w:pPr>
                  <w:r w:rsidRPr="00DC4AD8">
                    <w:rPr>
                      <w:i/>
                      <w:lang w:val="it-IT" w:eastAsia="en-US"/>
                    </w:rPr>
                    <w:t>Scenario 1: Average consumption</w:t>
                  </w:r>
                </w:p>
              </w:tc>
            </w:tr>
            <w:tr w:rsidR="00DC4AD8" w:rsidRPr="00DC4AD8" w14:paraId="04A905AA" w14:textId="77777777" w:rsidTr="00DC4AD8">
              <w:tc>
                <w:tcPr>
                  <w:tcW w:w="2943" w:type="dxa"/>
                  <w:shd w:val="clear" w:color="auto" w:fill="FFFFCC"/>
                  <w:vAlign w:val="center"/>
                </w:tcPr>
                <w:p w14:paraId="48A20419"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Distribution in the environment</w:t>
                  </w:r>
                </w:p>
              </w:tc>
              <w:tc>
                <w:tcPr>
                  <w:tcW w:w="6413" w:type="dxa"/>
                  <w:shd w:val="clear" w:color="auto" w:fill="auto"/>
                  <w:vAlign w:val="center"/>
                </w:tcPr>
                <w:p w14:paraId="0A83FDB7" w14:textId="77777777" w:rsidR="00DC4AD8" w:rsidRPr="00DC4AD8" w:rsidRDefault="00DC4AD8" w:rsidP="00FA101C">
                  <w:pPr>
                    <w:framePr w:hSpace="180" w:wrap="around" w:vAnchor="text" w:hAnchor="margin" w:x="108" w:y="106"/>
                    <w:spacing w:line="276" w:lineRule="auto"/>
                    <w:rPr>
                      <w:i/>
                      <w:lang w:eastAsia="en-US"/>
                    </w:rPr>
                  </w:pPr>
                  <w:r w:rsidRPr="00DC4AD8">
                    <w:rPr>
                      <w:i/>
                      <w:lang w:val="it-IT" w:eastAsia="en-US"/>
                    </w:rPr>
                    <w:t>Calculated based on ECHA Guidance on the BPR Vol IV, Part B; April 2015</w:t>
                  </w:r>
                </w:p>
              </w:tc>
            </w:tr>
            <w:tr w:rsidR="00DC4AD8" w:rsidRPr="00DC4AD8" w14:paraId="494B0777" w14:textId="77777777" w:rsidTr="00DC4AD8">
              <w:tc>
                <w:tcPr>
                  <w:tcW w:w="2943" w:type="dxa"/>
                  <w:shd w:val="clear" w:color="auto" w:fill="FFFFCC"/>
                  <w:vAlign w:val="center"/>
                </w:tcPr>
                <w:p w14:paraId="634AF65D"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Groundwater simulation</w:t>
                  </w:r>
                </w:p>
              </w:tc>
              <w:tc>
                <w:tcPr>
                  <w:tcW w:w="6413" w:type="dxa"/>
                  <w:shd w:val="clear" w:color="auto" w:fill="auto"/>
                  <w:vAlign w:val="center"/>
                </w:tcPr>
                <w:p w14:paraId="4DDA430C" w14:textId="77777777" w:rsidR="00DC4AD8" w:rsidRPr="00DC4AD8" w:rsidRDefault="00DC4AD8" w:rsidP="00FA101C">
                  <w:pPr>
                    <w:framePr w:hSpace="180" w:wrap="around" w:vAnchor="text" w:hAnchor="margin" w:x="108" w:y="106"/>
                    <w:spacing w:line="276" w:lineRule="auto"/>
                    <w:rPr>
                      <w:i/>
                      <w:color w:val="000000"/>
                      <w:lang w:eastAsia="en-US"/>
                    </w:rPr>
                  </w:pPr>
                  <w:r w:rsidRPr="00DC4AD8">
                    <w:rPr>
                      <w:i/>
                      <w:lang w:eastAsia="en-US"/>
                    </w:rPr>
                    <w:t>No models was performed</w:t>
                  </w:r>
                </w:p>
              </w:tc>
            </w:tr>
            <w:tr w:rsidR="00DC4AD8" w:rsidRPr="00DC4AD8" w14:paraId="3353F160" w14:textId="77777777" w:rsidTr="00DC4AD8">
              <w:tc>
                <w:tcPr>
                  <w:tcW w:w="2943" w:type="dxa"/>
                  <w:shd w:val="clear" w:color="auto" w:fill="FFFFCC"/>
                  <w:vAlign w:val="center"/>
                </w:tcPr>
                <w:p w14:paraId="5E6A2D7B"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Confidential Annexes</w:t>
                  </w:r>
                </w:p>
              </w:tc>
              <w:tc>
                <w:tcPr>
                  <w:tcW w:w="6413" w:type="dxa"/>
                  <w:shd w:val="clear" w:color="auto" w:fill="auto"/>
                  <w:vAlign w:val="center"/>
                </w:tcPr>
                <w:p w14:paraId="2A5FABF0" w14:textId="77777777" w:rsidR="00DC4AD8" w:rsidRPr="00DC4AD8" w:rsidRDefault="00DC4AD8" w:rsidP="00FA101C">
                  <w:pPr>
                    <w:framePr w:hSpace="180" w:wrap="around" w:vAnchor="text" w:hAnchor="margin" w:x="108" w:y="106"/>
                    <w:spacing w:line="276" w:lineRule="auto"/>
                    <w:rPr>
                      <w:b/>
                      <w:i/>
                      <w:lang w:eastAsia="en-US"/>
                    </w:rPr>
                  </w:pPr>
                  <w:r w:rsidRPr="00DC4AD8">
                    <w:rPr>
                      <w:i/>
                      <w:lang w:eastAsia="en-US"/>
                    </w:rPr>
                    <w:t>No</w:t>
                  </w:r>
                </w:p>
              </w:tc>
            </w:tr>
            <w:tr w:rsidR="00DC4AD8" w:rsidRPr="00DC4AD8" w14:paraId="4F790763" w14:textId="77777777" w:rsidTr="00DC4AD8">
              <w:tc>
                <w:tcPr>
                  <w:tcW w:w="2943" w:type="dxa"/>
                  <w:shd w:val="clear" w:color="auto" w:fill="FFFFCC"/>
                  <w:vAlign w:val="center"/>
                </w:tcPr>
                <w:p w14:paraId="365FCBE3" w14:textId="77777777" w:rsidR="00DC4AD8" w:rsidRPr="00DC4AD8" w:rsidRDefault="00DC4AD8" w:rsidP="00FA101C">
                  <w:pPr>
                    <w:framePr w:hSpace="180" w:wrap="around" w:vAnchor="text" w:hAnchor="margin" w:x="108" w:y="106"/>
                    <w:spacing w:line="276" w:lineRule="auto"/>
                    <w:rPr>
                      <w:lang w:eastAsia="en-US"/>
                    </w:rPr>
                  </w:pPr>
                  <w:r w:rsidRPr="00DC4AD8">
                    <w:rPr>
                      <w:lang w:eastAsia="en-US"/>
                    </w:rPr>
                    <w:t>Life cycle steps assessed</w:t>
                  </w:r>
                </w:p>
              </w:tc>
              <w:tc>
                <w:tcPr>
                  <w:tcW w:w="6413" w:type="dxa"/>
                  <w:shd w:val="clear" w:color="auto" w:fill="auto"/>
                  <w:vAlign w:val="center"/>
                </w:tcPr>
                <w:p w14:paraId="141D9F68" w14:textId="77777777" w:rsidR="00DC4AD8" w:rsidRPr="00DC4AD8" w:rsidRDefault="00DC4AD8" w:rsidP="00FA101C">
                  <w:pPr>
                    <w:framePr w:hSpace="180" w:wrap="around" w:vAnchor="text" w:hAnchor="margin" w:x="108" w:y="106"/>
                    <w:spacing w:line="276" w:lineRule="auto"/>
                    <w:rPr>
                      <w:i/>
                      <w:color w:val="FF0000"/>
                      <w:lang w:eastAsia="en-US"/>
                    </w:rPr>
                  </w:pPr>
                  <w:r w:rsidRPr="00DC4AD8">
                    <w:rPr>
                      <w:i/>
                      <w:color w:val="000000"/>
                      <w:lang w:eastAsia="en-US"/>
                    </w:rPr>
                    <w:t>Application phase</w:t>
                  </w:r>
                </w:p>
              </w:tc>
            </w:tr>
          </w:tbl>
          <w:p w14:paraId="711D3A0D" w14:textId="77777777" w:rsidR="00DC4AD8" w:rsidRPr="00E224C1" w:rsidRDefault="00DC4AD8" w:rsidP="00DC4AD8">
            <w:pPr>
              <w:pStyle w:val="MSGENFONTSTYLENAMETEMPLATEROLENUMBERMSGENFONTSTYLENAMEBYROLETEXT20"/>
              <w:shd w:val="clear" w:color="auto" w:fill="auto"/>
              <w:spacing w:before="0" w:after="268" w:line="278" w:lineRule="exact"/>
              <w:rPr>
                <w:sz w:val="20"/>
                <w:szCs w:val="20"/>
                <w:lang w:val="en-US"/>
              </w:rPr>
            </w:pPr>
            <w:r w:rsidRPr="00DC4AD8">
              <w:rPr>
                <w:rFonts w:ascii="Verdana" w:hAnsi="Verdana"/>
                <w:color w:val="000000"/>
                <w:sz w:val="20"/>
                <w:szCs w:val="20"/>
                <w:lang w:val="en-GB" w:eastAsia="en-GB" w:bidi="en-GB"/>
              </w:rPr>
              <w:t>The environmental risk assessment for the product is based on the emission scenario document for Product Type 3 (JRC Scientific and Technical Reports; 2011</w:t>
            </w:r>
            <w:r w:rsidRPr="00DC4AD8">
              <w:rPr>
                <w:rFonts w:ascii="Verdana" w:hAnsi="Verdana"/>
                <w:color w:val="000000"/>
                <w:sz w:val="20"/>
                <w:szCs w:val="20"/>
                <w:vertAlign w:val="superscript"/>
                <w:lang w:val="en-GB" w:eastAsia="en-GB" w:bidi="en-GB"/>
              </w:rPr>
              <w:footnoteReference w:id="10"/>
            </w:r>
            <w:r w:rsidRPr="00DC4AD8">
              <w:rPr>
                <w:rFonts w:ascii="Verdana" w:hAnsi="Verdana"/>
                <w:color w:val="000000"/>
                <w:sz w:val="20"/>
                <w:szCs w:val="20"/>
                <w:lang w:val="en-GB" w:eastAsia="en-GB" w:bidi="en-GB"/>
              </w:rPr>
              <w:t>) as well as on the ECHA Guidance for Environmental Risk Assessment Vol IV, Part B (2015</w:t>
            </w:r>
            <w:r w:rsidRPr="00DC4AD8">
              <w:rPr>
                <w:rFonts w:ascii="Verdana" w:hAnsi="Verdana"/>
                <w:color w:val="000000"/>
                <w:sz w:val="20"/>
                <w:szCs w:val="20"/>
                <w:vertAlign w:val="superscript"/>
                <w:lang w:val="en-GB" w:eastAsia="en-GB" w:bidi="en-GB"/>
              </w:rPr>
              <w:footnoteReference w:id="11"/>
            </w:r>
            <w:r w:rsidRPr="00DC4AD8">
              <w:rPr>
                <w:rFonts w:ascii="Verdana" w:hAnsi="Verdana"/>
                <w:color w:val="000000"/>
                <w:sz w:val="20"/>
                <w:szCs w:val="20"/>
                <w:lang w:val="en-GB" w:eastAsia="en-GB" w:bidi="en-GB"/>
              </w:rPr>
              <w:t>).</w:t>
            </w:r>
          </w:p>
        </w:tc>
      </w:tr>
    </w:tbl>
    <w:p w14:paraId="5123ABB5" w14:textId="77777777" w:rsidR="009D0C0B" w:rsidRDefault="009D0C0B">
      <w:pPr>
        <w:spacing w:line="276" w:lineRule="auto"/>
        <w:rPr>
          <w:rFonts w:ascii="Times New Roman" w:eastAsia="Calibri" w:hAnsi="Times New Roman" w:cs="Times New Roman"/>
          <w:i/>
          <w:lang w:eastAsia="en-US"/>
        </w:rPr>
      </w:pPr>
    </w:p>
    <w:p w14:paraId="607F2F98" w14:textId="77777777" w:rsidR="00DC4AD8" w:rsidRPr="00DC4AD8" w:rsidRDefault="00DC4AD8" w:rsidP="00DC4AD8">
      <w:pPr>
        <w:rPr>
          <w:b/>
          <w:i/>
          <w:szCs w:val="22"/>
          <w:lang w:eastAsia="en-US"/>
        </w:rPr>
      </w:pPr>
      <w:bookmarkStart w:id="108" w:name="_Toc377651046"/>
      <w:bookmarkStart w:id="109" w:name="_Toc389729115"/>
      <w:bookmarkStart w:id="110" w:name="_Toc403472800"/>
      <w:r w:rsidRPr="00DC4AD8">
        <w:rPr>
          <w:b/>
          <w:i/>
          <w:szCs w:val="22"/>
          <w:lang w:eastAsia="en-US"/>
        </w:rPr>
        <w:t>Fate and distribution in exposed environment</w:t>
      </w:r>
      <w:bookmarkEnd w:id="108"/>
      <w:r w:rsidRPr="00DC4AD8">
        <w:rPr>
          <w:b/>
          <w:i/>
          <w:szCs w:val="22"/>
          <w:lang w:eastAsia="en-US"/>
        </w:rPr>
        <w:t>al compartments</w:t>
      </w:r>
      <w:bookmarkEnd w:id="109"/>
      <w:bookmarkEnd w:id="110"/>
    </w:p>
    <w:p w14:paraId="0A51C931" w14:textId="77777777" w:rsidR="00DC4AD8" w:rsidRPr="00DC4AD8" w:rsidRDefault="00DC4AD8" w:rsidP="00DC4AD8">
      <w:pPr>
        <w:rPr>
          <w:b/>
          <w:i/>
          <w:szCs w:val="22"/>
          <w:lang w:eastAsia="en-US"/>
        </w:rPr>
      </w:pPr>
    </w:p>
    <w:tbl>
      <w:tblPr>
        <w:tblStyle w:val="Grilledutableau4"/>
        <w:tblW w:w="9356" w:type="dxa"/>
        <w:tblInd w:w="108" w:type="dxa"/>
        <w:tblLook w:val="04A0" w:firstRow="1" w:lastRow="0" w:firstColumn="1" w:lastColumn="0" w:noHBand="0" w:noVBand="1"/>
      </w:tblPr>
      <w:tblGrid>
        <w:gridCol w:w="9356"/>
      </w:tblGrid>
      <w:tr w:rsidR="00DC4AD8" w:rsidRPr="00DC4AD8" w14:paraId="262E6CEF" w14:textId="77777777" w:rsidTr="00DC4AD8">
        <w:tc>
          <w:tcPr>
            <w:tcW w:w="9356" w:type="dxa"/>
            <w:shd w:val="clear" w:color="auto" w:fill="D6E3BC" w:themeFill="accent3" w:themeFillTint="66"/>
          </w:tcPr>
          <w:p w14:paraId="7EA010A6" w14:textId="77777777" w:rsidR="00DC4AD8" w:rsidRPr="00DC4AD8" w:rsidRDefault="00DC4AD8" w:rsidP="00DC4AD8">
            <w:pPr>
              <w:spacing w:line="276" w:lineRule="auto"/>
              <w:jc w:val="both"/>
              <w:rPr>
                <w:rFonts w:cs="Arial"/>
                <w:b/>
                <w:sz w:val="20"/>
                <w:szCs w:val="20"/>
              </w:rPr>
            </w:pPr>
            <w:r w:rsidRPr="00DC4AD8">
              <w:rPr>
                <w:rStyle w:val="LgendeCar"/>
                <w:b/>
              </w:rPr>
              <w:t xml:space="preserve">Infobox </w:t>
            </w:r>
            <w:r w:rsidRPr="00DC4AD8">
              <w:rPr>
                <w:rStyle w:val="LgendeCar"/>
                <w:b/>
              </w:rPr>
              <w:fldChar w:fldCharType="begin"/>
            </w:r>
            <w:r w:rsidRPr="00DC4AD8">
              <w:rPr>
                <w:rStyle w:val="LgendeCar"/>
                <w:b/>
              </w:rPr>
              <w:instrText xml:space="preserve"> SEQ Infobox \* ARABIC </w:instrText>
            </w:r>
            <w:r w:rsidRPr="00DC4AD8">
              <w:rPr>
                <w:rStyle w:val="LgendeCar"/>
                <w:b/>
              </w:rPr>
              <w:fldChar w:fldCharType="separate"/>
            </w:r>
            <w:r w:rsidR="00D3764E">
              <w:rPr>
                <w:rStyle w:val="LgendeCar"/>
                <w:b/>
                <w:noProof/>
              </w:rPr>
              <w:t>5</w:t>
            </w:r>
            <w:r w:rsidRPr="00DC4AD8">
              <w:rPr>
                <w:rStyle w:val="LgendeCar"/>
                <w:b/>
              </w:rPr>
              <w:fldChar w:fldCharType="end"/>
            </w:r>
            <w:r w:rsidRPr="00DC4AD8">
              <w:rPr>
                <w:rStyle w:val="LgendeCar"/>
                <w:b/>
              </w:rPr>
              <w:t xml:space="preserve"> -</w:t>
            </w:r>
            <w:r w:rsidRPr="00DC4AD8">
              <w:rPr>
                <w:rStyle w:val="LgendeCar"/>
              </w:rPr>
              <w:t xml:space="preserve"> </w:t>
            </w:r>
            <w:r w:rsidRPr="00DC4AD8">
              <w:rPr>
                <w:rFonts w:cs="Arial"/>
                <w:b/>
                <w:sz w:val="20"/>
                <w:szCs w:val="20"/>
              </w:rPr>
              <w:t>FR CA position:</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3"/>
              <w:gridCol w:w="829"/>
              <w:gridCol w:w="1258"/>
              <w:gridCol w:w="829"/>
              <w:gridCol w:w="1106"/>
              <w:gridCol w:w="554"/>
              <w:gridCol w:w="552"/>
              <w:gridCol w:w="554"/>
              <w:gridCol w:w="1098"/>
              <w:gridCol w:w="1107"/>
            </w:tblGrid>
            <w:tr w:rsidR="00DC4AD8" w:rsidRPr="00DC4AD8" w14:paraId="1CDED127" w14:textId="77777777" w:rsidTr="00DC4AD8">
              <w:trPr>
                <w:trHeight w:val="333"/>
                <w:tblHeader/>
              </w:trPr>
              <w:tc>
                <w:tcPr>
                  <w:tcW w:w="5000" w:type="pct"/>
                  <w:gridSpan w:val="10"/>
                  <w:shd w:val="clear" w:color="auto" w:fill="FFFFCC"/>
                </w:tcPr>
                <w:p w14:paraId="5DABA4D1" w14:textId="77777777" w:rsidR="00DC4AD8" w:rsidRPr="00DC4AD8" w:rsidRDefault="00DC4AD8" w:rsidP="00DC4AD8">
                  <w:pPr>
                    <w:widowControl w:val="0"/>
                    <w:tabs>
                      <w:tab w:val="center" w:pos="4536"/>
                      <w:tab w:val="right" w:pos="9072"/>
                    </w:tabs>
                    <w:jc w:val="center"/>
                    <w:rPr>
                      <w:b/>
                      <w:bCs/>
                      <w:color w:val="000000"/>
                      <w:lang w:eastAsia="en-GB"/>
                    </w:rPr>
                  </w:pPr>
                  <w:r w:rsidRPr="00DC4AD8">
                    <w:rPr>
                      <w:b/>
                      <w:lang w:eastAsia="en-US"/>
                    </w:rPr>
                    <w:t>Identification of relevant receiving compartments based on the exposure pathway</w:t>
                  </w:r>
                </w:p>
              </w:tc>
            </w:tr>
            <w:tr w:rsidR="00DC4AD8" w:rsidRPr="00DC4AD8" w14:paraId="5EFF9F49" w14:textId="77777777" w:rsidTr="00DC4AD8">
              <w:trPr>
                <w:tblHeader/>
              </w:trPr>
              <w:tc>
                <w:tcPr>
                  <w:tcW w:w="682" w:type="pct"/>
                  <w:shd w:val="clear" w:color="auto" w:fill="auto"/>
                  <w:vAlign w:val="center"/>
                </w:tcPr>
                <w:p w14:paraId="2B0A75DF" w14:textId="77777777" w:rsidR="00DC4AD8" w:rsidRPr="00DC4AD8" w:rsidRDefault="00DC4AD8" w:rsidP="00DC4AD8">
                  <w:pPr>
                    <w:widowControl w:val="0"/>
                    <w:jc w:val="center"/>
                    <w:rPr>
                      <w:bCs/>
                      <w:color w:val="000000"/>
                      <w:lang w:eastAsia="en-GB"/>
                    </w:rPr>
                  </w:pPr>
                </w:p>
              </w:tc>
              <w:tc>
                <w:tcPr>
                  <w:tcW w:w="455" w:type="pct"/>
                  <w:shd w:val="clear" w:color="auto" w:fill="auto"/>
                  <w:tcMar>
                    <w:top w:w="57" w:type="dxa"/>
                    <w:left w:w="70" w:type="dxa"/>
                    <w:bottom w:w="57" w:type="dxa"/>
                    <w:right w:w="70" w:type="dxa"/>
                  </w:tcMar>
                  <w:vAlign w:val="center"/>
                </w:tcPr>
                <w:p w14:paraId="4B58C866" w14:textId="77777777" w:rsidR="00DC4AD8" w:rsidRPr="00DC4AD8" w:rsidRDefault="00DC4AD8" w:rsidP="00DC4AD8">
                  <w:pPr>
                    <w:widowControl w:val="0"/>
                    <w:jc w:val="center"/>
                    <w:rPr>
                      <w:rFonts w:cs="Arial"/>
                      <w:color w:val="000000"/>
                      <w:lang w:eastAsia="en-GB"/>
                    </w:rPr>
                  </w:pPr>
                  <w:r w:rsidRPr="00DC4AD8">
                    <w:rPr>
                      <w:rFonts w:cs="Arial"/>
                      <w:color w:val="000000"/>
                      <w:lang w:eastAsia="en-GB"/>
                    </w:rPr>
                    <w:t>Fresh-water</w:t>
                  </w:r>
                </w:p>
              </w:tc>
              <w:tc>
                <w:tcPr>
                  <w:tcW w:w="682" w:type="pct"/>
                  <w:shd w:val="clear" w:color="auto" w:fill="auto"/>
                  <w:tcMar>
                    <w:top w:w="57" w:type="dxa"/>
                    <w:left w:w="70" w:type="dxa"/>
                    <w:bottom w:w="57" w:type="dxa"/>
                    <w:right w:w="70" w:type="dxa"/>
                  </w:tcMar>
                  <w:vAlign w:val="center"/>
                </w:tcPr>
                <w:p w14:paraId="280CC979" w14:textId="77777777" w:rsidR="00DC4AD8" w:rsidRPr="00DC4AD8" w:rsidRDefault="00DC4AD8" w:rsidP="00DC4AD8">
                  <w:pPr>
                    <w:widowControl w:val="0"/>
                    <w:jc w:val="center"/>
                    <w:rPr>
                      <w:rFonts w:cs="Arial"/>
                      <w:color w:val="000000"/>
                      <w:lang w:eastAsia="en-GB"/>
                    </w:rPr>
                  </w:pPr>
                  <w:r w:rsidRPr="00DC4AD8">
                    <w:rPr>
                      <w:rFonts w:cs="Arial"/>
                      <w:color w:val="000000"/>
                      <w:lang w:eastAsia="en-GB"/>
                    </w:rPr>
                    <w:t>Freshwater sediment</w:t>
                  </w:r>
                </w:p>
              </w:tc>
              <w:tc>
                <w:tcPr>
                  <w:tcW w:w="455" w:type="pct"/>
                  <w:shd w:val="clear" w:color="auto" w:fill="auto"/>
                  <w:tcMar>
                    <w:top w:w="57" w:type="dxa"/>
                    <w:left w:w="70" w:type="dxa"/>
                    <w:bottom w:w="57" w:type="dxa"/>
                    <w:right w:w="70" w:type="dxa"/>
                  </w:tcMar>
                  <w:vAlign w:val="center"/>
                </w:tcPr>
                <w:p w14:paraId="0D99E753" w14:textId="77777777" w:rsidR="00DC4AD8" w:rsidRPr="00DC4AD8" w:rsidRDefault="00DC4AD8" w:rsidP="00DC4AD8">
                  <w:pPr>
                    <w:widowControl w:val="0"/>
                    <w:jc w:val="center"/>
                    <w:rPr>
                      <w:rFonts w:cs="Arial"/>
                      <w:color w:val="000000"/>
                      <w:lang w:eastAsia="en-GB"/>
                    </w:rPr>
                  </w:pPr>
                  <w:r w:rsidRPr="00DC4AD8">
                    <w:rPr>
                      <w:rFonts w:cs="Arial"/>
                      <w:color w:val="000000"/>
                      <w:lang w:eastAsia="en-GB"/>
                    </w:rPr>
                    <w:t>Sea-water</w:t>
                  </w:r>
                </w:p>
              </w:tc>
              <w:tc>
                <w:tcPr>
                  <w:tcW w:w="606" w:type="pct"/>
                  <w:shd w:val="clear" w:color="auto" w:fill="auto"/>
                  <w:vAlign w:val="center"/>
                </w:tcPr>
                <w:p w14:paraId="644C0FC0" w14:textId="77777777" w:rsidR="00DC4AD8" w:rsidRPr="00DC4AD8" w:rsidRDefault="00DC4AD8" w:rsidP="00DC4AD8">
                  <w:pPr>
                    <w:widowControl w:val="0"/>
                    <w:jc w:val="center"/>
                    <w:rPr>
                      <w:rFonts w:cs="Arial"/>
                      <w:color w:val="000000"/>
                      <w:lang w:eastAsia="en-GB"/>
                    </w:rPr>
                  </w:pPr>
                  <w:r w:rsidRPr="00DC4AD8">
                    <w:rPr>
                      <w:rFonts w:cs="Arial"/>
                      <w:color w:val="000000"/>
                      <w:lang w:eastAsia="en-GB"/>
                    </w:rPr>
                    <w:t>Seawater sediment</w:t>
                  </w:r>
                </w:p>
              </w:tc>
              <w:tc>
                <w:tcPr>
                  <w:tcW w:w="304" w:type="pct"/>
                  <w:shd w:val="clear" w:color="auto" w:fill="auto"/>
                  <w:vAlign w:val="center"/>
                </w:tcPr>
                <w:p w14:paraId="55052638" w14:textId="77777777" w:rsidR="00DC4AD8" w:rsidRPr="00DC4AD8" w:rsidRDefault="00DC4AD8" w:rsidP="00DC4AD8">
                  <w:pPr>
                    <w:widowControl w:val="0"/>
                    <w:jc w:val="center"/>
                    <w:rPr>
                      <w:rFonts w:cs="Arial"/>
                      <w:color w:val="000000"/>
                      <w:lang w:eastAsia="en-GB"/>
                    </w:rPr>
                  </w:pPr>
                  <w:r w:rsidRPr="00DC4AD8">
                    <w:rPr>
                      <w:rFonts w:cs="Arial"/>
                      <w:color w:val="000000"/>
                      <w:lang w:eastAsia="en-GB"/>
                    </w:rPr>
                    <w:t>STP</w:t>
                  </w:r>
                </w:p>
              </w:tc>
              <w:tc>
                <w:tcPr>
                  <w:tcW w:w="303" w:type="pct"/>
                  <w:shd w:val="clear" w:color="auto" w:fill="auto"/>
                  <w:vAlign w:val="center"/>
                </w:tcPr>
                <w:p w14:paraId="41981AA5" w14:textId="77777777" w:rsidR="00DC4AD8" w:rsidRPr="00DC4AD8" w:rsidRDefault="00DC4AD8" w:rsidP="00DC4AD8">
                  <w:pPr>
                    <w:widowControl w:val="0"/>
                    <w:jc w:val="center"/>
                    <w:rPr>
                      <w:rFonts w:cs="Arial"/>
                      <w:color w:val="000000"/>
                      <w:lang w:eastAsia="en-GB"/>
                    </w:rPr>
                  </w:pPr>
                  <w:r w:rsidRPr="00DC4AD8">
                    <w:rPr>
                      <w:rFonts w:cs="Arial"/>
                      <w:color w:val="000000"/>
                      <w:lang w:eastAsia="en-GB"/>
                    </w:rPr>
                    <w:t>Air</w:t>
                  </w:r>
                </w:p>
              </w:tc>
              <w:tc>
                <w:tcPr>
                  <w:tcW w:w="304" w:type="pct"/>
                  <w:vAlign w:val="center"/>
                </w:tcPr>
                <w:p w14:paraId="0342FFCA" w14:textId="77777777" w:rsidR="00DC4AD8" w:rsidRPr="00DC4AD8" w:rsidRDefault="00DC4AD8" w:rsidP="00DC4AD8">
                  <w:pPr>
                    <w:widowControl w:val="0"/>
                    <w:tabs>
                      <w:tab w:val="center" w:pos="4536"/>
                      <w:tab w:val="right" w:pos="9072"/>
                    </w:tabs>
                    <w:jc w:val="center"/>
                    <w:rPr>
                      <w:bCs/>
                      <w:color w:val="000000"/>
                      <w:lang w:eastAsia="en-GB"/>
                    </w:rPr>
                  </w:pPr>
                  <w:r w:rsidRPr="00DC4AD8">
                    <w:rPr>
                      <w:bCs/>
                      <w:color w:val="000000"/>
                      <w:lang w:eastAsia="en-GB"/>
                    </w:rPr>
                    <w:t>Soil</w:t>
                  </w:r>
                </w:p>
              </w:tc>
              <w:tc>
                <w:tcPr>
                  <w:tcW w:w="602" w:type="pct"/>
                  <w:vAlign w:val="center"/>
                </w:tcPr>
                <w:p w14:paraId="3C5BA5AD" w14:textId="77777777" w:rsidR="00DC4AD8" w:rsidRPr="00DC4AD8" w:rsidRDefault="00DC4AD8" w:rsidP="00DC4AD8">
                  <w:pPr>
                    <w:widowControl w:val="0"/>
                    <w:tabs>
                      <w:tab w:val="center" w:pos="4536"/>
                      <w:tab w:val="right" w:pos="9072"/>
                    </w:tabs>
                    <w:jc w:val="center"/>
                    <w:rPr>
                      <w:bCs/>
                      <w:color w:val="000000"/>
                      <w:lang w:eastAsia="en-GB"/>
                    </w:rPr>
                  </w:pPr>
                  <w:r w:rsidRPr="00DC4AD8">
                    <w:rPr>
                      <w:bCs/>
                      <w:color w:val="000000"/>
                      <w:lang w:eastAsia="en-GB"/>
                    </w:rPr>
                    <w:t>Ground-water</w:t>
                  </w:r>
                </w:p>
              </w:tc>
              <w:tc>
                <w:tcPr>
                  <w:tcW w:w="607" w:type="pct"/>
                  <w:shd w:val="clear" w:color="auto" w:fill="auto"/>
                  <w:tcMar>
                    <w:top w:w="57" w:type="dxa"/>
                    <w:left w:w="70" w:type="dxa"/>
                    <w:bottom w:w="57" w:type="dxa"/>
                    <w:right w:w="70" w:type="dxa"/>
                  </w:tcMar>
                  <w:vAlign w:val="center"/>
                </w:tcPr>
                <w:p w14:paraId="22EFA7A8" w14:textId="77777777" w:rsidR="00DC4AD8" w:rsidRPr="00DC4AD8" w:rsidRDefault="00DC4AD8" w:rsidP="00DC4AD8">
                  <w:pPr>
                    <w:widowControl w:val="0"/>
                    <w:tabs>
                      <w:tab w:val="center" w:pos="4536"/>
                      <w:tab w:val="right" w:pos="9072"/>
                    </w:tabs>
                    <w:jc w:val="center"/>
                    <w:rPr>
                      <w:bCs/>
                      <w:color w:val="000000"/>
                      <w:lang w:eastAsia="en-GB"/>
                    </w:rPr>
                  </w:pPr>
                  <w:r w:rsidRPr="00DC4AD8">
                    <w:rPr>
                      <w:bCs/>
                      <w:color w:val="000000"/>
                      <w:lang w:eastAsia="en-GB"/>
                    </w:rPr>
                    <w:t>Other</w:t>
                  </w:r>
                </w:p>
              </w:tc>
            </w:tr>
            <w:tr w:rsidR="00DC4AD8" w:rsidRPr="00DC4AD8" w14:paraId="508F3644" w14:textId="77777777" w:rsidTr="00DC4AD8">
              <w:trPr>
                <w:tblHeader/>
              </w:trPr>
              <w:tc>
                <w:tcPr>
                  <w:tcW w:w="682" w:type="pct"/>
                  <w:shd w:val="clear" w:color="auto" w:fill="auto"/>
                  <w:tcMar>
                    <w:top w:w="57" w:type="dxa"/>
                    <w:left w:w="70" w:type="dxa"/>
                    <w:bottom w:w="57" w:type="dxa"/>
                    <w:right w:w="70" w:type="dxa"/>
                  </w:tcMar>
                  <w:vAlign w:val="center"/>
                </w:tcPr>
                <w:p w14:paraId="0F8EA9C2" w14:textId="77777777" w:rsidR="00DC4AD8" w:rsidRPr="00DC4AD8" w:rsidRDefault="00DC4AD8" w:rsidP="00DC4AD8">
                  <w:pPr>
                    <w:widowControl w:val="0"/>
                    <w:tabs>
                      <w:tab w:val="center" w:pos="4536"/>
                      <w:tab w:val="right" w:pos="9072"/>
                    </w:tabs>
                    <w:rPr>
                      <w:color w:val="000000"/>
                      <w:lang w:eastAsia="en-GB"/>
                    </w:rPr>
                  </w:pPr>
                  <w:r w:rsidRPr="00DC4AD8">
                    <w:rPr>
                      <w:color w:val="000000"/>
                      <w:lang w:eastAsia="en-GB"/>
                    </w:rPr>
                    <w:t>Scenario 1</w:t>
                  </w:r>
                </w:p>
              </w:tc>
              <w:tc>
                <w:tcPr>
                  <w:tcW w:w="455" w:type="pct"/>
                  <w:shd w:val="clear" w:color="auto" w:fill="auto"/>
                  <w:tcMar>
                    <w:top w:w="57" w:type="dxa"/>
                    <w:left w:w="70" w:type="dxa"/>
                    <w:bottom w:w="57" w:type="dxa"/>
                    <w:right w:w="70" w:type="dxa"/>
                  </w:tcMar>
                  <w:vAlign w:val="center"/>
                </w:tcPr>
                <w:p w14:paraId="6F134314"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yes</w:t>
                  </w:r>
                </w:p>
              </w:tc>
              <w:tc>
                <w:tcPr>
                  <w:tcW w:w="682" w:type="pct"/>
                  <w:shd w:val="clear" w:color="auto" w:fill="auto"/>
                  <w:tcMar>
                    <w:top w:w="57" w:type="dxa"/>
                    <w:left w:w="70" w:type="dxa"/>
                    <w:bottom w:w="57" w:type="dxa"/>
                    <w:right w:w="70" w:type="dxa"/>
                  </w:tcMar>
                  <w:vAlign w:val="center"/>
                </w:tcPr>
                <w:p w14:paraId="51013AAB"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yes</w:t>
                  </w:r>
                </w:p>
              </w:tc>
              <w:tc>
                <w:tcPr>
                  <w:tcW w:w="455" w:type="pct"/>
                  <w:shd w:val="clear" w:color="auto" w:fill="auto"/>
                  <w:tcMar>
                    <w:top w:w="57" w:type="dxa"/>
                    <w:left w:w="70" w:type="dxa"/>
                    <w:bottom w:w="57" w:type="dxa"/>
                    <w:right w:w="70" w:type="dxa"/>
                  </w:tcMar>
                  <w:vAlign w:val="center"/>
                </w:tcPr>
                <w:p w14:paraId="37349B3F"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no</w:t>
                  </w:r>
                </w:p>
              </w:tc>
              <w:tc>
                <w:tcPr>
                  <w:tcW w:w="606" w:type="pct"/>
                  <w:shd w:val="clear" w:color="auto" w:fill="auto"/>
                  <w:vAlign w:val="center"/>
                </w:tcPr>
                <w:p w14:paraId="783493A7"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no</w:t>
                  </w:r>
                </w:p>
              </w:tc>
              <w:tc>
                <w:tcPr>
                  <w:tcW w:w="304" w:type="pct"/>
                  <w:shd w:val="clear" w:color="auto" w:fill="auto"/>
                  <w:vAlign w:val="center"/>
                </w:tcPr>
                <w:p w14:paraId="141170B8"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yes</w:t>
                  </w:r>
                </w:p>
              </w:tc>
              <w:tc>
                <w:tcPr>
                  <w:tcW w:w="303" w:type="pct"/>
                  <w:shd w:val="clear" w:color="auto" w:fill="auto"/>
                  <w:vAlign w:val="center"/>
                </w:tcPr>
                <w:p w14:paraId="7C1E10D7"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no</w:t>
                  </w:r>
                </w:p>
              </w:tc>
              <w:tc>
                <w:tcPr>
                  <w:tcW w:w="304" w:type="pct"/>
                </w:tcPr>
                <w:p w14:paraId="28790BAE"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yes</w:t>
                  </w:r>
                </w:p>
              </w:tc>
              <w:tc>
                <w:tcPr>
                  <w:tcW w:w="602" w:type="pct"/>
                </w:tcPr>
                <w:p w14:paraId="46C1EA8D"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yes</w:t>
                  </w:r>
                </w:p>
              </w:tc>
              <w:tc>
                <w:tcPr>
                  <w:tcW w:w="607" w:type="pct"/>
                  <w:shd w:val="clear" w:color="auto" w:fill="auto"/>
                  <w:tcMar>
                    <w:top w:w="57" w:type="dxa"/>
                    <w:left w:w="70" w:type="dxa"/>
                    <w:bottom w:w="57" w:type="dxa"/>
                    <w:right w:w="70" w:type="dxa"/>
                  </w:tcMar>
                  <w:vAlign w:val="center"/>
                </w:tcPr>
                <w:p w14:paraId="185002FC" w14:textId="77777777" w:rsidR="00DC4AD8" w:rsidRPr="00DC4AD8" w:rsidRDefault="00DC4AD8" w:rsidP="00DC4AD8">
                  <w:pPr>
                    <w:widowControl w:val="0"/>
                    <w:tabs>
                      <w:tab w:val="center" w:pos="4536"/>
                      <w:tab w:val="right" w:pos="9072"/>
                    </w:tabs>
                    <w:rPr>
                      <w:color w:val="000000"/>
                      <w:lang w:eastAsia="en-GB"/>
                    </w:rPr>
                  </w:pPr>
                  <w:r w:rsidRPr="00DC4AD8">
                    <w:rPr>
                      <w:i/>
                      <w:color w:val="000000"/>
                      <w:lang w:eastAsia="en-GB"/>
                    </w:rPr>
                    <w:t>no</w:t>
                  </w:r>
                </w:p>
              </w:tc>
            </w:tr>
          </w:tbl>
          <w:p w14:paraId="2121BBCD" w14:textId="77777777" w:rsidR="00DC4AD8" w:rsidRPr="00DC4AD8" w:rsidRDefault="00DC4AD8" w:rsidP="00DC4AD8">
            <w:pPr>
              <w:spacing w:line="276" w:lineRule="auto"/>
              <w:jc w:val="both"/>
              <w:rPr>
                <w:rFonts w:cs="Arial"/>
                <w:sz w:val="20"/>
                <w:szCs w:val="20"/>
              </w:rPr>
            </w:pPr>
          </w:p>
        </w:tc>
      </w:tr>
    </w:tbl>
    <w:p w14:paraId="5E15CEE9" w14:textId="77777777" w:rsidR="00DC4AD8" w:rsidRPr="00DC4AD8" w:rsidRDefault="00DC4AD8" w:rsidP="00DC4AD8">
      <w:pPr>
        <w:rPr>
          <w:b/>
          <w:i/>
          <w:szCs w:val="22"/>
          <w:lang w:eastAsia="en-US"/>
        </w:rPr>
      </w:pPr>
    </w:p>
    <w:tbl>
      <w:tblPr>
        <w:tblStyle w:val="Grilledutableau4"/>
        <w:tblW w:w="9321" w:type="dxa"/>
        <w:tblInd w:w="108" w:type="dxa"/>
        <w:tblLook w:val="04A0" w:firstRow="1" w:lastRow="0" w:firstColumn="1" w:lastColumn="0" w:noHBand="0" w:noVBand="1"/>
      </w:tblPr>
      <w:tblGrid>
        <w:gridCol w:w="9321"/>
      </w:tblGrid>
      <w:tr w:rsidR="00DC4AD8" w:rsidRPr="00DC4AD8" w14:paraId="7B681125" w14:textId="77777777" w:rsidTr="00DC4AD8">
        <w:trPr>
          <w:trHeight w:val="1474"/>
        </w:trPr>
        <w:tc>
          <w:tcPr>
            <w:tcW w:w="9321" w:type="dxa"/>
            <w:shd w:val="clear" w:color="auto" w:fill="D6E3BC" w:themeFill="accent3" w:themeFillTint="66"/>
          </w:tcPr>
          <w:p w14:paraId="05AFA26E" w14:textId="77777777" w:rsidR="00DC4AD8" w:rsidRPr="00DC4AD8" w:rsidRDefault="00DC4AD8" w:rsidP="00DC4AD8">
            <w:pPr>
              <w:spacing w:line="276" w:lineRule="auto"/>
              <w:jc w:val="both"/>
              <w:rPr>
                <w:rFonts w:cs="Arial"/>
                <w:b/>
                <w:sz w:val="20"/>
                <w:szCs w:val="20"/>
              </w:rPr>
            </w:pPr>
            <w:r w:rsidRPr="00DC4AD8">
              <w:rPr>
                <w:rStyle w:val="LgendeCar"/>
                <w:b/>
              </w:rPr>
              <w:t xml:space="preserve">Infobox </w:t>
            </w:r>
            <w:r w:rsidRPr="00DC4AD8">
              <w:rPr>
                <w:rStyle w:val="LgendeCar"/>
                <w:b/>
              </w:rPr>
              <w:fldChar w:fldCharType="begin"/>
            </w:r>
            <w:r w:rsidRPr="00DC4AD8">
              <w:rPr>
                <w:rStyle w:val="LgendeCar"/>
                <w:b/>
              </w:rPr>
              <w:instrText xml:space="preserve"> SEQ Infobox \* ARABIC </w:instrText>
            </w:r>
            <w:r w:rsidRPr="00DC4AD8">
              <w:rPr>
                <w:rStyle w:val="LgendeCar"/>
                <w:b/>
              </w:rPr>
              <w:fldChar w:fldCharType="separate"/>
            </w:r>
            <w:r w:rsidR="00D3764E">
              <w:rPr>
                <w:rStyle w:val="LgendeCar"/>
                <w:b/>
                <w:noProof/>
              </w:rPr>
              <w:t>6</w:t>
            </w:r>
            <w:r w:rsidRPr="00DC4AD8">
              <w:rPr>
                <w:rStyle w:val="LgendeCar"/>
                <w:b/>
              </w:rPr>
              <w:fldChar w:fldCharType="end"/>
            </w:r>
            <w:r w:rsidRPr="00DC4AD8">
              <w:rPr>
                <w:rStyle w:val="LgendeCar"/>
                <w:b/>
              </w:rPr>
              <w:t xml:space="preserve"> - </w:t>
            </w:r>
            <w:r w:rsidRPr="00DC4AD8">
              <w:rPr>
                <w:rFonts w:cs="Arial"/>
                <w:b/>
                <w:sz w:val="20"/>
                <w:szCs w:val="20"/>
              </w:rPr>
              <w:t>FR CA position:</w:t>
            </w:r>
          </w:p>
          <w:p w14:paraId="3DF70B03" w14:textId="77777777" w:rsidR="00DC4AD8" w:rsidRPr="00DC4AD8" w:rsidRDefault="00DC4AD8" w:rsidP="00DC4AD8">
            <w:pPr>
              <w:spacing w:line="276" w:lineRule="auto"/>
              <w:jc w:val="both"/>
              <w:rPr>
                <w:rFonts w:cs="Arial"/>
                <w:sz w:val="20"/>
                <w:szCs w:val="20"/>
              </w:rPr>
            </w:pPr>
            <w:r w:rsidRPr="00DC4AD8">
              <w:rPr>
                <w:rFonts w:cs="Arial"/>
                <w:sz w:val="20"/>
                <w:szCs w:val="20"/>
              </w:rPr>
              <w:t>The table below presents the physico-chemical parameters needed for the PEC calculations.</w:t>
            </w:r>
          </w:p>
          <w:p w14:paraId="496E3CA5" w14:textId="77777777" w:rsidR="00DC4AD8" w:rsidRPr="00DC4AD8" w:rsidRDefault="00DC4AD8" w:rsidP="00DC4AD8">
            <w:pPr>
              <w:spacing w:line="276" w:lineRule="auto"/>
              <w:jc w:val="both"/>
              <w:rPr>
                <w:rFonts w:cs="Arial"/>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7"/>
              <w:gridCol w:w="1922"/>
            </w:tblGrid>
            <w:tr w:rsidR="00DC4AD8" w:rsidRPr="00DC4AD8" w14:paraId="57F27F0B" w14:textId="77777777" w:rsidTr="008B4D23">
              <w:trPr>
                <w:trHeight w:val="496"/>
              </w:trPr>
              <w:tc>
                <w:tcPr>
                  <w:tcW w:w="8789" w:type="dxa"/>
                  <w:gridSpan w:val="2"/>
                  <w:shd w:val="clear" w:color="auto" w:fill="FFFFCC"/>
                  <w:vAlign w:val="center"/>
                </w:tcPr>
                <w:p w14:paraId="25195584" w14:textId="77777777" w:rsidR="00DC4AD8" w:rsidRPr="00DC4AD8" w:rsidRDefault="00DC4AD8" w:rsidP="00DC4AD8">
                  <w:pPr>
                    <w:autoSpaceDE w:val="0"/>
                    <w:autoSpaceDN w:val="0"/>
                    <w:adjustRightInd w:val="0"/>
                    <w:jc w:val="center"/>
                    <w:rPr>
                      <w:rFonts w:cs="Arial"/>
                      <w:b/>
                      <w:color w:val="000000"/>
                      <w:sz w:val="18"/>
                      <w:szCs w:val="18"/>
                      <w:lang w:eastAsia="en-GB"/>
                    </w:rPr>
                  </w:pPr>
                  <w:r w:rsidRPr="00DC4AD8">
                    <w:rPr>
                      <w:rFonts w:cs="Arial"/>
                      <w:b/>
                      <w:color w:val="000000"/>
                      <w:lang w:eastAsia="en-GB"/>
                    </w:rPr>
                    <w:t>Input parameters used in the environmental exposure assessments according to the CAR (December,2013)</w:t>
                  </w:r>
                  <w:r w:rsidRPr="00DC4AD8">
                    <w:rPr>
                      <w:rFonts w:cs="Arial"/>
                      <w:b/>
                      <w:color w:val="000000"/>
                      <w:sz w:val="18"/>
                      <w:szCs w:val="18"/>
                      <w:lang w:eastAsia="en-GB"/>
                    </w:rPr>
                    <w:t xml:space="preserve"> </w:t>
                  </w:r>
                </w:p>
              </w:tc>
            </w:tr>
            <w:tr w:rsidR="00DC4AD8" w:rsidRPr="00DC4AD8" w14:paraId="3081B76E" w14:textId="77777777" w:rsidTr="008B4D23">
              <w:trPr>
                <w:trHeight w:val="496"/>
              </w:trPr>
              <w:tc>
                <w:tcPr>
                  <w:tcW w:w="6867" w:type="dxa"/>
                  <w:shd w:val="clear" w:color="auto" w:fill="FFFFFF"/>
                  <w:vAlign w:val="center"/>
                </w:tcPr>
                <w:p w14:paraId="0D00BDE3" w14:textId="77777777" w:rsidR="00DC4AD8" w:rsidRPr="00DC4AD8" w:rsidRDefault="00DC4AD8" w:rsidP="00DC4AD8">
                  <w:pPr>
                    <w:autoSpaceDE w:val="0"/>
                    <w:autoSpaceDN w:val="0"/>
                    <w:adjustRightInd w:val="0"/>
                    <w:rPr>
                      <w:rFonts w:cs="Arial"/>
                      <w:b/>
                      <w:color w:val="000000"/>
                      <w:u w:val="single"/>
                      <w:lang w:eastAsia="en-GB"/>
                    </w:rPr>
                  </w:pPr>
                  <w:r w:rsidRPr="00DC4AD8">
                    <w:rPr>
                      <w:rFonts w:cs="Arial"/>
                      <w:b/>
                      <w:bCs/>
                      <w:color w:val="000000"/>
                      <w:u w:val="single"/>
                      <w:lang w:eastAsia="en-GB"/>
                    </w:rPr>
                    <w:t>Parameters for iodine</w:t>
                  </w:r>
                </w:p>
              </w:tc>
              <w:tc>
                <w:tcPr>
                  <w:tcW w:w="1922" w:type="dxa"/>
                  <w:shd w:val="clear" w:color="auto" w:fill="FFFFFF"/>
                  <w:vAlign w:val="center"/>
                </w:tcPr>
                <w:p w14:paraId="70816EBA" w14:textId="77777777" w:rsidR="00DC4AD8" w:rsidRPr="00DC4AD8" w:rsidRDefault="00DC4AD8" w:rsidP="00DC4AD8">
                  <w:pPr>
                    <w:autoSpaceDE w:val="0"/>
                    <w:autoSpaceDN w:val="0"/>
                    <w:adjustRightInd w:val="0"/>
                    <w:jc w:val="center"/>
                    <w:rPr>
                      <w:rFonts w:cs="Arial"/>
                      <w:color w:val="000000"/>
                      <w:lang w:eastAsia="en-GB"/>
                    </w:rPr>
                  </w:pPr>
                  <w:r w:rsidRPr="00DC4AD8">
                    <w:rPr>
                      <w:rFonts w:cs="Arial"/>
                      <w:bCs/>
                      <w:color w:val="000000"/>
                      <w:lang w:eastAsia="en-GB"/>
                    </w:rPr>
                    <w:t>Value</w:t>
                  </w:r>
                </w:p>
              </w:tc>
            </w:tr>
            <w:tr w:rsidR="00DC4AD8" w:rsidRPr="00DC4AD8" w14:paraId="56BD0A47" w14:textId="77777777" w:rsidTr="008B4D23">
              <w:trPr>
                <w:trHeight w:val="119"/>
              </w:trPr>
              <w:tc>
                <w:tcPr>
                  <w:tcW w:w="6867" w:type="dxa"/>
                  <w:shd w:val="clear" w:color="auto" w:fill="FFFFFF"/>
                </w:tcPr>
                <w:p w14:paraId="7B66B320"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Molecular mass (g.mol</w:t>
                  </w:r>
                  <w:r w:rsidRPr="00DC4AD8">
                    <w:rPr>
                      <w:rStyle w:val="MSGENFONTSTYLENAMETEMPLATEROLENUMBERMSGENFONTSTYLENAMEBYROLETEXT2MSGENFONTSTYLEMODIFERSIZE9"/>
                      <w:rFonts w:ascii="Verdana" w:hAnsi="Verdana"/>
                      <w:vertAlign w:val="superscript"/>
                    </w:rPr>
                    <w:t>-1</w:t>
                  </w:r>
                  <w:r w:rsidRPr="00DC4AD8">
                    <w:rPr>
                      <w:rStyle w:val="MSGENFONTSTYLENAMETEMPLATEROLENUMBERMSGENFONTSTYLENAMEBYROLETEXT2MSGENFONTSTYLEMODIFERSIZE9"/>
                      <w:rFonts w:ascii="Verdana" w:hAnsi="Verdana"/>
                    </w:rPr>
                    <w:t>)</w:t>
                  </w:r>
                </w:p>
              </w:tc>
              <w:tc>
                <w:tcPr>
                  <w:tcW w:w="1922" w:type="dxa"/>
                  <w:shd w:val="clear" w:color="auto" w:fill="FFFFFF"/>
                </w:tcPr>
                <w:p w14:paraId="2DF2CD5C"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Fonts w:ascii="Verdana" w:hAnsi="Verdana"/>
                      <w:sz w:val="18"/>
                      <w:szCs w:val="18"/>
                    </w:rPr>
                  </w:pPr>
                  <w:r w:rsidRPr="00DC4AD8">
                    <w:rPr>
                      <w:rFonts w:ascii="Verdana" w:hAnsi="Verdana"/>
                      <w:sz w:val="18"/>
                      <w:szCs w:val="18"/>
                    </w:rPr>
                    <w:t>253.81</w:t>
                  </w:r>
                </w:p>
              </w:tc>
            </w:tr>
            <w:tr w:rsidR="00DC4AD8" w:rsidRPr="00DC4AD8" w14:paraId="1DA0F03F" w14:textId="77777777" w:rsidTr="008B4D23">
              <w:trPr>
                <w:trHeight w:val="119"/>
              </w:trPr>
              <w:tc>
                <w:tcPr>
                  <w:tcW w:w="6867" w:type="dxa"/>
                  <w:shd w:val="clear" w:color="auto" w:fill="FFFFFF"/>
                </w:tcPr>
                <w:p w14:paraId="2D40270D"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Vapour pressure (Pa)</w:t>
                  </w:r>
                </w:p>
              </w:tc>
              <w:tc>
                <w:tcPr>
                  <w:tcW w:w="1922" w:type="dxa"/>
                  <w:shd w:val="clear" w:color="auto" w:fill="FFFFFF"/>
                </w:tcPr>
                <w:p w14:paraId="1126EEB9"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Fonts w:ascii="Verdana" w:hAnsi="Verdana"/>
                      <w:b/>
                    </w:rPr>
                  </w:pPr>
                  <w:r w:rsidRPr="00DC4AD8">
                    <w:rPr>
                      <w:rFonts w:ascii="Verdana" w:hAnsi="Verdana"/>
                      <w:sz w:val="18"/>
                      <w:szCs w:val="18"/>
                    </w:rPr>
                    <w:t>40.7</w:t>
                  </w:r>
                </w:p>
              </w:tc>
            </w:tr>
            <w:tr w:rsidR="00DC4AD8" w:rsidRPr="00DC4AD8" w14:paraId="7A9C15B7" w14:textId="77777777" w:rsidTr="008B4D23">
              <w:trPr>
                <w:trHeight w:val="119"/>
              </w:trPr>
              <w:tc>
                <w:tcPr>
                  <w:tcW w:w="6867" w:type="dxa"/>
                  <w:shd w:val="clear" w:color="auto" w:fill="FFFFFF"/>
                </w:tcPr>
                <w:p w14:paraId="422D6DD7"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Water solubility (mg.L</w:t>
                  </w:r>
                  <w:r w:rsidRPr="00DC4AD8">
                    <w:rPr>
                      <w:rStyle w:val="MSGENFONTSTYLENAMETEMPLATEROLENUMBERMSGENFONTSTYLENAMEBYROLETEXT2MSGENFONTSTYLEMODIFERSIZE9"/>
                      <w:rFonts w:ascii="Verdana" w:hAnsi="Verdana"/>
                      <w:vertAlign w:val="superscript"/>
                    </w:rPr>
                    <w:t>-1</w:t>
                  </w:r>
                  <w:r w:rsidRPr="00DC4AD8">
                    <w:rPr>
                      <w:rStyle w:val="MSGENFONTSTYLENAMETEMPLATEROLENUMBERMSGENFONTSTYLENAMEBYROLETEXT2MSGENFONTSTYLEMODIFERSIZE9"/>
                      <w:rFonts w:ascii="Verdana" w:hAnsi="Verdana"/>
                    </w:rPr>
                    <w:t>)</w:t>
                  </w:r>
                </w:p>
              </w:tc>
              <w:tc>
                <w:tcPr>
                  <w:tcW w:w="1922" w:type="dxa"/>
                  <w:shd w:val="clear" w:color="auto" w:fill="FFFFFF"/>
                </w:tcPr>
                <w:p w14:paraId="63DB997C"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290</w:t>
                  </w:r>
                </w:p>
              </w:tc>
            </w:tr>
            <w:tr w:rsidR="00DC4AD8" w:rsidRPr="00DC4AD8" w14:paraId="074E374C" w14:textId="77777777" w:rsidTr="008B4D23">
              <w:trPr>
                <w:trHeight w:val="119"/>
              </w:trPr>
              <w:tc>
                <w:tcPr>
                  <w:tcW w:w="6867" w:type="dxa"/>
                  <w:shd w:val="clear" w:color="auto" w:fill="FFFFFF"/>
                </w:tcPr>
                <w:p w14:paraId="50FA0E5B"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Henry’s law constant (Pa.m</w:t>
                  </w:r>
                  <w:r w:rsidRPr="00DC4AD8">
                    <w:rPr>
                      <w:rStyle w:val="MSGENFONTSTYLENAMETEMPLATEROLENUMBERMSGENFONTSTYLENAMEBYROLETEXT2MSGENFONTSTYLEMODIFERSIZE9"/>
                      <w:rFonts w:ascii="Verdana" w:hAnsi="Verdana"/>
                      <w:vertAlign w:val="superscript"/>
                    </w:rPr>
                    <w:t>3</w:t>
                  </w:r>
                  <w:r w:rsidRPr="00DC4AD8">
                    <w:rPr>
                      <w:rStyle w:val="MSGENFONTSTYLENAMETEMPLATEROLENUMBERMSGENFONTSTYLENAMEBYROLETEXT2MSGENFONTSTYLEMODIFERSIZE9"/>
                      <w:rFonts w:ascii="Verdana" w:hAnsi="Verdana"/>
                    </w:rPr>
                    <w:t>.mole</w:t>
                  </w:r>
                  <w:r w:rsidRPr="00DC4AD8">
                    <w:rPr>
                      <w:rStyle w:val="MSGENFONTSTYLENAMETEMPLATEROLENUMBERMSGENFONTSTYLENAMEBYROLETEXT2MSGENFONTSTYLEMODIFERSIZE9"/>
                      <w:rFonts w:ascii="Verdana" w:hAnsi="Verdana"/>
                      <w:vertAlign w:val="superscript"/>
                    </w:rPr>
                    <w:t>-1</w:t>
                  </w:r>
                  <w:r w:rsidRPr="00DC4AD8">
                    <w:rPr>
                      <w:rStyle w:val="MSGENFONTSTYLENAMETEMPLATEROLENUMBERMSGENFONTSTYLENAMEBYROLETEXT2MSGENFONTSTYLEMODIFERSIZE9"/>
                      <w:rFonts w:ascii="Verdana" w:hAnsi="Verdana"/>
                    </w:rPr>
                    <w:t>)</w:t>
                  </w:r>
                </w:p>
              </w:tc>
              <w:tc>
                <w:tcPr>
                  <w:tcW w:w="1922" w:type="dxa"/>
                  <w:shd w:val="clear" w:color="auto" w:fill="FFFFFF"/>
                </w:tcPr>
                <w:p w14:paraId="2405A316"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34.43</w:t>
                  </w:r>
                </w:p>
              </w:tc>
            </w:tr>
            <w:tr w:rsidR="00DC4AD8" w:rsidRPr="00DC4AD8" w14:paraId="3E717E2D" w14:textId="77777777" w:rsidTr="008B4D23">
              <w:trPr>
                <w:trHeight w:val="119"/>
              </w:trPr>
              <w:tc>
                <w:tcPr>
                  <w:tcW w:w="6867" w:type="dxa"/>
                  <w:shd w:val="clear" w:color="auto" w:fill="FFFFFF"/>
                </w:tcPr>
                <w:p w14:paraId="5EAC09D7"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lang w:val="sv-SE"/>
                    </w:rPr>
                  </w:pPr>
                  <w:r w:rsidRPr="00DC4AD8">
                    <w:rPr>
                      <w:rStyle w:val="MSGENFONTSTYLENAMETEMPLATEROLENUMBERMSGENFONTSTYLENAMEBYROLETEXT2MSGENFONTSTYLEMODIFERSIZE9"/>
                      <w:rFonts w:ascii="Verdana" w:hAnsi="Verdana"/>
                    </w:rPr>
                    <w:t xml:space="preserve">Kpsusp: </w:t>
                  </w:r>
                  <w:r w:rsidRPr="00DC4AD8">
                    <w:rPr>
                      <w:rStyle w:val="MSGENFONTSTYLENAMETEMPLATEROLENUMBERMSGENFONTSTYLENAMEBYROLETEXT2MSGENFONTSTYLEMODIFERSIZE9"/>
                      <w:rFonts w:ascii="Verdana" w:hAnsi="Verdana"/>
                      <w:b w:val="0"/>
                    </w:rPr>
                    <w:t>Partition coefficient solid-water in suspended matter</w:t>
                  </w:r>
                  <w:r w:rsidRPr="00DC4AD8">
                    <w:rPr>
                      <w:rStyle w:val="MSGENFONTSTYLENAMETEMPLATEROLENUMBERMSGENFONTSTYLENAMEBYROLETEXT2MSGENFONTSTYLEMODIFERSIZE9"/>
                      <w:rFonts w:ascii="Verdana" w:hAnsi="Verdana"/>
                    </w:rPr>
                    <w:t xml:space="preserve"> (L/kg)</w:t>
                  </w:r>
                </w:p>
              </w:tc>
              <w:tc>
                <w:tcPr>
                  <w:tcW w:w="1922" w:type="dxa"/>
                  <w:shd w:val="clear" w:color="auto" w:fill="FFFFFF"/>
                </w:tcPr>
                <w:p w14:paraId="090275E5"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220</w:t>
                  </w:r>
                </w:p>
              </w:tc>
            </w:tr>
            <w:tr w:rsidR="00DC4AD8" w:rsidRPr="00DC4AD8" w14:paraId="24F41BAA" w14:textId="77777777" w:rsidTr="008B4D23">
              <w:trPr>
                <w:trHeight w:val="119"/>
              </w:trPr>
              <w:tc>
                <w:tcPr>
                  <w:tcW w:w="6867" w:type="dxa"/>
                  <w:shd w:val="clear" w:color="auto" w:fill="FFFFFF"/>
                </w:tcPr>
                <w:p w14:paraId="23024FBA"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Ksusp-water:</w:t>
                  </w:r>
                  <w:r w:rsidRPr="00DC4AD8">
                    <w:rPr>
                      <w:rStyle w:val="MSGENFONTSTYLENAMETEMPLATEROLENUMBERMSGENFONTSTYLENAMEBYROLETEXT2MSGENFONTSTYLEMODIFERSIZE9"/>
                      <w:rFonts w:ascii="Verdana" w:hAnsi="Verdana"/>
                      <w:b w:val="0"/>
                      <w:lang w:val="sv-SE"/>
                    </w:rPr>
                    <w:t xml:space="preserve"> Susp-water partition coefficient</w:t>
                  </w:r>
                  <w:r w:rsidRPr="00DC4AD8">
                    <w:rPr>
                      <w:rStyle w:val="MSGENFONTSTYLENAMETEMPLATEROLENUMBERMSGENFONTSTYLENAMEBYROLETEXT2MSGENFONTSTYLEMODIFERSIZE9"/>
                      <w:rFonts w:ascii="Verdana" w:hAnsi="Verdana"/>
                      <w:lang w:val="sv-SE"/>
                    </w:rPr>
                    <w:t xml:space="preserve"> (m</w:t>
                  </w:r>
                  <w:r w:rsidRPr="00DC4AD8">
                    <w:rPr>
                      <w:rStyle w:val="MSGENFONTSTYLENAMETEMPLATEROLENUMBERMSGENFONTSTYLENAMEBYROLETEXT2MSGENFONTSTYLEMODIFERSIZE9"/>
                      <w:rFonts w:ascii="Verdana" w:hAnsi="Verdana"/>
                      <w:vertAlign w:val="superscript"/>
                      <w:lang w:val="sv-SE"/>
                    </w:rPr>
                    <w:t>3</w:t>
                  </w:r>
                  <w:r w:rsidRPr="00DC4AD8">
                    <w:rPr>
                      <w:rStyle w:val="MSGENFONTSTYLENAMETEMPLATEROLENUMBERMSGENFONTSTYLENAMEBYROLETEXT2MSGENFONTSTYLEMODIFERSIZE9"/>
                      <w:rFonts w:ascii="Verdana" w:hAnsi="Verdana"/>
                      <w:lang w:val="sv-SE"/>
                    </w:rPr>
                    <w:t>/m</w:t>
                  </w:r>
                  <w:r w:rsidRPr="00DC4AD8">
                    <w:rPr>
                      <w:rStyle w:val="MSGENFONTSTYLENAMETEMPLATEROLENUMBERMSGENFONTSTYLENAMEBYROLETEXT2MSGENFONTSTYLEMODIFERSIZE9"/>
                      <w:rFonts w:ascii="Verdana" w:hAnsi="Verdana"/>
                      <w:vertAlign w:val="superscript"/>
                      <w:lang w:val="sv-SE"/>
                    </w:rPr>
                    <w:t>3</w:t>
                  </w:r>
                  <w:r w:rsidRPr="00DC4AD8">
                    <w:rPr>
                      <w:rStyle w:val="MSGENFONTSTYLENAMETEMPLATEROLENUMBERMSGENFONTSTYLENAMEBYROLETEXT2MSGENFONTSTYLEMODIFERSIZE9"/>
                      <w:rFonts w:ascii="Verdana" w:hAnsi="Verdana"/>
                      <w:lang w:val="sv-SE"/>
                    </w:rPr>
                    <w:t>)</w:t>
                  </w:r>
                </w:p>
              </w:tc>
              <w:tc>
                <w:tcPr>
                  <w:tcW w:w="1922" w:type="dxa"/>
                  <w:shd w:val="clear" w:color="auto" w:fill="FFFFFF"/>
                </w:tcPr>
                <w:p w14:paraId="2AB96212"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55.9</w:t>
                  </w:r>
                </w:p>
              </w:tc>
            </w:tr>
            <w:tr w:rsidR="00DC4AD8" w:rsidRPr="00DC4AD8" w14:paraId="233FF680" w14:textId="77777777" w:rsidTr="008B4D23">
              <w:trPr>
                <w:trHeight w:val="119"/>
              </w:trPr>
              <w:tc>
                <w:tcPr>
                  <w:tcW w:w="6867" w:type="dxa"/>
                  <w:shd w:val="clear" w:color="auto" w:fill="FFFFFF"/>
                </w:tcPr>
                <w:p w14:paraId="43D61B67"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lang w:val="sv-SE"/>
                    </w:rPr>
                  </w:pPr>
                  <w:r w:rsidRPr="00DC4AD8">
                    <w:rPr>
                      <w:rStyle w:val="MSGENFONTSTYLENAMETEMPLATEROLENUMBERMSGENFONTSTYLENAMEBYROLETEXT2MSGENFONTSTYLEMODIFERSIZE9"/>
                      <w:rFonts w:ascii="Verdana" w:hAnsi="Verdana"/>
                      <w:lang w:val="sv-SE"/>
                    </w:rPr>
                    <w:t xml:space="preserve">Kpsoil: </w:t>
                  </w:r>
                  <w:r w:rsidRPr="00DC4AD8">
                    <w:rPr>
                      <w:rStyle w:val="MSGENFONTSTYLENAMETEMPLATEROLENUMBERMSGENFONTSTYLENAMEBYROLETEXT2MSGENFONTSTYLEMODIFERSIZE9"/>
                      <w:rFonts w:ascii="Verdana" w:hAnsi="Verdana"/>
                      <w:b w:val="0"/>
                      <w:lang w:val="sv-SE"/>
                    </w:rPr>
                    <w:t>Partition coefficient organic carbon-water</w:t>
                  </w:r>
                  <w:r w:rsidRPr="00DC4AD8">
                    <w:rPr>
                      <w:rStyle w:val="MSGENFONTSTYLENAMETEMPLATEROLENUMBERMSGENFONTSTYLENAMEBYROLETEXT2MSGENFONTSTYLEMODIFERSIZE9"/>
                      <w:rFonts w:ascii="Verdana" w:hAnsi="Verdana"/>
                      <w:lang w:val="sv-SE"/>
                    </w:rPr>
                    <w:t xml:space="preserve"> (L/kg)</w:t>
                  </w:r>
                </w:p>
              </w:tc>
              <w:tc>
                <w:tcPr>
                  <w:tcW w:w="1922" w:type="dxa"/>
                  <w:shd w:val="clear" w:color="auto" w:fill="FFFFFF"/>
                </w:tcPr>
                <w:p w14:paraId="07E625AC"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5.8</w:t>
                  </w:r>
                </w:p>
              </w:tc>
            </w:tr>
            <w:tr w:rsidR="00DC4AD8" w:rsidRPr="00DC4AD8" w14:paraId="22A741A2" w14:textId="77777777" w:rsidTr="008B4D23">
              <w:trPr>
                <w:trHeight w:val="119"/>
              </w:trPr>
              <w:tc>
                <w:tcPr>
                  <w:tcW w:w="6867" w:type="dxa"/>
                  <w:shd w:val="clear" w:color="auto" w:fill="FFFFFF"/>
                </w:tcPr>
                <w:p w14:paraId="67E05D1F"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lang w:val="sv-SE"/>
                    </w:rPr>
                    <w:t xml:space="preserve">Ksoil-water: </w:t>
                  </w:r>
                  <w:r w:rsidRPr="00DC4AD8">
                    <w:rPr>
                      <w:rStyle w:val="MSGENFONTSTYLENAMETEMPLATEROLENUMBERMSGENFONTSTYLENAMEBYROLETEXT2MSGENFONTSTYLEMODIFERSIZE9"/>
                      <w:rFonts w:ascii="Verdana" w:hAnsi="Verdana"/>
                      <w:b w:val="0"/>
                      <w:lang w:val="sv-SE"/>
                    </w:rPr>
                    <w:t>Soil-water partition coefficient</w:t>
                  </w:r>
                  <w:r w:rsidRPr="00DC4AD8">
                    <w:rPr>
                      <w:rStyle w:val="MSGENFONTSTYLENAMETEMPLATEROLENUMBERMSGENFONTSTYLENAMEBYROLETEXT2MSGENFONTSTYLEMODIFERSIZE9"/>
                      <w:rFonts w:ascii="Verdana" w:hAnsi="Verdana"/>
                      <w:lang w:val="sv-SE"/>
                    </w:rPr>
                    <w:t xml:space="preserve"> (m</w:t>
                  </w:r>
                  <w:r w:rsidRPr="00DC4AD8">
                    <w:rPr>
                      <w:rStyle w:val="MSGENFONTSTYLENAMETEMPLATEROLENUMBERMSGENFONTSTYLENAMEBYROLETEXT2MSGENFONTSTYLEMODIFERSIZE9"/>
                      <w:rFonts w:ascii="Verdana" w:hAnsi="Verdana"/>
                      <w:vertAlign w:val="superscript"/>
                      <w:lang w:val="sv-SE"/>
                    </w:rPr>
                    <w:t>3</w:t>
                  </w:r>
                  <w:r w:rsidRPr="00DC4AD8">
                    <w:rPr>
                      <w:rStyle w:val="MSGENFONTSTYLENAMETEMPLATEROLENUMBERMSGENFONTSTYLENAMEBYROLETEXT2MSGENFONTSTYLEMODIFERSIZE9"/>
                      <w:rFonts w:ascii="Verdana" w:hAnsi="Verdana"/>
                      <w:lang w:val="sv-SE"/>
                    </w:rPr>
                    <w:t>/m</w:t>
                  </w:r>
                  <w:r w:rsidRPr="00DC4AD8">
                    <w:rPr>
                      <w:rStyle w:val="MSGENFONTSTYLENAMETEMPLATEROLENUMBERMSGENFONTSTYLENAMEBYROLETEXT2MSGENFONTSTYLEMODIFERSIZE9"/>
                      <w:rFonts w:ascii="Verdana" w:hAnsi="Verdana"/>
                      <w:vertAlign w:val="superscript"/>
                      <w:lang w:val="sv-SE"/>
                    </w:rPr>
                    <w:t>3</w:t>
                  </w:r>
                  <w:r w:rsidRPr="00DC4AD8">
                    <w:rPr>
                      <w:rStyle w:val="MSGENFONTSTYLENAMETEMPLATEROLENUMBERMSGENFONTSTYLENAMEBYROLETEXT2MSGENFONTSTYLEMODIFERSIZE9"/>
                      <w:rFonts w:ascii="Verdana" w:hAnsi="Verdana"/>
                      <w:lang w:val="sv-SE"/>
                    </w:rPr>
                    <w:t>)</w:t>
                  </w:r>
                </w:p>
              </w:tc>
              <w:tc>
                <w:tcPr>
                  <w:tcW w:w="1922" w:type="dxa"/>
                  <w:shd w:val="clear" w:color="auto" w:fill="FFFFFF"/>
                </w:tcPr>
                <w:p w14:paraId="25615930"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8.903</w:t>
                  </w:r>
                </w:p>
              </w:tc>
            </w:tr>
            <w:tr w:rsidR="00DC4AD8" w:rsidRPr="00DC4AD8" w14:paraId="3042720F" w14:textId="77777777" w:rsidTr="008B4D23">
              <w:trPr>
                <w:trHeight w:val="119"/>
              </w:trPr>
              <w:tc>
                <w:tcPr>
                  <w:tcW w:w="6867" w:type="dxa"/>
                  <w:shd w:val="clear" w:color="auto" w:fill="FFFFFF"/>
                </w:tcPr>
                <w:p w14:paraId="058DAA5D"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 xml:space="preserve">Fstp water: </w:t>
                  </w:r>
                  <w:r w:rsidRPr="00DC4AD8">
                    <w:rPr>
                      <w:rStyle w:val="MSGENFONTSTYLENAMETEMPLATEROLENUMBERMSGENFONTSTYLENAMEBYROLETEXT2MSGENFONTSTYLEMODIFERSIZE9"/>
                      <w:rFonts w:ascii="Verdana" w:hAnsi="Verdana"/>
                      <w:b w:val="0"/>
                    </w:rPr>
                    <w:t xml:space="preserve">Fraction of emission directed to water by STP released </w:t>
                  </w:r>
                  <w:r w:rsidRPr="00DC4AD8">
                    <w:rPr>
                      <w:rStyle w:val="MSGENFONTSTYLENAMETEMPLATEROLENUMBERMSGENFONTSTYLENAMEBYROLETEXT2MSGENFONTSTYLEMODIFERSIZE9"/>
                      <w:rFonts w:ascii="Verdana" w:hAnsi="Verdana"/>
                    </w:rPr>
                    <w:t>(-)</w:t>
                  </w:r>
                </w:p>
              </w:tc>
              <w:tc>
                <w:tcPr>
                  <w:tcW w:w="1922" w:type="dxa"/>
                  <w:shd w:val="clear" w:color="auto" w:fill="FFFFFF"/>
                </w:tcPr>
                <w:p w14:paraId="26CD6257"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0.8</w:t>
                  </w:r>
                </w:p>
              </w:tc>
            </w:tr>
            <w:tr w:rsidR="00DC4AD8" w:rsidRPr="00DC4AD8" w14:paraId="01212003" w14:textId="77777777" w:rsidTr="008B4D23">
              <w:trPr>
                <w:trHeight w:val="119"/>
              </w:trPr>
              <w:tc>
                <w:tcPr>
                  <w:tcW w:w="6867" w:type="dxa"/>
                  <w:shd w:val="clear" w:color="auto" w:fill="FFFFFF"/>
                </w:tcPr>
                <w:p w14:paraId="001E63BF"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 xml:space="preserve">Fstp sludge: </w:t>
                  </w:r>
                  <w:r w:rsidRPr="00DC4AD8">
                    <w:rPr>
                      <w:rStyle w:val="MSGENFONTSTYLENAMETEMPLATEROLENUMBERMSGENFONTSTYLENAMEBYROLETEXT2MSGENFONTSTYLEMODIFERSIZE9"/>
                      <w:rFonts w:ascii="Verdana" w:hAnsi="Verdana"/>
                      <w:b w:val="0"/>
                    </w:rPr>
                    <w:t xml:space="preserve">Fraction of emission directed to water by STP released </w:t>
                  </w:r>
                  <w:r w:rsidRPr="00DC4AD8">
                    <w:rPr>
                      <w:rStyle w:val="MSGENFONTSTYLENAMETEMPLATEROLENUMBERMSGENFONTSTYLENAMEBYROLETEXT2MSGENFONTSTYLEMODIFERSIZE9"/>
                      <w:rFonts w:ascii="Verdana" w:hAnsi="Verdana"/>
                    </w:rPr>
                    <w:t>(-)</w:t>
                  </w:r>
                </w:p>
              </w:tc>
              <w:tc>
                <w:tcPr>
                  <w:tcW w:w="1922" w:type="dxa"/>
                  <w:shd w:val="clear" w:color="auto" w:fill="FFFFFF"/>
                </w:tcPr>
                <w:p w14:paraId="28E55601"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0.2</w:t>
                  </w:r>
                </w:p>
              </w:tc>
            </w:tr>
            <w:tr w:rsidR="00DC4AD8" w:rsidRPr="00DC4AD8" w14:paraId="0CF54773" w14:textId="77777777" w:rsidTr="008B4D23">
              <w:trPr>
                <w:trHeight w:val="119"/>
              </w:trPr>
              <w:tc>
                <w:tcPr>
                  <w:tcW w:w="6867" w:type="dxa"/>
                  <w:shd w:val="clear" w:color="auto" w:fill="FFFFFF"/>
                </w:tcPr>
                <w:p w14:paraId="6ED5C511"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lang w:val="sv-SE"/>
                    </w:rPr>
                  </w:pPr>
                  <w:r w:rsidRPr="00DC4AD8">
                    <w:rPr>
                      <w:rStyle w:val="MSGENFONTSTYLENAMETEMPLATEROLENUMBERMSGENFONTSTYLENAMEBYROLETEXT2MSGENFONTSTYLEMODIFERSIZE9"/>
                      <w:rFonts w:ascii="Verdana" w:hAnsi="Verdana"/>
                    </w:rPr>
                    <w:t xml:space="preserve">SLUDGERATE: </w:t>
                  </w:r>
                  <w:r w:rsidRPr="00DC4AD8">
                    <w:rPr>
                      <w:rStyle w:val="MSGENFONTSTYLENAMETEMPLATEROLENUMBERMSGENFONTSTYLENAMEBYROLETEXT2MSGENFONTSTYLEMODIFERSIZE9"/>
                      <w:rFonts w:ascii="Verdana" w:hAnsi="Verdana"/>
                      <w:b w:val="0"/>
                    </w:rPr>
                    <w:t>Rate of sewage sludge production</w:t>
                  </w:r>
                  <w:r w:rsidRPr="00DC4AD8">
                    <w:rPr>
                      <w:rStyle w:val="MSGENFONTSTYLENAMETEMPLATEROLENUMBERMSGENFONTSTYLENAMEBYROLETEXT2MSGENFONTSTYLEMODIFERSIZE9"/>
                      <w:rFonts w:ascii="Verdana" w:hAnsi="Verdana"/>
                    </w:rPr>
                    <w:t xml:space="preserve"> (kg/d)</w:t>
                  </w:r>
                </w:p>
              </w:tc>
              <w:tc>
                <w:tcPr>
                  <w:tcW w:w="1922" w:type="dxa"/>
                  <w:shd w:val="clear" w:color="auto" w:fill="FFFFFF"/>
                </w:tcPr>
                <w:p w14:paraId="19F5FCF0"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790</w:t>
                  </w:r>
                </w:p>
              </w:tc>
            </w:tr>
            <w:tr w:rsidR="00DC4AD8" w:rsidRPr="00DC4AD8" w14:paraId="12904A58" w14:textId="77777777" w:rsidTr="008B4D23">
              <w:trPr>
                <w:trHeight w:val="119"/>
              </w:trPr>
              <w:tc>
                <w:tcPr>
                  <w:tcW w:w="6867" w:type="dxa"/>
                  <w:shd w:val="clear" w:color="auto" w:fill="FFFFFF"/>
                </w:tcPr>
                <w:p w14:paraId="38C2CC76"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DT50 soil (days)</w:t>
                  </w:r>
                </w:p>
              </w:tc>
              <w:tc>
                <w:tcPr>
                  <w:tcW w:w="1922" w:type="dxa"/>
                  <w:shd w:val="clear" w:color="auto" w:fill="FFFFFF"/>
                </w:tcPr>
                <w:p w14:paraId="242AA1DC"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1E06</w:t>
                  </w:r>
                </w:p>
              </w:tc>
            </w:tr>
            <w:tr w:rsidR="00DC4AD8" w:rsidRPr="00DC4AD8" w14:paraId="3CA9A172" w14:textId="77777777" w:rsidTr="008B4D23">
              <w:trPr>
                <w:trHeight w:val="353"/>
              </w:trPr>
              <w:tc>
                <w:tcPr>
                  <w:tcW w:w="6867" w:type="dxa"/>
                  <w:shd w:val="clear" w:color="auto" w:fill="FFFFFF"/>
                  <w:vAlign w:val="center"/>
                </w:tcPr>
                <w:p w14:paraId="4480C824"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b w:val="0"/>
                      <w:u w:val="single"/>
                      <w:lang w:val="sv-SE"/>
                    </w:rPr>
                  </w:pPr>
                  <w:r w:rsidRPr="00DC4AD8">
                    <w:rPr>
                      <w:rFonts w:ascii="Verdana" w:hAnsi="Verdana"/>
                      <w:b/>
                      <w:bCs/>
                      <w:color w:val="000000"/>
                      <w:u w:val="single"/>
                      <w:lang w:eastAsia="en-GB"/>
                    </w:rPr>
                    <w:t>Parameters for iodide</w:t>
                  </w:r>
                </w:p>
              </w:tc>
              <w:tc>
                <w:tcPr>
                  <w:tcW w:w="1922" w:type="dxa"/>
                  <w:shd w:val="clear" w:color="auto" w:fill="FFFFFF"/>
                  <w:vAlign w:val="center"/>
                </w:tcPr>
                <w:p w14:paraId="1B8AF36F"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p>
              </w:tc>
            </w:tr>
            <w:tr w:rsidR="00DC4AD8" w:rsidRPr="00DC4AD8" w14:paraId="2D6FE02D" w14:textId="77777777" w:rsidTr="008B4D23">
              <w:trPr>
                <w:trHeight w:val="119"/>
              </w:trPr>
              <w:tc>
                <w:tcPr>
                  <w:tcW w:w="6867" w:type="dxa"/>
                  <w:shd w:val="clear" w:color="auto" w:fill="FFFFFF"/>
                </w:tcPr>
                <w:p w14:paraId="52A36E20"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Transformation rate in surface water iodine to iodide (%)</w:t>
                  </w:r>
                </w:p>
              </w:tc>
              <w:tc>
                <w:tcPr>
                  <w:tcW w:w="1922" w:type="dxa"/>
                  <w:shd w:val="clear" w:color="auto" w:fill="FFFFFF"/>
                </w:tcPr>
                <w:p w14:paraId="62C4A80D"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100</w:t>
                  </w:r>
                </w:p>
              </w:tc>
            </w:tr>
            <w:tr w:rsidR="00DC4AD8" w:rsidRPr="00DC4AD8" w14:paraId="095171D8" w14:textId="77777777" w:rsidTr="008B4D23">
              <w:trPr>
                <w:trHeight w:val="119"/>
              </w:trPr>
              <w:tc>
                <w:tcPr>
                  <w:tcW w:w="6867" w:type="dxa"/>
                  <w:shd w:val="clear" w:color="auto" w:fill="FFFFFF"/>
                </w:tcPr>
                <w:p w14:paraId="37F7F5F1"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Transformation rate in soil iodine to iodide via the STP (%)</w:t>
                  </w:r>
                </w:p>
              </w:tc>
              <w:tc>
                <w:tcPr>
                  <w:tcW w:w="1922" w:type="dxa"/>
                  <w:shd w:val="clear" w:color="auto" w:fill="FFFFFF"/>
                </w:tcPr>
                <w:p w14:paraId="3EA2DEFD"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14</w:t>
                  </w:r>
                </w:p>
              </w:tc>
            </w:tr>
            <w:tr w:rsidR="00DC4AD8" w:rsidRPr="00DC4AD8" w14:paraId="2CD42240" w14:textId="77777777" w:rsidTr="008B4D23">
              <w:trPr>
                <w:trHeight w:val="119"/>
              </w:trPr>
              <w:tc>
                <w:tcPr>
                  <w:tcW w:w="6867" w:type="dxa"/>
                  <w:shd w:val="clear" w:color="auto" w:fill="FFFFFF"/>
                </w:tcPr>
                <w:p w14:paraId="14892E75"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Transformation rate in soil iodine to iodide via manure (%)</w:t>
                  </w:r>
                </w:p>
              </w:tc>
              <w:tc>
                <w:tcPr>
                  <w:tcW w:w="1922" w:type="dxa"/>
                  <w:shd w:val="clear" w:color="auto" w:fill="FFFFFF"/>
                </w:tcPr>
                <w:p w14:paraId="6DC800D0"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100</w:t>
                  </w:r>
                </w:p>
              </w:tc>
            </w:tr>
            <w:tr w:rsidR="00DC4AD8" w:rsidRPr="00DC4AD8" w14:paraId="18336CAE" w14:textId="77777777" w:rsidTr="008B4D23">
              <w:trPr>
                <w:trHeight w:val="119"/>
              </w:trPr>
              <w:tc>
                <w:tcPr>
                  <w:tcW w:w="6867" w:type="dxa"/>
                  <w:shd w:val="clear" w:color="auto" w:fill="FFFFFF"/>
                </w:tcPr>
                <w:p w14:paraId="6132C04C"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lang w:val="sv-SE"/>
                    </w:rPr>
                  </w:pPr>
                  <w:r w:rsidRPr="00DC4AD8">
                    <w:rPr>
                      <w:rStyle w:val="MSGENFONTSTYLENAMETEMPLATEROLENUMBERMSGENFONTSTYLENAMEBYROLETEXT2MSGENFONTSTYLEMODIFERSIZE9"/>
                      <w:rFonts w:ascii="Verdana" w:hAnsi="Verdana"/>
                      <w:lang w:val="sv-SE"/>
                    </w:rPr>
                    <w:t>Molecular equivalent iodide/iodine</w:t>
                  </w:r>
                  <w:r w:rsidRPr="00DC4AD8" w:rsidDel="00C301C2">
                    <w:rPr>
                      <w:rStyle w:val="MSGENFONTSTYLENAMETEMPLATEROLENUMBERMSGENFONTSTYLENAMEBYROLETEXT2MSGENFONTSTYLEMODIFERSIZE9"/>
                      <w:rFonts w:ascii="Verdana" w:hAnsi="Verdana"/>
                      <w:lang w:val="sv-SE"/>
                    </w:rPr>
                    <w:t xml:space="preserve"> </w:t>
                  </w:r>
                </w:p>
              </w:tc>
              <w:tc>
                <w:tcPr>
                  <w:tcW w:w="1922" w:type="dxa"/>
                  <w:shd w:val="clear" w:color="auto" w:fill="FFFFFF"/>
                </w:tcPr>
                <w:p w14:paraId="730815A6"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w:t>
                  </w:r>
                </w:p>
              </w:tc>
            </w:tr>
            <w:tr w:rsidR="00DC4AD8" w:rsidRPr="00DC4AD8" w14:paraId="3BE9A4A9" w14:textId="77777777" w:rsidTr="008B4D23">
              <w:trPr>
                <w:trHeight w:val="287"/>
              </w:trPr>
              <w:tc>
                <w:tcPr>
                  <w:tcW w:w="6867" w:type="dxa"/>
                  <w:shd w:val="clear" w:color="auto" w:fill="FFFFFF"/>
                  <w:vAlign w:val="center"/>
                </w:tcPr>
                <w:p w14:paraId="07DD0DEE"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b w:val="0"/>
                      <w:u w:val="single"/>
                      <w:lang w:val="sv-SE"/>
                    </w:rPr>
                  </w:pPr>
                  <w:r w:rsidRPr="00DC4AD8">
                    <w:rPr>
                      <w:rFonts w:ascii="Verdana" w:hAnsi="Verdana"/>
                      <w:b/>
                      <w:bCs/>
                      <w:color w:val="000000"/>
                      <w:u w:val="single"/>
                      <w:lang w:eastAsia="en-GB"/>
                    </w:rPr>
                    <w:t>Parameters for iodate</w:t>
                  </w:r>
                </w:p>
              </w:tc>
              <w:tc>
                <w:tcPr>
                  <w:tcW w:w="1922" w:type="dxa"/>
                  <w:shd w:val="clear" w:color="auto" w:fill="FFFFFF"/>
                  <w:vAlign w:val="center"/>
                </w:tcPr>
                <w:p w14:paraId="466C1836"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p>
              </w:tc>
            </w:tr>
            <w:tr w:rsidR="00DC4AD8" w:rsidRPr="00DC4AD8" w14:paraId="627BE5E8" w14:textId="77777777" w:rsidTr="008B4D23">
              <w:trPr>
                <w:trHeight w:val="119"/>
              </w:trPr>
              <w:tc>
                <w:tcPr>
                  <w:tcW w:w="6867" w:type="dxa"/>
                  <w:shd w:val="clear" w:color="auto" w:fill="FFFFFF"/>
                </w:tcPr>
                <w:p w14:paraId="0D5EC775"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Transformation rate in surface water iodine to iodide (%)</w:t>
                  </w:r>
                </w:p>
              </w:tc>
              <w:tc>
                <w:tcPr>
                  <w:tcW w:w="1922" w:type="dxa"/>
                  <w:shd w:val="clear" w:color="auto" w:fill="FFFFFF"/>
                </w:tcPr>
                <w:p w14:paraId="081681BD"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100</w:t>
                  </w:r>
                </w:p>
              </w:tc>
            </w:tr>
            <w:tr w:rsidR="00DC4AD8" w:rsidRPr="00DC4AD8" w14:paraId="5FEC9AC9" w14:textId="77777777" w:rsidTr="008B4D23">
              <w:trPr>
                <w:trHeight w:val="119"/>
              </w:trPr>
              <w:tc>
                <w:tcPr>
                  <w:tcW w:w="6867" w:type="dxa"/>
                  <w:shd w:val="clear" w:color="auto" w:fill="FFFFFF"/>
                </w:tcPr>
                <w:p w14:paraId="462FE29A"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lang w:val="sv-SE"/>
                    </w:rPr>
                  </w:pPr>
                  <w:r w:rsidRPr="00DC4AD8">
                    <w:rPr>
                      <w:rStyle w:val="MSGENFONTSTYLENAMETEMPLATEROLENUMBERMSGENFONTSTYLENAMEBYROLETEXT2MSGENFONTSTYLEMODIFERSIZE9"/>
                      <w:rFonts w:ascii="Verdana" w:hAnsi="Verdana"/>
                    </w:rPr>
                    <w:t>Transformation rate in soil iodine to iodide via the STP (%)</w:t>
                  </w:r>
                </w:p>
              </w:tc>
              <w:tc>
                <w:tcPr>
                  <w:tcW w:w="1922" w:type="dxa"/>
                  <w:shd w:val="clear" w:color="auto" w:fill="FFFFFF"/>
                </w:tcPr>
                <w:p w14:paraId="3615084F"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100</w:t>
                  </w:r>
                </w:p>
              </w:tc>
            </w:tr>
            <w:tr w:rsidR="00DC4AD8" w:rsidRPr="00DC4AD8" w14:paraId="21A76C61" w14:textId="77777777" w:rsidTr="008B4D23">
              <w:trPr>
                <w:trHeight w:val="119"/>
              </w:trPr>
              <w:tc>
                <w:tcPr>
                  <w:tcW w:w="6867" w:type="dxa"/>
                  <w:shd w:val="clear" w:color="auto" w:fill="FFFFFF"/>
                </w:tcPr>
                <w:p w14:paraId="12FAF3EE"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lang w:val="sv-SE"/>
                    </w:rPr>
                  </w:pPr>
                  <w:r w:rsidRPr="00DC4AD8">
                    <w:rPr>
                      <w:rStyle w:val="MSGENFONTSTYLENAMETEMPLATEROLENUMBERMSGENFONTSTYLENAMEBYROLETEXT2MSGENFONTSTYLEMODIFERSIZE9"/>
                      <w:rFonts w:ascii="Verdana" w:hAnsi="Verdana"/>
                    </w:rPr>
                    <w:t>Transformation rate in soil iodine to iodide via manure (%)</w:t>
                  </w:r>
                </w:p>
              </w:tc>
              <w:tc>
                <w:tcPr>
                  <w:tcW w:w="1922" w:type="dxa"/>
                  <w:shd w:val="clear" w:color="auto" w:fill="FFFFFF"/>
                </w:tcPr>
                <w:p w14:paraId="406C9BF2"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100</w:t>
                  </w:r>
                </w:p>
              </w:tc>
            </w:tr>
            <w:tr w:rsidR="00DC4AD8" w:rsidRPr="00DC4AD8" w14:paraId="69FE925B" w14:textId="77777777" w:rsidTr="008B4D23">
              <w:trPr>
                <w:trHeight w:val="119"/>
              </w:trPr>
              <w:tc>
                <w:tcPr>
                  <w:tcW w:w="6867" w:type="dxa"/>
                  <w:shd w:val="clear" w:color="auto" w:fill="FFFFFF"/>
                </w:tcPr>
                <w:p w14:paraId="2EF59A6F" w14:textId="77777777" w:rsidR="00DC4AD8" w:rsidRPr="00DC4AD8" w:rsidRDefault="00DC4AD8" w:rsidP="00DC4AD8">
                  <w:pPr>
                    <w:pStyle w:val="MSGENFONTSTYLENAMETEMPLATEROLENUMBERMSGENFONTSTYLENAMEBYROLETEXT20"/>
                    <w:shd w:val="clear" w:color="auto" w:fill="auto"/>
                    <w:spacing w:before="0" w:after="0" w:line="200" w:lineRule="exact"/>
                    <w:jc w:val="left"/>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lang w:val="sv-SE"/>
                    </w:rPr>
                    <w:t>Molecular equivalent iodate/iodine</w:t>
                  </w:r>
                  <w:r w:rsidRPr="00DC4AD8" w:rsidDel="00C301C2">
                    <w:rPr>
                      <w:rStyle w:val="MSGENFONTSTYLENAMETEMPLATEROLENUMBERMSGENFONTSTYLENAMEBYROLETEXT2MSGENFONTSTYLEMODIFERSIZE9"/>
                      <w:rFonts w:ascii="Verdana" w:hAnsi="Verdana"/>
                      <w:lang w:val="sv-SE"/>
                    </w:rPr>
                    <w:t xml:space="preserve"> </w:t>
                  </w:r>
                </w:p>
              </w:tc>
              <w:tc>
                <w:tcPr>
                  <w:tcW w:w="1922" w:type="dxa"/>
                  <w:shd w:val="clear" w:color="auto" w:fill="FFFFFF"/>
                </w:tcPr>
                <w:p w14:paraId="1F325BF5" w14:textId="77777777" w:rsidR="00DC4AD8" w:rsidRPr="00DC4AD8" w:rsidRDefault="00DC4AD8" w:rsidP="00DC4AD8">
                  <w:pPr>
                    <w:pStyle w:val="MSGENFONTSTYLENAMETEMPLATEROLENUMBERMSGENFONTSTYLENAMEBYROLETEXT20"/>
                    <w:shd w:val="clear" w:color="auto" w:fill="auto"/>
                    <w:spacing w:before="0" w:after="0" w:line="200" w:lineRule="exact"/>
                    <w:ind w:left="20"/>
                    <w:jc w:val="cente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1.382</w:t>
                  </w:r>
                </w:p>
              </w:tc>
            </w:tr>
          </w:tbl>
          <w:p w14:paraId="66418A6B" w14:textId="77777777" w:rsidR="00DC4AD8" w:rsidRPr="00DC4AD8" w:rsidRDefault="00DC4AD8" w:rsidP="00DC4AD8">
            <w:pPr>
              <w:jc w:val="both"/>
              <w:rPr>
                <w:rFonts w:eastAsia="Arial" w:cs="Arial"/>
                <w:sz w:val="20"/>
                <w:szCs w:val="20"/>
                <w:lang w:val="en-US" w:eastAsia="en-US"/>
              </w:rPr>
            </w:pPr>
          </w:p>
        </w:tc>
      </w:tr>
    </w:tbl>
    <w:p w14:paraId="6266B652" w14:textId="77777777" w:rsidR="00DC4AD8" w:rsidRDefault="00DC4AD8">
      <w:pPr>
        <w:spacing w:line="276" w:lineRule="auto"/>
        <w:rPr>
          <w:b/>
          <w:i/>
          <w:szCs w:val="22"/>
          <w:lang w:eastAsia="en-US"/>
        </w:rPr>
      </w:pPr>
    </w:p>
    <w:p w14:paraId="196D47A0" w14:textId="77777777" w:rsidR="00DC4AD8" w:rsidRDefault="00DC4AD8" w:rsidP="00DC4AD8">
      <w:pPr>
        <w:rPr>
          <w:b/>
          <w:i/>
          <w:szCs w:val="22"/>
          <w:lang w:eastAsia="en-US"/>
        </w:rPr>
      </w:pPr>
      <w:r w:rsidRPr="006C0A8D">
        <w:rPr>
          <w:b/>
          <w:i/>
          <w:szCs w:val="22"/>
          <w:lang w:eastAsia="en-US"/>
        </w:rPr>
        <w:t>Emission estimation</w:t>
      </w:r>
    </w:p>
    <w:p w14:paraId="106184D1" w14:textId="77777777" w:rsidR="00DC4AD8" w:rsidRPr="006C0A8D" w:rsidRDefault="00DC4AD8" w:rsidP="00DC4AD8">
      <w:pPr>
        <w:rPr>
          <w:b/>
          <w:i/>
          <w:szCs w:val="22"/>
          <w:lang w:eastAsia="en-US"/>
        </w:rPr>
      </w:pPr>
    </w:p>
    <w:tbl>
      <w:tblPr>
        <w:tblStyle w:val="Grilledutableau4"/>
        <w:tblW w:w="9214" w:type="dxa"/>
        <w:tblInd w:w="108" w:type="dxa"/>
        <w:tblLook w:val="04A0" w:firstRow="1" w:lastRow="0" w:firstColumn="1" w:lastColumn="0" w:noHBand="0" w:noVBand="1"/>
      </w:tblPr>
      <w:tblGrid>
        <w:gridCol w:w="9214"/>
      </w:tblGrid>
      <w:tr w:rsidR="00DC4AD8" w:rsidRPr="00DC4AD8" w14:paraId="4E62D95D" w14:textId="77777777" w:rsidTr="00705A8C">
        <w:trPr>
          <w:trHeight w:val="835"/>
        </w:trPr>
        <w:tc>
          <w:tcPr>
            <w:tcW w:w="9214" w:type="dxa"/>
            <w:shd w:val="clear" w:color="auto" w:fill="D6E3BC" w:themeFill="accent3" w:themeFillTint="66"/>
          </w:tcPr>
          <w:p w14:paraId="0831088A" w14:textId="77777777" w:rsidR="00DC4AD8" w:rsidRPr="00DC4AD8" w:rsidRDefault="00DC4AD8" w:rsidP="00DC4AD8">
            <w:pPr>
              <w:spacing w:line="276" w:lineRule="auto"/>
              <w:jc w:val="both"/>
              <w:rPr>
                <w:rFonts w:cs="Arial"/>
                <w:b/>
                <w:sz w:val="20"/>
                <w:szCs w:val="20"/>
              </w:rPr>
            </w:pPr>
            <w:bookmarkStart w:id="111" w:name="_Toc367976959"/>
            <w:bookmarkStart w:id="112" w:name="_Toc367977136"/>
            <w:r w:rsidRPr="00DC4AD8">
              <w:rPr>
                <w:rStyle w:val="LgendeCar"/>
                <w:b/>
              </w:rPr>
              <w:t xml:space="preserve">Infobox </w:t>
            </w:r>
            <w:r w:rsidRPr="00DC4AD8">
              <w:rPr>
                <w:rStyle w:val="LgendeCar"/>
                <w:b/>
              </w:rPr>
              <w:fldChar w:fldCharType="begin"/>
            </w:r>
            <w:r w:rsidRPr="00DC4AD8">
              <w:rPr>
                <w:rStyle w:val="LgendeCar"/>
                <w:b/>
              </w:rPr>
              <w:instrText xml:space="preserve"> SEQ Infobox \* ARABIC </w:instrText>
            </w:r>
            <w:r w:rsidRPr="00DC4AD8">
              <w:rPr>
                <w:rStyle w:val="LgendeCar"/>
                <w:b/>
              </w:rPr>
              <w:fldChar w:fldCharType="separate"/>
            </w:r>
            <w:r w:rsidR="00D3764E">
              <w:rPr>
                <w:rStyle w:val="LgendeCar"/>
                <w:b/>
                <w:noProof/>
              </w:rPr>
              <w:t>7</w:t>
            </w:r>
            <w:r w:rsidRPr="00DC4AD8">
              <w:rPr>
                <w:rStyle w:val="LgendeCar"/>
                <w:b/>
              </w:rPr>
              <w:fldChar w:fldCharType="end"/>
            </w:r>
            <w:r w:rsidRPr="00DC4AD8">
              <w:rPr>
                <w:rStyle w:val="LgendeCar"/>
                <w:b/>
              </w:rPr>
              <w:t xml:space="preserve"> - </w:t>
            </w:r>
            <w:r w:rsidRPr="00DC4AD8">
              <w:rPr>
                <w:rFonts w:cs="Arial"/>
                <w:b/>
                <w:sz w:val="20"/>
                <w:szCs w:val="20"/>
              </w:rPr>
              <w:t>FR CA position:</w:t>
            </w:r>
          </w:p>
          <w:p w14:paraId="5C215BF7" w14:textId="77777777" w:rsidR="00DC4AD8" w:rsidRPr="00DC4AD8" w:rsidRDefault="00DC4AD8" w:rsidP="00DC4AD8">
            <w:pPr>
              <w:spacing w:line="276" w:lineRule="auto"/>
              <w:jc w:val="both"/>
              <w:rPr>
                <w:rFonts w:cs="Arial"/>
                <w:sz w:val="20"/>
                <w:szCs w:val="20"/>
              </w:rPr>
            </w:pPr>
          </w:p>
          <w:p w14:paraId="06D1F7AA" w14:textId="77777777" w:rsidR="00DC4AD8" w:rsidRPr="00DC4AD8" w:rsidRDefault="00DC4AD8" w:rsidP="00705A8C">
            <w:pPr>
              <w:jc w:val="both"/>
              <w:rPr>
                <w:rFonts w:cs="Arial"/>
                <w:sz w:val="20"/>
                <w:szCs w:val="20"/>
              </w:rPr>
            </w:pPr>
            <w:r w:rsidRPr="00DC4AD8">
              <w:rPr>
                <w:rFonts w:cs="Arial"/>
                <w:sz w:val="20"/>
                <w:szCs w:val="20"/>
              </w:rPr>
              <w:t>Regarding the environment, all forms of iodine will be examined separately since PNEC exist for each form.</w:t>
            </w:r>
          </w:p>
          <w:p w14:paraId="4016DB92" w14:textId="77777777" w:rsidR="00DC4AD8" w:rsidRPr="00DC4AD8" w:rsidRDefault="00DC4AD8" w:rsidP="00705A8C">
            <w:pPr>
              <w:jc w:val="both"/>
              <w:rPr>
                <w:rFonts w:cs="Arial"/>
                <w:sz w:val="20"/>
                <w:szCs w:val="20"/>
              </w:rPr>
            </w:pPr>
          </w:p>
          <w:p w14:paraId="47F24D53" w14:textId="77777777" w:rsidR="00DC4AD8" w:rsidRPr="00A800C9" w:rsidRDefault="00DC4AD8" w:rsidP="00705A8C">
            <w:pPr>
              <w:jc w:val="both"/>
              <w:rPr>
                <w:rFonts w:cs="Arial"/>
                <w:sz w:val="20"/>
                <w:szCs w:val="20"/>
              </w:rPr>
            </w:pPr>
            <w:r w:rsidRPr="00DC4AD8">
              <w:rPr>
                <w:rFonts w:cs="Arial"/>
                <w:sz w:val="20"/>
                <w:szCs w:val="20"/>
              </w:rPr>
              <w:t>In IODIGUARD formulation, two components contain either I</w:t>
            </w:r>
            <w:r w:rsidRPr="00A800C9">
              <w:rPr>
                <w:rFonts w:cs="Arial"/>
                <w:vertAlign w:val="subscript"/>
              </w:rPr>
              <w:t>2</w:t>
            </w:r>
            <w:r w:rsidRPr="00DC4AD8">
              <w:rPr>
                <w:rFonts w:cs="Arial"/>
                <w:sz w:val="20"/>
                <w:szCs w:val="20"/>
              </w:rPr>
              <w:t xml:space="preserve"> or I</w:t>
            </w:r>
            <w:r w:rsidRPr="00A800C9">
              <w:rPr>
                <w:rFonts w:cs="Arial"/>
                <w:vertAlign w:val="superscript"/>
              </w:rPr>
              <w:t>-</w:t>
            </w:r>
            <w:r w:rsidRPr="00DC4AD8">
              <w:rPr>
                <w:rFonts w:cs="Arial"/>
                <w:sz w:val="20"/>
                <w:szCs w:val="20"/>
              </w:rPr>
              <w:t>: PVP iodine (PVPI) present in the formulation at 1.5% w/w and potassium iodide (KI) present in the formulation at 0.05% w/w</w:t>
            </w:r>
            <w:r w:rsidR="00F17D9D">
              <w:rPr>
                <w:rFonts w:cs="Arial"/>
                <w:sz w:val="20"/>
                <w:szCs w:val="20"/>
              </w:rPr>
              <w:t xml:space="preserve"> </w:t>
            </w:r>
            <w:r w:rsidR="00F17D9D" w:rsidRPr="00A800C9">
              <w:rPr>
                <w:rFonts w:cs="Arial"/>
              </w:rPr>
              <w:t xml:space="preserve">(including 0.038% </w:t>
            </w:r>
            <w:r w:rsidR="0078354E" w:rsidRPr="00A800C9">
              <w:rPr>
                <w:rFonts w:cs="Arial"/>
              </w:rPr>
              <w:t>of iodide)</w:t>
            </w:r>
            <w:r w:rsidRPr="00A800C9">
              <w:rPr>
                <w:rFonts w:cs="Arial"/>
              </w:rPr>
              <w:t>.</w:t>
            </w:r>
          </w:p>
          <w:p w14:paraId="358D4876" w14:textId="77777777" w:rsidR="00DC4AD8" w:rsidRPr="00DC4AD8" w:rsidRDefault="00DC4AD8" w:rsidP="00705A8C">
            <w:pPr>
              <w:jc w:val="both"/>
              <w:rPr>
                <w:rFonts w:cs="Arial"/>
                <w:sz w:val="20"/>
                <w:szCs w:val="20"/>
              </w:rPr>
            </w:pPr>
            <w:r w:rsidRPr="00A800C9">
              <w:rPr>
                <w:rFonts w:cs="Arial"/>
              </w:rPr>
              <w:t xml:space="preserve">The accelerated storage stability study shows a quantity of </w:t>
            </w:r>
            <w:r w:rsidR="00F17D9D" w:rsidRPr="00A800C9">
              <w:rPr>
                <w:rFonts w:cs="Arial"/>
              </w:rPr>
              <w:t xml:space="preserve">total </w:t>
            </w:r>
            <w:r w:rsidRPr="00A800C9">
              <w:rPr>
                <w:rFonts w:cs="Arial"/>
              </w:rPr>
              <w:t>iodine (I</w:t>
            </w:r>
            <w:r w:rsidRPr="00A800C9">
              <w:rPr>
                <w:rFonts w:cs="Arial"/>
                <w:vertAlign w:val="subscript"/>
              </w:rPr>
              <w:t>2</w:t>
            </w:r>
            <w:r w:rsidR="00F17D9D" w:rsidRPr="00A800C9">
              <w:rPr>
                <w:rFonts w:cs="Arial"/>
              </w:rPr>
              <w:t xml:space="preserve"> and I</w:t>
            </w:r>
            <w:r w:rsidR="00F17D9D" w:rsidRPr="00A800C9">
              <w:rPr>
                <w:rFonts w:cs="Arial"/>
                <w:vertAlign w:val="superscript"/>
              </w:rPr>
              <w:t>-</w:t>
            </w:r>
            <w:r w:rsidRPr="00A800C9">
              <w:rPr>
                <w:rFonts w:cs="Arial"/>
              </w:rPr>
              <w:t>) in IODIGUARD of 0.</w:t>
            </w:r>
            <w:r w:rsidR="00F17D9D" w:rsidRPr="00A800C9">
              <w:rPr>
                <w:rFonts w:cs="Arial"/>
              </w:rPr>
              <w:t>25</w:t>
            </w:r>
            <w:r w:rsidRPr="00A800C9">
              <w:rPr>
                <w:rFonts w:cs="Arial"/>
              </w:rPr>
              <w:t>% w/w. On the other hand, the potassium iodide (KI) most probably only bring</w:t>
            </w:r>
            <w:r w:rsidR="00F81CB4" w:rsidRPr="00A800C9">
              <w:rPr>
                <w:rFonts w:cs="Arial"/>
              </w:rPr>
              <w:t>s</w:t>
            </w:r>
            <w:r w:rsidRPr="00A800C9">
              <w:rPr>
                <w:rFonts w:cs="Arial"/>
              </w:rPr>
              <w:t xml:space="preserve"> iodine to the mixture under I</w:t>
            </w:r>
            <w:r w:rsidRPr="00A800C9">
              <w:rPr>
                <w:rFonts w:cs="Arial"/>
                <w:vertAlign w:val="superscript"/>
              </w:rPr>
              <w:t>-</w:t>
            </w:r>
            <w:r w:rsidRPr="00A800C9">
              <w:rPr>
                <w:rFonts w:cs="Arial"/>
              </w:rPr>
              <w:t xml:space="preserve"> form. </w:t>
            </w:r>
            <w:r w:rsidR="00F81CB4" w:rsidRPr="00A800C9">
              <w:rPr>
                <w:rFonts w:cs="Arial"/>
              </w:rPr>
              <w:t>Nevertheless</w:t>
            </w:r>
            <w:r w:rsidR="002E67C0" w:rsidRPr="00A800C9">
              <w:rPr>
                <w:rFonts w:cs="Arial"/>
              </w:rPr>
              <w:t xml:space="preserve"> </w:t>
            </w:r>
            <w:r w:rsidRPr="00A800C9">
              <w:rPr>
                <w:rFonts w:cs="Arial"/>
              </w:rPr>
              <w:t>the quantity</w:t>
            </w:r>
            <w:r w:rsidR="000A3235" w:rsidRPr="00A800C9">
              <w:rPr>
                <w:rFonts w:cs="Arial"/>
              </w:rPr>
              <w:t xml:space="preserve"> of</w:t>
            </w:r>
            <w:r w:rsidR="00F81CB4" w:rsidRPr="00A800C9">
              <w:rPr>
                <w:rFonts w:cs="Arial"/>
              </w:rPr>
              <w:t xml:space="preserve"> iodine from </w:t>
            </w:r>
            <w:r w:rsidRPr="00A800C9">
              <w:rPr>
                <w:rFonts w:cs="Arial"/>
              </w:rPr>
              <w:t xml:space="preserve">KI is added to the measured </w:t>
            </w:r>
            <w:r w:rsidR="00F81CB4" w:rsidRPr="00A800C9">
              <w:rPr>
                <w:rFonts w:cs="Arial"/>
              </w:rPr>
              <w:t xml:space="preserve">quantity </w:t>
            </w:r>
            <w:r w:rsidRPr="00A800C9">
              <w:rPr>
                <w:rFonts w:cs="Arial"/>
              </w:rPr>
              <w:t>of iodine</w:t>
            </w:r>
            <w:r w:rsidR="00F81CB4" w:rsidRPr="00A800C9">
              <w:rPr>
                <w:rFonts w:cs="Arial"/>
              </w:rPr>
              <w:t xml:space="preserve"> from PVPI</w:t>
            </w:r>
            <w:r w:rsidRPr="00A800C9">
              <w:rPr>
                <w:rFonts w:cs="Arial"/>
              </w:rPr>
              <w:t xml:space="preserve"> in a worst case </w:t>
            </w:r>
            <w:r w:rsidR="00AB090C" w:rsidRPr="00A800C9">
              <w:rPr>
                <w:rFonts w:cs="Arial"/>
              </w:rPr>
              <w:t>approach</w:t>
            </w:r>
            <w:r w:rsidRPr="00A800C9">
              <w:rPr>
                <w:rFonts w:cs="Arial"/>
              </w:rPr>
              <w:t xml:space="preserve"> Thus, the quantity of </w:t>
            </w:r>
            <w:r w:rsidRPr="00A800C9">
              <w:rPr>
                <w:rFonts w:cs="Arial"/>
              </w:rPr>
              <w:lastRenderedPageBreak/>
              <w:t>the various forms of iodine in IODIGUARD is: 0.</w:t>
            </w:r>
            <w:r w:rsidR="00F17D9D" w:rsidRPr="00A800C9">
              <w:rPr>
                <w:rFonts w:cs="Arial"/>
              </w:rPr>
              <w:t xml:space="preserve">25 </w:t>
            </w:r>
            <w:r w:rsidRPr="00A800C9">
              <w:rPr>
                <w:rFonts w:cs="Arial"/>
              </w:rPr>
              <w:t>+ 0.</w:t>
            </w:r>
            <w:r w:rsidR="00F17D9D" w:rsidRPr="00A800C9">
              <w:rPr>
                <w:rFonts w:cs="Arial"/>
              </w:rPr>
              <w:t xml:space="preserve">038 </w:t>
            </w:r>
            <w:r w:rsidRPr="00A800C9">
              <w:rPr>
                <w:rFonts w:cs="Arial"/>
              </w:rPr>
              <w:t>=0.</w:t>
            </w:r>
            <w:r w:rsidR="00F17D9D" w:rsidRPr="00A800C9">
              <w:rPr>
                <w:rFonts w:cs="Arial"/>
              </w:rPr>
              <w:t>29</w:t>
            </w:r>
            <w:r w:rsidRPr="00A800C9">
              <w:rPr>
                <w:rFonts w:cs="Arial"/>
              </w:rPr>
              <w:t>% for the environmental risk assessment.</w:t>
            </w:r>
          </w:p>
          <w:p w14:paraId="0821B282" w14:textId="77777777" w:rsidR="00DC4AD8" w:rsidRPr="00DC4AD8" w:rsidRDefault="00DC4AD8" w:rsidP="00705A8C">
            <w:pPr>
              <w:jc w:val="both"/>
              <w:rPr>
                <w:rFonts w:cs="Arial"/>
                <w:sz w:val="20"/>
                <w:szCs w:val="20"/>
              </w:rPr>
            </w:pPr>
          </w:p>
          <w:p w14:paraId="0FC9DE53" w14:textId="77777777" w:rsidR="00DC4AD8" w:rsidRPr="00DC4AD8" w:rsidRDefault="00DC4AD8" w:rsidP="00705A8C">
            <w:pPr>
              <w:jc w:val="both"/>
              <w:rPr>
                <w:rFonts w:cs="Arial"/>
                <w:sz w:val="20"/>
                <w:szCs w:val="20"/>
              </w:rPr>
            </w:pPr>
            <w:r w:rsidRPr="00DC4AD8">
              <w:rPr>
                <w:rFonts w:cs="Arial"/>
                <w:sz w:val="20"/>
                <w:szCs w:val="20"/>
              </w:rPr>
              <w:t xml:space="preserve">Remark: According to the section 2.1.1 Identity, Physico-Chemical Properties &amp; Methods of Analysis in the Assessment Report of Iodine (p.10), </w:t>
            </w:r>
            <w:proofErr w:type="gramStart"/>
            <w:r w:rsidRPr="00DC4AD8">
              <w:rPr>
                <w:rFonts w:cs="Arial"/>
                <w:sz w:val="20"/>
                <w:szCs w:val="20"/>
              </w:rPr>
              <w:t>the</w:t>
            </w:r>
            <w:proofErr w:type="gramEnd"/>
            <w:r w:rsidRPr="00DC4AD8">
              <w:rPr>
                <w:rFonts w:cs="Arial"/>
                <w:sz w:val="20"/>
                <w:szCs w:val="20"/>
              </w:rPr>
              <w:t xml:space="preserve"> identity details for PVP-iodine show the following specification compounds: 9.0-12.0% available iodine (dried substance), max 2.0% formic acid, max. 8.0% water, max. 6.0% iodide, loss on drying max 8.0%, sulphated ash max 0.1%. Thus, the PVP is used to bring iodine (I</w:t>
            </w:r>
            <w:r w:rsidRPr="00A800C9">
              <w:rPr>
                <w:rFonts w:cs="Arial"/>
                <w:vertAlign w:val="subscript"/>
              </w:rPr>
              <w:t>2</w:t>
            </w:r>
            <w:r w:rsidRPr="00DC4AD8">
              <w:rPr>
                <w:rFonts w:cs="Arial"/>
                <w:sz w:val="20"/>
                <w:szCs w:val="20"/>
              </w:rPr>
              <w:t>) (9 to 12%) into the formulation in a soluble form and it released also iodide (I</w:t>
            </w:r>
            <w:r w:rsidRPr="00A800C9">
              <w:rPr>
                <w:rFonts w:cs="Arial"/>
                <w:vertAlign w:val="superscript"/>
              </w:rPr>
              <w:t>-</w:t>
            </w:r>
            <w:r w:rsidRPr="00DC4AD8">
              <w:rPr>
                <w:rFonts w:cs="Arial"/>
                <w:sz w:val="20"/>
                <w:szCs w:val="20"/>
              </w:rPr>
              <w:t>) (6%). These elements demonstrate the previous approximation in the quantification of iodide (I</w:t>
            </w:r>
            <w:r w:rsidRPr="00A800C9">
              <w:rPr>
                <w:rFonts w:cs="Arial"/>
                <w:vertAlign w:val="superscript"/>
              </w:rPr>
              <w:t>-</w:t>
            </w:r>
            <w:r w:rsidRPr="00DC4AD8">
              <w:rPr>
                <w:rFonts w:cs="Arial"/>
                <w:sz w:val="20"/>
                <w:szCs w:val="20"/>
              </w:rPr>
              <w:t xml:space="preserve">) in IODIGUARD product. Nevertheless, PNEC are based on ecotoxicological tests realized with PVP-iodine. So only the quantity of iodide from potassium iodide (KI) had been added to iodine measure to assess the environmental risk of IODIGUARD product uses. </w:t>
            </w:r>
          </w:p>
        </w:tc>
      </w:tr>
    </w:tbl>
    <w:p w14:paraId="41399C00" w14:textId="77777777" w:rsidR="00DC4AD8" w:rsidRPr="00FD2055" w:rsidRDefault="00DC4AD8" w:rsidP="00DC4AD8">
      <w:pPr>
        <w:rPr>
          <w:b/>
          <w:bCs/>
          <w:lang w:eastAsia="en-US"/>
        </w:rPr>
      </w:pPr>
    </w:p>
    <w:p w14:paraId="5A229652" w14:textId="77777777" w:rsidR="00DC4AD8" w:rsidRPr="00265E90" w:rsidRDefault="00DC4AD8" w:rsidP="00DC4AD8">
      <w:pPr>
        <w:rPr>
          <w:b/>
          <w:bCs/>
          <w:lang w:eastAsia="en-US"/>
        </w:rPr>
      </w:pPr>
      <w:r w:rsidRPr="006C0A8D">
        <w:rPr>
          <w:b/>
          <w:bCs/>
          <w:lang w:eastAsia="en-US"/>
        </w:rPr>
        <w:t xml:space="preserve">Scenario </w:t>
      </w:r>
      <w:bookmarkEnd w:id="111"/>
      <w:bookmarkEnd w:id="112"/>
    </w:p>
    <w:tbl>
      <w:tblPr>
        <w:tblStyle w:val="Grilledutableau4"/>
        <w:tblW w:w="9293" w:type="dxa"/>
        <w:tblLook w:val="04A0" w:firstRow="1" w:lastRow="0" w:firstColumn="1" w:lastColumn="0" w:noHBand="0" w:noVBand="1"/>
      </w:tblPr>
      <w:tblGrid>
        <w:gridCol w:w="9293"/>
      </w:tblGrid>
      <w:tr w:rsidR="00DC4AD8" w:rsidRPr="00DC4AD8" w14:paraId="1B3A0D19" w14:textId="77777777" w:rsidTr="000A3235">
        <w:trPr>
          <w:trHeight w:val="6505"/>
        </w:trPr>
        <w:tc>
          <w:tcPr>
            <w:tcW w:w="9293" w:type="dxa"/>
            <w:shd w:val="clear" w:color="auto" w:fill="D6E3BC" w:themeFill="accent3" w:themeFillTint="66"/>
          </w:tcPr>
          <w:p w14:paraId="7BEDBE53" w14:textId="77777777" w:rsidR="00DC4AD8" w:rsidRPr="00DC4AD8" w:rsidRDefault="00DC4AD8" w:rsidP="00DC4AD8">
            <w:pPr>
              <w:spacing w:line="276" w:lineRule="auto"/>
              <w:jc w:val="both"/>
              <w:rPr>
                <w:rFonts w:cs="Arial"/>
                <w:b/>
                <w:sz w:val="20"/>
                <w:szCs w:val="20"/>
              </w:rPr>
            </w:pPr>
            <w:r w:rsidRPr="00DC4AD8">
              <w:rPr>
                <w:rStyle w:val="LgendeCar"/>
                <w:b/>
              </w:rPr>
              <w:t xml:space="preserve">Infobox </w:t>
            </w:r>
            <w:r w:rsidRPr="00DC4AD8">
              <w:rPr>
                <w:rStyle w:val="LgendeCar"/>
                <w:b/>
              </w:rPr>
              <w:fldChar w:fldCharType="begin"/>
            </w:r>
            <w:r w:rsidRPr="00DC4AD8">
              <w:rPr>
                <w:rStyle w:val="LgendeCar"/>
                <w:b/>
              </w:rPr>
              <w:instrText xml:space="preserve"> SEQ Infobox \* ARABIC </w:instrText>
            </w:r>
            <w:r w:rsidRPr="00DC4AD8">
              <w:rPr>
                <w:rStyle w:val="LgendeCar"/>
                <w:b/>
              </w:rPr>
              <w:fldChar w:fldCharType="separate"/>
            </w:r>
            <w:r w:rsidR="00D3764E">
              <w:rPr>
                <w:rStyle w:val="LgendeCar"/>
                <w:b/>
                <w:noProof/>
              </w:rPr>
              <w:t>8</w:t>
            </w:r>
            <w:r w:rsidRPr="00DC4AD8">
              <w:rPr>
                <w:rStyle w:val="LgendeCar"/>
                <w:b/>
              </w:rPr>
              <w:fldChar w:fldCharType="end"/>
            </w:r>
            <w:r w:rsidRPr="00DC4AD8">
              <w:rPr>
                <w:rStyle w:val="LgendeCar"/>
                <w:b/>
              </w:rPr>
              <w:t xml:space="preserve"> -</w:t>
            </w:r>
            <w:r w:rsidRPr="00DC4AD8">
              <w:rPr>
                <w:rStyle w:val="LgendeCar"/>
              </w:rPr>
              <w:t xml:space="preserve"> </w:t>
            </w:r>
            <w:r w:rsidRPr="00DC4AD8">
              <w:rPr>
                <w:rFonts w:cs="Arial"/>
                <w:b/>
                <w:sz w:val="20"/>
                <w:szCs w:val="20"/>
              </w:rPr>
              <w:t>FR CA position:</w:t>
            </w:r>
          </w:p>
          <w:p w14:paraId="6AAB5DA0" w14:textId="77777777" w:rsidR="00DC4AD8" w:rsidRPr="00DC4AD8" w:rsidRDefault="00DC4AD8" w:rsidP="00DC4AD8">
            <w:pPr>
              <w:spacing w:line="276" w:lineRule="auto"/>
              <w:jc w:val="both"/>
              <w:rPr>
                <w:rFonts w:cs="Arial"/>
                <w:sz w:val="20"/>
                <w:szCs w:val="20"/>
              </w:rPr>
            </w:pPr>
          </w:p>
          <w:p w14:paraId="4B33BD7C" w14:textId="77777777" w:rsidR="00DC4AD8" w:rsidRPr="00DC4AD8" w:rsidRDefault="00DC4AD8" w:rsidP="00705A8C">
            <w:pPr>
              <w:jc w:val="both"/>
              <w:rPr>
                <w:rFonts w:cs="Arial"/>
                <w:sz w:val="20"/>
                <w:szCs w:val="20"/>
              </w:rPr>
            </w:pPr>
            <w:r w:rsidRPr="00DC4AD8">
              <w:rPr>
                <w:rFonts w:cs="Arial"/>
                <w:sz w:val="20"/>
                <w:szCs w:val="20"/>
              </w:rPr>
              <w:t>The table below presents the input parameters for the calculation of emissions to manure or STP in accordance with the characteristics of the product and the ESD for PT03</w:t>
            </w:r>
            <w:r w:rsidRPr="00DC4AD8">
              <w:rPr>
                <w:rStyle w:val="Appelnotedebasdep"/>
                <w:sz w:val="20"/>
                <w:szCs w:val="20"/>
              </w:rPr>
              <w:footnoteReference w:id="12"/>
            </w:r>
            <w:r w:rsidRPr="00DC4AD8">
              <w:rPr>
                <w:rFonts w:cs="Arial"/>
                <w:sz w:val="20"/>
                <w:szCs w:val="20"/>
              </w:rPr>
              <w:t>.</w:t>
            </w:r>
            <w:r w:rsidRPr="00DC4AD8">
              <w:t xml:space="preserve"> </w:t>
            </w:r>
            <w:r w:rsidRPr="00DC4AD8">
              <w:rPr>
                <w:rFonts w:cs="Arial"/>
                <w:sz w:val="20"/>
                <w:szCs w:val="20"/>
              </w:rPr>
              <w:t>It should be noted that the nitrogen</w:t>
            </w:r>
            <w:r w:rsidR="00016FBB">
              <w:rPr>
                <w:rFonts w:cs="Arial"/>
                <w:sz w:val="20"/>
                <w:szCs w:val="20"/>
              </w:rPr>
              <w:t xml:space="preserve"> immission</w:t>
            </w:r>
            <w:r w:rsidRPr="00DC4AD8">
              <w:rPr>
                <w:rFonts w:cs="Arial"/>
                <w:sz w:val="20"/>
                <w:szCs w:val="20"/>
              </w:rPr>
              <w:t xml:space="preserve"> standard is the most relevant in Europe notably in France. Therefore, regarding emission via manure application, PEC values were calculated for application to grassland and arable land on the nitrogen standard only. </w:t>
            </w:r>
          </w:p>
          <w:p w14:paraId="1AF90947" w14:textId="77777777" w:rsidR="00DC4AD8" w:rsidRPr="00DC4AD8" w:rsidRDefault="00DC4AD8" w:rsidP="00DC4AD8">
            <w:pPr>
              <w:spacing w:line="276" w:lineRule="auto"/>
              <w:jc w:val="both"/>
              <w:rPr>
                <w:rFonts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1879"/>
              <w:gridCol w:w="1497"/>
              <w:gridCol w:w="859"/>
              <w:gridCol w:w="1353"/>
            </w:tblGrid>
            <w:tr w:rsidR="00DC4AD8" w:rsidRPr="00DC4AD8" w14:paraId="2BC53C6D" w14:textId="77777777" w:rsidTr="00DC4AD8">
              <w:trPr>
                <w:trHeight w:val="313"/>
              </w:trPr>
              <w:tc>
                <w:tcPr>
                  <w:tcW w:w="8959" w:type="dxa"/>
                  <w:gridSpan w:val="5"/>
                  <w:shd w:val="clear" w:color="auto" w:fill="FFFFCC"/>
                  <w:vAlign w:val="center"/>
                </w:tcPr>
                <w:p w14:paraId="5EE5AA5B" w14:textId="77777777" w:rsidR="00DC4AD8" w:rsidRPr="00DC4AD8" w:rsidRDefault="00DC4AD8" w:rsidP="00DC4AD8">
                  <w:pPr>
                    <w:autoSpaceDE w:val="0"/>
                    <w:autoSpaceDN w:val="0"/>
                    <w:adjustRightInd w:val="0"/>
                    <w:jc w:val="center"/>
                    <w:rPr>
                      <w:rFonts w:cs="Arial"/>
                      <w:b/>
                      <w:color w:val="000000"/>
                      <w:lang w:eastAsia="en-GB"/>
                    </w:rPr>
                  </w:pPr>
                  <w:r w:rsidRPr="00DC4AD8">
                    <w:rPr>
                      <w:rFonts w:cs="Arial"/>
                      <w:b/>
                      <w:color w:val="000000"/>
                      <w:lang w:eastAsia="en-GB"/>
                    </w:rPr>
                    <w:t xml:space="preserve">Input parameters for emission calculations </w:t>
                  </w:r>
                </w:p>
              </w:tc>
            </w:tr>
            <w:tr w:rsidR="00DC4AD8" w:rsidRPr="00DC4AD8" w14:paraId="4D08075A" w14:textId="77777777" w:rsidTr="00DC4AD8">
              <w:trPr>
                <w:trHeight w:val="313"/>
              </w:trPr>
              <w:tc>
                <w:tcPr>
                  <w:tcW w:w="3399" w:type="dxa"/>
                  <w:shd w:val="clear" w:color="auto" w:fill="FFFFFF"/>
                  <w:vAlign w:val="center"/>
                </w:tcPr>
                <w:p w14:paraId="48ABF37E"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bCs/>
                      <w:color w:val="000000"/>
                      <w:sz w:val="18"/>
                      <w:szCs w:val="18"/>
                      <w:lang w:eastAsia="en-GB"/>
                    </w:rPr>
                    <w:t>Parameter</w:t>
                  </w:r>
                </w:p>
              </w:tc>
              <w:tc>
                <w:tcPr>
                  <w:tcW w:w="1879" w:type="dxa"/>
                  <w:shd w:val="clear" w:color="auto" w:fill="FFFFFF"/>
                  <w:vAlign w:val="center"/>
                </w:tcPr>
                <w:p w14:paraId="07A91712"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color w:val="000000"/>
                      <w:sz w:val="18"/>
                      <w:szCs w:val="18"/>
                      <w:lang w:eastAsia="en-GB"/>
                    </w:rPr>
                    <w:t>Nomenclature</w:t>
                  </w:r>
                </w:p>
              </w:tc>
              <w:tc>
                <w:tcPr>
                  <w:tcW w:w="1497" w:type="dxa"/>
                  <w:shd w:val="clear" w:color="auto" w:fill="FFFFFF"/>
                  <w:vAlign w:val="center"/>
                </w:tcPr>
                <w:p w14:paraId="7CE6CF66"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bCs/>
                      <w:color w:val="000000"/>
                      <w:sz w:val="18"/>
                      <w:szCs w:val="18"/>
                      <w:lang w:eastAsia="en-GB"/>
                    </w:rPr>
                    <w:t xml:space="preserve">Value </w:t>
                  </w:r>
                </w:p>
              </w:tc>
              <w:tc>
                <w:tcPr>
                  <w:tcW w:w="829" w:type="dxa"/>
                  <w:shd w:val="clear" w:color="auto" w:fill="FFFFFF"/>
                  <w:vAlign w:val="center"/>
                </w:tcPr>
                <w:p w14:paraId="3DAF6F4B" w14:textId="77777777" w:rsidR="00DC4AD8" w:rsidRPr="00DC4AD8" w:rsidRDefault="00DC4AD8" w:rsidP="00DC4AD8">
                  <w:pPr>
                    <w:autoSpaceDE w:val="0"/>
                    <w:autoSpaceDN w:val="0"/>
                    <w:adjustRightInd w:val="0"/>
                    <w:rPr>
                      <w:rFonts w:cs="Arial"/>
                      <w:bCs/>
                      <w:color w:val="000000"/>
                      <w:sz w:val="18"/>
                      <w:szCs w:val="18"/>
                      <w:lang w:eastAsia="en-GB"/>
                    </w:rPr>
                  </w:pPr>
                  <w:r w:rsidRPr="00DC4AD8">
                    <w:rPr>
                      <w:rFonts w:cs="Arial"/>
                      <w:bCs/>
                      <w:color w:val="000000"/>
                      <w:sz w:val="18"/>
                      <w:szCs w:val="18"/>
                      <w:lang w:eastAsia="en-GB"/>
                    </w:rPr>
                    <w:t>Unit</w:t>
                  </w:r>
                </w:p>
              </w:tc>
              <w:tc>
                <w:tcPr>
                  <w:tcW w:w="1355" w:type="dxa"/>
                  <w:shd w:val="clear" w:color="auto" w:fill="FFFFFF"/>
                  <w:vAlign w:val="center"/>
                </w:tcPr>
                <w:p w14:paraId="0E4D782D" w14:textId="77777777" w:rsidR="00DC4AD8" w:rsidRPr="00DC4AD8" w:rsidRDefault="00DC4AD8" w:rsidP="00DC4AD8">
                  <w:pPr>
                    <w:autoSpaceDE w:val="0"/>
                    <w:autoSpaceDN w:val="0"/>
                    <w:adjustRightInd w:val="0"/>
                    <w:rPr>
                      <w:rFonts w:cs="Arial"/>
                      <w:bCs/>
                      <w:color w:val="000000"/>
                      <w:sz w:val="18"/>
                      <w:szCs w:val="18"/>
                      <w:lang w:eastAsia="en-GB"/>
                    </w:rPr>
                  </w:pPr>
                  <w:r w:rsidRPr="00DC4AD8">
                    <w:rPr>
                      <w:rFonts w:cs="Arial"/>
                      <w:bCs/>
                      <w:color w:val="000000"/>
                      <w:sz w:val="18"/>
                      <w:szCs w:val="18"/>
                      <w:lang w:eastAsia="en-GB"/>
                    </w:rPr>
                    <w:t>Origin</w:t>
                  </w:r>
                </w:p>
              </w:tc>
            </w:tr>
            <w:tr w:rsidR="00DC4AD8" w:rsidRPr="00DC4AD8" w14:paraId="08D012A6" w14:textId="77777777" w:rsidTr="00DC4AD8">
              <w:trPr>
                <w:trHeight w:val="75"/>
              </w:trPr>
              <w:tc>
                <w:tcPr>
                  <w:tcW w:w="3399" w:type="dxa"/>
                  <w:shd w:val="clear" w:color="auto" w:fill="FFFFFF"/>
                </w:tcPr>
                <w:p w14:paraId="480ED997" w14:textId="77777777" w:rsidR="00DC4AD8" w:rsidRPr="00DC4AD8" w:rsidRDefault="00DC4AD8" w:rsidP="00DC4AD8">
                  <w:pPr>
                    <w:pStyle w:val="MSGENFONTSTYLENAMETEMPLATEROLENUMBERMSGENFONTSTYLENAMEBYROLETEXT20"/>
                    <w:shd w:val="clear" w:color="auto" w:fill="auto"/>
                    <w:spacing w:before="0" w:after="0" w:line="221" w:lineRule="exact"/>
                    <w:jc w:val="left"/>
                    <w:rPr>
                      <w:rFonts w:ascii="Verdana" w:hAnsi="Verdana"/>
                      <w:b/>
                      <w:sz w:val="18"/>
                      <w:szCs w:val="18"/>
                      <w:lang w:val="en-US"/>
                    </w:rPr>
                  </w:pPr>
                  <w:r w:rsidRPr="00DC4AD8">
                    <w:rPr>
                      <w:rStyle w:val="MSGENFONTSTYLENAMETEMPLATEROLENUMBERMSGENFONTSTYLENAMEBYROLETEXT2MSGENFONTSTYLEMODIFERSIZE9"/>
                      <w:rFonts w:ascii="Verdana" w:hAnsi="Verdana"/>
                      <w:b w:val="0"/>
                    </w:rPr>
                    <w:t>Type of housing/manure storage (for application of the notification)</w:t>
                  </w:r>
                </w:p>
              </w:tc>
              <w:tc>
                <w:tcPr>
                  <w:tcW w:w="1879" w:type="dxa"/>
                  <w:shd w:val="clear" w:color="auto" w:fill="FFFFFF"/>
                </w:tcPr>
                <w:p w14:paraId="7CBE6426"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rPr>
                    <w:t>cat-subcat (i1)</w:t>
                  </w:r>
                </w:p>
              </w:tc>
              <w:tc>
                <w:tcPr>
                  <w:tcW w:w="1497" w:type="dxa"/>
                  <w:shd w:val="clear" w:color="auto" w:fill="FFFFFF"/>
                </w:tcPr>
                <w:p w14:paraId="2F14EE08"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1 – Dairy cows</w:t>
                  </w:r>
                </w:p>
              </w:tc>
              <w:tc>
                <w:tcPr>
                  <w:tcW w:w="829" w:type="dxa"/>
                  <w:shd w:val="clear" w:color="auto" w:fill="FFFFFF"/>
                </w:tcPr>
                <w:p w14:paraId="50FC75DB"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0042414F" w14:textId="77777777" w:rsidR="00DC4AD8" w:rsidRPr="00DC4AD8" w:rsidRDefault="00DC4AD8" w:rsidP="00DC4AD8">
                  <w:pPr>
                    <w:pStyle w:val="MSGENFONTSTYLENAMETEMPLATEROLENUMBERMSGENFONTSTYLENAMEBYROLETEXT20"/>
                    <w:shd w:val="clear" w:color="auto" w:fill="auto"/>
                    <w:spacing w:before="0" w:after="0" w:line="221"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S (ESD Appendix 1: Table 7)</w:t>
                  </w:r>
                </w:p>
              </w:tc>
            </w:tr>
            <w:tr w:rsidR="00DC4AD8" w:rsidRPr="00DC4AD8" w14:paraId="0DCFF610" w14:textId="77777777" w:rsidTr="00DC4AD8">
              <w:trPr>
                <w:trHeight w:val="75"/>
              </w:trPr>
              <w:tc>
                <w:tcPr>
                  <w:tcW w:w="3399" w:type="dxa"/>
                  <w:shd w:val="clear" w:color="auto" w:fill="FFFFFF"/>
                </w:tcPr>
                <w:p w14:paraId="31681E75"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Type of biocide</w:t>
                  </w:r>
                </w:p>
              </w:tc>
              <w:tc>
                <w:tcPr>
                  <w:tcW w:w="1879" w:type="dxa"/>
                  <w:shd w:val="clear" w:color="auto" w:fill="FFFFFF"/>
                </w:tcPr>
                <w:p w14:paraId="0265408C"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rPr>
                    <w:t>bioctype (i2)</w:t>
                  </w:r>
                </w:p>
              </w:tc>
              <w:tc>
                <w:tcPr>
                  <w:tcW w:w="1497" w:type="dxa"/>
                  <w:shd w:val="clear" w:color="auto" w:fill="FFFFFF"/>
                </w:tcPr>
                <w:p w14:paraId="0169DB1F"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1 - Disinfectant</w:t>
                  </w:r>
                </w:p>
              </w:tc>
              <w:tc>
                <w:tcPr>
                  <w:tcW w:w="829" w:type="dxa"/>
                  <w:shd w:val="clear" w:color="auto" w:fill="FFFFFF"/>
                </w:tcPr>
                <w:p w14:paraId="5507DC16"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29932A71" w14:textId="77777777" w:rsidR="00DC4AD8" w:rsidRPr="00DC4AD8" w:rsidRDefault="00DC4AD8" w:rsidP="00DC4AD8">
                  <w:pPr>
                    <w:pStyle w:val="MSGENFONTSTYLENAMETEMPLATEROLENUMBERMSGENFONTSTYLENAMEBYROLETEXT20"/>
                    <w:shd w:val="clear" w:color="auto" w:fill="auto"/>
                    <w:spacing w:before="0" w:after="0" w:line="221"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S (ESD Appendix 1: Table 7)</w:t>
                  </w:r>
                </w:p>
              </w:tc>
            </w:tr>
            <w:tr w:rsidR="00DC4AD8" w:rsidRPr="00DC4AD8" w14:paraId="4134FDC6" w14:textId="77777777" w:rsidTr="00DC4AD8">
              <w:trPr>
                <w:trHeight w:val="75"/>
              </w:trPr>
              <w:tc>
                <w:tcPr>
                  <w:tcW w:w="3399" w:type="dxa"/>
                  <w:shd w:val="clear" w:color="auto" w:fill="FFFFFF"/>
                </w:tcPr>
                <w:p w14:paraId="7E1F8273"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Type of application</w:t>
                  </w:r>
                </w:p>
              </w:tc>
              <w:tc>
                <w:tcPr>
                  <w:tcW w:w="1879" w:type="dxa"/>
                  <w:shd w:val="clear" w:color="auto" w:fill="FFFFFF"/>
                </w:tcPr>
                <w:p w14:paraId="19DC704A"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rPr>
                    <w:t>appway (i3)</w:t>
                  </w:r>
                </w:p>
              </w:tc>
              <w:tc>
                <w:tcPr>
                  <w:tcW w:w="1497" w:type="dxa"/>
                  <w:shd w:val="clear" w:color="auto" w:fill="FFFFFF"/>
                </w:tcPr>
                <w:p w14:paraId="38CC79C3" w14:textId="77777777" w:rsidR="00DC4AD8" w:rsidRPr="00DC4AD8" w:rsidRDefault="00DC4AD8" w:rsidP="00DC4AD8">
                  <w:pPr>
                    <w:pStyle w:val="MSGENFONTSTYLENAMETEMPLATEROLENUMBERMSGENFONTSTYLENAMEBYROLETEXT20"/>
                    <w:shd w:val="clear" w:color="auto" w:fill="auto"/>
                    <w:spacing w:before="0" w:after="0" w:line="221"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1-Dipping</w:t>
                  </w:r>
                </w:p>
              </w:tc>
              <w:tc>
                <w:tcPr>
                  <w:tcW w:w="829" w:type="dxa"/>
                  <w:shd w:val="clear" w:color="auto" w:fill="FFFFFF"/>
                </w:tcPr>
                <w:p w14:paraId="1767EE22"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09273BFD" w14:textId="77777777" w:rsidR="00DC4AD8" w:rsidRPr="00DC4AD8" w:rsidRDefault="00DC4AD8" w:rsidP="00DC4AD8">
                  <w:pPr>
                    <w:pStyle w:val="MSGENFONTSTYLENAMETEMPLATEROLENUMBERMSGENFONTSTYLENAMEBYROLETEXT20"/>
                    <w:shd w:val="clear" w:color="auto" w:fill="auto"/>
                    <w:spacing w:before="0" w:after="0" w:line="221"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S (ESD Appendix 1: Table 7)</w:t>
                  </w:r>
                </w:p>
              </w:tc>
            </w:tr>
            <w:tr w:rsidR="00DC4AD8" w:rsidRPr="00DC4AD8" w14:paraId="36B24FCC" w14:textId="77777777" w:rsidTr="00DC4AD8">
              <w:trPr>
                <w:trHeight w:val="75"/>
              </w:trPr>
              <w:tc>
                <w:tcPr>
                  <w:tcW w:w="3399" w:type="dxa"/>
                  <w:shd w:val="clear" w:color="auto" w:fill="FFFFFF"/>
                </w:tcPr>
                <w:p w14:paraId="28F87CDB"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Relevant emission stream</w:t>
                  </w:r>
                </w:p>
              </w:tc>
              <w:tc>
                <w:tcPr>
                  <w:tcW w:w="1879" w:type="dxa"/>
                  <w:shd w:val="clear" w:color="auto" w:fill="FFFFFF"/>
                </w:tcPr>
                <w:p w14:paraId="5FDAB4EC"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rPr>
                    <w:t>stream(i4)</w:t>
                  </w:r>
                </w:p>
              </w:tc>
              <w:tc>
                <w:tcPr>
                  <w:tcW w:w="1497" w:type="dxa"/>
                  <w:shd w:val="clear" w:color="auto" w:fill="FFFFFF"/>
                </w:tcPr>
                <w:p w14:paraId="645BB9FE"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1 and 3-  Manure/waste water</w:t>
                  </w:r>
                </w:p>
              </w:tc>
              <w:tc>
                <w:tcPr>
                  <w:tcW w:w="829" w:type="dxa"/>
                  <w:shd w:val="clear" w:color="auto" w:fill="FFFFFF"/>
                </w:tcPr>
                <w:p w14:paraId="2DFB3392"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18F629E7" w14:textId="77777777" w:rsidR="00DC4AD8" w:rsidRPr="00DC4AD8" w:rsidRDefault="00DC4AD8" w:rsidP="00DC4AD8">
                  <w:pPr>
                    <w:pStyle w:val="MSGENFONTSTYLENAMETEMPLATEROLENUMBERMSGENFONTSTYLENAMEBYROLETEXT20"/>
                    <w:shd w:val="clear" w:color="auto" w:fill="auto"/>
                    <w:spacing w:before="0" w:after="0" w:line="221"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P (Appendix 1: Table 7)</w:t>
                  </w:r>
                </w:p>
              </w:tc>
            </w:tr>
            <w:tr w:rsidR="00DC4AD8" w:rsidRPr="00DC4AD8" w14:paraId="78A6465B" w14:textId="77777777" w:rsidTr="00DC4AD8">
              <w:trPr>
                <w:trHeight w:val="75"/>
              </w:trPr>
              <w:tc>
                <w:tcPr>
                  <w:tcW w:w="3399" w:type="dxa"/>
                  <w:shd w:val="clear" w:color="auto" w:fill="FFFFFF"/>
                </w:tcPr>
                <w:p w14:paraId="71AC0685" w14:textId="77777777" w:rsidR="00DC4AD8" w:rsidRPr="00DC4AD8" w:rsidRDefault="00DC4AD8" w:rsidP="00DC4AD8">
                  <w:pPr>
                    <w:pStyle w:val="MSGENFONTSTYLENAMETEMPLATEROLENUMBERMSGENFONTSTYLENAMEBYROLETEXT20"/>
                    <w:shd w:val="clear" w:color="auto" w:fill="auto"/>
                    <w:spacing w:before="0" w:after="0"/>
                    <w:jc w:val="left"/>
                    <w:rPr>
                      <w:rFonts w:ascii="Verdana" w:hAnsi="Verdana"/>
                      <w:b/>
                      <w:sz w:val="18"/>
                      <w:szCs w:val="18"/>
                      <w:lang w:val="en-US"/>
                    </w:rPr>
                  </w:pPr>
                  <w:r w:rsidRPr="00DC4AD8">
                    <w:rPr>
                      <w:rStyle w:val="MSGENFONTSTYLENAMETEMPLATEROLENUMBERMSGENFONTSTYLENAMEBYROLETEXT2MSGENFONTSTYLEMODIFERSIZE9"/>
                      <w:rFonts w:ascii="Verdana" w:hAnsi="Verdana"/>
                      <w:b w:val="0"/>
                    </w:rPr>
                    <w:t>Content of active ingredient in formulation (product)</w:t>
                  </w:r>
                </w:p>
              </w:tc>
              <w:tc>
                <w:tcPr>
                  <w:tcW w:w="1879" w:type="dxa"/>
                  <w:shd w:val="clear" w:color="auto" w:fill="FFFFFF"/>
                </w:tcPr>
                <w:p w14:paraId="6F830C1B"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rPr>
                    <w:t>Fbioc</w:t>
                  </w:r>
                </w:p>
              </w:tc>
              <w:tc>
                <w:tcPr>
                  <w:tcW w:w="1497" w:type="dxa"/>
                  <w:shd w:val="clear" w:color="auto" w:fill="FFFFFF"/>
                </w:tcPr>
                <w:p w14:paraId="11746850" w14:textId="77777777" w:rsidR="00DC4AD8" w:rsidRPr="00DC4AD8" w:rsidRDefault="00070355" w:rsidP="00DC4AD8">
                  <w:pPr>
                    <w:pStyle w:val="MSGENFONTSTYLENAMETEMPLATEROLENUMBERMSGENFONTSTYLENAMEBYROLETEXT20"/>
                    <w:shd w:val="clear" w:color="auto" w:fill="auto"/>
                    <w:spacing w:before="0" w:after="0" w:line="200" w:lineRule="exact"/>
                    <w:jc w:val="left"/>
                    <w:rPr>
                      <w:rFonts w:ascii="Verdana" w:hAnsi="Verdana"/>
                      <w:b/>
                      <w:color w:val="000000"/>
                      <w:sz w:val="18"/>
                      <w:szCs w:val="18"/>
                      <w:lang w:eastAsia="en-GB"/>
                    </w:rPr>
                  </w:pPr>
                  <w:r>
                    <w:rPr>
                      <w:rStyle w:val="MSGENFONTSTYLENAMETEMPLATEROLENUMBERMSGENFONTSTYLENAMEBYROLETEXT2MSGENFONTSTYLEMODIFERSIZE9"/>
                      <w:rFonts w:ascii="Verdana" w:hAnsi="Verdana"/>
                      <w:b w:val="0"/>
                    </w:rPr>
                    <w:t>2.9</w:t>
                  </w:r>
                </w:p>
              </w:tc>
              <w:tc>
                <w:tcPr>
                  <w:tcW w:w="829" w:type="dxa"/>
                  <w:shd w:val="clear" w:color="auto" w:fill="FFFFFF"/>
                </w:tcPr>
                <w:p w14:paraId="39D28C52"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g/L</w:t>
                  </w:r>
                </w:p>
              </w:tc>
              <w:tc>
                <w:tcPr>
                  <w:tcW w:w="1355" w:type="dxa"/>
                  <w:shd w:val="clear" w:color="auto" w:fill="FFFFFF"/>
                </w:tcPr>
                <w:p w14:paraId="5D5DF5A9"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lang w:val="en-US"/>
                    </w:rPr>
                  </w:pPr>
                  <w:r w:rsidRPr="00DC4AD8">
                    <w:rPr>
                      <w:rStyle w:val="MSGENFONTSTYLENAMETEMPLATEROLENUMBERMSGENFONTSTYLENAMEBYROLETEXT2MSGENFONTSTYLEMODIFERSIZE9"/>
                      <w:rFonts w:ascii="Verdana" w:hAnsi="Verdana"/>
                      <w:b w:val="0"/>
                    </w:rPr>
                    <w:t xml:space="preserve">S </w:t>
                  </w:r>
                </w:p>
              </w:tc>
            </w:tr>
            <w:tr w:rsidR="00DC4AD8" w:rsidRPr="00DC4AD8" w14:paraId="1EE3FDD8" w14:textId="77777777" w:rsidTr="00DC4AD8">
              <w:trPr>
                <w:trHeight w:val="75"/>
              </w:trPr>
              <w:tc>
                <w:tcPr>
                  <w:tcW w:w="3399" w:type="dxa"/>
                  <w:shd w:val="clear" w:color="auto" w:fill="FFFFFF"/>
                </w:tcPr>
                <w:p w14:paraId="1DE61BD4" w14:textId="77777777" w:rsidR="00DC4AD8" w:rsidRPr="00DC4AD8" w:rsidRDefault="00DC4AD8" w:rsidP="00DC4AD8">
                  <w:pPr>
                    <w:pStyle w:val="MSGENFONTSTYLENAMETEMPLATEROLENUMBERMSGENFONTSTYLENAMEBYROLETEXT20"/>
                    <w:shd w:val="clear" w:color="auto" w:fill="auto"/>
                    <w:spacing w:before="0" w:after="0"/>
                    <w:jc w:val="left"/>
                    <w:rPr>
                      <w:rFonts w:ascii="Verdana" w:hAnsi="Verdana"/>
                      <w:b/>
                      <w:sz w:val="18"/>
                      <w:szCs w:val="18"/>
                      <w:lang w:val="en-US"/>
                    </w:rPr>
                  </w:pPr>
                  <w:r w:rsidRPr="00DC4AD8">
                    <w:rPr>
                      <w:rStyle w:val="MSGENFONTSTYLENAMETEMPLATEROLENUMBERMSGENFONTSTYLENAMEBYROLETEXT2MSGENFONTSTYLEMODIFERSIZE9"/>
                      <w:rFonts w:ascii="Verdana" w:hAnsi="Verdana"/>
                      <w:b w:val="0"/>
                    </w:rPr>
                    <w:t>Amount of product prescribed to be used for one treatment (dipping of the four teats) of one animal</w:t>
                  </w:r>
                </w:p>
              </w:tc>
              <w:tc>
                <w:tcPr>
                  <w:tcW w:w="1879" w:type="dxa"/>
                  <w:shd w:val="clear" w:color="auto" w:fill="FFFFFF"/>
                </w:tcPr>
                <w:p w14:paraId="1FC656C7"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rPr>
                    <w:t>Vprod</w:t>
                  </w:r>
                  <w:r w:rsidRPr="00DC4AD8">
                    <w:rPr>
                      <w:rStyle w:val="MSGENFONTSTYLENAMETEMPLATEROLENUMBERMSGENFONTSTYLENAMEBYROLETEXT2MSGENFONTSTYLEMODIFERSIZE55"/>
                      <w:rFonts w:ascii="Verdana" w:hAnsi="Verdana"/>
                      <w:b/>
                      <w:sz w:val="18"/>
                      <w:szCs w:val="18"/>
                    </w:rPr>
                    <w:t>i1,i2,i3</w:t>
                  </w:r>
                </w:p>
              </w:tc>
              <w:tc>
                <w:tcPr>
                  <w:tcW w:w="1497" w:type="dxa"/>
                  <w:shd w:val="clear" w:color="auto" w:fill="FFFFFF"/>
                </w:tcPr>
                <w:p w14:paraId="16FBE411"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color w:val="000000"/>
                      <w:sz w:val="18"/>
                      <w:szCs w:val="18"/>
                      <w:lang w:eastAsia="en-GB"/>
                    </w:rPr>
                    <w:t>8.00E-3</w:t>
                  </w:r>
                </w:p>
              </w:tc>
              <w:tc>
                <w:tcPr>
                  <w:tcW w:w="829" w:type="dxa"/>
                  <w:shd w:val="clear" w:color="auto" w:fill="FFFFFF"/>
                </w:tcPr>
                <w:p w14:paraId="5869167F"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L</w:t>
                  </w:r>
                </w:p>
              </w:tc>
              <w:tc>
                <w:tcPr>
                  <w:tcW w:w="1355" w:type="dxa"/>
                  <w:shd w:val="clear" w:color="auto" w:fill="FFFFFF"/>
                </w:tcPr>
                <w:p w14:paraId="5290FA6D"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S</w:t>
                  </w:r>
                </w:p>
              </w:tc>
            </w:tr>
            <w:tr w:rsidR="00DC4AD8" w:rsidRPr="00DC4AD8" w14:paraId="5E45F0FB" w14:textId="77777777" w:rsidTr="00DC4AD8">
              <w:trPr>
                <w:trHeight w:val="75"/>
              </w:trPr>
              <w:tc>
                <w:tcPr>
                  <w:tcW w:w="3399" w:type="dxa"/>
                  <w:shd w:val="clear" w:color="auto" w:fill="FFFFFF"/>
                </w:tcPr>
                <w:p w14:paraId="2B8DFD92" w14:textId="77777777" w:rsidR="00DC4AD8" w:rsidRPr="00DC4AD8" w:rsidRDefault="00DC4AD8" w:rsidP="00DC4AD8">
                  <w:pPr>
                    <w:pStyle w:val="MSGENFONTSTYLENAMETEMPLATEROLENUMBERMSGENFONTSTYLENAMEBYROLETEXT20"/>
                    <w:shd w:val="clear" w:color="auto" w:fill="auto"/>
                    <w:spacing w:before="0" w:after="0"/>
                    <w:jc w:val="left"/>
                    <w:rPr>
                      <w:rFonts w:ascii="Verdana" w:hAnsi="Verdana"/>
                      <w:b/>
                      <w:sz w:val="18"/>
                      <w:szCs w:val="18"/>
                      <w:lang w:val="en-US"/>
                    </w:rPr>
                  </w:pPr>
                  <w:r w:rsidRPr="00DC4AD8">
                    <w:rPr>
                      <w:rStyle w:val="MSGENFONTSTYLENAMETEMPLATEROLENUMBERMSGENFONTSTYLENAMEBYROLETEXT2MSGENFONTSTYLEMODIFERSIZE9"/>
                      <w:rFonts w:ascii="Verdana" w:hAnsi="Verdana"/>
                      <w:b w:val="0"/>
                    </w:rPr>
                    <w:t xml:space="preserve">Dilution factor (for preparation of the </w:t>
                  </w:r>
                  <w:r w:rsidRPr="00DC4AD8">
                    <w:rPr>
                      <w:rStyle w:val="MSGENFONTSTYLENAMETEMPLATEROLENUMBERMSGENFONTSTYLENAMEBYROLETEXT2MSGENFONTSTYLEMODIFERSIZE9"/>
                      <w:rFonts w:ascii="Verdana" w:hAnsi="Verdana"/>
                      <w:b w:val="0"/>
                    </w:rPr>
                    <w:lastRenderedPageBreak/>
                    <w:t>working solution from the formulation (product))</w:t>
                  </w:r>
                </w:p>
              </w:tc>
              <w:tc>
                <w:tcPr>
                  <w:tcW w:w="1879" w:type="dxa"/>
                  <w:shd w:val="clear" w:color="auto" w:fill="FFFFFF"/>
                </w:tcPr>
                <w:p w14:paraId="01458310"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rPr>
                    <w:lastRenderedPageBreak/>
                    <w:t>F</w:t>
                  </w:r>
                  <w:r w:rsidRPr="00DC4AD8">
                    <w:rPr>
                      <w:rStyle w:val="MSGENFONTSTYLENAMETEMPLATEROLENUMBERMSGENFONTSTYLENAMEBYROLETEXT2MSGENFONTSTYLEMODIFERSIZE55"/>
                      <w:rFonts w:ascii="Verdana" w:hAnsi="Verdana"/>
                      <w:b/>
                      <w:sz w:val="18"/>
                      <w:szCs w:val="18"/>
                    </w:rPr>
                    <w:t xml:space="preserve">dil </w:t>
                  </w:r>
                </w:p>
              </w:tc>
              <w:tc>
                <w:tcPr>
                  <w:tcW w:w="1497" w:type="dxa"/>
                  <w:shd w:val="clear" w:color="auto" w:fill="FFFFFF"/>
                </w:tcPr>
                <w:p w14:paraId="62C1B90E"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color w:val="000000"/>
                      <w:sz w:val="18"/>
                      <w:szCs w:val="18"/>
                      <w:lang w:eastAsia="en-GB"/>
                    </w:rPr>
                    <w:t>1</w:t>
                  </w:r>
                </w:p>
              </w:tc>
              <w:tc>
                <w:tcPr>
                  <w:tcW w:w="829" w:type="dxa"/>
                  <w:shd w:val="clear" w:color="auto" w:fill="FFFFFF"/>
                </w:tcPr>
                <w:p w14:paraId="3CE5296D"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3E7309A6"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S</w:t>
                  </w:r>
                </w:p>
              </w:tc>
            </w:tr>
            <w:tr w:rsidR="00DC4AD8" w:rsidRPr="00DC4AD8" w14:paraId="6BE3E568" w14:textId="77777777" w:rsidTr="00DC4AD8">
              <w:trPr>
                <w:trHeight w:val="93"/>
              </w:trPr>
              <w:tc>
                <w:tcPr>
                  <w:tcW w:w="3399" w:type="dxa"/>
                  <w:vMerge w:val="restart"/>
                  <w:shd w:val="clear" w:color="auto" w:fill="FFFFFF"/>
                </w:tcPr>
                <w:p w14:paraId="3C3AB88E" w14:textId="77777777" w:rsidR="00DC4AD8" w:rsidRPr="00DC4AD8" w:rsidRDefault="00DC4AD8" w:rsidP="00DC4AD8">
                  <w:pPr>
                    <w:autoSpaceDE w:val="0"/>
                    <w:autoSpaceDN w:val="0"/>
                    <w:adjustRightInd w:val="0"/>
                    <w:rPr>
                      <w:rFonts w:cs="Arial"/>
                      <w:b/>
                      <w:color w:val="000000"/>
                      <w:sz w:val="18"/>
                      <w:szCs w:val="18"/>
                      <w:lang w:eastAsia="en-GB"/>
                    </w:rPr>
                  </w:pPr>
                  <w:r w:rsidRPr="00DC4AD8">
                    <w:rPr>
                      <w:rStyle w:val="MSGENFONTSTYLENAMETEMPLATEROLENUMBERMSGENFONTSTYLENAMEBYROLETEXT2MSGENFONTSTYLEMODIFERSIZE9"/>
                      <w:rFonts w:ascii="Verdana" w:hAnsi="Verdana"/>
                      <w:b w:val="0"/>
                    </w:rPr>
                    <w:t>Fraction of active ingredient released</w:t>
                  </w:r>
                </w:p>
              </w:tc>
              <w:tc>
                <w:tcPr>
                  <w:tcW w:w="1879" w:type="dxa"/>
                  <w:shd w:val="clear" w:color="auto" w:fill="FFFFFF"/>
                </w:tcPr>
                <w:p w14:paraId="33C70497" w14:textId="77777777" w:rsidR="00DC4AD8" w:rsidRPr="00DC4AD8" w:rsidRDefault="00DC4AD8" w:rsidP="00DC4AD8">
                  <w:pPr>
                    <w:autoSpaceDE w:val="0"/>
                    <w:autoSpaceDN w:val="0"/>
                    <w:adjustRightInd w:val="0"/>
                    <w:rPr>
                      <w:rFonts w:cs="Arial"/>
                      <w:b/>
                      <w:color w:val="000000"/>
                      <w:sz w:val="18"/>
                      <w:szCs w:val="18"/>
                      <w:lang w:eastAsia="en-GB"/>
                    </w:rPr>
                  </w:pPr>
                  <w:r w:rsidRPr="00DC4AD8">
                    <w:rPr>
                      <w:rStyle w:val="MSGENFONTSTYLENAMETEMPLATEROLENUMBERMSGENFONTSTYLENAMEBYROLETEXT2MSGENFONTSTYLEMODIFERSIZE9"/>
                      <w:rFonts w:ascii="Verdana" w:hAnsi="Verdana"/>
                      <w:lang w:val="en-US" w:eastAsia="fr-FR" w:bidi="fr-FR"/>
                    </w:rPr>
                    <w:t xml:space="preserve">F </w:t>
                  </w:r>
                  <w:r w:rsidRPr="00DC4AD8">
                    <w:rPr>
                      <w:rStyle w:val="MSGENFONTSTYLENAMETEMPLATEROLENUMBERMSGENFONTSTYLENAMEBYROLETEXT2MSGENFONTSTYLEMODIFERSIZE55"/>
                      <w:rFonts w:ascii="Verdana" w:hAnsi="Verdana"/>
                      <w:b/>
                      <w:sz w:val="18"/>
                      <w:szCs w:val="18"/>
                    </w:rPr>
                    <w:t>slurry/manure or STP</w:t>
                  </w:r>
                </w:p>
              </w:tc>
              <w:tc>
                <w:tcPr>
                  <w:tcW w:w="1497" w:type="dxa"/>
                  <w:shd w:val="clear" w:color="auto" w:fill="FFFFFF"/>
                </w:tcPr>
                <w:p w14:paraId="7507E8FF"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color w:val="000000"/>
                      <w:sz w:val="18"/>
                      <w:szCs w:val="18"/>
                      <w:lang w:eastAsia="en-GB"/>
                    </w:rPr>
                    <w:t>0.5</w:t>
                  </w:r>
                </w:p>
              </w:tc>
              <w:tc>
                <w:tcPr>
                  <w:tcW w:w="829" w:type="dxa"/>
                  <w:shd w:val="clear" w:color="auto" w:fill="FFFFFF"/>
                </w:tcPr>
                <w:p w14:paraId="4B827E2A"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682EF117"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D</w:t>
                  </w:r>
                </w:p>
              </w:tc>
            </w:tr>
            <w:tr w:rsidR="00DC4AD8" w:rsidRPr="00DC4AD8" w14:paraId="6B84F5FE" w14:textId="77777777" w:rsidTr="00DC4AD8">
              <w:trPr>
                <w:trHeight w:val="93"/>
              </w:trPr>
              <w:tc>
                <w:tcPr>
                  <w:tcW w:w="3399" w:type="dxa"/>
                  <w:vMerge/>
                  <w:shd w:val="clear" w:color="auto" w:fill="FFFFFF"/>
                </w:tcPr>
                <w:p w14:paraId="20E4AFC2"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b w:val="0"/>
                    </w:rPr>
                  </w:pPr>
                </w:p>
              </w:tc>
              <w:tc>
                <w:tcPr>
                  <w:tcW w:w="1879" w:type="dxa"/>
                  <w:shd w:val="clear" w:color="auto" w:fill="FFFFFF"/>
                </w:tcPr>
                <w:p w14:paraId="00376B64" w14:textId="77777777" w:rsidR="00DC4AD8" w:rsidRPr="00DC4AD8" w:rsidRDefault="00DC4AD8" w:rsidP="00DC4AD8">
                  <w:pPr>
                    <w:autoSpaceDE w:val="0"/>
                    <w:autoSpaceDN w:val="0"/>
                    <w:adjustRightInd w:val="0"/>
                    <w:rPr>
                      <w:rFonts w:cs="Arial"/>
                      <w:b/>
                      <w:color w:val="000000"/>
                      <w:sz w:val="18"/>
                      <w:szCs w:val="18"/>
                      <w:lang w:eastAsia="en-GB"/>
                    </w:rPr>
                  </w:pPr>
                  <w:r w:rsidRPr="00DC4AD8">
                    <w:rPr>
                      <w:rStyle w:val="MSGENFONTSTYLENAMETEMPLATEROLENUMBERMSGENFONTSTYLENAMEBYROLETEXT2MSGENFONTSTYLEMODIFERSIZE9"/>
                      <w:rFonts w:ascii="Verdana" w:hAnsi="Verdana"/>
                      <w:lang w:val="fr-FR" w:eastAsia="fr-FR" w:bidi="fr-FR"/>
                    </w:rPr>
                    <w:t xml:space="preserve">F </w:t>
                  </w:r>
                  <w:r w:rsidRPr="00DC4AD8">
                    <w:rPr>
                      <w:rStyle w:val="MSGENFONTSTYLENAMETEMPLATEROLENUMBERMSGENFONTSTYLENAMEBYROLETEXT2MSGENFONTSTYLEMODIFERSIZE55"/>
                      <w:rFonts w:ascii="Verdana" w:hAnsi="Verdana"/>
                      <w:b/>
                      <w:sz w:val="18"/>
                      <w:szCs w:val="18"/>
                    </w:rPr>
                    <w:t>air</w:t>
                  </w:r>
                </w:p>
              </w:tc>
              <w:tc>
                <w:tcPr>
                  <w:tcW w:w="1497" w:type="dxa"/>
                  <w:shd w:val="clear" w:color="auto" w:fill="FFFFFF"/>
                </w:tcPr>
                <w:p w14:paraId="691F7A7F"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color w:val="000000"/>
                      <w:sz w:val="18"/>
                      <w:szCs w:val="18"/>
                      <w:lang w:eastAsia="en-GB"/>
                    </w:rPr>
                    <w:t>0</w:t>
                  </w:r>
                </w:p>
              </w:tc>
              <w:tc>
                <w:tcPr>
                  <w:tcW w:w="829" w:type="dxa"/>
                  <w:shd w:val="clear" w:color="auto" w:fill="FFFFFF"/>
                </w:tcPr>
                <w:p w14:paraId="77AB498E"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0131B8A3"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D</w:t>
                  </w:r>
                </w:p>
              </w:tc>
            </w:tr>
            <w:tr w:rsidR="00DC4AD8" w:rsidRPr="00DC4AD8" w14:paraId="00377E95" w14:textId="77777777" w:rsidTr="00DC4AD8">
              <w:trPr>
                <w:trHeight w:val="93"/>
              </w:trPr>
              <w:tc>
                <w:tcPr>
                  <w:tcW w:w="3399" w:type="dxa"/>
                  <w:vMerge/>
                  <w:shd w:val="clear" w:color="auto" w:fill="FFFFFF"/>
                </w:tcPr>
                <w:p w14:paraId="66DDF4A1"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b w:val="0"/>
                    </w:rPr>
                  </w:pPr>
                </w:p>
              </w:tc>
              <w:tc>
                <w:tcPr>
                  <w:tcW w:w="1879" w:type="dxa"/>
                  <w:shd w:val="clear" w:color="auto" w:fill="FFFFFF"/>
                </w:tcPr>
                <w:p w14:paraId="6BFEA452" w14:textId="77777777" w:rsidR="00DC4AD8" w:rsidRPr="00DC4AD8" w:rsidRDefault="00DC4AD8" w:rsidP="00DC4AD8">
                  <w:pPr>
                    <w:autoSpaceDE w:val="0"/>
                    <w:autoSpaceDN w:val="0"/>
                    <w:adjustRightInd w:val="0"/>
                    <w:rPr>
                      <w:rFonts w:cs="Arial"/>
                      <w:b/>
                      <w:color w:val="000000"/>
                      <w:sz w:val="18"/>
                      <w:szCs w:val="18"/>
                      <w:lang w:eastAsia="en-GB"/>
                    </w:rPr>
                  </w:pPr>
                  <w:r w:rsidRPr="00DC4AD8">
                    <w:rPr>
                      <w:rStyle w:val="MSGENFONTSTYLENAMETEMPLATEROLENUMBERMSGENFONTSTYLENAMEBYROLETEXT2MSGENFONTSTYLEMODIFERSIZE9"/>
                      <w:rFonts w:ascii="Verdana" w:hAnsi="Verdana"/>
                    </w:rPr>
                    <w:t>F</w:t>
                  </w:r>
                  <w:r w:rsidRPr="00DC4AD8">
                    <w:rPr>
                      <w:rStyle w:val="MSGENFONTSTYLENAMETEMPLATEROLENUMBERMSGENFONTSTYLENAMEBYROLETEXT2MSGENFONTSTYLEMODIFERSIZE55"/>
                      <w:rFonts w:ascii="Verdana" w:hAnsi="Verdana"/>
                      <w:b/>
                      <w:sz w:val="18"/>
                      <w:szCs w:val="18"/>
                    </w:rPr>
                    <w:t>teat</w:t>
                  </w:r>
                </w:p>
              </w:tc>
              <w:tc>
                <w:tcPr>
                  <w:tcW w:w="1497" w:type="dxa"/>
                  <w:shd w:val="clear" w:color="auto" w:fill="FFFFFF"/>
                </w:tcPr>
                <w:p w14:paraId="22F2C3D8"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color w:val="000000"/>
                      <w:sz w:val="18"/>
                      <w:szCs w:val="18"/>
                      <w:lang w:eastAsia="en-GB"/>
                    </w:rPr>
                    <w:t>0.5</w:t>
                  </w:r>
                </w:p>
              </w:tc>
              <w:tc>
                <w:tcPr>
                  <w:tcW w:w="829" w:type="dxa"/>
                  <w:shd w:val="clear" w:color="auto" w:fill="FFFFFF"/>
                </w:tcPr>
                <w:p w14:paraId="564FF83B"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54F2C334"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rPr>
                  </w:pPr>
                  <w:r w:rsidRPr="00DC4AD8">
                    <w:rPr>
                      <w:rStyle w:val="MSGENFONTSTYLENAMETEMPLATEROLENUMBERMSGENFONTSTYLENAMEBYROLETEXT2MSGENFONTSTYLEMODIFERSIZE9"/>
                      <w:rFonts w:ascii="Verdana" w:hAnsi="Verdana"/>
                      <w:b w:val="0"/>
                    </w:rPr>
                    <w:t>D</w:t>
                  </w:r>
                </w:p>
              </w:tc>
            </w:tr>
            <w:tr w:rsidR="00DC4AD8" w:rsidRPr="00DC4AD8" w14:paraId="4E51C5B1" w14:textId="77777777" w:rsidTr="00DC4AD8">
              <w:trPr>
                <w:trHeight w:val="75"/>
              </w:trPr>
              <w:tc>
                <w:tcPr>
                  <w:tcW w:w="3399" w:type="dxa"/>
                  <w:shd w:val="clear" w:color="auto" w:fill="FFFFFF"/>
                </w:tcPr>
                <w:p w14:paraId="6BFFC1B0" w14:textId="77777777" w:rsidR="00DC4AD8" w:rsidRPr="00DC4AD8" w:rsidRDefault="00DC4AD8" w:rsidP="00DC4AD8">
                  <w:pPr>
                    <w:autoSpaceDE w:val="0"/>
                    <w:autoSpaceDN w:val="0"/>
                    <w:adjustRightInd w:val="0"/>
                    <w:rPr>
                      <w:rFonts w:cs="Arial"/>
                      <w:b/>
                      <w:color w:val="000000"/>
                      <w:sz w:val="18"/>
                      <w:szCs w:val="18"/>
                      <w:lang w:eastAsia="en-GB"/>
                    </w:rPr>
                  </w:pPr>
                  <w:r w:rsidRPr="00DC4AD8">
                    <w:rPr>
                      <w:rStyle w:val="MSGENFONTSTYLENAMETEMPLATEROLENUMBERMSGENFONTSTYLENAMEBYROLETEXT2MSGENFONTSTYLEMODIFERSIZE9"/>
                      <w:rFonts w:ascii="Verdana" w:hAnsi="Verdana"/>
                      <w:b w:val="0"/>
                    </w:rPr>
                    <w:t>Number of teat dipping events for one animal and one day (dipping of the four teats of one animal = one disinfectant application</w:t>
                  </w:r>
                </w:p>
              </w:tc>
              <w:tc>
                <w:tcPr>
                  <w:tcW w:w="1879" w:type="dxa"/>
                  <w:shd w:val="clear" w:color="auto" w:fill="FFFFFF"/>
                </w:tcPr>
                <w:p w14:paraId="4DB6798B" w14:textId="77777777" w:rsidR="00DC4AD8" w:rsidRPr="00DC4AD8" w:rsidRDefault="00DC4AD8" w:rsidP="00DC4AD8">
                  <w:pPr>
                    <w:autoSpaceDE w:val="0"/>
                    <w:autoSpaceDN w:val="0"/>
                    <w:adjustRightInd w:val="0"/>
                    <w:rPr>
                      <w:b/>
                      <w:i/>
                      <w:color w:val="FF0000"/>
                      <w:sz w:val="18"/>
                      <w:szCs w:val="18"/>
                      <w:lang w:eastAsia="en-GB"/>
                    </w:rPr>
                  </w:pPr>
                  <w:r w:rsidRPr="00DC4AD8">
                    <w:rPr>
                      <w:rStyle w:val="MSGENFONTSTYLENAMETEMPLATEROLENUMBERMSGENFONTSTYLENAMEBYROLETEXT2MSGENFONTSTYLEMODIFERSIZE9"/>
                      <w:rFonts w:ascii="Verdana" w:hAnsi="Verdana"/>
                    </w:rPr>
                    <w:t>Napp-teat</w:t>
                  </w:r>
                </w:p>
              </w:tc>
              <w:tc>
                <w:tcPr>
                  <w:tcW w:w="1497" w:type="dxa"/>
                  <w:shd w:val="clear" w:color="auto" w:fill="FFFFFF"/>
                </w:tcPr>
                <w:p w14:paraId="6C61B46B" w14:textId="77777777" w:rsidR="00DC4AD8" w:rsidRPr="00DC4AD8" w:rsidRDefault="00DC4AD8" w:rsidP="00DC4AD8">
                  <w:pPr>
                    <w:autoSpaceDE w:val="0"/>
                    <w:autoSpaceDN w:val="0"/>
                    <w:adjustRightInd w:val="0"/>
                    <w:rPr>
                      <w:rFonts w:cs="Arial"/>
                      <w:color w:val="000000"/>
                      <w:sz w:val="18"/>
                      <w:szCs w:val="18"/>
                      <w:lang w:eastAsia="en-GB"/>
                    </w:rPr>
                  </w:pPr>
                  <w:r w:rsidRPr="00DC4AD8">
                    <w:rPr>
                      <w:rFonts w:cs="Arial"/>
                      <w:color w:val="000000"/>
                      <w:sz w:val="18"/>
                      <w:szCs w:val="18"/>
                      <w:lang w:eastAsia="en-GB"/>
                    </w:rPr>
                    <w:t>2 (post milking)</w:t>
                  </w:r>
                </w:p>
              </w:tc>
              <w:tc>
                <w:tcPr>
                  <w:tcW w:w="829" w:type="dxa"/>
                  <w:shd w:val="clear" w:color="auto" w:fill="FFFFFF"/>
                </w:tcPr>
                <w:p w14:paraId="7B534E6D"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sz w:val="18"/>
                      <w:szCs w:val="18"/>
                      <w:lang w:val="en-US"/>
                    </w:rPr>
                  </w:pPr>
                  <w:r w:rsidRPr="00DC4AD8">
                    <w:rPr>
                      <w:rStyle w:val="MSGENFONTSTYLENAMETEMPLATEROLENUMBERMSGENFONTSTYLENAMEBYROLETEXT2MSGENFONTSTYLEMODIFERSIZE9"/>
                      <w:rFonts w:ascii="Verdana" w:hAnsi="Verdana"/>
                      <w:b w:val="0"/>
                    </w:rPr>
                    <w:t>[-]</w:t>
                  </w:r>
                </w:p>
              </w:tc>
              <w:tc>
                <w:tcPr>
                  <w:tcW w:w="1355" w:type="dxa"/>
                  <w:shd w:val="clear" w:color="auto" w:fill="FFFFFF"/>
                </w:tcPr>
                <w:p w14:paraId="45F4989E"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sz w:val="18"/>
                      <w:szCs w:val="18"/>
                      <w:lang w:val="en-US"/>
                    </w:rPr>
                  </w:pPr>
                  <w:r w:rsidRPr="00DC4AD8">
                    <w:rPr>
                      <w:rStyle w:val="MSGENFONTSTYLENAMETEMPLATEROLENUMBERMSGENFONTSTYLENAMEBYROLETEXT2MSGENFONTSTYLEMODIFERSIZE9"/>
                      <w:rFonts w:ascii="Verdana" w:hAnsi="Verdana"/>
                      <w:b w:val="0"/>
                    </w:rPr>
                    <w:t>D</w:t>
                  </w:r>
                </w:p>
                <w:p w14:paraId="538FCA53" w14:textId="77777777" w:rsidR="00DC4AD8" w:rsidRPr="00DC4AD8" w:rsidRDefault="00DC4AD8" w:rsidP="00DC4AD8">
                  <w:pPr>
                    <w:rPr>
                      <w:sz w:val="18"/>
                      <w:szCs w:val="18"/>
                      <w:lang w:val="en-US" w:eastAsia="en-US"/>
                    </w:rPr>
                  </w:pPr>
                </w:p>
              </w:tc>
            </w:tr>
            <w:tr w:rsidR="00DC4AD8" w:rsidRPr="00DC4AD8" w14:paraId="594EA907" w14:textId="77777777" w:rsidTr="00DC4AD8">
              <w:trPr>
                <w:trHeight w:val="75"/>
              </w:trPr>
              <w:tc>
                <w:tcPr>
                  <w:tcW w:w="3399" w:type="dxa"/>
                  <w:shd w:val="clear" w:color="auto" w:fill="FFFFFF"/>
                </w:tcPr>
                <w:p w14:paraId="3219F496"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Number of days of lactation period</w:t>
                  </w:r>
                </w:p>
              </w:tc>
              <w:tc>
                <w:tcPr>
                  <w:tcW w:w="1879" w:type="dxa"/>
                  <w:shd w:val="clear" w:color="auto" w:fill="FFFFFF"/>
                </w:tcPr>
                <w:p w14:paraId="28C8FDCD" w14:textId="77777777" w:rsidR="00DC4AD8" w:rsidRPr="00DC4AD8" w:rsidRDefault="00DC4AD8" w:rsidP="00DC4AD8">
                  <w:pPr>
                    <w:rPr>
                      <w:color w:val="000000"/>
                      <w:sz w:val="18"/>
                      <w:szCs w:val="18"/>
                    </w:rPr>
                  </w:pPr>
                  <w:r w:rsidRPr="00DC4AD8">
                    <w:rPr>
                      <w:rStyle w:val="MSGENFONTSTYLENAMETEMPLATEROLENUMBERMSGENFONTSTYLENAMEBYROLETEXT2MSGENFONTSTYLEMODIFERSIZE9"/>
                      <w:rFonts w:ascii="Verdana" w:hAnsi="Verdana"/>
                    </w:rPr>
                    <w:t>Nday-lact</w:t>
                  </w:r>
                  <w:r w:rsidRPr="00DC4AD8">
                    <w:rPr>
                      <w:color w:val="000000"/>
                      <w:sz w:val="18"/>
                      <w:szCs w:val="18"/>
                    </w:rPr>
                    <w:t xml:space="preserve"> </w:t>
                  </w:r>
                </w:p>
              </w:tc>
              <w:tc>
                <w:tcPr>
                  <w:tcW w:w="1497" w:type="dxa"/>
                  <w:shd w:val="clear" w:color="auto" w:fill="FFFFFF"/>
                </w:tcPr>
                <w:p w14:paraId="41BD7D1C" w14:textId="77777777" w:rsidR="00DC4AD8" w:rsidRPr="00DC4AD8" w:rsidRDefault="00DC4AD8" w:rsidP="00DC4AD8">
                  <w:pPr>
                    <w:rPr>
                      <w:color w:val="000000"/>
                    </w:rPr>
                  </w:pPr>
                  <w:r w:rsidRPr="00DC4AD8">
                    <w:rPr>
                      <w:color w:val="000000"/>
                      <w:szCs w:val="22"/>
                    </w:rPr>
                    <w:t>300</w:t>
                  </w:r>
                </w:p>
              </w:tc>
              <w:tc>
                <w:tcPr>
                  <w:tcW w:w="829" w:type="dxa"/>
                  <w:shd w:val="clear" w:color="auto" w:fill="FFFFFF"/>
                </w:tcPr>
                <w:p w14:paraId="1D757AA2" w14:textId="77777777" w:rsidR="00DC4AD8" w:rsidRPr="00DC4AD8" w:rsidRDefault="00DC4AD8" w:rsidP="00DC4AD8">
                  <w:pPr>
                    <w:rPr>
                      <w:color w:val="000000"/>
                    </w:rPr>
                  </w:pPr>
                  <w:r w:rsidRPr="00DC4AD8">
                    <w:rPr>
                      <w:color w:val="000000"/>
                      <w:sz w:val="18"/>
                      <w:szCs w:val="18"/>
                    </w:rPr>
                    <w:t>[-]</w:t>
                  </w:r>
                </w:p>
              </w:tc>
              <w:tc>
                <w:tcPr>
                  <w:tcW w:w="1355" w:type="dxa"/>
                  <w:shd w:val="clear" w:color="auto" w:fill="FFFFFF"/>
                </w:tcPr>
                <w:p w14:paraId="3EEE5C10" w14:textId="77777777" w:rsidR="00DC4AD8" w:rsidRPr="00DC4AD8" w:rsidRDefault="00DC4AD8" w:rsidP="00DC4AD8">
                  <w:pPr>
                    <w:rPr>
                      <w:color w:val="000000"/>
                      <w:sz w:val="18"/>
                      <w:szCs w:val="18"/>
                    </w:rPr>
                  </w:pPr>
                  <w:r w:rsidRPr="00DC4AD8">
                    <w:rPr>
                      <w:color w:val="000000"/>
                      <w:sz w:val="18"/>
                      <w:szCs w:val="18"/>
                    </w:rPr>
                    <w:t>D</w:t>
                  </w:r>
                </w:p>
              </w:tc>
            </w:tr>
            <w:tr w:rsidR="00DC4AD8" w:rsidRPr="00DC4AD8" w14:paraId="3DE63626" w14:textId="77777777" w:rsidTr="00DC4AD8">
              <w:trPr>
                <w:trHeight w:val="75"/>
              </w:trPr>
              <w:tc>
                <w:tcPr>
                  <w:tcW w:w="3399" w:type="dxa"/>
                  <w:shd w:val="clear" w:color="auto" w:fill="FFFFFF"/>
                </w:tcPr>
                <w:p w14:paraId="39B75BDE"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Number of disinfectant applications in one year</w:t>
                  </w:r>
                </w:p>
              </w:tc>
              <w:tc>
                <w:tcPr>
                  <w:tcW w:w="1879" w:type="dxa"/>
                  <w:shd w:val="clear" w:color="auto" w:fill="FFFFFF"/>
                </w:tcPr>
                <w:p w14:paraId="4A4C23D2"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Napp-bioc</w:t>
                  </w:r>
                </w:p>
              </w:tc>
              <w:tc>
                <w:tcPr>
                  <w:tcW w:w="1497" w:type="dxa"/>
                  <w:shd w:val="clear" w:color="auto" w:fill="FFFFFF"/>
                </w:tcPr>
                <w:p w14:paraId="660716C3" w14:textId="77777777" w:rsidR="00DC4AD8" w:rsidRPr="00DC4AD8" w:rsidRDefault="00DC4AD8" w:rsidP="00DC4AD8">
                  <w:pPr>
                    <w:rPr>
                      <w:color w:val="000000"/>
                    </w:rPr>
                  </w:pPr>
                  <w:r w:rsidRPr="00DC4AD8">
                    <w:rPr>
                      <w:color w:val="000000"/>
                      <w:szCs w:val="22"/>
                    </w:rPr>
                    <w:t>600</w:t>
                  </w:r>
                </w:p>
              </w:tc>
              <w:tc>
                <w:tcPr>
                  <w:tcW w:w="829" w:type="dxa"/>
                  <w:shd w:val="clear" w:color="auto" w:fill="FFFFFF"/>
                </w:tcPr>
                <w:p w14:paraId="39013120" w14:textId="77777777" w:rsidR="00DC4AD8" w:rsidRPr="00DC4AD8" w:rsidRDefault="00DC4AD8" w:rsidP="00DC4AD8">
                  <w:pPr>
                    <w:rPr>
                      <w:color w:val="000000"/>
                      <w:sz w:val="18"/>
                      <w:szCs w:val="18"/>
                    </w:rPr>
                  </w:pPr>
                  <w:r w:rsidRPr="00DC4AD8">
                    <w:rPr>
                      <w:color w:val="000000"/>
                      <w:sz w:val="18"/>
                      <w:szCs w:val="18"/>
                    </w:rPr>
                    <w:t>[-]</w:t>
                  </w:r>
                </w:p>
              </w:tc>
              <w:tc>
                <w:tcPr>
                  <w:tcW w:w="1355" w:type="dxa"/>
                  <w:shd w:val="clear" w:color="auto" w:fill="FFFFFF"/>
                </w:tcPr>
                <w:p w14:paraId="7DC65CE2" w14:textId="77777777" w:rsidR="00DC4AD8" w:rsidRPr="00DC4AD8" w:rsidRDefault="00DC4AD8" w:rsidP="00DC4AD8">
                  <w:pPr>
                    <w:rPr>
                      <w:color w:val="000000"/>
                      <w:sz w:val="18"/>
                      <w:szCs w:val="18"/>
                    </w:rPr>
                  </w:pPr>
                  <w:r w:rsidRPr="00DC4AD8">
                    <w:rPr>
                      <w:color w:val="000000"/>
                      <w:sz w:val="18"/>
                      <w:szCs w:val="18"/>
                    </w:rPr>
                    <w:t>D</w:t>
                  </w:r>
                </w:p>
              </w:tc>
            </w:tr>
            <w:tr w:rsidR="00DC4AD8" w:rsidRPr="00DC4AD8" w14:paraId="52344620" w14:textId="77777777" w:rsidTr="00DC4AD8">
              <w:trPr>
                <w:trHeight w:val="75"/>
              </w:trPr>
              <w:tc>
                <w:tcPr>
                  <w:tcW w:w="3399" w:type="dxa"/>
                  <w:shd w:val="clear" w:color="auto" w:fill="FFFFFF"/>
                </w:tcPr>
                <w:p w14:paraId="43B826F2"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Interval between two disinfectant applications</w:t>
                  </w:r>
                </w:p>
              </w:tc>
              <w:tc>
                <w:tcPr>
                  <w:tcW w:w="1879" w:type="dxa"/>
                  <w:shd w:val="clear" w:color="auto" w:fill="FFFFFF"/>
                </w:tcPr>
                <w:p w14:paraId="0ABAF546"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Tbioc-int</w:t>
                  </w:r>
                </w:p>
              </w:tc>
              <w:tc>
                <w:tcPr>
                  <w:tcW w:w="1497" w:type="dxa"/>
                  <w:shd w:val="clear" w:color="auto" w:fill="FFFFFF"/>
                </w:tcPr>
                <w:p w14:paraId="41602C5C" w14:textId="77777777" w:rsidR="00DC4AD8" w:rsidRPr="00DC4AD8" w:rsidRDefault="00DC4AD8" w:rsidP="00DC4AD8">
                  <w:pPr>
                    <w:rPr>
                      <w:color w:val="000000"/>
                    </w:rPr>
                  </w:pPr>
                  <w:r w:rsidRPr="00DC4AD8">
                    <w:rPr>
                      <w:color w:val="000000"/>
                      <w:szCs w:val="22"/>
                    </w:rPr>
                    <w:t>0.5</w:t>
                  </w:r>
                </w:p>
              </w:tc>
              <w:tc>
                <w:tcPr>
                  <w:tcW w:w="829" w:type="dxa"/>
                  <w:shd w:val="clear" w:color="auto" w:fill="FFFFFF"/>
                </w:tcPr>
                <w:p w14:paraId="2192AC86" w14:textId="77777777" w:rsidR="00DC4AD8" w:rsidRPr="00DC4AD8" w:rsidRDefault="00DC4AD8" w:rsidP="00DC4AD8">
                  <w:pPr>
                    <w:rPr>
                      <w:color w:val="000000"/>
                      <w:sz w:val="18"/>
                      <w:szCs w:val="18"/>
                    </w:rPr>
                  </w:pPr>
                  <w:r w:rsidRPr="00DC4AD8">
                    <w:rPr>
                      <w:color w:val="000000"/>
                      <w:sz w:val="18"/>
                      <w:szCs w:val="18"/>
                    </w:rPr>
                    <w:t>[-]</w:t>
                  </w:r>
                </w:p>
              </w:tc>
              <w:tc>
                <w:tcPr>
                  <w:tcW w:w="1355" w:type="dxa"/>
                  <w:shd w:val="clear" w:color="auto" w:fill="FFFFFF"/>
                </w:tcPr>
                <w:p w14:paraId="12F16820" w14:textId="77777777" w:rsidR="00DC4AD8" w:rsidRPr="00DC4AD8" w:rsidRDefault="00DC4AD8" w:rsidP="00DC4AD8">
                  <w:pPr>
                    <w:rPr>
                      <w:color w:val="000000"/>
                      <w:sz w:val="18"/>
                      <w:szCs w:val="18"/>
                    </w:rPr>
                  </w:pPr>
                  <w:r w:rsidRPr="00DC4AD8">
                    <w:rPr>
                      <w:color w:val="000000"/>
                      <w:sz w:val="18"/>
                      <w:szCs w:val="18"/>
                    </w:rPr>
                    <w:t>D</w:t>
                  </w:r>
                </w:p>
              </w:tc>
            </w:tr>
            <w:tr w:rsidR="00DC4AD8" w:rsidRPr="00DC4AD8" w14:paraId="0370A18B" w14:textId="77777777" w:rsidTr="00DC4AD8">
              <w:trPr>
                <w:trHeight w:val="75"/>
              </w:trPr>
              <w:tc>
                <w:tcPr>
                  <w:tcW w:w="3399" w:type="dxa"/>
                  <w:shd w:val="clear" w:color="auto" w:fill="FFFFFF"/>
                </w:tcPr>
                <w:p w14:paraId="3A7323CD"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Number of manure applications for grassland</w:t>
                  </w:r>
                </w:p>
              </w:tc>
              <w:tc>
                <w:tcPr>
                  <w:tcW w:w="1879" w:type="dxa"/>
                  <w:shd w:val="clear" w:color="auto" w:fill="FFFFFF"/>
                </w:tcPr>
                <w:p w14:paraId="6E3131B5"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Napp-grass</w:t>
                  </w:r>
                </w:p>
              </w:tc>
              <w:tc>
                <w:tcPr>
                  <w:tcW w:w="1497" w:type="dxa"/>
                  <w:shd w:val="clear" w:color="auto" w:fill="FFFFFF"/>
                </w:tcPr>
                <w:p w14:paraId="704CDC78" w14:textId="77777777" w:rsidR="00DC4AD8" w:rsidRPr="00DC4AD8" w:rsidRDefault="00DC4AD8" w:rsidP="00DC4AD8">
                  <w:pPr>
                    <w:rPr>
                      <w:color w:val="000000"/>
                    </w:rPr>
                  </w:pPr>
                  <w:r w:rsidRPr="00DC4AD8">
                    <w:rPr>
                      <w:color w:val="000000"/>
                      <w:szCs w:val="22"/>
                    </w:rPr>
                    <w:t>1</w:t>
                  </w:r>
                </w:p>
              </w:tc>
              <w:tc>
                <w:tcPr>
                  <w:tcW w:w="829" w:type="dxa"/>
                  <w:shd w:val="clear" w:color="auto" w:fill="FFFFFF"/>
                </w:tcPr>
                <w:p w14:paraId="4FB2E134" w14:textId="77777777" w:rsidR="00DC4AD8" w:rsidRPr="00DC4AD8" w:rsidRDefault="00DC4AD8" w:rsidP="00DC4AD8">
                  <w:pPr>
                    <w:rPr>
                      <w:color w:val="000000"/>
                      <w:sz w:val="18"/>
                      <w:szCs w:val="18"/>
                    </w:rPr>
                  </w:pPr>
                  <w:r w:rsidRPr="00DC4AD8">
                    <w:rPr>
                      <w:color w:val="000000"/>
                      <w:sz w:val="18"/>
                      <w:szCs w:val="18"/>
                    </w:rPr>
                    <w:t>[-]</w:t>
                  </w:r>
                </w:p>
              </w:tc>
              <w:tc>
                <w:tcPr>
                  <w:tcW w:w="1355" w:type="dxa"/>
                  <w:shd w:val="clear" w:color="auto" w:fill="FFFFFF"/>
                </w:tcPr>
                <w:p w14:paraId="1C765A3D" w14:textId="77777777" w:rsidR="00DC4AD8" w:rsidRPr="00DC4AD8" w:rsidRDefault="00DC4AD8" w:rsidP="00DC4AD8">
                  <w:pPr>
                    <w:rPr>
                      <w:color w:val="000000"/>
                      <w:sz w:val="18"/>
                      <w:szCs w:val="18"/>
                    </w:rPr>
                  </w:pPr>
                  <w:r w:rsidRPr="00DC4AD8">
                    <w:rPr>
                      <w:color w:val="000000"/>
                      <w:sz w:val="18"/>
                      <w:szCs w:val="18"/>
                    </w:rPr>
                    <w:t>D</w:t>
                  </w:r>
                </w:p>
              </w:tc>
            </w:tr>
            <w:tr w:rsidR="00DC4AD8" w:rsidRPr="00DC4AD8" w14:paraId="362F5A70" w14:textId="77777777" w:rsidTr="00DC4AD8">
              <w:trPr>
                <w:trHeight w:val="75"/>
              </w:trPr>
              <w:tc>
                <w:tcPr>
                  <w:tcW w:w="3399" w:type="dxa"/>
                  <w:shd w:val="clear" w:color="auto" w:fill="FFFFFF"/>
                </w:tcPr>
                <w:p w14:paraId="12F1FAA3"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Number of manure applications for arable land</w:t>
                  </w:r>
                </w:p>
              </w:tc>
              <w:tc>
                <w:tcPr>
                  <w:tcW w:w="1879" w:type="dxa"/>
                  <w:shd w:val="clear" w:color="auto" w:fill="FFFFFF"/>
                </w:tcPr>
                <w:p w14:paraId="6828E7F9"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Napp-arab</w:t>
                  </w:r>
                </w:p>
              </w:tc>
              <w:tc>
                <w:tcPr>
                  <w:tcW w:w="1497" w:type="dxa"/>
                  <w:shd w:val="clear" w:color="auto" w:fill="FFFFFF"/>
                </w:tcPr>
                <w:p w14:paraId="04583478" w14:textId="77777777" w:rsidR="00DC4AD8" w:rsidRPr="00DC4AD8" w:rsidRDefault="00DC4AD8" w:rsidP="00DC4AD8">
                  <w:pPr>
                    <w:rPr>
                      <w:color w:val="000000"/>
                    </w:rPr>
                  </w:pPr>
                  <w:r w:rsidRPr="00DC4AD8">
                    <w:rPr>
                      <w:color w:val="000000"/>
                      <w:szCs w:val="22"/>
                    </w:rPr>
                    <w:t>1</w:t>
                  </w:r>
                </w:p>
              </w:tc>
              <w:tc>
                <w:tcPr>
                  <w:tcW w:w="829" w:type="dxa"/>
                  <w:shd w:val="clear" w:color="auto" w:fill="FFFFFF"/>
                </w:tcPr>
                <w:p w14:paraId="46E1A07B" w14:textId="77777777" w:rsidR="00DC4AD8" w:rsidRPr="00DC4AD8" w:rsidRDefault="00DC4AD8" w:rsidP="00DC4AD8">
                  <w:pPr>
                    <w:rPr>
                      <w:color w:val="000000"/>
                      <w:sz w:val="18"/>
                      <w:szCs w:val="18"/>
                    </w:rPr>
                  </w:pPr>
                  <w:r w:rsidRPr="00DC4AD8">
                    <w:rPr>
                      <w:color w:val="000000"/>
                      <w:sz w:val="18"/>
                      <w:szCs w:val="18"/>
                    </w:rPr>
                    <w:t>[-]</w:t>
                  </w:r>
                </w:p>
              </w:tc>
              <w:tc>
                <w:tcPr>
                  <w:tcW w:w="1355" w:type="dxa"/>
                  <w:shd w:val="clear" w:color="auto" w:fill="FFFFFF"/>
                </w:tcPr>
                <w:p w14:paraId="58D6740F" w14:textId="77777777" w:rsidR="00DC4AD8" w:rsidRPr="00DC4AD8" w:rsidRDefault="00DC4AD8" w:rsidP="00DC4AD8">
                  <w:pPr>
                    <w:rPr>
                      <w:color w:val="000000"/>
                      <w:sz w:val="18"/>
                      <w:szCs w:val="18"/>
                    </w:rPr>
                  </w:pPr>
                  <w:r w:rsidRPr="00DC4AD8">
                    <w:rPr>
                      <w:color w:val="000000"/>
                      <w:sz w:val="18"/>
                      <w:szCs w:val="18"/>
                    </w:rPr>
                    <w:t>D</w:t>
                  </w:r>
                </w:p>
              </w:tc>
            </w:tr>
            <w:tr w:rsidR="00DC4AD8" w:rsidRPr="00DC4AD8" w14:paraId="1C7C8A73" w14:textId="77777777" w:rsidTr="00DC4AD8">
              <w:trPr>
                <w:trHeight w:val="75"/>
              </w:trPr>
              <w:tc>
                <w:tcPr>
                  <w:tcW w:w="3399" w:type="dxa"/>
                  <w:shd w:val="clear" w:color="auto" w:fill="FFFFFF"/>
                </w:tcPr>
                <w:p w14:paraId="51AD3F3F"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Manure application time interval for grassland</w:t>
                  </w:r>
                </w:p>
              </w:tc>
              <w:tc>
                <w:tcPr>
                  <w:tcW w:w="1879" w:type="dxa"/>
                  <w:shd w:val="clear" w:color="auto" w:fill="FFFFFF"/>
                </w:tcPr>
                <w:p w14:paraId="7E603571"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Tgr-int</w:t>
                  </w:r>
                </w:p>
              </w:tc>
              <w:tc>
                <w:tcPr>
                  <w:tcW w:w="1497" w:type="dxa"/>
                  <w:shd w:val="clear" w:color="auto" w:fill="FFFFFF"/>
                </w:tcPr>
                <w:p w14:paraId="4BEF1CEC" w14:textId="77777777" w:rsidR="00DC4AD8" w:rsidRPr="00DC4AD8" w:rsidRDefault="00DC4AD8" w:rsidP="00DC4AD8">
                  <w:pPr>
                    <w:rPr>
                      <w:color w:val="000000"/>
                    </w:rPr>
                  </w:pPr>
                  <w:r w:rsidRPr="00DC4AD8">
                    <w:rPr>
                      <w:color w:val="000000"/>
                      <w:szCs w:val="22"/>
                    </w:rPr>
                    <w:t>53</w:t>
                  </w:r>
                </w:p>
              </w:tc>
              <w:tc>
                <w:tcPr>
                  <w:tcW w:w="829" w:type="dxa"/>
                  <w:shd w:val="clear" w:color="auto" w:fill="FFFFFF"/>
                </w:tcPr>
                <w:p w14:paraId="2F3560BA" w14:textId="77777777" w:rsidR="00DC4AD8" w:rsidRPr="00DC4AD8" w:rsidRDefault="00DC4AD8" w:rsidP="00DC4AD8">
                  <w:pPr>
                    <w:rPr>
                      <w:color w:val="000000"/>
                      <w:sz w:val="18"/>
                      <w:szCs w:val="18"/>
                    </w:rPr>
                  </w:pPr>
                  <w:r w:rsidRPr="00DC4AD8">
                    <w:rPr>
                      <w:color w:val="000000"/>
                      <w:sz w:val="18"/>
                      <w:szCs w:val="18"/>
                    </w:rPr>
                    <w:t>[-]</w:t>
                  </w:r>
                </w:p>
              </w:tc>
              <w:tc>
                <w:tcPr>
                  <w:tcW w:w="1355" w:type="dxa"/>
                  <w:shd w:val="clear" w:color="auto" w:fill="FFFFFF"/>
                </w:tcPr>
                <w:p w14:paraId="2DCC94FD" w14:textId="77777777" w:rsidR="00DC4AD8" w:rsidRPr="00DC4AD8" w:rsidRDefault="00DC4AD8" w:rsidP="00DC4AD8">
                  <w:pPr>
                    <w:rPr>
                      <w:color w:val="000000"/>
                      <w:sz w:val="18"/>
                      <w:szCs w:val="18"/>
                    </w:rPr>
                  </w:pPr>
                  <w:r w:rsidRPr="00DC4AD8">
                    <w:rPr>
                      <w:color w:val="000000"/>
                      <w:sz w:val="18"/>
                      <w:szCs w:val="18"/>
                    </w:rPr>
                    <w:t>D/S (ESD-PT3, 2011; Appendix1: Table 12)</w:t>
                  </w:r>
                </w:p>
              </w:tc>
            </w:tr>
            <w:tr w:rsidR="00DC4AD8" w:rsidRPr="00DC4AD8" w14:paraId="7B3F9FC1" w14:textId="77777777" w:rsidTr="00DC4AD8">
              <w:trPr>
                <w:trHeight w:val="75"/>
              </w:trPr>
              <w:tc>
                <w:tcPr>
                  <w:tcW w:w="3399" w:type="dxa"/>
                  <w:shd w:val="clear" w:color="auto" w:fill="FFFFFF"/>
                </w:tcPr>
                <w:p w14:paraId="70D81DC3"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Manure application time interval for arable land</w:t>
                  </w:r>
                </w:p>
              </w:tc>
              <w:tc>
                <w:tcPr>
                  <w:tcW w:w="1879" w:type="dxa"/>
                  <w:shd w:val="clear" w:color="auto" w:fill="FFFFFF"/>
                </w:tcPr>
                <w:p w14:paraId="2DFAC6B0"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Tar-int</w:t>
                  </w:r>
                </w:p>
              </w:tc>
              <w:tc>
                <w:tcPr>
                  <w:tcW w:w="1497" w:type="dxa"/>
                  <w:shd w:val="clear" w:color="auto" w:fill="FFFFFF"/>
                </w:tcPr>
                <w:p w14:paraId="08A529BA" w14:textId="77777777" w:rsidR="00DC4AD8" w:rsidRPr="00DC4AD8" w:rsidRDefault="00DC4AD8" w:rsidP="00DC4AD8">
                  <w:pPr>
                    <w:rPr>
                      <w:color w:val="000000"/>
                    </w:rPr>
                  </w:pPr>
                  <w:r w:rsidRPr="00DC4AD8">
                    <w:rPr>
                      <w:color w:val="000000"/>
                      <w:szCs w:val="22"/>
                    </w:rPr>
                    <w:t>212</w:t>
                  </w:r>
                </w:p>
              </w:tc>
              <w:tc>
                <w:tcPr>
                  <w:tcW w:w="829" w:type="dxa"/>
                  <w:shd w:val="clear" w:color="auto" w:fill="FFFFFF"/>
                </w:tcPr>
                <w:p w14:paraId="433E8B9A" w14:textId="77777777" w:rsidR="00DC4AD8" w:rsidRPr="00DC4AD8" w:rsidRDefault="00DC4AD8" w:rsidP="00DC4AD8">
                  <w:pPr>
                    <w:rPr>
                      <w:color w:val="000000"/>
                      <w:sz w:val="18"/>
                      <w:szCs w:val="18"/>
                    </w:rPr>
                  </w:pPr>
                  <w:r w:rsidRPr="00DC4AD8">
                    <w:rPr>
                      <w:color w:val="000000"/>
                      <w:sz w:val="18"/>
                      <w:szCs w:val="18"/>
                    </w:rPr>
                    <w:t>[-]</w:t>
                  </w:r>
                </w:p>
              </w:tc>
              <w:tc>
                <w:tcPr>
                  <w:tcW w:w="1355" w:type="dxa"/>
                  <w:shd w:val="clear" w:color="auto" w:fill="FFFFFF"/>
                </w:tcPr>
                <w:p w14:paraId="517E7447" w14:textId="77777777" w:rsidR="00DC4AD8" w:rsidRPr="00DC4AD8" w:rsidRDefault="00DC4AD8" w:rsidP="00DC4AD8">
                  <w:pPr>
                    <w:rPr>
                      <w:color w:val="000000"/>
                      <w:sz w:val="18"/>
                      <w:szCs w:val="18"/>
                    </w:rPr>
                  </w:pPr>
                  <w:r w:rsidRPr="00DC4AD8">
                    <w:rPr>
                      <w:color w:val="000000"/>
                      <w:sz w:val="18"/>
                      <w:szCs w:val="18"/>
                    </w:rPr>
                    <w:t>D/S (ESD-PT3, 2011; Appendix1: Table 12)</w:t>
                  </w:r>
                </w:p>
              </w:tc>
            </w:tr>
            <w:tr w:rsidR="00DC4AD8" w:rsidRPr="00DC4AD8" w14:paraId="7B246471" w14:textId="77777777" w:rsidTr="00DC4AD8">
              <w:trPr>
                <w:trHeight w:val="75"/>
              </w:trPr>
              <w:tc>
                <w:tcPr>
                  <w:tcW w:w="3399" w:type="dxa"/>
                  <w:shd w:val="clear" w:color="auto" w:fill="FFFFFF"/>
                </w:tcPr>
                <w:p w14:paraId="52E0B8C1"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Number of animal in housing for category/subcategory i1=1</w:t>
                  </w:r>
                </w:p>
              </w:tc>
              <w:tc>
                <w:tcPr>
                  <w:tcW w:w="1879" w:type="dxa"/>
                  <w:shd w:val="clear" w:color="auto" w:fill="FFFFFF"/>
                </w:tcPr>
                <w:p w14:paraId="121CB7E1"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Nanimali1</w:t>
                  </w:r>
                </w:p>
              </w:tc>
              <w:tc>
                <w:tcPr>
                  <w:tcW w:w="1497" w:type="dxa"/>
                  <w:shd w:val="clear" w:color="auto" w:fill="FFFFFF"/>
                </w:tcPr>
                <w:p w14:paraId="72C6FE90" w14:textId="77777777" w:rsidR="00DC4AD8" w:rsidRPr="00DC4AD8" w:rsidRDefault="00DC4AD8" w:rsidP="00DC4AD8">
                  <w:pPr>
                    <w:rPr>
                      <w:color w:val="000000"/>
                    </w:rPr>
                  </w:pPr>
                  <w:r w:rsidRPr="00DC4AD8">
                    <w:rPr>
                      <w:color w:val="000000"/>
                      <w:szCs w:val="22"/>
                    </w:rPr>
                    <w:t>100</w:t>
                  </w:r>
                </w:p>
              </w:tc>
              <w:tc>
                <w:tcPr>
                  <w:tcW w:w="829" w:type="dxa"/>
                  <w:shd w:val="clear" w:color="auto" w:fill="FFFFFF"/>
                </w:tcPr>
                <w:p w14:paraId="5720D39F" w14:textId="77777777" w:rsidR="00DC4AD8" w:rsidRPr="00DC4AD8" w:rsidRDefault="00DC4AD8" w:rsidP="00DC4AD8">
                  <w:pPr>
                    <w:rPr>
                      <w:color w:val="000000"/>
                      <w:sz w:val="18"/>
                      <w:szCs w:val="18"/>
                    </w:rPr>
                  </w:pPr>
                  <w:r w:rsidRPr="00DC4AD8">
                    <w:rPr>
                      <w:color w:val="000000"/>
                      <w:sz w:val="18"/>
                      <w:szCs w:val="18"/>
                    </w:rPr>
                    <w:t>[-]</w:t>
                  </w:r>
                </w:p>
              </w:tc>
              <w:tc>
                <w:tcPr>
                  <w:tcW w:w="1355" w:type="dxa"/>
                  <w:shd w:val="clear" w:color="auto" w:fill="FFFFFF"/>
                </w:tcPr>
                <w:p w14:paraId="2163579A" w14:textId="77777777" w:rsidR="00DC4AD8" w:rsidRPr="00DC4AD8" w:rsidRDefault="00DC4AD8" w:rsidP="00DC4AD8">
                  <w:pPr>
                    <w:rPr>
                      <w:color w:val="000000"/>
                      <w:sz w:val="18"/>
                      <w:szCs w:val="18"/>
                    </w:rPr>
                  </w:pPr>
                  <w:r w:rsidRPr="00DC4AD8">
                    <w:rPr>
                      <w:color w:val="000000"/>
                      <w:sz w:val="18"/>
                      <w:szCs w:val="18"/>
                    </w:rPr>
                    <w:t>D/S (ESD-PT3, 2011; Appendix1: Table 8)</w:t>
                  </w:r>
                </w:p>
              </w:tc>
            </w:tr>
            <w:tr w:rsidR="00DC4AD8" w:rsidRPr="00DC4AD8" w14:paraId="76458054" w14:textId="77777777" w:rsidTr="00DC4AD8">
              <w:trPr>
                <w:trHeight w:val="75"/>
              </w:trPr>
              <w:tc>
                <w:tcPr>
                  <w:tcW w:w="3399" w:type="dxa"/>
                  <w:shd w:val="clear" w:color="auto" w:fill="FFFFFF"/>
                </w:tcPr>
                <w:p w14:paraId="3E2E376A"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Amount of nitrogen per animal for category/subcategory i1=1</w:t>
                  </w:r>
                </w:p>
              </w:tc>
              <w:tc>
                <w:tcPr>
                  <w:tcW w:w="1879" w:type="dxa"/>
                  <w:shd w:val="clear" w:color="auto" w:fill="FFFFFF"/>
                </w:tcPr>
                <w:p w14:paraId="0E10BACC"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Qnitrogi1</w:t>
                  </w:r>
                </w:p>
              </w:tc>
              <w:tc>
                <w:tcPr>
                  <w:tcW w:w="1497" w:type="dxa"/>
                  <w:shd w:val="clear" w:color="auto" w:fill="FFFFFF"/>
                </w:tcPr>
                <w:p w14:paraId="32DADD0E" w14:textId="77777777" w:rsidR="00DC4AD8" w:rsidRPr="00DC4AD8" w:rsidRDefault="00DC4AD8" w:rsidP="00DC4AD8">
                  <w:pPr>
                    <w:rPr>
                      <w:color w:val="000000"/>
                    </w:rPr>
                  </w:pPr>
                  <w:r w:rsidRPr="00DC4AD8">
                    <w:rPr>
                      <w:color w:val="000000"/>
                      <w:szCs w:val="22"/>
                    </w:rPr>
                    <w:t>0.3389</w:t>
                  </w:r>
                </w:p>
              </w:tc>
              <w:tc>
                <w:tcPr>
                  <w:tcW w:w="829" w:type="dxa"/>
                  <w:shd w:val="clear" w:color="auto" w:fill="FFFFFF"/>
                </w:tcPr>
                <w:p w14:paraId="115F3DBA" w14:textId="77777777" w:rsidR="00DC4AD8" w:rsidRPr="00DC4AD8" w:rsidRDefault="00DC4AD8" w:rsidP="00DC4AD8">
                  <w:pPr>
                    <w:rPr>
                      <w:color w:val="000000"/>
                      <w:sz w:val="18"/>
                      <w:szCs w:val="18"/>
                    </w:rPr>
                  </w:pPr>
                  <w:r w:rsidRPr="00DC4AD8">
                    <w:rPr>
                      <w:color w:val="000000"/>
                      <w:sz w:val="18"/>
                      <w:szCs w:val="18"/>
                    </w:rPr>
                    <w:t>[kg.d</w:t>
                  </w:r>
                  <w:r w:rsidRPr="00DC4AD8">
                    <w:rPr>
                      <w:color w:val="000000"/>
                      <w:sz w:val="18"/>
                      <w:szCs w:val="18"/>
                      <w:vertAlign w:val="superscript"/>
                    </w:rPr>
                    <w:t>-1</w:t>
                  </w:r>
                  <w:r w:rsidRPr="00DC4AD8">
                    <w:rPr>
                      <w:color w:val="000000"/>
                      <w:sz w:val="18"/>
                      <w:szCs w:val="18"/>
                    </w:rPr>
                    <w:t>]</w:t>
                  </w:r>
                </w:p>
              </w:tc>
              <w:tc>
                <w:tcPr>
                  <w:tcW w:w="1355" w:type="dxa"/>
                  <w:shd w:val="clear" w:color="auto" w:fill="FFFFFF"/>
                </w:tcPr>
                <w:p w14:paraId="0DCFC1AB" w14:textId="77777777" w:rsidR="00DC4AD8" w:rsidRPr="00DC4AD8" w:rsidRDefault="00DC4AD8" w:rsidP="00DC4AD8">
                  <w:pPr>
                    <w:rPr>
                      <w:color w:val="000000"/>
                      <w:sz w:val="18"/>
                      <w:szCs w:val="18"/>
                    </w:rPr>
                  </w:pPr>
                  <w:r w:rsidRPr="00DC4AD8">
                    <w:rPr>
                      <w:color w:val="000000"/>
                      <w:sz w:val="18"/>
                      <w:szCs w:val="18"/>
                    </w:rPr>
                    <w:t>D (ESD-PT3, 2011; Appendix1: Table 11)</w:t>
                  </w:r>
                </w:p>
              </w:tc>
            </w:tr>
            <w:tr w:rsidR="00DC4AD8" w:rsidRPr="00DC4AD8" w14:paraId="6B64C70A" w14:textId="77777777" w:rsidTr="00DC4AD8">
              <w:trPr>
                <w:trHeight w:val="75"/>
              </w:trPr>
              <w:tc>
                <w:tcPr>
                  <w:tcW w:w="8959" w:type="dxa"/>
                  <w:gridSpan w:val="5"/>
                  <w:shd w:val="clear" w:color="auto" w:fill="FFFFFF"/>
                </w:tcPr>
                <w:p w14:paraId="63591418" w14:textId="77777777" w:rsidR="00DC4AD8" w:rsidRPr="00DC4AD8" w:rsidRDefault="00DC4AD8" w:rsidP="00DC4AD8">
                  <w:pPr>
                    <w:rPr>
                      <w:rStyle w:val="MSGENFONTSTYLENAMETEMPLATEROLENUMBERMSGENFONTSTYLENAMEBYROLETEXT2MSGENFONTSTYLEMODIFERSIZE9"/>
                      <w:rFonts w:ascii="Verdana" w:eastAsia="Calibri" w:hAnsi="Verdana" w:cs="Times New Roman"/>
                      <w:b w:val="0"/>
                      <w:bCs w:val="0"/>
                      <w:i/>
                      <w:iCs/>
                      <w:lang w:val="sv-SE" w:eastAsia="sv-SE"/>
                    </w:rPr>
                  </w:pPr>
                  <w:r w:rsidRPr="00DC4AD8">
                    <w:rPr>
                      <w:i/>
                      <w:iCs/>
                      <w:color w:val="000000"/>
                      <w:sz w:val="18"/>
                      <w:szCs w:val="18"/>
                    </w:rPr>
                    <w:t>If nitrogen immission standards are applied:</w:t>
                  </w:r>
                </w:p>
              </w:tc>
            </w:tr>
            <w:tr w:rsidR="00DC4AD8" w:rsidRPr="00DC4AD8" w14:paraId="1C5EDCEE" w14:textId="77777777" w:rsidTr="00DC4AD8">
              <w:trPr>
                <w:trHeight w:val="75"/>
              </w:trPr>
              <w:tc>
                <w:tcPr>
                  <w:tcW w:w="3399" w:type="dxa"/>
                  <w:shd w:val="clear" w:color="auto" w:fill="FFFFFF"/>
                </w:tcPr>
                <w:p w14:paraId="1434C12C"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Nitrogen immission standard for one year on grassland</w:t>
                  </w:r>
                </w:p>
              </w:tc>
              <w:tc>
                <w:tcPr>
                  <w:tcW w:w="1879" w:type="dxa"/>
                  <w:shd w:val="clear" w:color="auto" w:fill="FFFFFF"/>
                </w:tcPr>
                <w:p w14:paraId="46E3763F"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QN,grassland</w:t>
                  </w:r>
                </w:p>
              </w:tc>
              <w:tc>
                <w:tcPr>
                  <w:tcW w:w="1497" w:type="dxa"/>
                  <w:shd w:val="clear" w:color="auto" w:fill="FFFFFF"/>
                </w:tcPr>
                <w:p w14:paraId="1F3C30BF" w14:textId="77777777" w:rsidR="00DC4AD8" w:rsidRPr="00DC4AD8" w:rsidRDefault="00DC4AD8" w:rsidP="00DC4AD8">
                  <w:pPr>
                    <w:rPr>
                      <w:color w:val="000000"/>
                    </w:rPr>
                  </w:pPr>
                  <w:r w:rsidRPr="00DC4AD8">
                    <w:rPr>
                      <w:color w:val="000000"/>
                      <w:szCs w:val="22"/>
                    </w:rPr>
                    <w:t>170</w:t>
                  </w:r>
                </w:p>
              </w:tc>
              <w:tc>
                <w:tcPr>
                  <w:tcW w:w="829" w:type="dxa"/>
                  <w:shd w:val="clear" w:color="auto" w:fill="FFFFFF"/>
                </w:tcPr>
                <w:p w14:paraId="6326CB67" w14:textId="77777777" w:rsidR="00DC4AD8" w:rsidRPr="00DC4AD8" w:rsidRDefault="00DC4AD8" w:rsidP="00DC4AD8">
                  <w:pPr>
                    <w:rPr>
                      <w:color w:val="000000"/>
                      <w:sz w:val="18"/>
                      <w:szCs w:val="18"/>
                    </w:rPr>
                  </w:pPr>
                  <w:r w:rsidRPr="00DC4AD8">
                    <w:rPr>
                      <w:color w:val="000000"/>
                      <w:sz w:val="18"/>
                      <w:szCs w:val="18"/>
                    </w:rPr>
                    <w:t>[kg.ha</w:t>
                  </w:r>
                  <w:r w:rsidRPr="00DC4AD8">
                    <w:rPr>
                      <w:color w:val="000000"/>
                      <w:sz w:val="18"/>
                      <w:szCs w:val="18"/>
                      <w:vertAlign w:val="superscript"/>
                    </w:rPr>
                    <w:t>-1</w:t>
                  </w:r>
                  <w:r w:rsidRPr="00DC4AD8">
                    <w:rPr>
                      <w:color w:val="000000"/>
                      <w:sz w:val="18"/>
                      <w:szCs w:val="18"/>
                    </w:rPr>
                    <w:t>]</w:t>
                  </w:r>
                </w:p>
              </w:tc>
              <w:tc>
                <w:tcPr>
                  <w:tcW w:w="1355" w:type="dxa"/>
                  <w:shd w:val="clear" w:color="auto" w:fill="FFFFFF"/>
                </w:tcPr>
                <w:p w14:paraId="62561B36" w14:textId="77777777" w:rsidR="00DC4AD8" w:rsidRPr="00DC4AD8" w:rsidRDefault="00DC4AD8" w:rsidP="00DC4AD8">
                  <w:pPr>
                    <w:rPr>
                      <w:color w:val="000000"/>
                      <w:sz w:val="18"/>
                      <w:szCs w:val="18"/>
                    </w:rPr>
                  </w:pPr>
                  <w:r w:rsidRPr="00DC4AD8">
                    <w:rPr>
                      <w:color w:val="000000"/>
                      <w:sz w:val="18"/>
                      <w:szCs w:val="18"/>
                    </w:rPr>
                    <w:t>D (ESD-PT3, 2011; Appendix1: Table 13)</w:t>
                  </w:r>
                </w:p>
              </w:tc>
            </w:tr>
            <w:tr w:rsidR="00DC4AD8" w:rsidRPr="00DC4AD8" w14:paraId="5C556E91" w14:textId="77777777" w:rsidTr="00DC4AD8">
              <w:trPr>
                <w:trHeight w:val="75"/>
              </w:trPr>
              <w:tc>
                <w:tcPr>
                  <w:tcW w:w="3399" w:type="dxa"/>
                  <w:shd w:val="clear" w:color="auto" w:fill="FFFFFF"/>
                </w:tcPr>
                <w:p w14:paraId="7E4E6907"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Nitrogen immission standard for one year on arable land</w:t>
                  </w:r>
                </w:p>
              </w:tc>
              <w:tc>
                <w:tcPr>
                  <w:tcW w:w="1879" w:type="dxa"/>
                  <w:shd w:val="clear" w:color="auto" w:fill="FFFFFF"/>
                </w:tcPr>
                <w:p w14:paraId="21203831"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QN,arable_land</w:t>
                  </w:r>
                </w:p>
              </w:tc>
              <w:tc>
                <w:tcPr>
                  <w:tcW w:w="1497" w:type="dxa"/>
                  <w:shd w:val="clear" w:color="auto" w:fill="FFFFFF"/>
                </w:tcPr>
                <w:p w14:paraId="6C187302" w14:textId="77777777" w:rsidR="00DC4AD8" w:rsidRPr="00DC4AD8" w:rsidRDefault="00DC4AD8" w:rsidP="00DC4AD8">
                  <w:pPr>
                    <w:rPr>
                      <w:color w:val="000000"/>
                    </w:rPr>
                  </w:pPr>
                  <w:r w:rsidRPr="00DC4AD8">
                    <w:rPr>
                      <w:color w:val="000000"/>
                      <w:szCs w:val="22"/>
                    </w:rPr>
                    <w:t>170</w:t>
                  </w:r>
                </w:p>
              </w:tc>
              <w:tc>
                <w:tcPr>
                  <w:tcW w:w="829" w:type="dxa"/>
                  <w:shd w:val="clear" w:color="auto" w:fill="FFFFFF"/>
                </w:tcPr>
                <w:p w14:paraId="0101114F" w14:textId="77777777" w:rsidR="00DC4AD8" w:rsidRPr="00DC4AD8" w:rsidRDefault="00DC4AD8" w:rsidP="00DC4AD8">
                  <w:pPr>
                    <w:rPr>
                      <w:color w:val="000000"/>
                      <w:sz w:val="18"/>
                      <w:szCs w:val="18"/>
                    </w:rPr>
                  </w:pPr>
                  <w:r w:rsidRPr="00DC4AD8">
                    <w:rPr>
                      <w:color w:val="000000"/>
                      <w:sz w:val="18"/>
                      <w:szCs w:val="18"/>
                    </w:rPr>
                    <w:t>[kg.ha</w:t>
                  </w:r>
                  <w:r w:rsidRPr="00DC4AD8">
                    <w:rPr>
                      <w:color w:val="000000"/>
                      <w:sz w:val="18"/>
                      <w:szCs w:val="18"/>
                      <w:vertAlign w:val="superscript"/>
                    </w:rPr>
                    <w:t>-1</w:t>
                  </w:r>
                  <w:r w:rsidRPr="00DC4AD8">
                    <w:rPr>
                      <w:color w:val="000000"/>
                      <w:sz w:val="18"/>
                      <w:szCs w:val="18"/>
                    </w:rPr>
                    <w:t>]</w:t>
                  </w:r>
                </w:p>
              </w:tc>
              <w:tc>
                <w:tcPr>
                  <w:tcW w:w="1355" w:type="dxa"/>
                  <w:shd w:val="clear" w:color="auto" w:fill="FFFFFF"/>
                </w:tcPr>
                <w:p w14:paraId="2101C7A9" w14:textId="77777777" w:rsidR="00DC4AD8" w:rsidRPr="00DC4AD8" w:rsidRDefault="00DC4AD8" w:rsidP="00DC4AD8">
                  <w:pPr>
                    <w:rPr>
                      <w:color w:val="000000"/>
                      <w:sz w:val="18"/>
                      <w:szCs w:val="18"/>
                    </w:rPr>
                  </w:pPr>
                  <w:r w:rsidRPr="00DC4AD8">
                    <w:rPr>
                      <w:color w:val="000000"/>
                      <w:sz w:val="18"/>
                      <w:szCs w:val="18"/>
                    </w:rPr>
                    <w:t>D (ESD-PT3, 2011; Appendix1: Table 13)</w:t>
                  </w:r>
                </w:p>
              </w:tc>
            </w:tr>
            <w:tr w:rsidR="00DC4AD8" w:rsidRPr="00DC4AD8" w14:paraId="50353C01" w14:textId="77777777" w:rsidTr="00DC4AD8">
              <w:trPr>
                <w:trHeight w:val="75"/>
              </w:trPr>
              <w:tc>
                <w:tcPr>
                  <w:tcW w:w="3399" w:type="dxa"/>
                  <w:shd w:val="clear" w:color="auto" w:fill="FFFFFF"/>
                </w:tcPr>
                <w:p w14:paraId="547FA3A7"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Mixing depth with soil, grassland</w:t>
                  </w:r>
                </w:p>
              </w:tc>
              <w:tc>
                <w:tcPr>
                  <w:tcW w:w="1879" w:type="dxa"/>
                  <w:shd w:val="clear" w:color="auto" w:fill="FFFFFF"/>
                </w:tcPr>
                <w:p w14:paraId="3FB62046"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DEPTHgrassland</w:t>
                  </w:r>
                </w:p>
              </w:tc>
              <w:tc>
                <w:tcPr>
                  <w:tcW w:w="1497" w:type="dxa"/>
                  <w:shd w:val="clear" w:color="auto" w:fill="FFFFFF"/>
                </w:tcPr>
                <w:p w14:paraId="4900F8C4" w14:textId="77777777" w:rsidR="00DC4AD8" w:rsidRPr="00DC4AD8" w:rsidRDefault="00DC4AD8" w:rsidP="00DC4AD8">
                  <w:pPr>
                    <w:rPr>
                      <w:color w:val="000000"/>
                    </w:rPr>
                  </w:pPr>
                  <w:r w:rsidRPr="00DC4AD8">
                    <w:rPr>
                      <w:color w:val="000000"/>
                      <w:szCs w:val="22"/>
                    </w:rPr>
                    <w:t>0.05</w:t>
                  </w:r>
                </w:p>
              </w:tc>
              <w:tc>
                <w:tcPr>
                  <w:tcW w:w="829" w:type="dxa"/>
                  <w:shd w:val="clear" w:color="auto" w:fill="FFFFFF"/>
                </w:tcPr>
                <w:p w14:paraId="45546127" w14:textId="77777777" w:rsidR="00DC4AD8" w:rsidRPr="00DC4AD8" w:rsidRDefault="00DC4AD8" w:rsidP="00DC4AD8">
                  <w:pPr>
                    <w:rPr>
                      <w:color w:val="000000"/>
                      <w:sz w:val="18"/>
                      <w:szCs w:val="18"/>
                    </w:rPr>
                  </w:pPr>
                  <w:r w:rsidRPr="00DC4AD8">
                    <w:rPr>
                      <w:color w:val="000000"/>
                      <w:sz w:val="18"/>
                      <w:szCs w:val="18"/>
                    </w:rPr>
                    <w:t>[m]</w:t>
                  </w:r>
                </w:p>
              </w:tc>
              <w:tc>
                <w:tcPr>
                  <w:tcW w:w="1355" w:type="dxa"/>
                  <w:shd w:val="clear" w:color="auto" w:fill="FFFFFF"/>
                </w:tcPr>
                <w:p w14:paraId="511FE8DD" w14:textId="77777777" w:rsidR="00DC4AD8" w:rsidRPr="00DC4AD8" w:rsidRDefault="00DC4AD8" w:rsidP="00DC4AD8">
                  <w:pPr>
                    <w:rPr>
                      <w:color w:val="000000"/>
                      <w:sz w:val="18"/>
                      <w:szCs w:val="18"/>
                    </w:rPr>
                  </w:pPr>
                  <w:r w:rsidRPr="00DC4AD8">
                    <w:rPr>
                      <w:color w:val="000000"/>
                      <w:sz w:val="18"/>
                      <w:szCs w:val="18"/>
                    </w:rPr>
                    <w:t>D</w:t>
                  </w:r>
                </w:p>
              </w:tc>
            </w:tr>
            <w:tr w:rsidR="00DC4AD8" w:rsidRPr="00DC4AD8" w14:paraId="244B02E1" w14:textId="77777777" w:rsidTr="00DC4AD8">
              <w:trPr>
                <w:trHeight w:val="75"/>
              </w:trPr>
              <w:tc>
                <w:tcPr>
                  <w:tcW w:w="3399" w:type="dxa"/>
                  <w:shd w:val="clear" w:color="auto" w:fill="FFFFFF"/>
                </w:tcPr>
                <w:p w14:paraId="254BC469"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Mixing depth with soil, arable land</w:t>
                  </w:r>
                </w:p>
              </w:tc>
              <w:tc>
                <w:tcPr>
                  <w:tcW w:w="1879" w:type="dxa"/>
                  <w:shd w:val="clear" w:color="auto" w:fill="FFFFFF"/>
                </w:tcPr>
                <w:p w14:paraId="66BAC603"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DEPTHarable _land</w:t>
                  </w:r>
                </w:p>
              </w:tc>
              <w:tc>
                <w:tcPr>
                  <w:tcW w:w="1497" w:type="dxa"/>
                  <w:shd w:val="clear" w:color="auto" w:fill="FFFFFF"/>
                </w:tcPr>
                <w:p w14:paraId="264B4113" w14:textId="77777777" w:rsidR="00DC4AD8" w:rsidRPr="00DC4AD8" w:rsidRDefault="00DC4AD8" w:rsidP="00DC4AD8">
                  <w:pPr>
                    <w:rPr>
                      <w:color w:val="000000"/>
                    </w:rPr>
                  </w:pPr>
                  <w:r w:rsidRPr="00DC4AD8">
                    <w:rPr>
                      <w:color w:val="000000"/>
                      <w:szCs w:val="22"/>
                    </w:rPr>
                    <w:t>0.2</w:t>
                  </w:r>
                </w:p>
              </w:tc>
              <w:tc>
                <w:tcPr>
                  <w:tcW w:w="829" w:type="dxa"/>
                  <w:shd w:val="clear" w:color="auto" w:fill="FFFFFF"/>
                </w:tcPr>
                <w:p w14:paraId="300C4388" w14:textId="77777777" w:rsidR="00DC4AD8" w:rsidRPr="00DC4AD8" w:rsidRDefault="00DC4AD8" w:rsidP="00DC4AD8">
                  <w:pPr>
                    <w:rPr>
                      <w:color w:val="000000"/>
                      <w:sz w:val="18"/>
                      <w:szCs w:val="18"/>
                    </w:rPr>
                  </w:pPr>
                  <w:r w:rsidRPr="00DC4AD8">
                    <w:rPr>
                      <w:color w:val="000000"/>
                      <w:sz w:val="18"/>
                      <w:szCs w:val="18"/>
                    </w:rPr>
                    <w:t>[m]</w:t>
                  </w:r>
                </w:p>
              </w:tc>
              <w:tc>
                <w:tcPr>
                  <w:tcW w:w="1355" w:type="dxa"/>
                  <w:shd w:val="clear" w:color="auto" w:fill="FFFFFF"/>
                </w:tcPr>
                <w:p w14:paraId="618772C6" w14:textId="77777777" w:rsidR="00DC4AD8" w:rsidRPr="00DC4AD8" w:rsidRDefault="00DC4AD8" w:rsidP="00DC4AD8">
                  <w:pPr>
                    <w:rPr>
                      <w:color w:val="000000"/>
                      <w:sz w:val="18"/>
                      <w:szCs w:val="18"/>
                    </w:rPr>
                  </w:pPr>
                  <w:r w:rsidRPr="00DC4AD8">
                    <w:rPr>
                      <w:color w:val="000000"/>
                      <w:sz w:val="18"/>
                      <w:szCs w:val="18"/>
                    </w:rPr>
                    <w:t>D</w:t>
                  </w:r>
                </w:p>
              </w:tc>
            </w:tr>
            <w:tr w:rsidR="00DC4AD8" w:rsidRPr="00DC4AD8" w14:paraId="40F8E9DF" w14:textId="77777777" w:rsidTr="00DC4AD8">
              <w:trPr>
                <w:trHeight w:val="75"/>
              </w:trPr>
              <w:tc>
                <w:tcPr>
                  <w:tcW w:w="3399" w:type="dxa"/>
                  <w:shd w:val="clear" w:color="auto" w:fill="FFFFFF"/>
                </w:tcPr>
                <w:p w14:paraId="6CBA2942" w14:textId="77777777" w:rsidR="00DC4AD8" w:rsidRPr="00DC4AD8" w:rsidRDefault="00DC4AD8" w:rsidP="00DC4AD8">
                  <w:pPr>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Density of wet bulk soil</w:t>
                  </w:r>
                </w:p>
              </w:tc>
              <w:tc>
                <w:tcPr>
                  <w:tcW w:w="1879" w:type="dxa"/>
                  <w:shd w:val="clear" w:color="auto" w:fill="FFFFFF"/>
                </w:tcPr>
                <w:p w14:paraId="3CCDB9AB" w14:textId="77777777" w:rsidR="00DC4AD8" w:rsidRPr="00DC4AD8" w:rsidRDefault="00DC4AD8" w:rsidP="00DC4AD8">
                  <w:pPr>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RHOsoilwet</w:t>
                  </w:r>
                </w:p>
              </w:tc>
              <w:tc>
                <w:tcPr>
                  <w:tcW w:w="1497" w:type="dxa"/>
                  <w:shd w:val="clear" w:color="auto" w:fill="FFFFFF"/>
                </w:tcPr>
                <w:p w14:paraId="3B58B627" w14:textId="77777777" w:rsidR="00DC4AD8" w:rsidRPr="00DC4AD8" w:rsidRDefault="00DC4AD8" w:rsidP="00DC4AD8">
                  <w:pPr>
                    <w:rPr>
                      <w:color w:val="000000"/>
                    </w:rPr>
                  </w:pPr>
                  <w:r w:rsidRPr="00DC4AD8">
                    <w:rPr>
                      <w:color w:val="000000"/>
                      <w:szCs w:val="22"/>
                    </w:rPr>
                    <w:t>1700</w:t>
                  </w:r>
                </w:p>
              </w:tc>
              <w:tc>
                <w:tcPr>
                  <w:tcW w:w="829" w:type="dxa"/>
                  <w:shd w:val="clear" w:color="auto" w:fill="FFFFFF"/>
                </w:tcPr>
                <w:p w14:paraId="5550D89F" w14:textId="77777777" w:rsidR="00DC4AD8" w:rsidRPr="00DC4AD8" w:rsidRDefault="00DC4AD8" w:rsidP="00DC4AD8">
                  <w:pPr>
                    <w:rPr>
                      <w:color w:val="000000"/>
                      <w:sz w:val="18"/>
                      <w:szCs w:val="18"/>
                    </w:rPr>
                  </w:pPr>
                  <w:r w:rsidRPr="00DC4AD8">
                    <w:rPr>
                      <w:color w:val="000000"/>
                      <w:sz w:val="18"/>
                      <w:szCs w:val="18"/>
                    </w:rPr>
                    <w:t>[kg.m</w:t>
                  </w:r>
                  <w:r w:rsidRPr="00DC4AD8">
                    <w:rPr>
                      <w:color w:val="000000"/>
                      <w:sz w:val="18"/>
                      <w:szCs w:val="18"/>
                      <w:vertAlign w:val="superscript"/>
                    </w:rPr>
                    <w:t>-3</w:t>
                  </w:r>
                  <w:r w:rsidRPr="00DC4AD8">
                    <w:rPr>
                      <w:color w:val="000000"/>
                      <w:sz w:val="18"/>
                      <w:szCs w:val="18"/>
                    </w:rPr>
                    <w:t>]</w:t>
                  </w:r>
                </w:p>
              </w:tc>
              <w:tc>
                <w:tcPr>
                  <w:tcW w:w="1355" w:type="dxa"/>
                  <w:shd w:val="clear" w:color="auto" w:fill="FFFFFF"/>
                </w:tcPr>
                <w:p w14:paraId="19933F87" w14:textId="77777777" w:rsidR="00DC4AD8" w:rsidRPr="00DC4AD8" w:rsidRDefault="00DC4AD8" w:rsidP="00DC4AD8">
                  <w:pPr>
                    <w:rPr>
                      <w:color w:val="000000"/>
                      <w:sz w:val="18"/>
                      <w:szCs w:val="18"/>
                    </w:rPr>
                  </w:pPr>
                  <w:r w:rsidRPr="00DC4AD8">
                    <w:rPr>
                      <w:color w:val="000000"/>
                      <w:sz w:val="18"/>
                      <w:szCs w:val="18"/>
                    </w:rPr>
                    <w:t>D</w:t>
                  </w:r>
                </w:p>
              </w:tc>
            </w:tr>
          </w:tbl>
          <w:p w14:paraId="2830E2F6" w14:textId="77777777" w:rsidR="00DC4AD8" w:rsidRPr="00DC4AD8" w:rsidRDefault="00DC4AD8" w:rsidP="00DC4AD8">
            <w:pPr>
              <w:rPr>
                <w:rFonts w:eastAsia="Arial" w:cs="Arial"/>
                <w:sz w:val="18"/>
                <w:szCs w:val="18"/>
                <w:lang w:val="en-US" w:eastAsia="en-US"/>
              </w:rPr>
            </w:pPr>
          </w:p>
          <w:p w14:paraId="767FADC3" w14:textId="77777777" w:rsidR="00DC4AD8" w:rsidRPr="00DC4AD8" w:rsidRDefault="00DC4AD8" w:rsidP="00DC4AD8">
            <w:pPr>
              <w:rPr>
                <w:rFonts w:cs="Arial"/>
                <w:sz w:val="20"/>
                <w:szCs w:val="20"/>
              </w:rPr>
            </w:pPr>
            <w:r w:rsidRPr="00DC4AD8">
              <w:rPr>
                <w:rFonts w:eastAsia="Arial" w:cs="Arial"/>
                <w:sz w:val="18"/>
                <w:szCs w:val="18"/>
                <w:lang w:val="en-US" w:eastAsia="en-US"/>
              </w:rPr>
              <w:t>*D: default from ESD, S: set based on product.</w:t>
            </w:r>
          </w:p>
        </w:tc>
      </w:tr>
    </w:tbl>
    <w:p w14:paraId="1D154A48" w14:textId="77777777" w:rsidR="00DC4AD8" w:rsidRDefault="00DC4AD8" w:rsidP="00DC4AD8">
      <w:pPr>
        <w:spacing w:before="60" w:line="276" w:lineRule="auto"/>
        <w:ind w:left="142"/>
        <w:jc w:val="both"/>
        <w:rPr>
          <w:i/>
          <w:lang w:eastAsia="en-US"/>
        </w:rPr>
      </w:pPr>
    </w:p>
    <w:tbl>
      <w:tblPr>
        <w:tblStyle w:val="Grilledutableau4"/>
        <w:tblpPr w:leftFromText="180" w:rightFromText="180" w:vertAnchor="text" w:horzAnchor="margin" w:tblpY="106"/>
        <w:tblW w:w="9180" w:type="dxa"/>
        <w:tblLook w:val="04A0" w:firstRow="1" w:lastRow="0" w:firstColumn="1" w:lastColumn="0" w:noHBand="0" w:noVBand="1"/>
      </w:tblPr>
      <w:tblGrid>
        <w:gridCol w:w="9203"/>
      </w:tblGrid>
      <w:tr w:rsidR="00DC4AD8" w:rsidRPr="00DC4AD8" w14:paraId="11133256" w14:textId="77777777" w:rsidTr="00DC4AD8">
        <w:trPr>
          <w:trHeight w:val="2401"/>
        </w:trPr>
        <w:tc>
          <w:tcPr>
            <w:tcW w:w="9180" w:type="dxa"/>
            <w:shd w:val="clear" w:color="auto" w:fill="D6E3BC" w:themeFill="accent3" w:themeFillTint="66"/>
          </w:tcPr>
          <w:p w14:paraId="54CF6999" w14:textId="77777777" w:rsidR="00DC4AD8" w:rsidRPr="00DC4AD8" w:rsidRDefault="00DC4AD8" w:rsidP="00DC4AD8">
            <w:pPr>
              <w:spacing w:line="276" w:lineRule="auto"/>
              <w:jc w:val="both"/>
              <w:rPr>
                <w:rFonts w:cs="Arial"/>
                <w:b/>
                <w:sz w:val="20"/>
                <w:szCs w:val="20"/>
              </w:rPr>
            </w:pPr>
            <w:r w:rsidRPr="00DC4AD8">
              <w:rPr>
                <w:rStyle w:val="LgendeCar"/>
                <w:b/>
              </w:rPr>
              <w:lastRenderedPageBreak/>
              <w:t xml:space="preserve">Infobox </w:t>
            </w:r>
            <w:r w:rsidRPr="00DC4AD8">
              <w:rPr>
                <w:rStyle w:val="LgendeCar"/>
                <w:b/>
              </w:rPr>
              <w:fldChar w:fldCharType="begin"/>
            </w:r>
            <w:r w:rsidRPr="00DC4AD8">
              <w:rPr>
                <w:rStyle w:val="LgendeCar"/>
                <w:b/>
              </w:rPr>
              <w:instrText xml:space="preserve"> SEQ Infobox \* ARABIC </w:instrText>
            </w:r>
            <w:r w:rsidRPr="00DC4AD8">
              <w:rPr>
                <w:rStyle w:val="LgendeCar"/>
                <w:b/>
              </w:rPr>
              <w:fldChar w:fldCharType="separate"/>
            </w:r>
            <w:r w:rsidR="00D3764E">
              <w:rPr>
                <w:rStyle w:val="LgendeCar"/>
                <w:b/>
                <w:noProof/>
              </w:rPr>
              <w:t>9</w:t>
            </w:r>
            <w:r w:rsidRPr="00DC4AD8">
              <w:rPr>
                <w:rStyle w:val="LgendeCar"/>
                <w:b/>
              </w:rPr>
              <w:fldChar w:fldCharType="end"/>
            </w:r>
            <w:r w:rsidRPr="00DC4AD8">
              <w:rPr>
                <w:rStyle w:val="LgendeCar"/>
                <w:b/>
              </w:rPr>
              <w:t xml:space="preserve"> -</w:t>
            </w:r>
            <w:r w:rsidRPr="00DC4AD8">
              <w:rPr>
                <w:rStyle w:val="LgendeCar"/>
              </w:rPr>
              <w:t xml:space="preserve"> </w:t>
            </w:r>
            <w:r w:rsidRPr="00DC4AD8">
              <w:rPr>
                <w:rFonts w:cs="Arial"/>
                <w:b/>
                <w:sz w:val="20"/>
                <w:szCs w:val="20"/>
              </w:rPr>
              <w:t>FR CA position:</w:t>
            </w:r>
          </w:p>
          <w:p w14:paraId="3412EA53" w14:textId="77777777" w:rsidR="00DC4AD8" w:rsidRPr="00DC4AD8" w:rsidRDefault="00DC4AD8" w:rsidP="00DC4AD8">
            <w:pPr>
              <w:spacing w:line="276" w:lineRule="auto"/>
              <w:jc w:val="both"/>
              <w:rPr>
                <w:rFonts w:cs="Arial"/>
                <w:sz w:val="20"/>
                <w:szCs w:val="20"/>
              </w:rPr>
            </w:pPr>
            <w:r w:rsidRPr="00DC4AD8">
              <w:rPr>
                <w:rFonts w:cs="Arial"/>
                <w:sz w:val="20"/>
                <w:szCs w:val="20"/>
              </w:rPr>
              <w:t>The table below presents input parameters, intermediate calculations and output needed for the PEC calculations for emission via slurry and manure.</w:t>
            </w:r>
          </w:p>
          <w:p w14:paraId="54B44087" w14:textId="77777777" w:rsidR="00DC4AD8" w:rsidRPr="00DC4AD8" w:rsidRDefault="00DC4AD8" w:rsidP="00DC4AD8">
            <w:pPr>
              <w:spacing w:line="276" w:lineRule="auto"/>
              <w:jc w:val="both"/>
              <w:rPr>
                <w:rFonts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1798"/>
              <w:gridCol w:w="2150"/>
              <w:gridCol w:w="924"/>
              <w:gridCol w:w="1431"/>
            </w:tblGrid>
            <w:tr w:rsidR="00DC4AD8" w:rsidRPr="00DC4AD8" w14:paraId="6ACF3889" w14:textId="77777777" w:rsidTr="008B4D23">
              <w:trPr>
                <w:trHeight w:val="313"/>
              </w:trPr>
              <w:tc>
                <w:tcPr>
                  <w:tcW w:w="9356" w:type="dxa"/>
                  <w:gridSpan w:val="5"/>
                  <w:shd w:val="clear" w:color="auto" w:fill="FFFFCC"/>
                  <w:vAlign w:val="center"/>
                </w:tcPr>
                <w:p w14:paraId="221C54BC" w14:textId="77777777" w:rsidR="00DC4AD8" w:rsidRPr="00DC4AD8" w:rsidRDefault="00DC4AD8" w:rsidP="00FA101C">
                  <w:pPr>
                    <w:framePr w:hSpace="180" w:wrap="around" w:vAnchor="text" w:hAnchor="margin" w:y="106"/>
                    <w:autoSpaceDE w:val="0"/>
                    <w:autoSpaceDN w:val="0"/>
                    <w:adjustRightInd w:val="0"/>
                    <w:jc w:val="center"/>
                    <w:rPr>
                      <w:rFonts w:cs="Arial"/>
                      <w:b/>
                      <w:color w:val="000000"/>
                      <w:lang w:eastAsia="en-GB"/>
                    </w:rPr>
                  </w:pPr>
                  <w:r w:rsidRPr="00DC4AD8">
                    <w:rPr>
                      <w:rFonts w:cs="Arial"/>
                      <w:b/>
                      <w:color w:val="000000"/>
                      <w:lang w:eastAsia="en-GB"/>
                    </w:rPr>
                    <w:t xml:space="preserve">Additional Input parameters and intermediate calculations </w:t>
                  </w:r>
                </w:p>
                <w:p w14:paraId="33EB7408" w14:textId="77777777" w:rsidR="00DC4AD8" w:rsidRPr="00DC4AD8" w:rsidRDefault="00DC4AD8" w:rsidP="00FA101C">
                  <w:pPr>
                    <w:framePr w:hSpace="180" w:wrap="around" w:vAnchor="text" w:hAnchor="margin" w:y="106"/>
                    <w:autoSpaceDE w:val="0"/>
                    <w:autoSpaceDN w:val="0"/>
                    <w:adjustRightInd w:val="0"/>
                    <w:jc w:val="center"/>
                    <w:rPr>
                      <w:rFonts w:cs="Arial"/>
                      <w:b/>
                      <w:color w:val="000000"/>
                      <w:sz w:val="18"/>
                      <w:szCs w:val="18"/>
                      <w:lang w:eastAsia="en-GB"/>
                    </w:rPr>
                  </w:pPr>
                  <w:r w:rsidRPr="00DC4AD8">
                    <w:rPr>
                      <w:rFonts w:cs="Arial"/>
                      <w:b/>
                      <w:color w:val="000000"/>
                      <w:lang w:eastAsia="en-GB"/>
                    </w:rPr>
                    <w:t>"Input parameters for emission calculations to soil via manure application"</w:t>
                  </w:r>
                  <w:r w:rsidRPr="00DC4AD8">
                    <w:rPr>
                      <w:rFonts w:cs="Arial"/>
                      <w:b/>
                      <w:color w:val="000000"/>
                      <w:sz w:val="18"/>
                      <w:szCs w:val="18"/>
                      <w:lang w:eastAsia="en-GB"/>
                    </w:rPr>
                    <w:t xml:space="preserve"> </w:t>
                  </w:r>
                </w:p>
              </w:tc>
            </w:tr>
            <w:tr w:rsidR="00DC4AD8" w:rsidRPr="00DC4AD8" w14:paraId="0694B9B4" w14:textId="77777777" w:rsidTr="008B4D23">
              <w:trPr>
                <w:trHeight w:val="313"/>
              </w:trPr>
              <w:tc>
                <w:tcPr>
                  <w:tcW w:w="2926" w:type="dxa"/>
                  <w:shd w:val="clear" w:color="auto" w:fill="FFFFFF"/>
                </w:tcPr>
                <w:p w14:paraId="2AB8D39C" w14:textId="77777777" w:rsidR="00DC4AD8" w:rsidRPr="00DC4AD8" w:rsidRDefault="00DC4AD8" w:rsidP="00FA101C">
                  <w:pPr>
                    <w:framePr w:hSpace="180" w:wrap="around" w:vAnchor="text" w:hAnchor="margin" w:y="106"/>
                    <w:autoSpaceDE w:val="0"/>
                    <w:autoSpaceDN w:val="0"/>
                    <w:adjustRightInd w:val="0"/>
                    <w:rPr>
                      <w:rFonts w:cs="Arial"/>
                      <w:color w:val="000000"/>
                      <w:sz w:val="18"/>
                      <w:szCs w:val="18"/>
                      <w:lang w:eastAsia="en-GB"/>
                    </w:rPr>
                  </w:pPr>
                  <w:r w:rsidRPr="00DC4AD8">
                    <w:rPr>
                      <w:rFonts w:cs="Arial"/>
                      <w:bCs/>
                      <w:color w:val="000000"/>
                      <w:sz w:val="18"/>
                      <w:szCs w:val="18"/>
                      <w:lang w:eastAsia="en-GB"/>
                    </w:rPr>
                    <w:t>Parameter</w:t>
                  </w:r>
                </w:p>
              </w:tc>
              <w:tc>
                <w:tcPr>
                  <w:tcW w:w="1809" w:type="dxa"/>
                  <w:shd w:val="clear" w:color="auto" w:fill="FFFFFF"/>
                </w:tcPr>
                <w:p w14:paraId="0F9ADA9F" w14:textId="77777777" w:rsidR="00DC4AD8" w:rsidRPr="00DC4AD8" w:rsidRDefault="00DC4AD8" w:rsidP="00FA101C">
                  <w:pPr>
                    <w:framePr w:hSpace="180" w:wrap="around" w:vAnchor="text" w:hAnchor="margin" w:y="106"/>
                    <w:autoSpaceDE w:val="0"/>
                    <w:autoSpaceDN w:val="0"/>
                    <w:adjustRightInd w:val="0"/>
                    <w:rPr>
                      <w:rFonts w:cs="Arial"/>
                      <w:color w:val="000000"/>
                      <w:sz w:val="18"/>
                      <w:szCs w:val="18"/>
                      <w:lang w:eastAsia="en-GB"/>
                    </w:rPr>
                  </w:pPr>
                  <w:r w:rsidRPr="00DC4AD8">
                    <w:rPr>
                      <w:rFonts w:cs="Arial"/>
                      <w:color w:val="000000"/>
                      <w:sz w:val="18"/>
                      <w:szCs w:val="18"/>
                      <w:lang w:eastAsia="en-GB"/>
                    </w:rPr>
                    <w:t>Nomenclature</w:t>
                  </w:r>
                </w:p>
              </w:tc>
              <w:tc>
                <w:tcPr>
                  <w:tcW w:w="2276" w:type="dxa"/>
                  <w:shd w:val="clear" w:color="auto" w:fill="FFFFFF"/>
                </w:tcPr>
                <w:p w14:paraId="42C1BC29" w14:textId="77777777" w:rsidR="00DC4AD8" w:rsidRPr="00DC4AD8" w:rsidRDefault="00DC4AD8" w:rsidP="00FA101C">
                  <w:pPr>
                    <w:framePr w:hSpace="180" w:wrap="around" w:vAnchor="text" w:hAnchor="margin" w:y="106"/>
                    <w:autoSpaceDE w:val="0"/>
                    <w:autoSpaceDN w:val="0"/>
                    <w:adjustRightInd w:val="0"/>
                    <w:rPr>
                      <w:rFonts w:cs="Arial"/>
                      <w:color w:val="000000"/>
                      <w:sz w:val="18"/>
                      <w:szCs w:val="18"/>
                      <w:lang w:eastAsia="en-GB"/>
                    </w:rPr>
                  </w:pPr>
                  <w:r w:rsidRPr="00DC4AD8">
                    <w:rPr>
                      <w:rFonts w:cs="Arial"/>
                      <w:bCs/>
                      <w:color w:val="000000"/>
                      <w:sz w:val="18"/>
                      <w:szCs w:val="18"/>
                      <w:lang w:eastAsia="en-GB"/>
                    </w:rPr>
                    <w:t xml:space="preserve">Value </w:t>
                  </w:r>
                </w:p>
              </w:tc>
              <w:tc>
                <w:tcPr>
                  <w:tcW w:w="823" w:type="dxa"/>
                  <w:shd w:val="clear" w:color="auto" w:fill="FFFFFF"/>
                </w:tcPr>
                <w:p w14:paraId="1D5C45CA" w14:textId="77777777" w:rsidR="00DC4AD8" w:rsidRPr="00DC4AD8" w:rsidRDefault="00DC4AD8" w:rsidP="00FA101C">
                  <w:pPr>
                    <w:framePr w:hSpace="180" w:wrap="around" w:vAnchor="text" w:hAnchor="margin" w:y="106"/>
                    <w:autoSpaceDE w:val="0"/>
                    <w:autoSpaceDN w:val="0"/>
                    <w:adjustRightInd w:val="0"/>
                    <w:rPr>
                      <w:rFonts w:cs="Arial"/>
                      <w:bCs/>
                      <w:color w:val="000000"/>
                      <w:sz w:val="18"/>
                      <w:szCs w:val="18"/>
                      <w:lang w:eastAsia="en-GB"/>
                    </w:rPr>
                  </w:pPr>
                  <w:r w:rsidRPr="00DC4AD8">
                    <w:rPr>
                      <w:rFonts w:cs="Arial"/>
                      <w:bCs/>
                      <w:color w:val="000000"/>
                      <w:sz w:val="18"/>
                      <w:szCs w:val="18"/>
                      <w:lang w:eastAsia="en-GB"/>
                    </w:rPr>
                    <w:t>Unit</w:t>
                  </w:r>
                </w:p>
              </w:tc>
              <w:tc>
                <w:tcPr>
                  <w:tcW w:w="1522" w:type="dxa"/>
                  <w:shd w:val="clear" w:color="auto" w:fill="FFFFFF"/>
                </w:tcPr>
                <w:p w14:paraId="77EE2880" w14:textId="77777777" w:rsidR="00DC4AD8" w:rsidRPr="00DC4AD8" w:rsidRDefault="00DC4AD8" w:rsidP="00FA101C">
                  <w:pPr>
                    <w:framePr w:hSpace="180" w:wrap="around" w:vAnchor="text" w:hAnchor="margin" w:y="106"/>
                    <w:autoSpaceDE w:val="0"/>
                    <w:autoSpaceDN w:val="0"/>
                    <w:adjustRightInd w:val="0"/>
                    <w:rPr>
                      <w:rFonts w:cs="Arial"/>
                      <w:bCs/>
                      <w:color w:val="000000"/>
                      <w:sz w:val="18"/>
                      <w:szCs w:val="18"/>
                      <w:lang w:eastAsia="en-GB"/>
                    </w:rPr>
                  </w:pPr>
                  <w:r w:rsidRPr="00DC4AD8">
                    <w:rPr>
                      <w:rFonts w:cs="Arial"/>
                      <w:bCs/>
                      <w:color w:val="000000"/>
                      <w:sz w:val="18"/>
                      <w:szCs w:val="18"/>
                      <w:lang w:eastAsia="en-GB"/>
                    </w:rPr>
                    <w:t>Origin</w:t>
                  </w:r>
                </w:p>
              </w:tc>
            </w:tr>
            <w:tr w:rsidR="00DC4AD8" w:rsidRPr="00DC4AD8" w14:paraId="03F368FD" w14:textId="77777777" w:rsidTr="008B4D23">
              <w:trPr>
                <w:trHeight w:val="75"/>
              </w:trPr>
              <w:tc>
                <w:tcPr>
                  <w:tcW w:w="2926" w:type="dxa"/>
                  <w:shd w:val="clear" w:color="auto" w:fill="FFFFFF"/>
                </w:tcPr>
                <w:p w14:paraId="12A4E3F8"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Number of biocide applications during storage period for application on grassland</w:t>
                  </w:r>
                </w:p>
              </w:tc>
              <w:tc>
                <w:tcPr>
                  <w:tcW w:w="1809" w:type="dxa"/>
                  <w:shd w:val="clear" w:color="auto" w:fill="FFFFFF"/>
                </w:tcPr>
                <w:p w14:paraId="5ACA4FB3"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Napp-manure</w:t>
                  </w:r>
                  <w:r w:rsidRPr="00DC4AD8">
                    <w:rPr>
                      <w:rStyle w:val="MSGENFONTSTYLENAMETEMPLATEROLENUMBERMSGENFONTSTYLENAMEBYROLETEXT2MSGENFONTSTYLEMODIFERSIZE9"/>
                      <w:rFonts w:ascii="Verdana" w:hAnsi="Verdana"/>
                      <w:vertAlign w:val="subscript"/>
                    </w:rPr>
                    <w:t>gr</w:t>
                  </w:r>
                </w:p>
              </w:tc>
              <w:tc>
                <w:tcPr>
                  <w:tcW w:w="2276" w:type="dxa"/>
                  <w:shd w:val="clear" w:color="auto" w:fill="FFFFFF"/>
                </w:tcPr>
                <w:p w14:paraId="1E605F1F" w14:textId="77777777" w:rsidR="00DC4AD8" w:rsidRPr="00DC4AD8" w:rsidRDefault="00DC4AD8" w:rsidP="00FA101C">
                  <w:pPr>
                    <w:framePr w:hSpace="180" w:wrap="around" w:vAnchor="text" w:hAnchor="margin" w:y="106"/>
                    <w:rPr>
                      <w:color w:val="000000"/>
                    </w:rPr>
                  </w:pPr>
                  <w:r w:rsidRPr="00DC4AD8">
                    <w:rPr>
                      <w:bCs/>
                      <w:szCs w:val="22"/>
                    </w:rPr>
                    <w:t xml:space="preserve">106 </w:t>
                  </w:r>
                </w:p>
              </w:tc>
              <w:tc>
                <w:tcPr>
                  <w:tcW w:w="823" w:type="dxa"/>
                  <w:shd w:val="clear" w:color="auto" w:fill="FFFFFF"/>
                </w:tcPr>
                <w:p w14:paraId="722DDA9C"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w:t>
                  </w:r>
                </w:p>
              </w:tc>
              <w:tc>
                <w:tcPr>
                  <w:tcW w:w="1522" w:type="dxa"/>
                  <w:shd w:val="clear" w:color="auto" w:fill="FFFFFF"/>
                </w:tcPr>
                <w:p w14:paraId="64289545"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43A1B77A" w14:textId="77777777" w:rsidTr="008B4D23">
              <w:trPr>
                <w:trHeight w:val="75"/>
              </w:trPr>
              <w:tc>
                <w:tcPr>
                  <w:tcW w:w="2926" w:type="dxa"/>
                  <w:shd w:val="clear" w:color="auto" w:fill="FFFFFF"/>
                </w:tcPr>
                <w:p w14:paraId="2C0F5B1F"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Number of biocide applications during storage period for application on arable land</w:t>
                  </w:r>
                </w:p>
              </w:tc>
              <w:tc>
                <w:tcPr>
                  <w:tcW w:w="1809" w:type="dxa"/>
                  <w:shd w:val="clear" w:color="auto" w:fill="FFFFFF"/>
                </w:tcPr>
                <w:p w14:paraId="64278A5A"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Napp-manure</w:t>
                  </w:r>
                  <w:r w:rsidRPr="00DC4AD8">
                    <w:rPr>
                      <w:rStyle w:val="MSGENFONTSTYLENAMETEMPLATEROLENUMBERMSGENFONTSTYLENAMEBYROLETEXT2MSGENFONTSTYLEMODIFERSIZE9"/>
                      <w:rFonts w:ascii="Verdana" w:hAnsi="Verdana"/>
                      <w:vertAlign w:val="subscript"/>
                    </w:rPr>
                    <w:t>ar</w:t>
                  </w:r>
                </w:p>
              </w:tc>
              <w:tc>
                <w:tcPr>
                  <w:tcW w:w="2276" w:type="dxa"/>
                  <w:shd w:val="clear" w:color="auto" w:fill="FFFFFF"/>
                </w:tcPr>
                <w:p w14:paraId="5BF39395" w14:textId="77777777" w:rsidR="00DC4AD8" w:rsidRPr="00DC4AD8" w:rsidRDefault="00DC4AD8" w:rsidP="00FA101C">
                  <w:pPr>
                    <w:framePr w:hSpace="180" w:wrap="around" w:vAnchor="text" w:hAnchor="margin" w:y="106"/>
                    <w:rPr>
                      <w:color w:val="000000"/>
                    </w:rPr>
                  </w:pPr>
                  <w:r w:rsidRPr="00DC4AD8">
                    <w:rPr>
                      <w:bCs/>
                      <w:szCs w:val="22"/>
                    </w:rPr>
                    <w:t>424</w:t>
                  </w:r>
                </w:p>
              </w:tc>
              <w:tc>
                <w:tcPr>
                  <w:tcW w:w="823" w:type="dxa"/>
                  <w:shd w:val="clear" w:color="auto" w:fill="FFFFFF"/>
                </w:tcPr>
                <w:p w14:paraId="2A71A2C2"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w:t>
                  </w:r>
                </w:p>
              </w:tc>
              <w:tc>
                <w:tcPr>
                  <w:tcW w:w="1522" w:type="dxa"/>
                  <w:shd w:val="clear" w:color="auto" w:fill="FFFFFF"/>
                </w:tcPr>
                <w:p w14:paraId="647DA7F8"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4A27DF31" w14:textId="77777777" w:rsidTr="008B4D23">
              <w:trPr>
                <w:trHeight w:val="75"/>
              </w:trPr>
              <w:tc>
                <w:tcPr>
                  <w:tcW w:w="2926" w:type="dxa"/>
                  <w:shd w:val="clear" w:color="auto" w:fill="FFFFFF"/>
                </w:tcPr>
                <w:p w14:paraId="2E0889C1"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Amount of active ingredient to be used for one application</w:t>
                  </w:r>
                </w:p>
              </w:tc>
              <w:tc>
                <w:tcPr>
                  <w:tcW w:w="1809" w:type="dxa"/>
                  <w:shd w:val="clear" w:color="auto" w:fill="FFFFFF"/>
                </w:tcPr>
                <w:p w14:paraId="18998111"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Qai-prescri1,i2,i3</w:t>
                  </w:r>
                </w:p>
              </w:tc>
              <w:tc>
                <w:tcPr>
                  <w:tcW w:w="2276" w:type="dxa"/>
                  <w:shd w:val="clear" w:color="auto" w:fill="FFFFFF"/>
                </w:tcPr>
                <w:p w14:paraId="53F91562" w14:textId="77777777" w:rsidR="00DC4AD8" w:rsidRPr="00DC4AD8" w:rsidRDefault="00070355" w:rsidP="00FA101C">
                  <w:pPr>
                    <w:framePr w:hSpace="180" w:wrap="around" w:vAnchor="text" w:hAnchor="margin" w:y="106"/>
                    <w:rPr>
                      <w:color w:val="000000"/>
                    </w:rPr>
                  </w:pPr>
                  <w:r>
                    <w:rPr>
                      <w:color w:val="000000"/>
                      <w:szCs w:val="22"/>
                    </w:rPr>
                    <w:t>2.32</w:t>
                  </w:r>
                  <w:r w:rsidR="00DC4AD8" w:rsidRPr="00DC4AD8">
                    <w:rPr>
                      <w:color w:val="000000"/>
                      <w:szCs w:val="22"/>
                    </w:rPr>
                    <w:t>E-05</w:t>
                  </w:r>
                </w:p>
              </w:tc>
              <w:tc>
                <w:tcPr>
                  <w:tcW w:w="823" w:type="dxa"/>
                  <w:shd w:val="clear" w:color="auto" w:fill="FFFFFF"/>
                </w:tcPr>
                <w:p w14:paraId="15B630E3"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[kg]</w:t>
                  </w:r>
                </w:p>
              </w:tc>
              <w:tc>
                <w:tcPr>
                  <w:tcW w:w="1522" w:type="dxa"/>
                  <w:shd w:val="clear" w:color="auto" w:fill="FFFFFF"/>
                </w:tcPr>
                <w:p w14:paraId="097E379B"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5A7BBA32" w14:textId="77777777" w:rsidTr="008B4D23">
              <w:trPr>
                <w:trHeight w:val="75"/>
              </w:trPr>
              <w:tc>
                <w:tcPr>
                  <w:tcW w:w="2926" w:type="dxa"/>
                  <w:shd w:val="clear" w:color="auto" w:fill="FFFFFF"/>
                </w:tcPr>
                <w:p w14:paraId="76AA493E"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Amount of active ingredient in relevant stream i4 after one application for all animals</w:t>
                  </w:r>
                </w:p>
              </w:tc>
              <w:tc>
                <w:tcPr>
                  <w:tcW w:w="1809" w:type="dxa"/>
                  <w:shd w:val="clear" w:color="auto" w:fill="FFFFFF"/>
                </w:tcPr>
                <w:p w14:paraId="7DC8C5AF"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Qai i1,i2,i3,i4</w:t>
                  </w:r>
                </w:p>
              </w:tc>
              <w:tc>
                <w:tcPr>
                  <w:tcW w:w="2276" w:type="dxa"/>
                  <w:shd w:val="clear" w:color="auto" w:fill="FFFFFF"/>
                </w:tcPr>
                <w:p w14:paraId="1A54B5A6" w14:textId="77777777" w:rsidR="00DC4AD8" w:rsidRPr="00DC4AD8" w:rsidRDefault="00070355" w:rsidP="00FA101C">
                  <w:pPr>
                    <w:framePr w:hSpace="180" w:wrap="around" w:vAnchor="text" w:hAnchor="margin" w:y="106"/>
                    <w:rPr>
                      <w:color w:val="000000"/>
                    </w:rPr>
                  </w:pPr>
                  <w:r>
                    <w:rPr>
                      <w:color w:val="000000"/>
                      <w:szCs w:val="22"/>
                    </w:rPr>
                    <w:t>1.16</w:t>
                  </w:r>
                  <w:r w:rsidR="00DC4AD8" w:rsidRPr="00DC4AD8">
                    <w:rPr>
                      <w:color w:val="000000"/>
                      <w:szCs w:val="22"/>
                    </w:rPr>
                    <w:t>E-0</w:t>
                  </w:r>
                  <w:r>
                    <w:rPr>
                      <w:color w:val="000000"/>
                      <w:szCs w:val="22"/>
                    </w:rPr>
                    <w:t>3</w:t>
                  </w:r>
                </w:p>
              </w:tc>
              <w:tc>
                <w:tcPr>
                  <w:tcW w:w="823" w:type="dxa"/>
                  <w:shd w:val="clear" w:color="auto" w:fill="FFFFFF"/>
                </w:tcPr>
                <w:p w14:paraId="3EC96A83"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[kg]</w:t>
                  </w:r>
                </w:p>
              </w:tc>
              <w:tc>
                <w:tcPr>
                  <w:tcW w:w="1522" w:type="dxa"/>
                  <w:shd w:val="clear" w:color="auto" w:fill="FFFFFF"/>
                </w:tcPr>
                <w:p w14:paraId="5007E8D3"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14F62794" w14:textId="77777777" w:rsidTr="008B4D23">
              <w:trPr>
                <w:trHeight w:val="75"/>
              </w:trPr>
              <w:tc>
                <w:tcPr>
                  <w:tcW w:w="2926" w:type="dxa"/>
                  <w:shd w:val="clear" w:color="auto" w:fill="FFFFFF"/>
                </w:tcPr>
                <w:p w14:paraId="57A2FE4F"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Amount of active ingredient in manure or slurry after the relevant number of biocide applications for the manure application to grassland</w:t>
                  </w:r>
                </w:p>
              </w:tc>
              <w:tc>
                <w:tcPr>
                  <w:tcW w:w="1809" w:type="dxa"/>
                  <w:shd w:val="clear" w:color="auto" w:fill="FFFFFF"/>
                </w:tcPr>
                <w:p w14:paraId="2302F6FD"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Qai-grassi1,i2,i3,i4</w:t>
                  </w:r>
                </w:p>
              </w:tc>
              <w:tc>
                <w:tcPr>
                  <w:tcW w:w="2276" w:type="dxa"/>
                  <w:shd w:val="clear" w:color="auto" w:fill="FFFFFF"/>
                </w:tcPr>
                <w:p w14:paraId="43CA1D07" w14:textId="77777777" w:rsidR="00DC4AD8" w:rsidRPr="00DC4AD8" w:rsidRDefault="00070355" w:rsidP="00FA101C">
                  <w:pPr>
                    <w:framePr w:hSpace="180" w:wrap="around" w:vAnchor="text" w:hAnchor="margin" w:y="106"/>
                    <w:rPr>
                      <w:color w:val="000000"/>
                    </w:rPr>
                  </w:pPr>
                  <w:r>
                    <w:rPr>
                      <w:rFonts w:cs="Arial"/>
                    </w:rPr>
                    <w:t>1.23</w:t>
                  </w:r>
                  <w:r w:rsidR="00DC4AD8" w:rsidRPr="00DC4AD8">
                    <w:rPr>
                      <w:rFonts w:cs="Arial"/>
                    </w:rPr>
                    <w:t>E-0</w:t>
                  </w:r>
                  <w:r>
                    <w:rPr>
                      <w:rFonts w:cs="Arial"/>
                    </w:rPr>
                    <w:t>1</w:t>
                  </w:r>
                </w:p>
              </w:tc>
              <w:tc>
                <w:tcPr>
                  <w:tcW w:w="823" w:type="dxa"/>
                  <w:shd w:val="clear" w:color="auto" w:fill="FFFFFF"/>
                </w:tcPr>
                <w:p w14:paraId="3BC87C92"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[kg]</w:t>
                  </w:r>
                </w:p>
              </w:tc>
              <w:tc>
                <w:tcPr>
                  <w:tcW w:w="1522" w:type="dxa"/>
                  <w:shd w:val="clear" w:color="auto" w:fill="FFFFFF"/>
                </w:tcPr>
                <w:p w14:paraId="155FBD84"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58905168" w14:textId="77777777" w:rsidTr="008B4D23">
              <w:trPr>
                <w:trHeight w:val="75"/>
              </w:trPr>
              <w:tc>
                <w:tcPr>
                  <w:tcW w:w="2926" w:type="dxa"/>
                  <w:shd w:val="clear" w:color="auto" w:fill="FFFFFF"/>
                </w:tcPr>
                <w:p w14:paraId="42591C34"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Amount of active ingredient in manure or slurry after the relevant number of biocide applications for the manure application to arable land</w:t>
                  </w:r>
                </w:p>
              </w:tc>
              <w:tc>
                <w:tcPr>
                  <w:tcW w:w="1809" w:type="dxa"/>
                  <w:shd w:val="clear" w:color="auto" w:fill="FFFFFF"/>
                </w:tcPr>
                <w:p w14:paraId="6F9BBCA5"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Qai-arabi1,i2,i3,i4</w:t>
                  </w:r>
                </w:p>
              </w:tc>
              <w:tc>
                <w:tcPr>
                  <w:tcW w:w="2276" w:type="dxa"/>
                  <w:shd w:val="clear" w:color="auto" w:fill="FFFFFF"/>
                </w:tcPr>
                <w:p w14:paraId="44A10A44" w14:textId="77777777" w:rsidR="00DC4AD8" w:rsidRPr="00DC4AD8" w:rsidRDefault="00070355" w:rsidP="00FA101C">
                  <w:pPr>
                    <w:framePr w:hSpace="180" w:wrap="around" w:vAnchor="text" w:hAnchor="margin" w:y="106"/>
                    <w:rPr>
                      <w:color w:val="000000"/>
                    </w:rPr>
                  </w:pPr>
                  <w:r>
                    <w:rPr>
                      <w:rFonts w:cs="Arial"/>
                    </w:rPr>
                    <w:t>4.92</w:t>
                  </w:r>
                  <w:r w:rsidR="00DC4AD8" w:rsidRPr="00DC4AD8">
                    <w:rPr>
                      <w:rFonts w:cs="Arial"/>
                    </w:rPr>
                    <w:t>E-01</w:t>
                  </w:r>
                </w:p>
              </w:tc>
              <w:tc>
                <w:tcPr>
                  <w:tcW w:w="823" w:type="dxa"/>
                  <w:shd w:val="clear" w:color="auto" w:fill="FFFFFF"/>
                </w:tcPr>
                <w:p w14:paraId="7113A426"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[kg]</w:t>
                  </w:r>
                </w:p>
              </w:tc>
              <w:tc>
                <w:tcPr>
                  <w:tcW w:w="1522" w:type="dxa"/>
                  <w:shd w:val="clear" w:color="auto" w:fill="FFFFFF"/>
                </w:tcPr>
                <w:p w14:paraId="198D30A8"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43D786CB" w14:textId="77777777" w:rsidTr="008B4D23">
              <w:trPr>
                <w:trHeight w:val="75"/>
              </w:trPr>
              <w:tc>
                <w:tcPr>
                  <w:tcW w:w="2926" w:type="dxa"/>
                  <w:shd w:val="clear" w:color="auto" w:fill="FFFFFF"/>
                </w:tcPr>
                <w:p w14:paraId="338FDB59"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Amount of nitrogen produced during the relevant period for every relevant (sub)category of animal/housing i1 and application to grassland</w:t>
                  </w:r>
                </w:p>
              </w:tc>
              <w:tc>
                <w:tcPr>
                  <w:tcW w:w="1809" w:type="dxa"/>
                  <w:shd w:val="clear" w:color="auto" w:fill="FFFFFF"/>
                </w:tcPr>
                <w:p w14:paraId="30DEB3A2"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Qnitrog-grassi1,i4</w:t>
                  </w:r>
                </w:p>
              </w:tc>
              <w:tc>
                <w:tcPr>
                  <w:tcW w:w="2276" w:type="dxa"/>
                  <w:shd w:val="clear" w:color="auto" w:fill="FFFFFF"/>
                </w:tcPr>
                <w:p w14:paraId="6A9E2092" w14:textId="77777777" w:rsidR="00DC4AD8" w:rsidRPr="00DC4AD8" w:rsidRDefault="00DC4AD8" w:rsidP="00FA101C">
                  <w:pPr>
                    <w:framePr w:hSpace="180" w:wrap="around" w:vAnchor="text" w:hAnchor="margin" w:y="106"/>
                    <w:rPr>
                      <w:color w:val="000000"/>
                    </w:rPr>
                  </w:pPr>
                  <w:r w:rsidRPr="00DC4AD8">
                    <w:rPr>
                      <w:color w:val="000000"/>
                      <w:szCs w:val="22"/>
                    </w:rPr>
                    <w:t>1.80E+03</w:t>
                  </w:r>
                </w:p>
              </w:tc>
              <w:tc>
                <w:tcPr>
                  <w:tcW w:w="823" w:type="dxa"/>
                  <w:shd w:val="clear" w:color="auto" w:fill="FFFFFF"/>
                </w:tcPr>
                <w:p w14:paraId="4F546F42"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[kg]</w:t>
                  </w:r>
                </w:p>
              </w:tc>
              <w:tc>
                <w:tcPr>
                  <w:tcW w:w="1522" w:type="dxa"/>
                  <w:shd w:val="clear" w:color="auto" w:fill="FFFFFF"/>
                </w:tcPr>
                <w:p w14:paraId="753D183B"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011946DA" w14:textId="77777777" w:rsidTr="008B4D23">
              <w:trPr>
                <w:trHeight w:val="75"/>
              </w:trPr>
              <w:tc>
                <w:tcPr>
                  <w:tcW w:w="2926" w:type="dxa"/>
                  <w:shd w:val="clear" w:color="auto" w:fill="FFFFFF"/>
                </w:tcPr>
                <w:p w14:paraId="3E5B0139"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Amount of nitrogen produced during the relevant period for every relevant (sub)category of animal/housing i1 and application to arable land</w:t>
                  </w:r>
                </w:p>
              </w:tc>
              <w:tc>
                <w:tcPr>
                  <w:tcW w:w="1809" w:type="dxa"/>
                  <w:shd w:val="clear" w:color="auto" w:fill="FFFFFF"/>
                </w:tcPr>
                <w:p w14:paraId="444ABBA0"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Qnitrog-arabi1,i4</w:t>
                  </w:r>
                </w:p>
              </w:tc>
              <w:tc>
                <w:tcPr>
                  <w:tcW w:w="2276" w:type="dxa"/>
                  <w:shd w:val="clear" w:color="auto" w:fill="FFFFFF"/>
                </w:tcPr>
                <w:p w14:paraId="020CD3C1" w14:textId="77777777" w:rsidR="00DC4AD8" w:rsidRPr="00DC4AD8" w:rsidRDefault="00DC4AD8" w:rsidP="00FA101C">
                  <w:pPr>
                    <w:framePr w:hSpace="180" w:wrap="around" w:vAnchor="text" w:hAnchor="margin" w:y="106"/>
                    <w:rPr>
                      <w:color w:val="000000"/>
                    </w:rPr>
                  </w:pPr>
                  <w:r w:rsidRPr="00DC4AD8">
                    <w:rPr>
                      <w:color w:val="000000"/>
                      <w:szCs w:val="22"/>
                    </w:rPr>
                    <w:t>7.18E+03</w:t>
                  </w:r>
                </w:p>
              </w:tc>
              <w:tc>
                <w:tcPr>
                  <w:tcW w:w="823" w:type="dxa"/>
                  <w:shd w:val="clear" w:color="auto" w:fill="FFFFFF"/>
                </w:tcPr>
                <w:p w14:paraId="4124326F"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[kg]</w:t>
                  </w:r>
                </w:p>
              </w:tc>
              <w:tc>
                <w:tcPr>
                  <w:tcW w:w="1522" w:type="dxa"/>
                  <w:shd w:val="clear" w:color="auto" w:fill="FFFFFF"/>
                </w:tcPr>
                <w:p w14:paraId="24AFA352"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75275F26" w14:textId="77777777" w:rsidTr="008B4D23">
              <w:trPr>
                <w:trHeight w:val="75"/>
              </w:trPr>
              <w:tc>
                <w:tcPr>
                  <w:tcW w:w="9356" w:type="dxa"/>
                  <w:gridSpan w:val="5"/>
                  <w:shd w:val="clear" w:color="auto" w:fill="FFFFFF"/>
                </w:tcPr>
                <w:p w14:paraId="41BFC64D" w14:textId="77777777" w:rsidR="00DC4AD8" w:rsidRPr="00DC4AD8" w:rsidRDefault="00DC4AD8" w:rsidP="00FA101C">
                  <w:pPr>
                    <w:framePr w:hSpace="180" w:wrap="around" w:vAnchor="text" w:hAnchor="margin" w:y="106"/>
                    <w:rPr>
                      <w:b/>
                      <w:i/>
                      <w:color w:val="000000"/>
                      <w:sz w:val="18"/>
                      <w:szCs w:val="18"/>
                    </w:rPr>
                  </w:pPr>
                  <w:r w:rsidRPr="00DC4AD8">
                    <w:rPr>
                      <w:b/>
                      <w:i/>
                      <w:color w:val="000000"/>
                      <w:sz w:val="18"/>
                      <w:szCs w:val="18"/>
                    </w:rPr>
                    <w:t>OUTPUT</w:t>
                  </w:r>
                </w:p>
              </w:tc>
            </w:tr>
            <w:tr w:rsidR="00DC4AD8" w:rsidRPr="00DC4AD8" w14:paraId="6ED07189" w14:textId="77777777" w:rsidTr="008B4D23">
              <w:trPr>
                <w:trHeight w:val="75"/>
              </w:trPr>
              <w:tc>
                <w:tcPr>
                  <w:tcW w:w="2926" w:type="dxa"/>
                  <w:shd w:val="clear" w:color="auto" w:fill="FFFFFF"/>
                </w:tcPr>
                <w:p w14:paraId="027A1EAF"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Concentration of the biocide (active ingredient) in soil in the case of immission standard for nitrogen and land application on grassland</w:t>
                  </w:r>
                </w:p>
              </w:tc>
              <w:tc>
                <w:tcPr>
                  <w:tcW w:w="1809" w:type="dxa"/>
                  <w:shd w:val="clear" w:color="auto" w:fill="FFFFFF"/>
                </w:tcPr>
                <w:p w14:paraId="21F7C604"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PIECgrs-Ni1,i2,i3,i4</w:t>
                  </w:r>
                </w:p>
              </w:tc>
              <w:tc>
                <w:tcPr>
                  <w:tcW w:w="2276" w:type="dxa"/>
                  <w:shd w:val="clear" w:color="auto" w:fill="FFFFFF"/>
                </w:tcPr>
                <w:p w14:paraId="397441E6" w14:textId="77777777" w:rsidR="00DC4AD8" w:rsidRPr="00DC4AD8" w:rsidRDefault="00070355" w:rsidP="00FA101C">
                  <w:pPr>
                    <w:framePr w:hSpace="180" w:wrap="around" w:vAnchor="text" w:hAnchor="margin" w:y="106"/>
                    <w:rPr>
                      <w:color w:val="000000"/>
                    </w:rPr>
                  </w:pPr>
                  <w:r>
                    <w:rPr>
                      <w:color w:val="000000"/>
                      <w:szCs w:val="22"/>
                    </w:rPr>
                    <w:t>1.37</w:t>
                  </w:r>
                  <w:r w:rsidR="00DC4AD8" w:rsidRPr="00DC4AD8">
                    <w:rPr>
                      <w:color w:val="000000"/>
                      <w:szCs w:val="22"/>
                    </w:rPr>
                    <w:t>E-0</w:t>
                  </w:r>
                  <w:r>
                    <w:rPr>
                      <w:color w:val="000000"/>
                      <w:szCs w:val="22"/>
                    </w:rPr>
                    <w:t>2</w:t>
                  </w:r>
                </w:p>
              </w:tc>
              <w:tc>
                <w:tcPr>
                  <w:tcW w:w="823" w:type="dxa"/>
                  <w:shd w:val="clear" w:color="auto" w:fill="FFFFFF"/>
                </w:tcPr>
                <w:p w14:paraId="3C10F91C"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[mg.kg</w:t>
                  </w:r>
                  <w:r w:rsidRPr="00DC4AD8">
                    <w:rPr>
                      <w:color w:val="000000"/>
                      <w:sz w:val="18"/>
                      <w:szCs w:val="18"/>
                      <w:vertAlign w:val="superscript"/>
                    </w:rPr>
                    <w:t>-1</w:t>
                  </w:r>
                  <w:r w:rsidRPr="00DC4AD8">
                    <w:rPr>
                      <w:color w:val="000000"/>
                      <w:sz w:val="18"/>
                      <w:szCs w:val="18"/>
                      <w:vertAlign w:val="subscript"/>
                    </w:rPr>
                    <w:t>wwt</w:t>
                  </w:r>
                  <w:r w:rsidRPr="00DC4AD8">
                    <w:rPr>
                      <w:color w:val="000000"/>
                      <w:sz w:val="18"/>
                      <w:szCs w:val="18"/>
                    </w:rPr>
                    <w:t>]</w:t>
                  </w:r>
                </w:p>
              </w:tc>
              <w:tc>
                <w:tcPr>
                  <w:tcW w:w="1522" w:type="dxa"/>
                  <w:shd w:val="clear" w:color="auto" w:fill="FFFFFF"/>
                </w:tcPr>
                <w:p w14:paraId="723177DE"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3C781E67" w14:textId="77777777" w:rsidTr="008B4D23">
              <w:trPr>
                <w:trHeight w:val="75"/>
              </w:trPr>
              <w:tc>
                <w:tcPr>
                  <w:tcW w:w="2926" w:type="dxa"/>
                  <w:shd w:val="clear" w:color="auto" w:fill="FFFFFF"/>
                </w:tcPr>
                <w:p w14:paraId="4DA09891"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t>Concentration of the biocide (active ingredient) in soil in the case of immission standard for nitrogen and land application on arable land</w:t>
                  </w:r>
                </w:p>
              </w:tc>
              <w:tc>
                <w:tcPr>
                  <w:tcW w:w="1809" w:type="dxa"/>
                  <w:shd w:val="clear" w:color="auto" w:fill="FFFFFF"/>
                </w:tcPr>
                <w:p w14:paraId="2509E000" w14:textId="77777777" w:rsidR="00DC4AD8" w:rsidRPr="00DC4AD8" w:rsidRDefault="00DC4AD8" w:rsidP="00FA101C">
                  <w:pPr>
                    <w:framePr w:hSpace="180" w:wrap="around" w:vAnchor="text" w:hAnchor="margin" w:y="106"/>
                    <w:autoSpaceDE w:val="0"/>
                    <w:autoSpaceDN w:val="0"/>
                    <w:adjustRightInd w:val="0"/>
                    <w:rPr>
                      <w:rStyle w:val="MSGENFONTSTYLENAMETEMPLATEROLENUMBERMSGENFONTSTYLENAMEBYROLETEXT2MSGENFONTSTYLEMODIFERSIZE9"/>
                      <w:rFonts w:ascii="Verdana" w:hAnsi="Verdana"/>
                    </w:rPr>
                  </w:pPr>
                  <w:r w:rsidRPr="00DC4AD8">
                    <w:rPr>
                      <w:rStyle w:val="MSGENFONTSTYLENAMETEMPLATEROLENUMBERMSGENFONTSTYLENAMEBYROLETEXT2MSGENFONTSTYLEMODIFERSIZE9"/>
                      <w:rFonts w:ascii="Verdana" w:hAnsi="Verdana"/>
                    </w:rPr>
                    <w:t>PIECars-Ni1,i2,i3,i4</w:t>
                  </w:r>
                </w:p>
              </w:tc>
              <w:tc>
                <w:tcPr>
                  <w:tcW w:w="2276" w:type="dxa"/>
                  <w:shd w:val="clear" w:color="auto" w:fill="FFFFFF"/>
                </w:tcPr>
                <w:p w14:paraId="06E31401" w14:textId="77777777" w:rsidR="00DC4AD8" w:rsidRPr="00DC4AD8" w:rsidRDefault="00070355" w:rsidP="00FA101C">
                  <w:pPr>
                    <w:framePr w:hSpace="180" w:wrap="around" w:vAnchor="text" w:hAnchor="margin" w:y="106"/>
                    <w:rPr>
                      <w:color w:val="000000"/>
                    </w:rPr>
                  </w:pPr>
                  <w:r>
                    <w:rPr>
                      <w:color w:val="000000"/>
                      <w:szCs w:val="22"/>
                    </w:rPr>
                    <w:t>3.42</w:t>
                  </w:r>
                  <w:r w:rsidR="00DC4AD8" w:rsidRPr="00DC4AD8">
                    <w:rPr>
                      <w:color w:val="000000"/>
                      <w:szCs w:val="22"/>
                    </w:rPr>
                    <w:t>E-03</w:t>
                  </w:r>
                </w:p>
              </w:tc>
              <w:tc>
                <w:tcPr>
                  <w:tcW w:w="823" w:type="dxa"/>
                  <w:shd w:val="clear" w:color="auto" w:fill="FFFFFF"/>
                </w:tcPr>
                <w:p w14:paraId="50832016"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[mg.kg</w:t>
                  </w:r>
                  <w:r w:rsidRPr="00DC4AD8">
                    <w:rPr>
                      <w:color w:val="000000"/>
                      <w:sz w:val="18"/>
                      <w:szCs w:val="18"/>
                      <w:vertAlign w:val="superscript"/>
                    </w:rPr>
                    <w:t>-1</w:t>
                  </w:r>
                  <w:r w:rsidRPr="00DC4AD8">
                    <w:rPr>
                      <w:color w:val="000000"/>
                      <w:sz w:val="18"/>
                      <w:szCs w:val="18"/>
                      <w:vertAlign w:val="subscript"/>
                    </w:rPr>
                    <w:t>wwt</w:t>
                  </w:r>
                  <w:r w:rsidRPr="00DC4AD8">
                    <w:rPr>
                      <w:color w:val="000000"/>
                      <w:sz w:val="18"/>
                      <w:szCs w:val="18"/>
                    </w:rPr>
                    <w:t>]</w:t>
                  </w:r>
                </w:p>
              </w:tc>
              <w:tc>
                <w:tcPr>
                  <w:tcW w:w="1522" w:type="dxa"/>
                  <w:shd w:val="clear" w:color="auto" w:fill="FFFFFF"/>
                </w:tcPr>
                <w:p w14:paraId="5172CEE6"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r w:rsidR="00DC4AD8" w:rsidRPr="00DC4AD8" w14:paraId="754FDE92" w14:textId="77777777" w:rsidTr="008B4D23">
              <w:trPr>
                <w:trHeight w:val="75"/>
              </w:trPr>
              <w:tc>
                <w:tcPr>
                  <w:tcW w:w="2926" w:type="dxa"/>
                  <w:shd w:val="clear" w:color="auto" w:fill="FFFFFF"/>
                </w:tcPr>
                <w:p w14:paraId="67332EE1" w14:textId="77777777" w:rsidR="00DC4AD8" w:rsidRPr="00DC4AD8" w:rsidRDefault="00DC4AD8" w:rsidP="00FA101C">
                  <w:pPr>
                    <w:framePr w:hSpace="180" w:wrap="around" w:vAnchor="text" w:hAnchor="margin" w:y="106"/>
                    <w:rPr>
                      <w:rStyle w:val="MSGENFONTSTYLENAMETEMPLATEROLENUMBERMSGENFONTSTYLENAMEBYROLETEXT2MSGENFONTSTYLEMODIFERSIZE9"/>
                      <w:rFonts w:ascii="Verdana" w:hAnsi="Verdana"/>
                      <w:b w:val="0"/>
                    </w:rPr>
                  </w:pPr>
                  <w:r w:rsidRPr="00DC4AD8">
                    <w:rPr>
                      <w:rStyle w:val="MSGENFONTSTYLENAMETEMPLATEROLENUMBERMSGENFONTSTYLENAMEBYROLETEXT2MSGENFONTSTYLEMODIFERSIZE9"/>
                      <w:rFonts w:ascii="Verdana" w:hAnsi="Verdana"/>
                      <w:b w:val="0"/>
                    </w:rPr>
                    <w:lastRenderedPageBreak/>
                    <w:t>Local emission to a standard STP or on-site waste water treatment plant</w:t>
                  </w:r>
                </w:p>
              </w:tc>
              <w:tc>
                <w:tcPr>
                  <w:tcW w:w="1809" w:type="dxa"/>
                  <w:shd w:val="clear" w:color="auto" w:fill="FFFFFF"/>
                </w:tcPr>
                <w:p w14:paraId="319A694C" w14:textId="77777777" w:rsidR="00DC4AD8" w:rsidRPr="00DC4AD8" w:rsidRDefault="00DC4AD8" w:rsidP="00FA101C">
                  <w:pPr>
                    <w:framePr w:hSpace="180" w:wrap="around" w:vAnchor="text" w:hAnchor="margin" w:y="106"/>
                    <w:autoSpaceDE w:val="0"/>
                    <w:autoSpaceDN w:val="0"/>
                    <w:adjustRightInd w:val="0"/>
                    <w:rPr>
                      <w:color w:val="000000"/>
                      <w:sz w:val="18"/>
                      <w:szCs w:val="18"/>
                    </w:rPr>
                  </w:pPr>
                  <w:r w:rsidRPr="00DC4AD8">
                    <w:rPr>
                      <w:rStyle w:val="MSGENFONTSTYLENAMETEMPLATEROLENUMBERMSGENFONTSTYLENAMEBYROLETEXT2MSGENFONTSTYLEMODIFERSIZE9"/>
                      <w:rFonts w:ascii="Verdana" w:hAnsi="Verdana"/>
                    </w:rPr>
                    <w:t>Qai-stpi1,i2,i3,i4 = Elocalwaste water</w:t>
                  </w:r>
                </w:p>
              </w:tc>
              <w:tc>
                <w:tcPr>
                  <w:tcW w:w="2276" w:type="dxa"/>
                  <w:shd w:val="clear" w:color="auto" w:fill="FFFFFF"/>
                </w:tcPr>
                <w:p w14:paraId="0BC6503F" w14:textId="77777777" w:rsidR="00DC4AD8" w:rsidRPr="00DC4AD8" w:rsidRDefault="00DC4AD8" w:rsidP="00FA101C">
                  <w:pPr>
                    <w:framePr w:hSpace="180" w:wrap="around" w:vAnchor="text" w:hAnchor="margin" w:y="106"/>
                    <w:rPr>
                      <w:color w:val="000000"/>
                    </w:rPr>
                  </w:pPr>
                  <w:r w:rsidRPr="00DC4AD8">
                    <w:rPr>
                      <w:color w:val="000000"/>
                      <w:szCs w:val="22"/>
                    </w:rPr>
                    <w:t>1.</w:t>
                  </w:r>
                  <w:r w:rsidR="00070355">
                    <w:rPr>
                      <w:color w:val="000000"/>
                      <w:szCs w:val="22"/>
                    </w:rPr>
                    <w:t>91</w:t>
                  </w:r>
                  <w:r w:rsidR="00070355" w:rsidRPr="00DC4AD8">
                    <w:rPr>
                      <w:color w:val="000000"/>
                      <w:szCs w:val="22"/>
                    </w:rPr>
                    <w:t>E</w:t>
                  </w:r>
                  <w:r w:rsidRPr="00DC4AD8">
                    <w:rPr>
                      <w:color w:val="000000"/>
                      <w:szCs w:val="22"/>
                    </w:rPr>
                    <w:t>-03</w:t>
                  </w:r>
                </w:p>
              </w:tc>
              <w:tc>
                <w:tcPr>
                  <w:tcW w:w="823" w:type="dxa"/>
                  <w:shd w:val="clear" w:color="auto" w:fill="FFFFFF"/>
                </w:tcPr>
                <w:p w14:paraId="520126E0"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[kg.d</w:t>
                  </w:r>
                  <w:r w:rsidRPr="00DC4AD8">
                    <w:rPr>
                      <w:color w:val="000000"/>
                      <w:sz w:val="18"/>
                      <w:szCs w:val="18"/>
                      <w:vertAlign w:val="superscript"/>
                    </w:rPr>
                    <w:t>-1</w:t>
                  </w:r>
                  <w:r w:rsidRPr="00DC4AD8">
                    <w:rPr>
                      <w:color w:val="000000"/>
                      <w:sz w:val="18"/>
                      <w:szCs w:val="18"/>
                    </w:rPr>
                    <w:t>]</w:t>
                  </w:r>
                </w:p>
              </w:tc>
              <w:tc>
                <w:tcPr>
                  <w:tcW w:w="1522" w:type="dxa"/>
                  <w:shd w:val="clear" w:color="auto" w:fill="FFFFFF"/>
                </w:tcPr>
                <w:p w14:paraId="113D3CBD" w14:textId="77777777" w:rsidR="00DC4AD8" w:rsidRPr="00DC4AD8" w:rsidRDefault="00DC4AD8" w:rsidP="00FA101C">
                  <w:pPr>
                    <w:framePr w:hSpace="180" w:wrap="around" w:vAnchor="text" w:hAnchor="margin" w:y="106"/>
                    <w:rPr>
                      <w:color w:val="000000"/>
                      <w:sz w:val="18"/>
                      <w:szCs w:val="18"/>
                    </w:rPr>
                  </w:pPr>
                  <w:r w:rsidRPr="00DC4AD8">
                    <w:rPr>
                      <w:color w:val="000000"/>
                      <w:sz w:val="18"/>
                      <w:szCs w:val="18"/>
                    </w:rPr>
                    <w:t>O</w:t>
                  </w:r>
                </w:p>
              </w:tc>
            </w:tr>
          </w:tbl>
          <w:p w14:paraId="141A84EC" w14:textId="77777777" w:rsidR="003D7A09" w:rsidRDefault="003D7A09" w:rsidP="00ED50F5">
            <w:pPr>
              <w:jc w:val="both"/>
              <w:rPr>
                <w:sz w:val="20"/>
              </w:rPr>
            </w:pPr>
          </w:p>
          <w:p w14:paraId="586A0B34" w14:textId="77777777" w:rsidR="00DC4AD8" w:rsidRDefault="00DC4AD8" w:rsidP="00ED50F5">
            <w:pPr>
              <w:jc w:val="both"/>
              <w:rPr>
                <w:sz w:val="20"/>
              </w:rPr>
            </w:pPr>
            <w:r w:rsidRPr="00ED50F5">
              <w:rPr>
                <w:sz w:val="20"/>
              </w:rPr>
              <w:t>For the emission via the application of manure/slurry to land, according to recommendations of the BPC Ad hoc Working Group on Environmental Exposure, the revised equation to calculate PIECsoil grassland via manure application is provided below:</w:t>
            </w:r>
          </w:p>
          <w:p w14:paraId="773CAFF1" w14:textId="77777777" w:rsidR="00ED50F5" w:rsidRPr="00ED50F5" w:rsidRDefault="00ED50F5" w:rsidP="00ED50F5">
            <w:pPr>
              <w:jc w:val="both"/>
              <w:rPr>
                <w:sz w:val="20"/>
              </w:rPr>
            </w:pPr>
          </w:p>
          <w:p w14:paraId="6E369986" w14:textId="77777777" w:rsidR="00DC4AD8" w:rsidRPr="00DC4AD8" w:rsidRDefault="00DC4AD8" w:rsidP="00DC4AD8">
            <w:pPr>
              <w:pStyle w:val="MSGENFONTSTYLENAMETEMPLATEROLENUMBERMSGENFONTSTYLENAMEBYROLETEXT80"/>
              <w:shd w:val="clear" w:color="auto" w:fill="auto"/>
              <w:spacing w:before="0" w:line="259" w:lineRule="exact"/>
              <w:jc w:val="both"/>
              <w:rPr>
                <w:rFonts w:ascii="Verdana" w:hAnsi="Verdana"/>
                <w:lang w:val="en-US"/>
              </w:rPr>
            </w:pPr>
            <w:r w:rsidRPr="00DC4AD8">
              <w:rPr>
                <w:rFonts w:ascii="Verdana" w:hAnsi="Verdana"/>
                <w:lang w:val="en-US"/>
              </w:rPr>
              <w:t xml:space="preserve">                                                           100 x Qai-grass </w:t>
            </w:r>
            <w:r w:rsidRPr="00DC4AD8">
              <w:rPr>
                <w:rFonts w:ascii="Verdana" w:hAnsi="Verdana"/>
                <w:vertAlign w:val="subscript"/>
                <w:lang w:val="en-US"/>
              </w:rPr>
              <w:t>i1,i2,i3,i4</w:t>
            </w:r>
            <w:r w:rsidRPr="00DC4AD8">
              <w:rPr>
                <w:rFonts w:ascii="Verdana" w:hAnsi="Verdana"/>
                <w:lang w:val="en-US"/>
              </w:rPr>
              <w:t xml:space="preserve"> x Q</w:t>
            </w:r>
            <w:r w:rsidRPr="00DC4AD8">
              <w:rPr>
                <w:rFonts w:ascii="Verdana" w:hAnsi="Verdana"/>
                <w:vertAlign w:val="subscript"/>
                <w:lang w:val="en-US"/>
              </w:rPr>
              <w:t>N</w:t>
            </w:r>
            <w:r w:rsidRPr="00DC4AD8">
              <w:rPr>
                <w:rFonts w:ascii="Verdana" w:hAnsi="Verdana"/>
                <w:lang w:val="en-US"/>
              </w:rPr>
              <w:t xml:space="preserve">, </w:t>
            </w:r>
            <w:r w:rsidRPr="00DC4AD8">
              <w:rPr>
                <w:rFonts w:ascii="Verdana" w:hAnsi="Verdana"/>
                <w:vertAlign w:val="subscript"/>
                <w:lang w:val="en-US"/>
              </w:rPr>
              <w:t>grassland</w:t>
            </w:r>
          </w:p>
          <w:p w14:paraId="3FAC95F4" w14:textId="77777777" w:rsidR="00DC4AD8" w:rsidRPr="00DC4AD8" w:rsidRDefault="00DC4AD8" w:rsidP="00DC4AD8">
            <w:pPr>
              <w:pStyle w:val="MSGENFONTSTYLENAMETEMPLATEROLENUMBERMSGENFONTSTYLENAMEBYROLETEXT130"/>
              <w:shd w:val="clear" w:color="auto" w:fill="auto"/>
              <w:tabs>
                <w:tab w:val="left" w:leader="underscore" w:pos="965"/>
                <w:tab w:val="left" w:leader="underscore" w:pos="4901"/>
              </w:tabs>
              <w:rPr>
                <w:rStyle w:val="MSGENFONTSTYLENAMETEMPLATEROLENUMBERMSGENFONTSTYLENAMEBYROLETEXT11MSGENFONTSTYLEMODIFERSIZE65"/>
                <w:rFonts w:ascii="Verdana" w:hAnsi="Verdana"/>
                <w:sz w:val="18"/>
                <w:szCs w:val="18"/>
              </w:rPr>
            </w:pPr>
            <w:r w:rsidRPr="00DC4AD8">
              <w:rPr>
                <w:rFonts w:ascii="Verdana" w:hAnsi="Verdana"/>
                <w:noProof/>
              </w:rPr>
              <mc:AlternateContent>
                <mc:Choice Requires="wps">
                  <w:drawing>
                    <wp:anchor distT="4294967295" distB="4294967295" distL="114300" distR="114300" simplePos="0" relativeHeight="251660288" behindDoc="0" locked="0" layoutInCell="1" allowOverlap="1" wp14:anchorId="6808974D" wp14:editId="2CA14E19">
                      <wp:simplePos x="0" y="0"/>
                      <wp:positionH relativeFrom="column">
                        <wp:posOffset>1255395</wp:posOffset>
                      </wp:positionH>
                      <wp:positionV relativeFrom="paragraph">
                        <wp:posOffset>48894</wp:posOffset>
                      </wp:positionV>
                      <wp:extent cx="3331845" cy="0"/>
                      <wp:effectExtent l="0" t="0" r="20955" b="1905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49425" id="_x0000_t32" coordsize="21600,21600" o:spt="32" o:oned="t" path="m,l21600,21600e" filled="f">
                      <v:path arrowok="t" fillok="f" o:connecttype="none"/>
                      <o:lock v:ext="edit" shapetype="t"/>
                    </v:shapetype>
                    <v:shape id="AutoShape 23" o:spid="_x0000_s1026" type="#_x0000_t32" style="position:absolute;margin-left:98.85pt;margin-top:3.85pt;width:262.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oy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"/>
                  </w:pict>
                </mc:Fallback>
              </mc:AlternateContent>
            </w:r>
            <w:r w:rsidRPr="00DC4AD8">
              <w:rPr>
                <w:rFonts w:ascii="Verdana" w:hAnsi="Verdana"/>
                <w:sz w:val="18"/>
                <w:szCs w:val="18"/>
                <w:lang w:val="en-US"/>
              </w:rPr>
              <w:t xml:space="preserve">PIECgrs- N </w:t>
            </w:r>
            <w:r w:rsidRPr="00DC4AD8">
              <w:rPr>
                <w:rStyle w:val="MSGENFONTSTYLENAMETEMPLATEROLENUMBERMSGENFONTSTYLENAMEBYROLETEXT11MSGENFONTSTYLEMODIFERSIZE65"/>
                <w:rFonts w:ascii="Verdana" w:hAnsi="Verdana"/>
                <w:sz w:val="18"/>
                <w:szCs w:val="18"/>
                <w:vertAlign w:val="subscript"/>
              </w:rPr>
              <w:t>i1,i2,i3,i4</w:t>
            </w:r>
            <w:r w:rsidRPr="00DC4AD8">
              <w:rPr>
                <w:rStyle w:val="MSGENFONTSTYLENAMETEMPLATEROLENUMBERMSGENFONTSTYLENAMEBYROLETEXT11MSGENFONTSTYLEMODIFERSIZE65"/>
                <w:rFonts w:ascii="Verdana" w:hAnsi="Verdana"/>
              </w:rPr>
              <w:t xml:space="preserve"> </w:t>
            </w:r>
            <w:r w:rsidRPr="00DC4AD8">
              <w:rPr>
                <w:rStyle w:val="MSGENFONTSTYLENAMETEMPLATEROLENUMBERMSGENFONTSTYLENAMEBYROLETEXT11MSGENFONTSTYLEMODIFERSIZE65"/>
                <w:rFonts w:ascii="Verdana" w:hAnsi="Verdana"/>
                <w:sz w:val="18"/>
                <w:szCs w:val="18"/>
              </w:rPr>
              <w:t xml:space="preserve">= </w:t>
            </w:r>
          </w:p>
          <w:p w14:paraId="5B01773F" w14:textId="77777777" w:rsidR="00DC4AD8" w:rsidRPr="00DC4AD8" w:rsidRDefault="00DC4AD8" w:rsidP="00DC4AD8">
            <w:pPr>
              <w:spacing w:line="276" w:lineRule="auto"/>
              <w:jc w:val="both"/>
              <w:rPr>
                <w:sz w:val="18"/>
                <w:szCs w:val="18"/>
                <w:vertAlign w:val="subscript"/>
                <w:lang w:val="en-US"/>
              </w:rPr>
            </w:pPr>
            <w:r w:rsidRPr="00DC4AD8">
              <w:rPr>
                <w:sz w:val="18"/>
                <w:szCs w:val="18"/>
                <w:lang w:val="en-US"/>
              </w:rPr>
              <w:t xml:space="preserve">                                                         Qnitrog-grass </w:t>
            </w:r>
            <w:r w:rsidRPr="00DC4AD8">
              <w:rPr>
                <w:sz w:val="18"/>
                <w:szCs w:val="18"/>
                <w:vertAlign w:val="subscript"/>
                <w:lang w:val="en-US"/>
              </w:rPr>
              <w:t>i1,i4</w:t>
            </w:r>
            <w:r w:rsidRPr="00DC4AD8">
              <w:rPr>
                <w:sz w:val="18"/>
                <w:szCs w:val="18"/>
                <w:lang w:val="en-US"/>
              </w:rPr>
              <w:t xml:space="preserve"> x DEPTH </w:t>
            </w:r>
            <w:r w:rsidRPr="00DC4AD8">
              <w:rPr>
                <w:sz w:val="18"/>
                <w:szCs w:val="18"/>
                <w:vertAlign w:val="subscript"/>
                <w:lang w:val="en-US"/>
              </w:rPr>
              <w:t>grassland</w:t>
            </w:r>
            <w:r w:rsidRPr="00DC4AD8">
              <w:rPr>
                <w:sz w:val="18"/>
                <w:szCs w:val="18"/>
                <w:lang w:val="en-US"/>
              </w:rPr>
              <w:t xml:space="preserve"> x RHOsoil </w:t>
            </w:r>
            <w:r w:rsidRPr="00DC4AD8">
              <w:rPr>
                <w:sz w:val="18"/>
                <w:szCs w:val="18"/>
                <w:vertAlign w:val="subscript"/>
                <w:lang w:val="en-US"/>
              </w:rPr>
              <w:t>wet</w:t>
            </w:r>
          </w:p>
          <w:p w14:paraId="6248A246" w14:textId="77777777" w:rsidR="00DC4AD8" w:rsidRPr="00DC4AD8" w:rsidRDefault="00DC4AD8" w:rsidP="00DC4AD8">
            <w:pPr>
              <w:spacing w:line="276" w:lineRule="auto"/>
              <w:jc w:val="both"/>
              <w:rPr>
                <w:rFonts w:cs="Arial"/>
                <w:sz w:val="20"/>
                <w:szCs w:val="20"/>
                <w:lang w:val="en-US"/>
              </w:rPr>
            </w:pPr>
          </w:p>
          <w:p w14:paraId="178630F9" w14:textId="77777777" w:rsidR="00D56625" w:rsidRDefault="0008280F" w:rsidP="00D56625">
            <w:pPr>
              <w:jc w:val="both"/>
              <w:rPr>
                <w:rFonts w:eastAsia="Arial" w:cs="Arial"/>
                <w:sz w:val="20"/>
                <w:szCs w:val="20"/>
                <w:lang w:val="en-US" w:eastAsia="en-US"/>
              </w:rPr>
            </w:pPr>
            <w:r>
              <w:rPr>
                <w:rFonts w:eastAsia="Arial" w:cs="Arial"/>
                <w:sz w:val="20"/>
                <w:szCs w:val="20"/>
                <w:lang w:val="en-US" w:eastAsia="en-US"/>
              </w:rPr>
              <w:t>In a first time, m</w:t>
            </w:r>
            <w:r w:rsidR="00DC4AD8" w:rsidRPr="00DC4AD8">
              <w:rPr>
                <w:rFonts w:eastAsia="Arial" w:cs="Arial"/>
                <w:sz w:val="20"/>
                <w:szCs w:val="20"/>
                <w:lang w:val="en-US" w:eastAsia="en-US"/>
              </w:rPr>
              <w:t xml:space="preserve">anure and slurry applications were considered only on 1 year as proposed in the ESD for PT03. </w:t>
            </w:r>
            <w:r w:rsidR="00D56625">
              <w:rPr>
                <w:rFonts w:eastAsia="Arial" w:cs="Arial"/>
                <w:sz w:val="20"/>
                <w:szCs w:val="20"/>
                <w:lang w:val="en-US" w:eastAsia="en-US"/>
              </w:rPr>
              <w:t>However</w:t>
            </w:r>
            <w:r>
              <w:rPr>
                <w:rFonts w:eastAsia="Arial" w:cs="Arial"/>
                <w:sz w:val="20"/>
                <w:szCs w:val="20"/>
                <w:lang w:val="en-US" w:eastAsia="en-US"/>
              </w:rPr>
              <w:t xml:space="preserve">, </w:t>
            </w:r>
            <w:r w:rsidR="00D56625">
              <w:rPr>
                <w:rFonts w:eastAsia="Arial" w:cs="Arial"/>
                <w:sz w:val="20"/>
                <w:szCs w:val="20"/>
                <w:lang w:val="en-US" w:eastAsia="en-US"/>
              </w:rPr>
              <w:t xml:space="preserve">following </w:t>
            </w:r>
            <w:r w:rsidR="00FF0AFE">
              <w:rPr>
                <w:rFonts w:eastAsia="Arial" w:cs="Arial"/>
                <w:sz w:val="20"/>
                <w:szCs w:val="20"/>
                <w:lang w:val="en-US" w:eastAsia="en-US"/>
              </w:rPr>
              <w:t>the E</w:t>
            </w:r>
            <w:r w:rsidR="000C55A9">
              <w:rPr>
                <w:rFonts w:eastAsia="Arial" w:cs="Arial"/>
                <w:sz w:val="20"/>
                <w:szCs w:val="20"/>
                <w:lang w:val="en-US" w:eastAsia="en-US"/>
              </w:rPr>
              <w:t>uropean discussions, a</w:t>
            </w:r>
            <w:r w:rsidR="00DC4AD8" w:rsidRPr="00DC4AD8">
              <w:rPr>
                <w:rFonts w:eastAsia="Arial" w:cs="Arial"/>
                <w:sz w:val="20"/>
                <w:szCs w:val="20"/>
                <w:lang w:val="en-US" w:eastAsia="en-US"/>
              </w:rPr>
              <w:t xml:space="preserve">pplications on 10 years </w:t>
            </w:r>
            <w:r w:rsidR="00FF0AFE">
              <w:rPr>
                <w:rFonts w:eastAsia="Arial" w:cs="Arial"/>
                <w:sz w:val="20"/>
                <w:szCs w:val="20"/>
                <w:lang w:val="en-US" w:eastAsia="en-US"/>
              </w:rPr>
              <w:t>have been added</w:t>
            </w:r>
            <w:r w:rsidR="000C55A9">
              <w:rPr>
                <w:rFonts w:eastAsia="Arial" w:cs="Arial"/>
                <w:sz w:val="20"/>
                <w:szCs w:val="20"/>
                <w:lang w:val="en-US" w:eastAsia="en-US"/>
              </w:rPr>
              <w:t>.</w:t>
            </w:r>
            <w:r w:rsidR="00FF0AFE">
              <w:rPr>
                <w:rFonts w:eastAsia="Arial" w:cs="Arial"/>
                <w:sz w:val="20"/>
                <w:szCs w:val="20"/>
                <w:lang w:val="en-US" w:eastAsia="en-US"/>
              </w:rPr>
              <w:t xml:space="preserve"> It worth noting that no dissipation processes were considered over the ten years of exposure.</w:t>
            </w:r>
            <w:r w:rsidR="00DC4AD8" w:rsidRPr="00DC4AD8">
              <w:rPr>
                <w:rFonts w:eastAsia="Arial" w:cs="Arial"/>
                <w:sz w:val="20"/>
                <w:szCs w:val="20"/>
                <w:lang w:val="en-US" w:eastAsia="en-US"/>
              </w:rPr>
              <w:t xml:space="preserve"> </w:t>
            </w:r>
          </w:p>
          <w:p w14:paraId="12117642" w14:textId="77777777" w:rsidR="00D56625" w:rsidRDefault="00D56625" w:rsidP="00DC4AD8">
            <w:pPr>
              <w:jc w:val="both"/>
              <w:rPr>
                <w:rFonts w:eastAsia="Arial" w:cs="Arial"/>
                <w:sz w:val="20"/>
                <w:szCs w:val="20"/>
                <w:lang w:val="en-US" w:eastAsia="en-US"/>
              </w:rPr>
            </w:pPr>
          </w:p>
          <w:p w14:paraId="42F2857D" w14:textId="77777777" w:rsidR="00DC4AD8" w:rsidRPr="00DC4AD8" w:rsidRDefault="00DC4AD8" w:rsidP="00DC4AD8">
            <w:pPr>
              <w:jc w:val="both"/>
              <w:rPr>
                <w:rFonts w:eastAsia="Arial" w:cs="Arial"/>
                <w:sz w:val="20"/>
                <w:szCs w:val="20"/>
                <w:lang w:val="en-US" w:eastAsia="en-US"/>
              </w:rPr>
            </w:pPr>
            <w:r w:rsidRPr="00DC4AD8">
              <w:rPr>
                <w:rFonts w:eastAsia="Arial" w:cs="Arial"/>
                <w:sz w:val="20"/>
                <w:szCs w:val="20"/>
                <w:lang w:val="en-US" w:eastAsia="en-US"/>
              </w:rPr>
              <w:t>Consequently, in the following assessment, we will consider concentrations of the active substance after one year of manure application</w:t>
            </w:r>
            <w:r w:rsidR="00D56625">
              <w:rPr>
                <w:rFonts w:eastAsia="Arial" w:cs="Arial"/>
                <w:sz w:val="20"/>
                <w:szCs w:val="20"/>
                <w:lang w:val="en-US" w:eastAsia="en-US"/>
              </w:rPr>
              <w:t xml:space="preserve"> and also after 10 years</w:t>
            </w:r>
            <w:r w:rsidRPr="00DC4AD8">
              <w:rPr>
                <w:rFonts w:eastAsia="Arial" w:cs="Arial"/>
                <w:sz w:val="20"/>
                <w:szCs w:val="20"/>
                <w:lang w:val="en-US" w:eastAsia="en-US"/>
              </w:rPr>
              <w:t xml:space="preserve">. </w:t>
            </w:r>
          </w:p>
          <w:p w14:paraId="6CF7D922" w14:textId="77777777" w:rsidR="00DC4AD8" w:rsidRPr="00DC4AD8" w:rsidRDefault="00DC4AD8" w:rsidP="00DC4AD8">
            <w:pPr>
              <w:jc w:val="both"/>
              <w:rPr>
                <w:rFonts w:eastAsia="Arial" w:cs="Arial"/>
                <w:sz w:val="20"/>
                <w:szCs w:val="20"/>
                <w:lang w:val="en-US" w:eastAsia="en-US"/>
              </w:rPr>
            </w:pPr>
          </w:p>
          <w:p w14:paraId="7B51ED8D" w14:textId="77777777" w:rsidR="00DC4AD8" w:rsidRPr="00DC4AD8" w:rsidRDefault="00DC4AD8" w:rsidP="00DC4AD8">
            <w:pPr>
              <w:jc w:val="both"/>
              <w:rPr>
                <w:rFonts w:eastAsia="Arial" w:cs="Arial"/>
                <w:sz w:val="20"/>
                <w:szCs w:val="20"/>
                <w:lang w:val="en-US" w:eastAsia="en-US"/>
              </w:rPr>
            </w:pPr>
            <w:r w:rsidRPr="00DC4AD8">
              <w:rPr>
                <w:rFonts w:eastAsia="Arial" w:cs="Arial"/>
                <w:sz w:val="20"/>
                <w:szCs w:val="20"/>
                <w:lang w:val="en-US" w:eastAsia="en-US"/>
              </w:rPr>
              <w:t>Finally, according to the CAR, all considered compartment with PEC/PNEC ratio above 1 will be assessed by a comparison between PEC values and background level determined for each compartment.</w:t>
            </w:r>
          </w:p>
        </w:tc>
      </w:tr>
    </w:tbl>
    <w:p w14:paraId="287EC750" w14:textId="77777777" w:rsidR="00DC4AD8" w:rsidRPr="00FD2055" w:rsidRDefault="00DC4AD8" w:rsidP="00DC4AD8">
      <w:pPr>
        <w:rPr>
          <w:lang w:eastAsia="en-US"/>
        </w:rPr>
      </w:pPr>
    </w:p>
    <w:p w14:paraId="22B11923" w14:textId="77777777" w:rsidR="00DC4AD8" w:rsidRPr="006C0A8D" w:rsidRDefault="00DC4AD8" w:rsidP="00DC4AD8">
      <w:pPr>
        <w:rPr>
          <w:b/>
          <w:i/>
          <w:szCs w:val="22"/>
          <w:lang w:eastAsia="en-US"/>
        </w:rPr>
      </w:pPr>
      <w:bookmarkStart w:id="113" w:name="_Toc389729116"/>
      <w:bookmarkStart w:id="114" w:name="_Toc403472801"/>
      <w:r w:rsidRPr="006C0A8D">
        <w:rPr>
          <w:b/>
          <w:i/>
          <w:szCs w:val="22"/>
          <w:lang w:eastAsia="en-US"/>
        </w:rPr>
        <w:t>Calculated PEC values</w:t>
      </w:r>
      <w:bookmarkEnd w:id="113"/>
      <w:bookmarkEnd w:id="114"/>
    </w:p>
    <w:p w14:paraId="7F1E1BB8" w14:textId="77777777" w:rsidR="00DC4AD8" w:rsidRDefault="00DC4AD8" w:rsidP="00DC4AD8">
      <w:pPr>
        <w:rPr>
          <w:lang w:val="en-US" w:eastAsia="en-US"/>
        </w:rPr>
      </w:pPr>
    </w:p>
    <w:tbl>
      <w:tblPr>
        <w:tblStyle w:val="Grilledutableau4"/>
        <w:tblW w:w="9072" w:type="dxa"/>
        <w:tblInd w:w="108" w:type="dxa"/>
        <w:tblLook w:val="04A0" w:firstRow="1" w:lastRow="0" w:firstColumn="1" w:lastColumn="0" w:noHBand="0" w:noVBand="1"/>
      </w:tblPr>
      <w:tblGrid>
        <w:gridCol w:w="9095"/>
      </w:tblGrid>
      <w:tr w:rsidR="00DC4AD8" w:rsidRPr="00DC4AD8" w14:paraId="233830D5" w14:textId="77777777" w:rsidTr="00A800C9">
        <w:trPr>
          <w:trHeight w:val="2252"/>
        </w:trPr>
        <w:tc>
          <w:tcPr>
            <w:tcW w:w="9072" w:type="dxa"/>
            <w:shd w:val="clear" w:color="auto" w:fill="D6E3BC" w:themeFill="accent3" w:themeFillTint="66"/>
          </w:tcPr>
          <w:p w14:paraId="411A510A" w14:textId="77777777" w:rsidR="00DC4AD8" w:rsidRPr="00DC4AD8" w:rsidRDefault="00DC4AD8" w:rsidP="00DC4AD8">
            <w:pPr>
              <w:spacing w:line="276" w:lineRule="auto"/>
              <w:jc w:val="both"/>
              <w:rPr>
                <w:rFonts w:cs="Arial"/>
                <w:b/>
                <w:sz w:val="20"/>
                <w:szCs w:val="20"/>
              </w:rPr>
            </w:pPr>
            <w:r w:rsidRPr="00DC4AD8">
              <w:rPr>
                <w:rStyle w:val="LgendeCar"/>
                <w:b/>
                <w:sz w:val="20"/>
                <w:szCs w:val="20"/>
              </w:rPr>
              <w:t xml:space="preserve">Infobox </w:t>
            </w:r>
            <w:r w:rsidRPr="00DC4AD8">
              <w:rPr>
                <w:rStyle w:val="LgendeCar"/>
                <w:b/>
                <w:sz w:val="20"/>
              </w:rPr>
              <w:fldChar w:fldCharType="begin"/>
            </w:r>
            <w:r w:rsidRPr="00DC4AD8">
              <w:rPr>
                <w:rStyle w:val="LgendeCar"/>
                <w:b/>
                <w:sz w:val="20"/>
                <w:szCs w:val="20"/>
              </w:rPr>
              <w:instrText xml:space="preserve"> SEQ Infobox \* ARABIC </w:instrText>
            </w:r>
            <w:r w:rsidRPr="00DC4AD8">
              <w:rPr>
                <w:rStyle w:val="LgendeCar"/>
                <w:b/>
                <w:sz w:val="20"/>
              </w:rPr>
              <w:fldChar w:fldCharType="separate"/>
            </w:r>
            <w:r w:rsidR="00D3764E">
              <w:rPr>
                <w:rStyle w:val="LgendeCar"/>
                <w:b/>
                <w:noProof/>
                <w:sz w:val="20"/>
                <w:szCs w:val="20"/>
              </w:rPr>
              <w:t>10</w:t>
            </w:r>
            <w:r w:rsidRPr="00DC4AD8">
              <w:rPr>
                <w:rStyle w:val="LgendeCar"/>
                <w:b/>
                <w:sz w:val="20"/>
              </w:rPr>
              <w:fldChar w:fldCharType="end"/>
            </w:r>
            <w:r w:rsidRPr="00DC4AD8">
              <w:rPr>
                <w:rStyle w:val="LgendeCar"/>
                <w:b/>
                <w:sz w:val="20"/>
                <w:szCs w:val="20"/>
              </w:rPr>
              <w:t xml:space="preserve"> -</w:t>
            </w:r>
            <w:r w:rsidRPr="00DC4AD8">
              <w:rPr>
                <w:rStyle w:val="LgendeCar"/>
                <w:sz w:val="20"/>
                <w:szCs w:val="20"/>
              </w:rPr>
              <w:t xml:space="preserve"> </w:t>
            </w:r>
            <w:r w:rsidRPr="00DC4AD8">
              <w:rPr>
                <w:rFonts w:cs="Arial"/>
                <w:b/>
                <w:sz w:val="20"/>
                <w:szCs w:val="20"/>
              </w:rPr>
              <w:t>FR CA position:</w:t>
            </w:r>
          </w:p>
          <w:p w14:paraId="29A3B564" w14:textId="77777777" w:rsidR="00DC4AD8" w:rsidRPr="00DC4AD8" w:rsidRDefault="00DC4AD8" w:rsidP="00DC4AD8">
            <w:pPr>
              <w:shd w:val="clear" w:color="auto" w:fill="D6E3BC" w:themeFill="accent3" w:themeFillTint="66"/>
              <w:jc w:val="both"/>
              <w:textAlignment w:val="baseline"/>
              <w:rPr>
                <w:color w:val="000000"/>
                <w:sz w:val="20"/>
                <w:szCs w:val="20"/>
                <w:lang w:eastAsia="en-GB" w:bidi="en-GB"/>
              </w:rPr>
            </w:pPr>
            <w:r w:rsidRPr="00DC4AD8">
              <w:rPr>
                <w:rStyle w:val="MSGENFONTSTYLENAMETEMPLATEROLELEVELMSGENFONTSTYLENAMEBYROLEHEADING2"/>
                <w:rFonts w:ascii="Verdana" w:hAnsi="Verdana"/>
                <w:sz w:val="20"/>
                <w:szCs w:val="20"/>
              </w:rPr>
              <w:t>Exposure characterization</w:t>
            </w:r>
            <w:r w:rsidRPr="00DC4AD8">
              <w:rPr>
                <w:color w:val="000000"/>
                <w:sz w:val="20"/>
                <w:szCs w:val="20"/>
                <w:lang w:eastAsia="en-GB" w:bidi="en-GB"/>
              </w:rPr>
              <w:t xml:space="preserve"> </w:t>
            </w:r>
          </w:p>
          <w:p w14:paraId="08727F1E" w14:textId="77777777" w:rsidR="00DC4AD8" w:rsidRPr="00DC4AD8" w:rsidRDefault="00DC4AD8" w:rsidP="00DC4AD8">
            <w:pPr>
              <w:shd w:val="clear" w:color="auto" w:fill="D6E3BC" w:themeFill="accent3" w:themeFillTint="66"/>
              <w:jc w:val="both"/>
              <w:textAlignment w:val="baseline"/>
              <w:rPr>
                <w:color w:val="000000"/>
                <w:sz w:val="20"/>
                <w:szCs w:val="20"/>
                <w:lang w:eastAsia="en-GB" w:bidi="en-GB"/>
              </w:rPr>
            </w:pPr>
          </w:p>
          <w:p w14:paraId="2B8367CF" w14:textId="77777777" w:rsidR="00DC4AD8" w:rsidRPr="00DC4AD8" w:rsidRDefault="00DC4AD8" w:rsidP="00DC4AD8">
            <w:pPr>
              <w:shd w:val="clear" w:color="auto" w:fill="D6E3BC" w:themeFill="accent3" w:themeFillTint="66"/>
              <w:jc w:val="both"/>
              <w:textAlignment w:val="baseline"/>
              <w:rPr>
                <w:rFonts w:eastAsia="Arial" w:cs="Arial"/>
                <w:color w:val="000000"/>
                <w:sz w:val="20"/>
                <w:szCs w:val="20"/>
                <w:lang w:eastAsia="en-GB" w:bidi="en-GB"/>
              </w:rPr>
            </w:pPr>
            <w:r w:rsidRPr="00DC4AD8">
              <w:rPr>
                <w:rFonts w:eastAsia="Arial" w:cs="Arial"/>
                <w:color w:val="000000"/>
                <w:sz w:val="20"/>
                <w:szCs w:val="20"/>
                <w:lang w:eastAsia="en-GB" w:bidi="en-GB"/>
              </w:rPr>
              <w:t>It should be noted that the nitrogen standard is the most relevant in Europe notably in France. Therefore, regarding emission via manure application, PEC values were calculated for application to grassland and arable land on the nitrogen standard only.</w:t>
            </w:r>
          </w:p>
          <w:p w14:paraId="6B3235BB" w14:textId="77777777" w:rsidR="00DC4AD8" w:rsidRPr="00DC4AD8" w:rsidRDefault="00DC4AD8" w:rsidP="00DC4AD8">
            <w:pPr>
              <w:spacing w:line="276" w:lineRule="auto"/>
              <w:jc w:val="both"/>
              <w:rPr>
                <w:rFonts w:cs="Arial"/>
                <w:sz w:val="20"/>
                <w:szCs w:val="20"/>
              </w:rPr>
            </w:pPr>
          </w:p>
          <w:tbl>
            <w:tblPr>
              <w:tblW w:w="88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818"/>
              <w:gridCol w:w="1540"/>
              <w:gridCol w:w="1796"/>
              <w:gridCol w:w="1510"/>
            </w:tblGrid>
            <w:tr w:rsidR="00DC4AD8" w:rsidRPr="00DC4AD8" w14:paraId="53E5F86E" w14:textId="77777777" w:rsidTr="00A800C9">
              <w:trPr>
                <w:trHeight w:val="249"/>
              </w:trPr>
              <w:tc>
                <w:tcPr>
                  <w:tcW w:w="8897"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0044365B" w14:textId="77777777" w:rsidR="00DC4AD8" w:rsidRPr="00DC4AD8" w:rsidRDefault="00DC4AD8" w:rsidP="00DC4AD8">
                  <w:pPr>
                    <w:autoSpaceDE w:val="0"/>
                    <w:autoSpaceDN w:val="0"/>
                    <w:adjustRightInd w:val="0"/>
                    <w:spacing w:before="60" w:after="60"/>
                    <w:jc w:val="center"/>
                    <w:rPr>
                      <w:rFonts w:cs="Arial"/>
                      <w:b/>
                      <w:bCs/>
                      <w:color w:val="000000"/>
                      <w:lang w:eastAsia="en-GB"/>
                    </w:rPr>
                  </w:pPr>
                  <w:r w:rsidRPr="00DC4AD8">
                    <w:rPr>
                      <w:rFonts w:cs="Arial"/>
                      <w:b/>
                      <w:bCs/>
                      <w:color w:val="000000"/>
                      <w:lang w:eastAsia="en-GB"/>
                    </w:rPr>
                    <w:t>Summary table on calculated PEC and background levels (as iodine)</w:t>
                  </w:r>
                </w:p>
              </w:tc>
            </w:tr>
            <w:tr w:rsidR="00DC4AD8" w:rsidRPr="00DC4AD8" w14:paraId="14F3BD5F" w14:textId="77777777" w:rsidTr="00A800C9">
              <w:trPr>
                <w:trHeight w:val="473"/>
              </w:trPr>
              <w:tc>
                <w:tcPr>
                  <w:tcW w:w="2233" w:type="dxa"/>
                  <w:vMerge w:val="restart"/>
                  <w:shd w:val="clear" w:color="auto" w:fill="FFFFFF"/>
                  <w:vAlign w:val="center"/>
                </w:tcPr>
                <w:p w14:paraId="387876B8" w14:textId="77777777" w:rsidR="00DC4AD8" w:rsidRPr="00DC4AD8" w:rsidRDefault="00DC4AD8" w:rsidP="00DC4AD8">
                  <w:pPr>
                    <w:autoSpaceDE w:val="0"/>
                    <w:autoSpaceDN w:val="0"/>
                    <w:adjustRightInd w:val="0"/>
                    <w:spacing w:before="60" w:after="60"/>
                    <w:jc w:val="center"/>
                    <w:rPr>
                      <w:rFonts w:cs="Arial"/>
                      <w:color w:val="000000"/>
                      <w:lang w:eastAsia="en-GB"/>
                    </w:rPr>
                  </w:pPr>
                </w:p>
              </w:tc>
              <w:tc>
                <w:tcPr>
                  <w:tcW w:w="3358" w:type="dxa"/>
                  <w:gridSpan w:val="2"/>
                  <w:shd w:val="clear" w:color="auto" w:fill="FFFFFF"/>
                  <w:vAlign w:val="center"/>
                </w:tcPr>
                <w:p w14:paraId="006F4225" w14:textId="77777777" w:rsidR="00DC4AD8" w:rsidRPr="00DC4AD8" w:rsidRDefault="00DC4AD8" w:rsidP="00DC4AD8">
                  <w:pPr>
                    <w:autoSpaceDE w:val="0"/>
                    <w:autoSpaceDN w:val="0"/>
                    <w:adjustRightInd w:val="0"/>
                    <w:spacing w:before="60" w:after="60"/>
                    <w:jc w:val="center"/>
                    <w:rPr>
                      <w:rFonts w:cs="Arial"/>
                      <w:color w:val="000000"/>
                      <w:lang w:eastAsia="en-GB"/>
                    </w:rPr>
                  </w:pPr>
                  <w:r w:rsidRPr="00DC4AD8">
                    <w:rPr>
                      <w:rFonts w:cs="Arial"/>
                      <w:b/>
                      <w:bCs/>
                      <w:color w:val="000000"/>
                      <w:lang w:eastAsia="en-GB"/>
                    </w:rPr>
                    <w:t>Values for Iodine</w:t>
                  </w:r>
                </w:p>
              </w:tc>
              <w:tc>
                <w:tcPr>
                  <w:tcW w:w="1796" w:type="dxa"/>
                  <w:shd w:val="clear" w:color="auto" w:fill="FFFFFF"/>
                  <w:vAlign w:val="center"/>
                </w:tcPr>
                <w:p w14:paraId="47493BFD" w14:textId="77777777" w:rsidR="00DC4AD8" w:rsidRPr="00DC4AD8" w:rsidRDefault="00DC4AD8" w:rsidP="00DC4AD8">
                  <w:pPr>
                    <w:autoSpaceDE w:val="0"/>
                    <w:autoSpaceDN w:val="0"/>
                    <w:adjustRightInd w:val="0"/>
                    <w:spacing w:before="60" w:after="60"/>
                    <w:jc w:val="center"/>
                    <w:rPr>
                      <w:rFonts w:cs="Arial"/>
                      <w:b/>
                      <w:color w:val="000000"/>
                      <w:lang w:eastAsia="en-GB"/>
                    </w:rPr>
                  </w:pPr>
                  <w:r w:rsidRPr="00DC4AD8">
                    <w:rPr>
                      <w:rFonts w:cs="Arial"/>
                      <w:b/>
                      <w:bCs/>
                      <w:color w:val="000000"/>
                      <w:lang w:eastAsia="en-GB"/>
                    </w:rPr>
                    <w:t>Values for Iodide</w:t>
                  </w:r>
                </w:p>
              </w:tc>
              <w:tc>
                <w:tcPr>
                  <w:tcW w:w="1510" w:type="dxa"/>
                  <w:shd w:val="clear" w:color="auto" w:fill="FFFFFF"/>
                  <w:vAlign w:val="center"/>
                </w:tcPr>
                <w:p w14:paraId="5F8F3BBD" w14:textId="77777777" w:rsidR="00DC4AD8" w:rsidRPr="00DC4AD8" w:rsidRDefault="00DC4AD8" w:rsidP="00DC4AD8">
                  <w:pPr>
                    <w:autoSpaceDE w:val="0"/>
                    <w:autoSpaceDN w:val="0"/>
                    <w:adjustRightInd w:val="0"/>
                    <w:spacing w:before="60" w:after="60"/>
                    <w:jc w:val="center"/>
                    <w:rPr>
                      <w:rFonts w:cs="Arial"/>
                      <w:color w:val="000000"/>
                      <w:lang w:eastAsia="en-GB"/>
                    </w:rPr>
                  </w:pPr>
                  <w:r w:rsidRPr="00DC4AD8">
                    <w:rPr>
                      <w:rFonts w:cs="Arial"/>
                      <w:b/>
                      <w:bCs/>
                      <w:color w:val="000000"/>
                      <w:lang w:eastAsia="en-GB"/>
                    </w:rPr>
                    <w:t>Values for Iodate</w:t>
                  </w:r>
                </w:p>
              </w:tc>
            </w:tr>
            <w:tr w:rsidR="00DC4AD8" w:rsidRPr="00DC4AD8" w14:paraId="40187D8F" w14:textId="77777777" w:rsidTr="00A800C9">
              <w:trPr>
                <w:trHeight w:val="75"/>
              </w:trPr>
              <w:tc>
                <w:tcPr>
                  <w:tcW w:w="2233" w:type="dxa"/>
                  <w:vMerge/>
                  <w:shd w:val="clear" w:color="auto" w:fill="FFFFFF"/>
                  <w:vAlign w:val="center"/>
                </w:tcPr>
                <w:p w14:paraId="65B494B7"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rPr>
                  </w:pPr>
                </w:p>
              </w:tc>
              <w:tc>
                <w:tcPr>
                  <w:tcW w:w="1818" w:type="dxa"/>
                  <w:shd w:val="clear" w:color="auto" w:fill="FFFFFF"/>
                  <w:vAlign w:val="center"/>
                </w:tcPr>
                <w:p w14:paraId="5BBA1AF4" w14:textId="77777777" w:rsidR="00DC4AD8" w:rsidRPr="00DC4AD8" w:rsidRDefault="00DC4AD8" w:rsidP="00DC4AD8">
                  <w:pPr>
                    <w:autoSpaceDE w:val="0"/>
                    <w:autoSpaceDN w:val="0"/>
                    <w:adjustRightInd w:val="0"/>
                    <w:spacing w:before="60" w:after="60"/>
                    <w:jc w:val="center"/>
                    <w:rPr>
                      <w:rFonts w:cs="Arial"/>
                      <w:b/>
                      <w:bCs/>
                      <w:color w:val="000000"/>
                      <w:lang w:eastAsia="en-GB"/>
                    </w:rPr>
                  </w:pPr>
                  <w:r w:rsidRPr="00DC4AD8">
                    <w:rPr>
                      <w:rFonts w:cs="Arial"/>
                      <w:b/>
                      <w:bCs/>
                      <w:color w:val="000000"/>
                      <w:lang w:eastAsia="en-GB"/>
                    </w:rPr>
                    <w:t>Background</w:t>
                  </w:r>
                </w:p>
              </w:tc>
              <w:tc>
                <w:tcPr>
                  <w:tcW w:w="1540" w:type="dxa"/>
                  <w:shd w:val="clear" w:color="auto" w:fill="FFFFFF"/>
                  <w:vAlign w:val="center"/>
                </w:tcPr>
                <w:p w14:paraId="0DA8E0C1" w14:textId="77777777" w:rsidR="00DC4AD8" w:rsidRPr="00DC4AD8" w:rsidRDefault="00DC4AD8" w:rsidP="00DC4AD8">
                  <w:pPr>
                    <w:autoSpaceDE w:val="0"/>
                    <w:autoSpaceDN w:val="0"/>
                    <w:adjustRightInd w:val="0"/>
                    <w:spacing w:before="60" w:after="60"/>
                    <w:jc w:val="center"/>
                    <w:rPr>
                      <w:rFonts w:cs="Arial"/>
                      <w:b/>
                      <w:bCs/>
                      <w:color w:val="000000"/>
                      <w:lang w:eastAsia="en-GB"/>
                    </w:rPr>
                  </w:pPr>
                  <w:r w:rsidRPr="00DC4AD8">
                    <w:rPr>
                      <w:rFonts w:cs="Arial"/>
                      <w:b/>
                      <w:bCs/>
                      <w:color w:val="000000"/>
                      <w:lang w:eastAsia="en-GB"/>
                    </w:rPr>
                    <w:t>PEC</w:t>
                  </w:r>
                </w:p>
              </w:tc>
              <w:tc>
                <w:tcPr>
                  <w:tcW w:w="1796" w:type="dxa"/>
                  <w:shd w:val="clear" w:color="auto" w:fill="FFFFFF"/>
                  <w:vAlign w:val="center"/>
                </w:tcPr>
                <w:p w14:paraId="22C304FC" w14:textId="77777777" w:rsidR="00DC4AD8" w:rsidRPr="00DC4AD8" w:rsidRDefault="00DC4AD8" w:rsidP="00DC4AD8">
                  <w:pPr>
                    <w:autoSpaceDE w:val="0"/>
                    <w:autoSpaceDN w:val="0"/>
                    <w:adjustRightInd w:val="0"/>
                    <w:spacing w:before="60" w:after="60"/>
                    <w:jc w:val="center"/>
                    <w:rPr>
                      <w:rFonts w:cs="Arial"/>
                      <w:b/>
                      <w:bCs/>
                      <w:color w:val="000000"/>
                      <w:lang w:eastAsia="en-GB"/>
                    </w:rPr>
                  </w:pPr>
                  <w:r w:rsidRPr="00DC4AD8">
                    <w:rPr>
                      <w:rFonts w:cs="Arial"/>
                      <w:b/>
                      <w:bCs/>
                      <w:color w:val="000000"/>
                      <w:lang w:eastAsia="en-GB"/>
                    </w:rPr>
                    <w:t>PEC</w:t>
                  </w:r>
                </w:p>
              </w:tc>
              <w:tc>
                <w:tcPr>
                  <w:tcW w:w="1510" w:type="dxa"/>
                  <w:shd w:val="clear" w:color="auto" w:fill="FFFFFF"/>
                  <w:vAlign w:val="center"/>
                </w:tcPr>
                <w:p w14:paraId="2EA30C38" w14:textId="77777777" w:rsidR="00DC4AD8" w:rsidRPr="00DC4AD8" w:rsidRDefault="00DC4AD8" w:rsidP="00DC4AD8">
                  <w:pPr>
                    <w:autoSpaceDE w:val="0"/>
                    <w:autoSpaceDN w:val="0"/>
                    <w:adjustRightInd w:val="0"/>
                    <w:spacing w:before="60" w:after="60"/>
                    <w:jc w:val="center"/>
                    <w:rPr>
                      <w:rFonts w:cs="Arial"/>
                      <w:b/>
                      <w:bCs/>
                      <w:color w:val="000000"/>
                      <w:lang w:eastAsia="en-GB"/>
                    </w:rPr>
                  </w:pPr>
                  <w:r w:rsidRPr="00DC4AD8">
                    <w:rPr>
                      <w:rFonts w:cs="Arial"/>
                      <w:b/>
                      <w:bCs/>
                      <w:color w:val="000000"/>
                      <w:lang w:eastAsia="en-GB"/>
                    </w:rPr>
                    <w:t>PEC</w:t>
                  </w:r>
                </w:p>
              </w:tc>
            </w:tr>
            <w:tr w:rsidR="00DC4AD8" w:rsidRPr="00DC4AD8" w14:paraId="39F94C8B" w14:textId="77777777" w:rsidTr="00A800C9">
              <w:trPr>
                <w:trHeight w:val="376"/>
              </w:trPr>
              <w:tc>
                <w:tcPr>
                  <w:tcW w:w="8897" w:type="dxa"/>
                  <w:gridSpan w:val="5"/>
                  <w:shd w:val="clear" w:color="auto" w:fill="FFFFFF"/>
                  <w:vAlign w:val="center"/>
                </w:tcPr>
                <w:p w14:paraId="0695C027" w14:textId="77777777" w:rsidR="00DC4AD8" w:rsidRPr="00841FF5" w:rsidRDefault="00DC4AD8" w:rsidP="00DC4AD8">
                  <w:pPr>
                    <w:pStyle w:val="MSGENFONTSTYLENAMETEMPLATEROLENUMBERMSGENFONTSTYLENAMEBYROLETEXT20"/>
                    <w:shd w:val="clear" w:color="auto" w:fill="auto"/>
                    <w:spacing w:before="0" w:after="0" w:line="200" w:lineRule="exact"/>
                    <w:ind w:left="20"/>
                    <w:jc w:val="left"/>
                    <w:rPr>
                      <w:rFonts w:ascii="Verdana" w:hAnsi="Verdana"/>
                      <w:b/>
                      <w:lang w:val="en-US"/>
                    </w:rPr>
                  </w:pPr>
                  <w:r w:rsidRPr="00DC4AD8">
                    <w:rPr>
                      <w:rStyle w:val="MSGENFONTSTYLENAMETEMPLATEROLENUMBERMSGENFONTSTYLENAMEBYROLETEXT2MSGENFONTSTYLEMODIFERSIZE9"/>
                      <w:rFonts w:ascii="Verdana" w:hAnsi="Verdana"/>
                      <w:sz w:val="20"/>
                      <w:szCs w:val="20"/>
                    </w:rPr>
                    <w:t>Via manure application</w:t>
                  </w:r>
                  <w:r w:rsidR="00D56625">
                    <w:rPr>
                      <w:rStyle w:val="MSGENFONTSTYLENAMETEMPLATEROLENUMBERMSGENFONTSTYLENAMEBYROLETEXT2MSGENFONTSTYLEMODIFERSIZE9"/>
                      <w:rFonts w:ascii="Verdana" w:hAnsi="Verdana"/>
                      <w:sz w:val="20"/>
                      <w:szCs w:val="20"/>
                    </w:rPr>
                    <w:t xml:space="preserve"> (one year applications)</w:t>
                  </w:r>
                </w:p>
              </w:tc>
            </w:tr>
            <w:tr w:rsidR="00DC4AD8" w:rsidRPr="00DC4AD8" w14:paraId="3C3DD1E9" w14:textId="77777777" w:rsidTr="00A800C9">
              <w:trPr>
                <w:trHeight w:val="75"/>
              </w:trPr>
              <w:tc>
                <w:tcPr>
                  <w:tcW w:w="2233" w:type="dxa"/>
                  <w:shd w:val="clear" w:color="auto" w:fill="FFFFFF"/>
                </w:tcPr>
                <w:p w14:paraId="2BFA4910"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Surface water grassland (µg.L</w:t>
                  </w:r>
                  <w:r w:rsidRPr="00DC4AD8">
                    <w:rPr>
                      <w:rFonts w:ascii="Verdana" w:hAnsi="Verdana"/>
                      <w:vertAlign w:val="superscript"/>
                      <w:lang w:val="sv-SE"/>
                    </w:rPr>
                    <w:t>-1</w:t>
                  </w:r>
                  <w:r w:rsidRPr="00DC4AD8">
                    <w:rPr>
                      <w:rFonts w:ascii="Verdana" w:hAnsi="Verdana"/>
                      <w:lang w:val="sv-SE"/>
                    </w:rPr>
                    <w:t>)</w:t>
                  </w:r>
                </w:p>
                <w:p w14:paraId="3BD1B91D"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via run-off from soil</w:t>
                  </w:r>
                </w:p>
              </w:tc>
              <w:tc>
                <w:tcPr>
                  <w:tcW w:w="1818" w:type="dxa"/>
                  <w:vMerge w:val="restart"/>
                  <w:shd w:val="clear" w:color="auto" w:fill="FFFFFF"/>
                  <w:vAlign w:val="center"/>
                </w:tcPr>
                <w:p w14:paraId="77B76041" w14:textId="77777777" w:rsidR="00DC4AD8" w:rsidRPr="00DC4AD8" w:rsidRDefault="00DC4AD8" w:rsidP="00DC4AD8">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0.5-20</w:t>
                  </w:r>
                </w:p>
              </w:tc>
              <w:tc>
                <w:tcPr>
                  <w:tcW w:w="1540" w:type="dxa"/>
                  <w:shd w:val="clear" w:color="auto" w:fill="FFFFFF"/>
                  <w:vAlign w:val="center"/>
                </w:tcPr>
                <w:p w14:paraId="50F48BD5" w14:textId="77777777" w:rsidR="00DC4AD8" w:rsidRPr="00DC4AD8" w:rsidRDefault="000B64C7" w:rsidP="000B64C7">
                  <w:pPr>
                    <w:pStyle w:val="MSGENFONTSTYLENAMETEMPLATEROLENUMBERMSGENFONTSTYLENAMEBYROLETEXT20"/>
                    <w:shd w:val="clear" w:color="auto" w:fill="auto"/>
                    <w:spacing w:before="0" w:after="0" w:line="200" w:lineRule="exact"/>
                    <w:jc w:val="center"/>
                    <w:rPr>
                      <w:rFonts w:ascii="Verdana" w:hAnsi="Verdana"/>
                      <w:color w:val="000000"/>
                    </w:rPr>
                  </w:pPr>
                  <w:r>
                    <w:rPr>
                      <w:rFonts w:ascii="Verdana" w:hAnsi="Verdana"/>
                      <w:lang w:val="sv-SE"/>
                    </w:rPr>
                    <w:t>2.61</w:t>
                  </w:r>
                  <w:r w:rsidR="00DC4AD8" w:rsidRPr="00DC4AD8">
                    <w:rPr>
                      <w:rFonts w:ascii="Verdana" w:hAnsi="Verdana"/>
                      <w:lang w:val="sv-SE"/>
                    </w:rPr>
                    <w:t>E-01</w:t>
                  </w:r>
                </w:p>
              </w:tc>
              <w:tc>
                <w:tcPr>
                  <w:tcW w:w="1796" w:type="dxa"/>
                  <w:shd w:val="clear" w:color="auto" w:fill="FFFFFF"/>
                  <w:vAlign w:val="center"/>
                </w:tcPr>
                <w:p w14:paraId="50A54BB6"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color w:val="000000"/>
                    </w:rPr>
                  </w:pPr>
                  <w:r>
                    <w:rPr>
                      <w:rFonts w:ascii="Verdana" w:hAnsi="Verdana"/>
                      <w:lang w:val="sv-SE"/>
                    </w:rPr>
                    <w:t>2.61</w:t>
                  </w:r>
                  <w:r w:rsidR="00DC4AD8" w:rsidRPr="00DC4AD8">
                    <w:rPr>
                      <w:rFonts w:ascii="Verdana" w:hAnsi="Verdana"/>
                      <w:lang w:val="sv-SE"/>
                    </w:rPr>
                    <w:t>E-01</w:t>
                  </w:r>
                </w:p>
              </w:tc>
              <w:tc>
                <w:tcPr>
                  <w:tcW w:w="1510" w:type="dxa"/>
                  <w:shd w:val="clear" w:color="auto" w:fill="FFFFFF"/>
                  <w:vAlign w:val="center"/>
                </w:tcPr>
                <w:p w14:paraId="70565D15" w14:textId="77777777" w:rsidR="00DC4AD8" w:rsidRPr="00DC4AD8" w:rsidRDefault="000B64C7" w:rsidP="00DC4AD8">
                  <w:pPr>
                    <w:jc w:val="center"/>
                    <w:rPr>
                      <w:color w:val="000000"/>
                    </w:rPr>
                  </w:pPr>
                  <w:r>
                    <w:rPr>
                      <w:rFonts w:eastAsia="Arial" w:cs="Arial"/>
                      <w:lang w:eastAsia="en-US"/>
                    </w:rPr>
                    <w:t>3.61</w:t>
                  </w:r>
                  <w:r w:rsidR="00DC4AD8" w:rsidRPr="00DC4AD8">
                    <w:rPr>
                      <w:rFonts w:eastAsia="Arial" w:cs="Arial"/>
                      <w:lang w:eastAsia="en-US"/>
                    </w:rPr>
                    <w:t>E-01</w:t>
                  </w:r>
                </w:p>
              </w:tc>
            </w:tr>
            <w:tr w:rsidR="00DC4AD8" w:rsidRPr="00DC4AD8" w14:paraId="3FFC93A9" w14:textId="77777777" w:rsidTr="00A800C9">
              <w:trPr>
                <w:trHeight w:val="75"/>
              </w:trPr>
              <w:tc>
                <w:tcPr>
                  <w:tcW w:w="2233" w:type="dxa"/>
                  <w:shd w:val="clear" w:color="auto" w:fill="FFFFFF"/>
                </w:tcPr>
                <w:p w14:paraId="2AAAA50C"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Surface water arable (µg.L</w:t>
                  </w:r>
                  <w:r w:rsidRPr="00DC4AD8">
                    <w:rPr>
                      <w:rFonts w:ascii="Verdana" w:hAnsi="Verdana"/>
                      <w:vertAlign w:val="superscript"/>
                      <w:lang w:val="sv-SE"/>
                    </w:rPr>
                    <w:t>-1</w:t>
                  </w:r>
                  <w:r w:rsidRPr="00DC4AD8">
                    <w:rPr>
                      <w:rFonts w:ascii="Verdana" w:hAnsi="Verdana"/>
                      <w:lang w:val="sv-SE"/>
                    </w:rPr>
                    <w:t>)</w:t>
                  </w:r>
                </w:p>
                <w:p w14:paraId="6F8A892F"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lang w:val="sv-SE"/>
                    </w:rPr>
                  </w:pPr>
                  <w:r w:rsidRPr="00DC4AD8">
                    <w:rPr>
                      <w:rFonts w:ascii="Verdana" w:hAnsi="Verdana"/>
                      <w:lang w:val="sv-SE"/>
                    </w:rPr>
                    <w:t>via run-off from soil</w:t>
                  </w:r>
                </w:p>
              </w:tc>
              <w:tc>
                <w:tcPr>
                  <w:tcW w:w="1818" w:type="dxa"/>
                  <w:vMerge/>
                  <w:shd w:val="clear" w:color="auto" w:fill="FFFFFF"/>
                  <w:vAlign w:val="center"/>
                </w:tcPr>
                <w:p w14:paraId="30BDC962" w14:textId="77777777" w:rsidR="00DC4AD8" w:rsidRPr="00DC4AD8" w:rsidRDefault="00DC4AD8" w:rsidP="00DC4AD8">
                  <w:pPr>
                    <w:pStyle w:val="MSGENFONTSTYLENAMETEMPLATEROLENUMBERMSGENFONTSTYLENAMEBYROLETEXT20"/>
                    <w:shd w:val="clear" w:color="auto" w:fill="auto"/>
                    <w:spacing w:before="0" w:after="0" w:line="200" w:lineRule="exact"/>
                    <w:jc w:val="center"/>
                    <w:rPr>
                      <w:rFonts w:ascii="Verdana" w:hAnsi="Verdana"/>
                      <w:b/>
                      <w:lang w:val="en-US"/>
                    </w:rPr>
                  </w:pPr>
                </w:p>
              </w:tc>
              <w:tc>
                <w:tcPr>
                  <w:tcW w:w="1540" w:type="dxa"/>
                  <w:shd w:val="clear" w:color="auto" w:fill="FFFFFF"/>
                  <w:vAlign w:val="center"/>
                </w:tcPr>
                <w:p w14:paraId="7BE3916F"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color w:val="000000"/>
                    </w:rPr>
                  </w:pPr>
                  <w:r>
                    <w:rPr>
                      <w:rFonts w:ascii="Verdana" w:hAnsi="Verdana"/>
                      <w:lang w:val="sv-SE"/>
                    </w:rPr>
                    <w:t>6.54</w:t>
                  </w:r>
                  <w:r w:rsidR="00DC4AD8" w:rsidRPr="00DC4AD8">
                    <w:rPr>
                      <w:rFonts w:ascii="Verdana" w:hAnsi="Verdana"/>
                      <w:lang w:val="sv-SE"/>
                    </w:rPr>
                    <w:t>E-02</w:t>
                  </w:r>
                </w:p>
              </w:tc>
              <w:tc>
                <w:tcPr>
                  <w:tcW w:w="1796" w:type="dxa"/>
                  <w:shd w:val="clear" w:color="auto" w:fill="FFFFFF"/>
                  <w:vAlign w:val="center"/>
                </w:tcPr>
                <w:p w14:paraId="644F518C"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6.54</w:t>
                  </w:r>
                  <w:r w:rsidR="00DC4AD8" w:rsidRPr="00DC4AD8">
                    <w:rPr>
                      <w:rFonts w:ascii="Verdana" w:hAnsi="Verdana"/>
                      <w:lang w:val="sv-SE"/>
                    </w:rPr>
                    <w:t>E-02</w:t>
                  </w:r>
                </w:p>
              </w:tc>
              <w:tc>
                <w:tcPr>
                  <w:tcW w:w="1510" w:type="dxa"/>
                  <w:shd w:val="clear" w:color="auto" w:fill="FFFFFF"/>
                  <w:vAlign w:val="center"/>
                </w:tcPr>
                <w:p w14:paraId="51F85C5F" w14:textId="77777777" w:rsidR="00DC4AD8" w:rsidRPr="00DC4AD8" w:rsidRDefault="000B64C7" w:rsidP="00DC4AD8">
                  <w:pPr>
                    <w:jc w:val="center"/>
                    <w:rPr>
                      <w:color w:val="000000"/>
                    </w:rPr>
                  </w:pPr>
                  <w:r>
                    <w:rPr>
                      <w:rFonts w:eastAsia="Arial" w:cs="Arial"/>
                      <w:lang w:eastAsia="en-US"/>
                    </w:rPr>
                    <w:t>9.03</w:t>
                  </w:r>
                  <w:r w:rsidR="00DC4AD8" w:rsidRPr="00DC4AD8">
                    <w:rPr>
                      <w:rFonts w:eastAsia="Arial" w:cs="Arial"/>
                      <w:lang w:eastAsia="en-US"/>
                    </w:rPr>
                    <w:t>E-02</w:t>
                  </w:r>
                </w:p>
              </w:tc>
            </w:tr>
            <w:tr w:rsidR="00DC4AD8" w:rsidRPr="00DC4AD8" w14:paraId="349281CF" w14:textId="77777777" w:rsidTr="00A800C9">
              <w:trPr>
                <w:trHeight w:val="75"/>
              </w:trPr>
              <w:tc>
                <w:tcPr>
                  <w:tcW w:w="2233" w:type="dxa"/>
                  <w:shd w:val="clear" w:color="auto" w:fill="FFFFFF"/>
                </w:tcPr>
                <w:p w14:paraId="57B98A7E"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Soil grassland (mg.kg</w:t>
                  </w:r>
                  <w:r w:rsidRPr="00DC4AD8">
                    <w:rPr>
                      <w:rFonts w:ascii="Verdana" w:hAnsi="Verdana"/>
                      <w:vertAlign w:val="subscript"/>
                      <w:lang w:val="sv-SE"/>
                    </w:rPr>
                    <w:t>wwt</w:t>
                  </w:r>
                  <w:r w:rsidRPr="00DC4AD8">
                    <w:rPr>
                      <w:rFonts w:ascii="Verdana" w:hAnsi="Verdana"/>
                      <w:lang w:val="sv-SE"/>
                    </w:rPr>
                    <w:t xml:space="preserve"> )</w:t>
                  </w:r>
                </w:p>
              </w:tc>
              <w:tc>
                <w:tcPr>
                  <w:tcW w:w="1818" w:type="dxa"/>
                  <w:vMerge w:val="restart"/>
                  <w:shd w:val="clear" w:color="auto" w:fill="FFFFFF"/>
                  <w:vAlign w:val="center"/>
                </w:tcPr>
                <w:p w14:paraId="0402E449" w14:textId="77777777" w:rsidR="00DC4AD8" w:rsidRPr="00DC4AD8" w:rsidRDefault="00DC4AD8" w:rsidP="00DC4AD8">
                  <w:pPr>
                    <w:pStyle w:val="MSGENFONTSTYLENAMETEMPLATEROLENUMBERMSGENFONTSTYLENAMEBYROLETEXT20"/>
                    <w:shd w:val="clear" w:color="auto" w:fill="auto"/>
                    <w:spacing w:before="0" w:after="0" w:line="200" w:lineRule="exact"/>
                    <w:jc w:val="center"/>
                    <w:rPr>
                      <w:rFonts w:ascii="Verdana" w:hAnsi="Verdana"/>
                      <w:lang w:val="sv-SE"/>
                    </w:rPr>
                  </w:pPr>
                  <w:r w:rsidRPr="00DC4AD8">
                    <w:rPr>
                      <w:rFonts w:ascii="Verdana" w:hAnsi="Verdana"/>
                      <w:lang w:val="sv-SE"/>
                    </w:rPr>
                    <w:t>0.565-22.6</w:t>
                  </w:r>
                </w:p>
                <w:p w14:paraId="7DFC7632" w14:textId="77777777" w:rsidR="00DC4AD8" w:rsidRPr="00DC4AD8" w:rsidRDefault="00DC4AD8" w:rsidP="00DC4AD8">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extremes up to 110.74</w:t>
                  </w:r>
                </w:p>
              </w:tc>
              <w:tc>
                <w:tcPr>
                  <w:tcW w:w="1540" w:type="dxa"/>
                  <w:shd w:val="clear" w:color="auto" w:fill="FFFFFF"/>
                  <w:vAlign w:val="center"/>
                </w:tcPr>
                <w:p w14:paraId="594F4669"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1.37</w:t>
                  </w:r>
                  <w:r w:rsidR="00DC4AD8" w:rsidRPr="00DC4AD8">
                    <w:rPr>
                      <w:rFonts w:ascii="Verdana" w:hAnsi="Verdana"/>
                      <w:lang w:val="sv-SE"/>
                    </w:rPr>
                    <w:t>E-0</w:t>
                  </w:r>
                  <w:r>
                    <w:rPr>
                      <w:rFonts w:ascii="Verdana" w:hAnsi="Verdana"/>
                      <w:lang w:val="sv-SE"/>
                    </w:rPr>
                    <w:t>2</w:t>
                  </w:r>
                </w:p>
              </w:tc>
              <w:tc>
                <w:tcPr>
                  <w:tcW w:w="1796" w:type="dxa"/>
                  <w:shd w:val="clear" w:color="auto" w:fill="FFFFFF"/>
                  <w:vAlign w:val="center"/>
                </w:tcPr>
                <w:p w14:paraId="514D19DD"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color w:val="000000"/>
                    </w:rPr>
                  </w:pPr>
                  <w:r>
                    <w:rPr>
                      <w:rFonts w:ascii="Verdana" w:hAnsi="Verdana"/>
                      <w:lang w:val="sv-SE"/>
                    </w:rPr>
                    <w:t>1.37</w:t>
                  </w:r>
                  <w:r w:rsidR="00DC4AD8" w:rsidRPr="00DC4AD8">
                    <w:rPr>
                      <w:rFonts w:ascii="Verdana" w:hAnsi="Verdana"/>
                      <w:lang w:val="sv-SE"/>
                    </w:rPr>
                    <w:t>E-0</w:t>
                  </w:r>
                  <w:r>
                    <w:rPr>
                      <w:rFonts w:ascii="Verdana" w:hAnsi="Verdana"/>
                      <w:lang w:val="sv-SE"/>
                    </w:rPr>
                    <w:t>2</w:t>
                  </w:r>
                </w:p>
              </w:tc>
              <w:tc>
                <w:tcPr>
                  <w:tcW w:w="1510" w:type="dxa"/>
                  <w:shd w:val="clear" w:color="auto" w:fill="FFFFFF"/>
                  <w:vAlign w:val="center"/>
                </w:tcPr>
                <w:p w14:paraId="15E60675" w14:textId="77777777" w:rsidR="00DC4AD8" w:rsidRPr="00DC4AD8" w:rsidRDefault="00DC4AD8" w:rsidP="00DC4AD8">
                  <w:pPr>
                    <w:jc w:val="center"/>
                    <w:rPr>
                      <w:rFonts w:eastAsia="Arial" w:cs="Arial"/>
                      <w:lang w:eastAsia="en-US"/>
                    </w:rPr>
                  </w:pPr>
                  <w:r w:rsidRPr="00DC4AD8">
                    <w:rPr>
                      <w:rFonts w:eastAsia="Arial" w:cs="Arial"/>
                      <w:lang w:eastAsia="en-US"/>
                    </w:rPr>
                    <w:t>1.</w:t>
                  </w:r>
                  <w:r w:rsidR="000B64C7">
                    <w:rPr>
                      <w:rFonts w:eastAsia="Arial" w:cs="Arial"/>
                      <w:lang w:eastAsia="en-US"/>
                    </w:rPr>
                    <w:t>8</w:t>
                  </w:r>
                  <w:r w:rsidRPr="00DC4AD8">
                    <w:rPr>
                      <w:rFonts w:eastAsia="Arial" w:cs="Arial"/>
                      <w:lang w:eastAsia="en-US"/>
                    </w:rPr>
                    <w:t>9E-02</w:t>
                  </w:r>
                </w:p>
              </w:tc>
            </w:tr>
            <w:tr w:rsidR="00DC4AD8" w:rsidRPr="00DC4AD8" w14:paraId="3EBB12E5" w14:textId="77777777" w:rsidTr="00A800C9">
              <w:trPr>
                <w:trHeight w:val="75"/>
              </w:trPr>
              <w:tc>
                <w:tcPr>
                  <w:tcW w:w="2233" w:type="dxa"/>
                  <w:shd w:val="clear" w:color="auto" w:fill="FFFFFF"/>
                </w:tcPr>
                <w:p w14:paraId="738AAABA"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lang w:val="sv-SE"/>
                    </w:rPr>
                  </w:pPr>
                  <w:r w:rsidRPr="00DC4AD8">
                    <w:rPr>
                      <w:rFonts w:ascii="Verdana" w:hAnsi="Verdana"/>
                      <w:lang w:val="sv-SE"/>
                    </w:rPr>
                    <w:t>Soil arable (mg.kg</w:t>
                  </w:r>
                  <w:r w:rsidRPr="00DC4AD8">
                    <w:rPr>
                      <w:rFonts w:ascii="Verdana" w:hAnsi="Verdana"/>
                      <w:vertAlign w:val="subscript"/>
                      <w:lang w:val="sv-SE"/>
                    </w:rPr>
                    <w:t>wwt</w:t>
                  </w:r>
                  <w:r w:rsidRPr="00DC4AD8">
                    <w:rPr>
                      <w:rFonts w:ascii="Verdana" w:hAnsi="Verdana"/>
                      <w:lang w:val="sv-SE"/>
                    </w:rPr>
                    <w:t xml:space="preserve"> )</w:t>
                  </w:r>
                </w:p>
              </w:tc>
              <w:tc>
                <w:tcPr>
                  <w:tcW w:w="1818" w:type="dxa"/>
                  <w:vMerge/>
                  <w:shd w:val="clear" w:color="auto" w:fill="FFFFFF"/>
                  <w:vAlign w:val="center"/>
                </w:tcPr>
                <w:p w14:paraId="29C49B2E" w14:textId="77777777" w:rsidR="00DC4AD8" w:rsidRPr="00DC4AD8" w:rsidRDefault="00DC4AD8" w:rsidP="00DC4AD8">
                  <w:pPr>
                    <w:pStyle w:val="MSGENFONTSTYLENAMETEMPLATEROLENUMBERMSGENFONTSTYLENAMEBYROLETEXT20"/>
                    <w:spacing w:before="0" w:after="0" w:line="200" w:lineRule="exact"/>
                    <w:jc w:val="center"/>
                    <w:rPr>
                      <w:rFonts w:ascii="Verdana" w:hAnsi="Verdana"/>
                      <w:b/>
                    </w:rPr>
                  </w:pPr>
                </w:p>
              </w:tc>
              <w:tc>
                <w:tcPr>
                  <w:tcW w:w="1540" w:type="dxa"/>
                  <w:shd w:val="clear" w:color="auto" w:fill="FFFFFF"/>
                  <w:vAlign w:val="center"/>
                </w:tcPr>
                <w:p w14:paraId="7682060E"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3.42</w:t>
                  </w:r>
                  <w:r w:rsidR="00DC4AD8" w:rsidRPr="00DC4AD8">
                    <w:rPr>
                      <w:rFonts w:ascii="Verdana" w:hAnsi="Verdana"/>
                      <w:lang w:val="sv-SE"/>
                    </w:rPr>
                    <w:t>E-03</w:t>
                  </w:r>
                </w:p>
              </w:tc>
              <w:tc>
                <w:tcPr>
                  <w:tcW w:w="1796" w:type="dxa"/>
                  <w:shd w:val="clear" w:color="auto" w:fill="FFFFFF"/>
                  <w:vAlign w:val="center"/>
                </w:tcPr>
                <w:p w14:paraId="752F38D3"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3.42</w:t>
                  </w:r>
                  <w:r w:rsidR="00DC4AD8" w:rsidRPr="00DC4AD8">
                    <w:rPr>
                      <w:rFonts w:ascii="Verdana" w:hAnsi="Verdana"/>
                      <w:lang w:val="sv-SE"/>
                    </w:rPr>
                    <w:t>E-0</w:t>
                  </w:r>
                  <w:r w:rsidR="003D7A09">
                    <w:rPr>
                      <w:rFonts w:ascii="Verdana" w:hAnsi="Verdana"/>
                      <w:lang w:val="sv-SE"/>
                    </w:rPr>
                    <w:t>3</w:t>
                  </w:r>
                </w:p>
              </w:tc>
              <w:tc>
                <w:tcPr>
                  <w:tcW w:w="1510" w:type="dxa"/>
                  <w:shd w:val="clear" w:color="auto" w:fill="FFFFFF"/>
                  <w:vAlign w:val="center"/>
                </w:tcPr>
                <w:p w14:paraId="2FA3ECAA" w14:textId="77777777" w:rsidR="00DC4AD8" w:rsidRPr="00DC4AD8" w:rsidRDefault="000B64C7" w:rsidP="000B64C7">
                  <w:pPr>
                    <w:jc w:val="center"/>
                    <w:rPr>
                      <w:color w:val="000000"/>
                    </w:rPr>
                  </w:pPr>
                  <w:r>
                    <w:rPr>
                      <w:rFonts w:eastAsia="Arial" w:cs="Arial"/>
                      <w:lang w:eastAsia="en-US"/>
                    </w:rPr>
                    <w:t>4.73</w:t>
                  </w:r>
                  <w:r w:rsidR="00DC4AD8" w:rsidRPr="00DC4AD8">
                    <w:rPr>
                      <w:rFonts w:eastAsia="Arial" w:cs="Arial"/>
                      <w:lang w:eastAsia="en-US"/>
                    </w:rPr>
                    <w:t>E-03</w:t>
                  </w:r>
                </w:p>
              </w:tc>
            </w:tr>
            <w:tr w:rsidR="00DC4AD8" w:rsidRPr="00DC4AD8" w14:paraId="6D4A6492" w14:textId="77777777" w:rsidTr="00A800C9">
              <w:trPr>
                <w:trHeight w:val="75"/>
              </w:trPr>
              <w:tc>
                <w:tcPr>
                  <w:tcW w:w="2233" w:type="dxa"/>
                  <w:shd w:val="clear" w:color="auto" w:fill="FFFFFF"/>
                </w:tcPr>
                <w:p w14:paraId="29D0AC91"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b/>
                      <w:lang w:val="sv-SE"/>
                    </w:rPr>
                  </w:pPr>
                  <w:r w:rsidRPr="00DC4AD8">
                    <w:rPr>
                      <w:rFonts w:ascii="Verdana" w:hAnsi="Verdana"/>
                      <w:lang w:val="sv-SE"/>
                    </w:rPr>
                    <w:lastRenderedPageBreak/>
                    <w:t>Groundwater grassland (µg.L</w:t>
                  </w:r>
                  <w:r w:rsidRPr="00DC4AD8">
                    <w:rPr>
                      <w:rFonts w:ascii="Verdana" w:hAnsi="Verdana"/>
                      <w:vertAlign w:val="superscript"/>
                      <w:lang w:val="sv-SE"/>
                    </w:rPr>
                    <w:t>-1</w:t>
                  </w:r>
                  <w:r w:rsidRPr="00DC4AD8">
                    <w:rPr>
                      <w:rFonts w:ascii="Verdana" w:hAnsi="Verdana"/>
                      <w:lang w:val="sv-SE"/>
                    </w:rPr>
                    <w:t>)</w:t>
                  </w:r>
                </w:p>
              </w:tc>
              <w:tc>
                <w:tcPr>
                  <w:tcW w:w="1818" w:type="dxa"/>
                  <w:vMerge w:val="restart"/>
                  <w:shd w:val="clear" w:color="auto" w:fill="FFFFFF"/>
                  <w:vAlign w:val="center"/>
                </w:tcPr>
                <w:p w14:paraId="4578F431" w14:textId="77777777" w:rsidR="00DC4AD8" w:rsidRPr="00DC4AD8" w:rsidRDefault="00DC4AD8" w:rsidP="00DC4AD8">
                  <w:pPr>
                    <w:pStyle w:val="MSGENFONTSTYLENAMETEMPLATEROLENUMBERMSGENFONTSTYLENAMEBYROLETEXT20"/>
                    <w:shd w:val="clear" w:color="auto" w:fill="auto"/>
                    <w:spacing w:before="0" w:after="0" w:line="200" w:lineRule="exact"/>
                    <w:jc w:val="center"/>
                    <w:rPr>
                      <w:rFonts w:ascii="Verdana" w:hAnsi="Verdana"/>
                      <w:lang w:val="sv-SE"/>
                    </w:rPr>
                  </w:pPr>
                  <w:r w:rsidRPr="00DC4AD8">
                    <w:rPr>
                      <w:rFonts w:ascii="Verdana" w:hAnsi="Verdana"/>
                      <w:lang w:val="sv-SE"/>
                    </w:rPr>
                    <w:t>1-70</w:t>
                  </w:r>
                </w:p>
                <w:p w14:paraId="4C3CDA82" w14:textId="77777777" w:rsidR="00DC4AD8" w:rsidRPr="00DC4AD8" w:rsidRDefault="00DC4AD8" w:rsidP="00DC4AD8">
                  <w:pPr>
                    <w:pStyle w:val="MSGENFONTSTYLENAMETEMPLATEROLENUMBERMSGENFONTSTYLENAMEBYROLETEXT20"/>
                    <w:shd w:val="clear" w:color="auto" w:fill="auto"/>
                    <w:spacing w:before="0" w:after="0" w:line="200" w:lineRule="exact"/>
                    <w:jc w:val="center"/>
                    <w:rPr>
                      <w:rFonts w:ascii="Verdana" w:hAnsi="Verdana"/>
                      <w:b/>
                    </w:rPr>
                  </w:pPr>
                  <w:r w:rsidRPr="00DC4AD8">
                    <w:rPr>
                      <w:rFonts w:ascii="Verdana" w:hAnsi="Verdana"/>
                      <w:lang w:val="sv-SE"/>
                    </w:rPr>
                    <w:t>extremes up to 400</w:t>
                  </w:r>
                </w:p>
              </w:tc>
              <w:tc>
                <w:tcPr>
                  <w:tcW w:w="1540" w:type="dxa"/>
                  <w:shd w:val="clear" w:color="auto" w:fill="FFFFFF"/>
                  <w:vAlign w:val="center"/>
                </w:tcPr>
                <w:p w14:paraId="55979DD8"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b/>
                      <w:bCs/>
                      <w:color w:val="000000"/>
                    </w:rPr>
                  </w:pPr>
                  <w:r>
                    <w:rPr>
                      <w:rFonts w:ascii="Verdana" w:hAnsi="Verdana"/>
                      <w:lang w:val="sv-SE"/>
                    </w:rPr>
                    <w:t>2.61</w:t>
                  </w:r>
                  <w:r w:rsidR="00DC4AD8" w:rsidRPr="00DC4AD8">
                    <w:rPr>
                      <w:rFonts w:ascii="Verdana" w:hAnsi="Verdana"/>
                      <w:lang w:val="sv-SE"/>
                    </w:rPr>
                    <w:t>E+00</w:t>
                  </w:r>
                </w:p>
              </w:tc>
              <w:tc>
                <w:tcPr>
                  <w:tcW w:w="1796" w:type="dxa"/>
                  <w:shd w:val="clear" w:color="auto" w:fill="FFFFFF"/>
                  <w:vAlign w:val="center"/>
                </w:tcPr>
                <w:p w14:paraId="348F4189"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b/>
                      <w:bCs/>
                      <w:color w:val="000000"/>
                    </w:rPr>
                  </w:pPr>
                  <w:r>
                    <w:rPr>
                      <w:rFonts w:ascii="Verdana" w:hAnsi="Verdana"/>
                      <w:lang w:val="sv-SE"/>
                    </w:rPr>
                    <w:t>2.61</w:t>
                  </w:r>
                  <w:r w:rsidR="00DC4AD8" w:rsidRPr="00DC4AD8">
                    <w:rPr>
                      <w:rFonts w:ascii="Verdana" w:hAnsi="Verdana"/>
                      <w:lang w:val="sv-SE"/>
                    </w:rPr>
                    <w:t>E+00</w:t>
                  </w:r>
                </w:p>
              </w:tc>
              <w:tc>
                <w:tcPr>
                  <w:tcW w:w="1510" w:type="dxa"/>
                  <w:shd w:val="clear" w:color="auto" w:fill="FFFFFF"/>
                  <w:vAlign w:val="center"/>
                </w:tcPr>
                <w:p w14:paraId="76D1E4FB" w14:textId="77777777" w:rsidR="00DC4AD8" w:rsidRPr="00DC4AD8" w:rsidRDefault="000B64C7" w:rsidP="00DC4AD8">
                  <w:pPr>
                    <w:jc w:val="center"/>
                    <w:rPr>
                      <w:rFonts w:eastAsia="Arial" w:cs="Arial"/>
                      <w:lang w:eastAsia="en-US"/>
                    </w:rPr>
                  </w:pPr>
                  <w:r>
                    <w:rPr>
                      <w:rFonts w:eastAsia="Arial" w:cs="Arial"/>
                      <w:lang w:eastAsia="en-US"/>
                    </w:rPr>
                    <w:t>3.61</w:t>
                  </w:r>
                  <w:r w:rsidR="00DC4AD8" w:rsidRPr="00DC4AD8">
                    <w:rPr>
                      <w:rFonts w:eastAsia="Arial" w:cs="Arial"/>
                      <w:lang w:eastAsia="en-US"/>
                    </w:rPr>
                    <w:t>E+00</w:t>
                  </w:r>
                </w:p>
              </w:tc>
            </w:tr>
            <w:tr w:rsidR="00DC4AD8" w:rsidRPr="00DC4AD8" w14:paraId="4CF8DBCD" w14:textId="77777777" w:rsidTr="00A800C9">
              <w:trPr>
                <w:trHeight w:val="75"/>
              </w:trPr>
              <w:tc>
                <w:tcPr>
                  <w:tcW w:w="2233" w:type="dxa"/>
                  <w:shd w:val="clear" w:color="auto" w:fill="FFFFFF"/>
                </w:tcPr>
                <w:p w14:paraId="5A012AC0" w14:textId="77777777" w:rsidR="00DC4AD8" w:rsidRPr="00DC4AD8" w:rsidRDefault="00DC4AD8"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Groundwater arable (µg.L</w:t>
                  </w:r>
                  <w:r w:rsidRPr="00DC4AD8">
                    <w:rPr>
                      <w:rFonts w:ascii="Verdana" w:hAnsi="Verdana"/>
                      <w:vertAlign w:val="superscript"/>
                      <w:lang w:val="sv-SE"/>
                    </w:rPr>
                    <w:t>-1</w:t>
                  </w:r>
                  <w:r w:rsidRPr="00DC4AD8">
                    <w:rPr>
                      <w:rFonts w:ascii="Verdana" w:hAnsi="Verdana"/>
                      <w:lang w:val="sv-SE"/>
                    </w:rPr>
                    <w:t>)</w:t>
                  </w:r>
                </w:p>
              </w:tc>
              <w:tc>
                <w:tcPr>
                  <w:tcW w:w="1818" w:type="dxa"/>
                  <w:vMerge/>
                  <w:shd w:val="clear" w:color="auto" w:fill="FFFFFF"/>
                  <w:vAlign w:val="center"/>
                </w:tcPr>
                <w:p w14:paraId="79D1EF5F" w14:textId="77777777" w:rsidR="00DC4AD8" w:rsidRPr="00DC4AD8" w:rsidRDefault="00DC4AD8" w:rsidP="00DC4AD8">
                  <w:pPr>
                    <w:pStyle w:val="MSGENFONTSTYLENAMETEMPLATEROLENUMBERMSGENFONTSTYLENAMEBYROLETEXT20"/>
                    <w:shd w:val="clear" w:color="auto" w:fill="auto"/>
                    <w:spacing w:before="0" w:after="0" w:line="200" w:lineRule="exact"/>
                    <w:jc w:val="center"/>
                    <w:rPr>
                      <w:rFonts w:ascii="Verdana" w:hAnsi="Verdana"/>
                      <w:b/>
                      <w:lang w:val="en-US"/>
                    </w:rPr>
                  </w:pPr>
                </w:p>
              </w:tc>
              <w:tc>
                <w:tcPr>
                  <w:tcW w:w="1540" w:type="dxa"/>
                  <w:shd w:val="clear" w:color="auto" w:fill="FFFFFF"/>
                  <w:vAlign w:val="center"/>
                </w:tcPr>
                <w:p w14:paraId="05D917BC"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6.54</w:t>
                  </w:r>
                  <w:r w:rsidR="00DC4AD8" w:rsidRPr="00DC4AD8">
                    <w:rPr>
                      <w:rFonts w:ascii="Verdana" w:hAnsi="Verdana"/>
                      <w:lang w:val="sv-SE"/>
                    </w:rPr>
                    <w:t>E-01</w:t>
                  </w:r>
                </w:p>
              </w:tc>
              <w:tc>
                <w:tcPr>
                  <w:tcW w:w="1796" w:type="dxa"/>
                  <w:shd w:val="clear" w:color="auto" w:fill="FFFFFF"/>
                  <w:vAlign w:val="center"/>
                </w:tcPr>
                <w:p w14:paraId="74704376" w14:textId="77777777" w:rsidR="00DC4AD8" w:rsidRPr="00DC4AD8" w:rsidRDefault="000B64C7" w:rsidP="00DC4AD8">
                  <w:pPr>
                    <w:pStyle w:val="MSGENFONTSTYLENAMETEMPLATEROLENUMBERMSGENFONTSTYLENAMEBYROLETEXT20"/>
                    <w:shd w:val="clear" w:color="auto" w:fill="auto"/>
                    <w:spacing w:before="0" w:after="0" w:line="200" w:lineRule="exact"/>
                    <w:jc w:val="center"/>
                    <w:rPr>
                      <w:rFonts w:ascii="Verdana" w:hAnsi="Verdana"/>
                      <w:color w:val="000000"/>
                    </w:rPr>
                  </w:pPr>
                  <w:r>
                    <w:rPr>
                      <w:rFonts w:ascii="Verdana" w:hAnsi="Verdana"/>
                      <w:lang w:val="sv-SE"/>
                    </w:rPr>
                    <w:t>6.54</w:t>
                  </w:r>
                  <w:r w:rsidR="00DC4AD8" w:rsidRPr="00DC4AD8">
                    <w:rPr>
                      <w:rFonts w:ascii="Verdana" w:hAnsi="Verdana"/>
                      <w:lang w:val="sv-SE"/>
                    </w:rPr>
                    <w:t>E-01</w:t>
                  </w:r>
                </w:p>
              </w:tc>
              <w:tc>
                <w:tcPr>
                  <w:tcW w:w="1510" w:type="dxa"/>
                  <w:shd w:val="clear" w:color="auto" w:fill="FFFFFF"/>
                  <w:vAlign w:val="center"/>
                </w:tcPr>
                <w:p w14:paraId="11D9009A" w14:textId="77777777" w:rsidR="00DC4AD8" w:rsidRPr="00DC4AD8" w:rsidRDefault="000B64C7" w:rsidP="00DC4AD8">
                  <w:pPr>
                    <w:jc w:val="center"/>
                    <w:rPr>
                      <w:b/>
                      <w:bCs/>
                      <w:color w:val="000000"/>
                    </w:rPr>
                  </w:pPr>
                  <w:r>
                    <w:rPr>
                      <w:rFonts w:eastAsia="Arial" w:cs="Arial"/>
                      <w:lang w:eastAsia="en-US"/>
                    </w:rPr>
                    <w:t>9.03</w:t>
                  </w:r>
                  <w:r w:rsidR="00DC4AD8" w:rsidRPr="00DC4AD8">
                    <w:rPr>
                      <w:rFonts w:eastAsia="Arial" w:cs="Arial"/>
                      <w:lang w:eastAsia="en-US"/>
                    </w:rPr>
                    <w:t>E-01</w:t>
                  </w:r>
                </w:p>
              </w:tc>
            </w:tr>
            <w:tr w:rsidR="00D56625" w:rsidRPr="00DC4AD8" w14:paraId="00C85EEF" w14:textId="77777777" w:rsidTr="00A800C9">
              <w:trPr>
                <w:trHeight w:val="75"/>
              </w:trPr>
              <w:tc>
                <w:tcPr>
                  <w:tcW w:w="8897" w:type="dxa"/>
                  <w:gridSpan w:val="5"/>
                  <w:shd w:val="clear" w:color="auto" w:fill="FFFFFF"/>
                </w:tcPr>
                <w:p w14:paraId="021528BC" w14:textId="77777777" w:rsidR="00D56625" w:rsidRPr="00DC4AD8" w:rsidRDefault="00D56625" w:rsidP="00841FF5">
                  <w:pPr>
                    <w:rPr>
                      <w:rFonts w:eastAsia="Arial" w:cs="Arial"/>
                      <w:lang w:eastAsia="en-US"/>
                    </w:rPr>
                  </w:pPr>
                  <w:r w:rsidRPr="00DC4AD8">
                    <w:rPr>
                      <w:rStyle w:val="MSGENFONTSTYLENAMETEMPLATEROLENUMBERMSGENFONTSTYLENAMEBYROLETEXT2MSGENFONTSTYLEMODIFERSIZE9"/>
                      <w:rFonts w:ascii="Verdana" w:hAnsi="Verdana"/>
                      <w:sz w:val="20"/>
                      <w:szCs w:val="20"/>
                    </w:rPr>
                    <w:t>Via manure application</w:t>
                  </w:r>
                  <w:r>
                    <w:rPr>
                      <w:rStyle w:val="MSGENFONTSTYLENAMETEMPLATEROLENUMBERMSGENFONTSTYLENAMEBYROLETEXT2MSGENFONTSTYLEMODIFERSIZE9"/>
                      <w:rFonts w:ascii="Verdana" w:hAnsi="Verdana"/>
                      <w:sz w:val="20"/>
                      <w:szCs w:val="20"/>
                    </w:rPr>
                    <w:t xml:space="preserve"> (10 years applications)</w:t>
                  </w:r>
                </w:p>
              </w:tc>
            </w:tr>
            <w:tr w:rsidR="00D56625" w:rsidRPr="00DC4AD8" w14:paraId="73F65A10" w14:textId="77777777" w:rsidTr="00A800C9">
              <w:trPr>
                <w:trHeight w:val="75"/>
              </w:trPr>
              <w:tc>
                <w:tcPr>
                  <w:tcW w:w="2233" w:type="dxa"/>
                  <w:shd w:val="clear" w:color="auto" w:fill="FFFFFF"/>
                </w:tcPr>
                <w:p w14:paraId="21EEB7DE" w14:textId="77777777" w:rsidR="00D56625" w:rsidRPr="00DC4AD8" w:rsidRDefault="00D56625" w:rsidP="00985AFA">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Surface water grassland (µg.L</w:t>
                  </w:r>
                  <w:r w:rsidRPr="00DC4AD8">
                    <w:rPr>
                      <w:rFonts w:ascii="Verdana" w:hAnsi="Verdana"/>
                      <w:vertAlign w:val="superscript"/>
                      <w:lang w:val="sv-SE"/>
                    </w:rPr>
                    <w:t>-1</w:t>
                  </w:r>
                  <w:r w:rsidRPr="00DC4AD8">
                    <w:rPr>
                      <w:rFonts w:ascii="Verdana" w:hAnsi="Verdana"/>
                      <w:lang w:val="sv-SE"/>
                    </w:rPr>
                    <w:t>)</w:t>
                  </w:r>
                </w:p>
                <w:p w14:paraId="5E107D3B" w14:textId="77777777" w:rsidR="00D56625" w:rsidRPr="00DC4AD8" w:rsidRDefault="00D56625"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via run-off from soil</w:t>
                  </w:r>
                </w:p>
              </w:tc>
              <w:tc>
                <w:tcPr>
                  <w:tcW w:w="1818" w:type="dxa"/>
                  <w:vMerge w:val="restart"/>
                  <w:shd w:val="clear" w:color="auto" w:fill="FFFFFF"/>
                  <w:vAlign w:val="center"/>
                </w:tcPr>
                <w:p w14:paraId="39A13955"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0.5-20</w:t>
                  </w:r>
                </w:p>
              </w:tc>
              <w:tc>
                <w:tcPr>
                  <w:tcW w:w="1540" w:type="dxa"/>
                  <w:shd w:val="clear" w:color="auto" w:fill="FFFFFF"/>
                  <w:vAlign w:val="center"/>
                </w:tcPr>
                <w:p w14:paraId="79213B75"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2.61</w:t>
                  </w:r>
                </w:p>
              </w:tc>
              <w:tc>
                <w:tcPr>
                  <w:tcW w:w="1796" w:type="dxa"/>
                  <w:shd w:val="clear" w:color="auto" w:fill="FFFFFF"/>
                  <w:vAlign w:val="center"/>
                </w:tcPr>
                <w:p w14:paraId="0AF2DF95"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2.61</w:t>
                  </w:r>
                </w:p>
              </w:tc>
              <w:tc>
                <w:tcPr>
                  <w:tcW w:w="1510" w:type="dxa"/>
                  <w:shd w:val="clear" w:color="auto" w:fill="FFFFFF"/>
                  <w:vAlign w:val="center"/>
                </w:tcPr>
                <w:p w14:paraId="22781625" w14:textId="77777777" w:rsidR="00D56625" w:rsidRPr="00DC4AD8" w:rsidRDefault="00024FE2" w:rsidP="00DC4AD8">
                  <w:pPr>
                    <w:jc w:val="center"/>
                    <w:rPr>
                      <w:rFonts w:eastAsia="Arial" w:cs="Arial"/>
                      <w:lang w:eastAsia="en-US"/>
                    </w:rPr>
                  </w:pPr>
                  <w:r>
                    <w:rPr>
                      <w:rFonts w:eastAsia="Arial" w:cs="Arial"/>
                      <w:lang w:eastAsia="en-US"/>
                    </w:rPr>
                    <w:t>3.61</w:t>
                  </w:r>
                </w:p>
              </w:tc>
            </w:tr>
            <w:tr w:rsidR="00D56625" w:rsidRPr="00DC4AD8" w14:paraId="49A7B7AD" w14:textId="77777777" w:rsidTr="00A800C9">
              <w:trPr>
                <w:trHeight w:val="75"/>
              </w:trPr>
              <w:tc>
                <w:tcPr>
                  <w:tcW w:w="2233" w:type="dxa"/>
                  <w:shd w:val="clear" w:color="auto" w:fill="FFFFFF"/>
                </w:tcPr>
                <w:p w14:paraId="4CEA02BC" w14:textId="77777777" w:rsidR="00D56625" w:rsidRPr="00DC4AD8" w:rsidRDefault="00D56625" w:rsidP="00985AFA">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Surface water arable (µg.L</w:t>
                  </w:r>
                  <w:r w:rsidRPr="00DC4AD8">
                    <w:rPr>
                      <w:rFonts w:ascii="Verdana" w:hAnsi="Verdana"/>
                      <w:vertAlign w:val="superscript"/>
                      <w:lang w:val="sv-SE"/>
                    </w:rPr>
                    <w:t>-1</w:t>
                  </w:r>
                  <w:r w:rsidRPr="00DC4AD8">
                    <w:rPr>
                      <w:rFonts w:ascii="Verdana" w:hAnsi="Verdana"/>
                      <w:lang w:val="sv-SE"/>
                    </w:rPr>
                    <w:t>)</w:t>
                  </w:r>
                </w:p>
                <w:p w14:paraId="4877C7EE" w14:textId="77777777" w:rsidR="00D56625" w:rsidRPr="00DC4AD8" w:rsidRDefault="00D56625"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via run-off from soil</w:t>
                  </w:r>
                </w:p>
              </w:tc>
              <w:tc>
                <w:tcPr>
                  <w:tcW w:w="1818" w:type="dxa"/>
                  <w:vMerge/>
                  <w:shd w:val="clear" w:color="auto" w:fill="FFFFFF"/>
                  <w:vAlign w:val="center"/>
                </w:tcPr>
                <w:p w14:paraId="363DC2F0"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b/>
                      <w:lang w:val="en-US"/>
                    </w:rPr>
                  </w:pPr>
                </w:p>
              </w:tc>
              <w:tc>
                <w:tcPr>
                  <w:tcW w:w="1540" w:type="dxa"/>
                  <w:shd w:val="clear" w:color="auto" w:fill="FFFFFF"/>
                  <w:vAlign w:val="center"/>
                </w:tcPr>
                <w:p w14:paraId="7A6C43FB"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6.54</w:t>
                  </w:r>
                  <w:r w:rsidR="00774738" w:rsidRPr="00DC4AD8">
                    <w:rPr>
                      <w:rFonts w:ascii="Verdana" w:hAnsi="Verdana"/>
                      <w:lang w:val="sv-SE"/>
                    </w:rPr>
                    <w:t>E-0</w:t>
                  </w:r>
                  <w:r w:rsidR="00774738">
                    <w:rPr>
                      <w:rFonts w:ascii="Verdana" w:hAnsi="Verdana"/>
                      <w:lang w:val="sv-SE"/>
                    </w:rPr>
                    <w:t>1</w:t>
                  </w:r>
                </w:p>
              </w:tc>
              <w:tc>
                <w:tcPr>
                  <w:tcW w:w="1796" w:type="dxa"/>
                  <w:shd w:val="clear" w:color="auto" w:fill="FFFFFF"/>
                  <w:vAlign w:val="center"/>
                </w:tcPr>
                <w:p w14:paraId="2678E960"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6.54</w:t>
                  </w:r>
                  <w:r w:rsidR="00774738" w:rsidRPr="00DC4AD8">
                    <w:rPr>
                      <w:rFonts w:ascii="Verdana" w:hAnsi="Verdana"/>
                      <w:lang w:val="sv-SE"/>
                    </w:rPr>
                    <w:t>E-0</w:t>
                  </w:r>
                  <w:r w:rsidR="00774738">
                    <w:rPr>
                      <w:rFonts w:ascii="Verdana" w:hAnsi="Verdana"/>
                      <w:lang w:val="sv-SE"/>
                    </w:rPr>
                    <w:t>1</w:t>
                  </w:r>
                </w:p>
              </w:tc>
              <w:tc>
                <w:tcPr>
                  <w:tcW w:w="1510" w:type="dxa"/>
                  <w:shd w:val="clear" w:color="auto" w:fill="FFFFFF"/>
                  <w:vAlign w:val="center"/>
                </w:tcPr>
                <w:p w14:paraId="079DBEA7" w14:textId="77777777" w:rsidR="00D56625" w:rsidRPr="00DC4AD8" w:rsidRDefault="00024FE2" w:rsidP="00DC4AD8">
                  <w:pPr>
                    <w:jc w:val="center"/>
                    <w:rPr>
                      <w:rFonts w:eastAsia="Arial" w:cs="Arial"/>
                      <w:lang w:eastAsia="en-US"/>
                    </w:rPr>
                  </w:pPr>
                  <w:r>
                    <w:rPr>
                      <w:rFonts w:eastAsia="Arial" w:cs="Arial"/>
                      <w:lang w:eastAsia="en-US"/>
                    </w:rPr>
                    <w:t>9.03</w:t>
                  </w:r>
                  <w:r w:rsidR="00774738" w:rsidRPr="00DC4AD8">
                    <w:rPr>
                      <w:rFonts w:eastAsia="Arial" w:cs="Arial"/>
                      <w:lang w:eastAsia="en-US"/>
                    </w:rPr>
                    <w:t>E-0</w:t>
                  </w:r>
                  <w:r w:rsidR="00774738">
                    <w:rPr>
                      <w:rFonts w:eastAsia="Arial" w:cs="Arial"/>
                      <w:lang w:eastAsia="en-US"/>
                    </w:rPr>
                    <w:t>1</w:t>
                  </w:r>
                </w:p>
              </w:tc>
            </w:tr>
            <w:tr w:rsidR="00D56625" w:rsidRPr="00DC4AD8" w14:paraId="7825C138" w14:textId="77777777" w:rsidTr="00A800C9">
              <w:trPr>
                <w:trHeight w:val="546"/>
              </w:trPr>
              <w:tc>
                <w:tcPr>
                  <w:tcW w:w="2233" w:type="dxa"/>
                  <w:shd w:val="clear" w:color="auto" w:fill="FFFFFF"/>
                  <w:vAlign w:val="center"/>
                </w:tcPr>
                <w:p w14:paraId="423E4BBA" w14:textId="77777777" w:rsidR="00D56625" w:rsidRPr="00DC4AD8" w:rsidRDefault="00D56625" w:rsidP="00D56625">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Soil grassland (mg.kg</w:t>
                  </w:r>
                  <w:r w:rsidRPr="00DC4AD8">
                    <w:rPr>
                      <w:rFonts w:ascii="Verdana" w:hAnsi="Verdana"/>
                      <w:vertAlign w:val="subscript"/>
                      <w:lang w:val="sv-SE"/>
                    </w:rPr>
                    <w:t>wwt</w:t>
                  </w:r>
                  <w:r w:rsidRPr="00DC4AD8">
                    <w:rPr>
                      <w:rFonts w:ascii="Verdana" w:hAnsi="Verdana"/>
                      <w:lang w:val="sv-SE"/>
                    </w:rPr>
                    <w:t xml:space="preserve"> )</w:t>
                  </w:r>
                </w:p>
              </w:tc>
              <w:tc>
                <w:tcPr>
                  <w:tcW w:w="1818" w:type="dxa"/>
                  <w:vMerge w:val="restart"/>
                  <w:shd w:val="clear" w:color="auto" w:fill="FFFFFF"/>
                  <w:vAlign w:val="center"/>
                </w:tcPr>
                <w:p w14:paraId="6AEBFD47" w14:textId="77777777" w:rsidR="00D56625" w:rsidRPr="00DC4AD8" w:rsidRDefault="00D56625" w:rsidP="00D56625">
                  <w:pPr>
                    <w:pStyle w:val="MSGENFONTSTYLENAMETEMPLATEROLENUMBERMSGENFONTSTYLENAMEBYROLETEXT20"/>
                    <w:shd w:val="clear" w:color="auto" w:fill="auto"/>
                    <w:spacing w:before="0" w:after="0" w:line="200" w:lineRule="exact"/>
                    <w:jc w:val="center"/>
                    <w:rPr>
                      <w:rFonts w:ascii="Verdana" w:hAnsi="Verdana"/>
                      <w:lang w:val="sv-SE"/>
                    </w:rPr>
                  </w:pPr>
                  <w:r w:rsidRPr="00DC4AD8">
                    <w:rPr>
                      <w:rFonts w:ascii="Verdana" w:hAnsi="Verdana"/>
                      <w:lang w:val="sv-SE"/>
                    </w:rPr>
                    <w:t>0.565-22.6</w:t>
                  </w:r>
                </w:p>
                <w:p w14:paraId="7A607D68" w14:textId="77777777" w:rsidR="00D56625" w:rsidRPr="00DC4AD8" w:rsidRDefault="00D56625" w:rsidP="00D56625">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extremes up to 110.74</w:t>
                  </w:r>
                </w:p>
              </w:tc>
              <w:tc>
                <w:tcPr>
                  <w:tcW w:w="1540" w:type="dxa"/>
                  <w:shd w:val="clear" w:color="auto" w:fill="FFFFFF"/>
                  <w:vAlign w:val="center"/>
                </w:tcPr>
                <w:p w14:paraId="62B7FF48"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1.37</w:t>
                  </w:r>
                  <w:r w:rsidR="00774738" w:rsidRPr="00DC4AD8">
                    <w:rPr>
                      <w:rFonts w:ascii="Verdana" w:hAnsi="Verdana"/>
                      <w:lang w:val="sv-SE"/>
                    </w:rPr>
                    <w:t>E-0</w:t>
                  </w:r>
                  <w:r>
                    <w:rPr>
                      <w:rFonts w:ascii="Verdana" w:hAnsi="Verdana"/>
                      <w:lang w:val="sv-SE"/>
                    </w:rPr>
                    <w:t>1</w:t>
                  </w:r>
                </w:p>
              </w:tc>
              <w:tc>
                <w:tcPr>
                  <w:tcW w:w="1796" w:type="dxa"/>
                  <w:shd w:val="clear" w:color="auto" w:fill="FFFFFF"/>
                  <w:vAlign w:val="center"/>
                </w:tcPr>
                <w:p w14:paraId="47C95AC7"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1.37</w:t>
                  </w:r>
                  <w:r w:rsidR="00774738" w:rsidRPr="00DC4AD8">
                    <w:rPr>
                      <w:rFonts w:ascii="Verdana" w:hAnsi="Verdana"/>
                      <w:lang w:val="sv-SE"/>
                    </w:rPr>
                    <w:t>E-0</w:t>
                  </w:r>
                  <w:r w:rsidR="003D7A09">
                    <w:rPr>
                      <w:rFonts w:ascii="Verdana" w:hAnsi="Verdana"/>
                      <w:lang w:val="sv-SE"/>
                    </w:rPr>
                    <w:t>1</w:t>
                  </w:r>
                </w:p>
              </w:tc>
              <w:tc>
                <w:tcPr>
                  <w:tcW w:w="1510" w:type="dxa"/>
                  <w:shd w:val="clear" w:color="auto" w:fill="FFFFFF"/>
                  <w:vAlign w:val="center"/>
                </w:tcPr>
                <w:p w14:paraId="12AC542B" w14:textId="77777777" w:rsidR="00D56625" w:rsidRPr="00DC4AD8" w:rsidRDefault="00774738" w:rsidP="00DC4AD8">
                  <w:pPr>
                    <w:jc w:val="center"/>
                    <w:rPr>
                      <w:rFonts w:eastAsia="Arial" w:cs="Arial"/>
                      <w:lang w:eastAsia="en-US"/>
                    </w:rPr>
                  </w:pPr>
                  <w:r w:rsidRPr="00DC4AD8">
                    <w:rPr>
                      <w:rFonts w:eastAsia="Arial" w:cs="Arial"/>
                      <w:lang w:eastAsia="en-US"/>
                    </w:rPr>
                    <w:t>1.</w:t>
                  </w:r>
                  <w:r w:rsidR="00024FE2">
                    <w:rPr>
                      <w:rFonts w:eastAsia="Arial" w:cs="Arial"/>
                      <w:lang w:eastAsia="en-US"/>
                    </w:rPr>
                    <w:t>8</w:t>
                  </w:r>
                  <w:r w:rsidRPr="00DC4AD8">
                    <w:rPr>
                      <w:rFonts w:eastAsia="Arial" w:cs="Arial"/>
                      <w:lang w:eastAsia="en-US"/>
                    </w:rPr>
                    <w:t>9E-0</w:t>
                  </w:r>
                  <w:r>
                    <w:rPr>
                      <w:rFonts w:eastAsia="Arial" w:cs="Arial"/>
                      <w:lang w:eastAsia="en-US"/>
                    </w:rPr>
                    <w:t>1</w:t>
                  </w:r>
                </w:p>
              </w:tc>
            </w:tr>
            <w:tr w:rsidR="00D56625" w:rsidRPr="00DC4AD8" w14:paraId="16FB8D6D" w14:textId="77777777" w:rsidTr="00A800C9">
              <w:trPr>
                <w:trHeight w:val="568"/>
              </w:trPr>
              <w:tc>
                <w:tcPr>
                  <w:tcW w:w="2233" w:type="dxa"/>
                  <w:shd w:val="clear" w:color="auto" w:fill="FFFFFF"/>
                  <w:vAlign w:val="center"/>
                </w:tcPr>
                <w:p w14:paraId="5B728C1C" w14:textId="77777777" w:rsidR="00D56625" w:rsidRPr="00DC4AD8" w:rsidRDefault="00D56625" w:rsidP="00D56625">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Soil arable (mg.kg</w:t>
                  </w:r>
                  <w:r w:rsidRPr="00DC4AD8">
                    <w:rPr>
                      <w:rFonts w:ascii="Verdana" w:hAnsi="Verdana"/>
                      <w:vertAlign w:val="subscript"/>
                      <w:lang w:val="sv-SE"/>
                    </w:rPr>
                    <w:t>wwt</w:t>
                  </w:r>
                  <w:r w:rsidRPr="00DC4AD8">
                    <w:rPr>
                      <w:rFonts w:ascii="Verdana" w:hAnsi="Verdana"/>
                      <w:lang w:val="sv-SE"/>
                    </w:rPr>
                    <w:t xml:space="preserve"> )</w:t>
                  </w:r>
                </w:p>
              </w:tc>
              <w:tc>
                <w:tcPr>
                  <w:tcW w:w="1818" w:type="dxa"/>
                  <w:vMerge/>
                  <w:shd w:val="clear" w:color="auto" w:fill="FFFFFF"/>
                  <w:vAlign w:val="center"/>
                </w:tcPr>
                <w:p w14:paraId="5475F74C"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b/>
                      <w:lang w:val="en-US"/>
                    </w:rPr>
                  </w:pPr>
                </w:p>
              </w:tc>
              <w:tc>
                <w:tcPr>
                  <w:tcW w:w="1540" w:type="dxa"/>
                  <w:shd w:val="clear" w:color="auto" w:fill="FFFFFF"/>
                  <w:vAlign w:val="center"/>
                </w:tcPr>
                <w:p w14:paraId="4C9CF261"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3.42</w:t>
                  </w:r>
                  <w:r w:rsidR="00774738" w:rsidRPr="00DC4AD8">
                    <w:rPr>
                      <w:rFonts w:ascii="Verdana" w:hAnsi="Verdana"/>
                      <w:lang w:val="sv-SE"/>
                    </w:rPr>
                    <w:t>E-0</w:t>
                  </w:r>
                  <w:r w:rsidR="00774738">
                    <w:rPr>
                      <w:rFonts w:ascii="Verdana" w:hAnsi="Verdana"/>
                      <w:lang w:val="sv-SE"/>
                    </w:rPr>
                    <w:t>2</w:t>
                  </w:r>
                </w:p>
              </w:tc>
              <w:tc>
                <w:tcPr>
                  <w:tcW w:w="1796" w:type="dxa"/>
                  <w:shd w:val="clear" w:color="auto" w:fill="FFFFFF"/>
                  <w:vAlign w:val="center"/>
                </w:tcPr>
                <w:p w14:paraId="3C0B4FED"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3.42</w:t>
                  </w:r>
                  <w:r w:rsidR="00774738" w:rsidRPr="00DC4AD8">
                    <w:rPr>
                      <w:rFonts w:ascii="Verdana" w:hAnsi="Verdana"/>
                      <w:lang w:val="sv-SE"/>
                    </w:rPr>
                    <w:t>E-0</w:t>
                  </w:r>
                  <w:r w:rsidR="00774738">
                    <w:rPr>
                      <w:rFonts w:ascii="Verdana" w:hAnsi="Verdana"/>
                      <w:lang w:val="sv-SE"/>
                    </w:rPr>
                    <w:t>2</w:t>
                  </w:r>
                </w:p>
              </w:tc>
              <w:tc>
                <w:tcPr>
                  <w:tcW w:w="1510" w:type="dxa"/>
                  <w:shd w:val="clear" w:color="auto" w:fill="FFFFFF"/>
                  <w:vAlign w:val="center"/>
                </w:tcPr>
                <w:p w14:paraId="19060507" w14:textId="77777777" w:rsidR="00D56625" w:rsidRPr="00DC4AD8" w:rsidRDefault="00024FE2" w:rsidP="00DC4AD8">
                  <w:pPr>
                    <w:jc w:val="center"/>
                    <w:rPr>
                      <w:rFonts w:eastAsia="Arial" w:cs="Arial"/>
                      <w:lang w:eastAsia="en-US"/>
                    </w:rPr>
                  </w:pPr>
                  <w:r>
                    <w:rPr>
                      <w:rFonts w:eastAsia="Arial" w:cs="Arial"/>
                      <w:lang w:eastAsia="en-US"/>
                    </w:rPr>
                    <w:t>4.73</w:t>
                  </w:r>
                  <w:r w:rsidR="00774738" w:rsidRPr="00DC4AD8">
                    <w:rPr>
                      <w:rFonts w:eastAsia="Arial" w:cs="Arial"/>
                      <w:lang w:eastAsia="en-US"/>
                    </w:rPr>
                    <w:t>E-0</w:t>
                  </w:r>
                  <w:r w:rsidR="00774738">
                    <w:rPr>
                      <w:rFonts w:eastAsia="Arial" w:cs="Arial"/>
                      <w:lang w:eastAsia="en-US"/>
                    </w:rPr>
                    <w:t>2</w:t>
                  </w:r>
                </w:p>
              </w:tc>
            </w:tr>
            <w:tr w:rsidR="00D56625" w:rsidRPr="00DC4AD8" w14:paraId="092C7B46" w14:textId="77777777" w:rsidTr="00A800C9">
              <w:trPr>
                <w:trHeight w:val="548"/>
              </w:trPr>
              <w:tc>
                <w:tcPr>
                  <w:tcW w:w="2233" w:type="dxa"/>
                  <w:shd w:val="clear" w:color="auto" w:fill="FFFFFF"/>
                </w:tcPr>
                <w:p w14:paraId="4B6D44B2" w14:textId="77777777" w:rsidR="00D56625" w:rsidRPr="00DC4AD8" w:rsidRDefault="00D56625"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Groundwater grassland (µg.L</w:t>
                  </w:r>
                  <w:r w:rsidRPr="00DC4AD8">
                    <w:rPr>
                      <w:rFonts w:ascii="Verdana" w:hAnsi="Verdana"/>
                      <w:vertAlign w:val="superscript"/>
                      <w:lang w:val="sv-SE"/>
                    </w:rPr>
                    <w:t>-1</w:t>
                  </w:r>
                  <w:r w:rsidRPr="00DC4AD8">
                    <w:rPr>
                      <w:rFonts w:ascii="Verdana" w:hAnsi="Verdana"/>
                      <w:lang w:val="sv-SE"/>
                    </w:rPr>
                    <w:t>)</w:t>
                  </w:r>
                </w:p>
              </w:tc>
              <w:tc>
                <w:tcPr>
                  <w:tcW w:w="1818" w:type="dxa"/>
                  <w:vMerge w:val="restart"/>
                  <w:shd w:val="clear" w:color="auto" w:fill="FFFFFF"/>
                  <w:vAlign w:val="center"/>
                </w:tcPr>
                <w:p w14:paraId="39F1400C" w14:textId="77777777" w:rsidR="00774738" w:rsidRPr="00DC4AD8" w:rsidRDefault="00774738" w:rsidP="00774738">
                  <w:pPr>
                    <w:pStyle w:val="MSGENFONTSTYLENAMETEMPLATEROLENUMBERMSGENFONTSTYLENAMEBYROLETEXT20"/>
                    <w:shd w:val="clear" w:color="auto" w:fill="auto"/>
                    <w:spacing w:before="0" w:after="0" w:line="200" w:lineRule="exact"/>
                    <w:jc w:val="center"/>
                    <w:rPr>
                      <w:rFonts w:ascii="Verdana" w:hAnsi="Verdana"/>
                      <w:lang w:val="sv-SE"/>
                    </w:rPr>
                  </w:pPr>
                  <w:r w:rsidRPr="00DC4AD8">
                    <w:rPr>
                      <w:rFonts w:ascii="Verdana" w:hAnsi="Verdana"/>
                      <w:lang w:val="sv-SE"/>
                    </w:rPr>
                    <w:t>1-70</w:t>
                  </w:r>
                </w:p>
                <w:p w14:paraId="7732EEF6" w14:textId="77777777" w:rsidR="00D56625" w:rsidRPr="00DC4AD8" w:rsidRDefault="00774738" w:rsidP="00774738">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extremes up to 400</w:t>
                  </w:r>
                </w:p>
              </w:tc>
              <w:tc>
                <w:tcPr>
                  <w:tcW w:w="1540" w:type="dxa"/>
                  <w:shd w:val="clear" w:color="auto" w:fill="FFFFFF"/>
                  <w:vAlign w:val="center"/>
                </w:tcPr>
                <w:p w14:paraId="78065511" w14:textId="77777777" w:rsidR="00D56625" w:rsidRPr="00DC4AD8" w:rsidRDefault="00024FE2" w:rsidP="0077473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26.1</w:t>
                  </w:r>
                </w:p>
              </w:tc>
              <w:tc>
                <w:tcPr>
                  <w:tcW w:w="1796" w:type="dxa"/>
                  <w:shd w:val="clear" w:color="auto" w:fill="FFFFFF"/>
                  <w:vAlign w:val="center"/>
                </w:tcPr>
                <w:p w14:paraId="25FA5734" w14:textId="77777777" w:rsidR="00D56625" w:rsidRPr="00DC4AD8" w:rsidRDefault="00024FE2" w:rsidP="0077473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26.1</w:t>
                  </w:r>
                </w:p>
              </w:tc>
              <w:tc>
                <w:tcPr>
                  <w:tcW w:w="1510" w:type="dxa"/>
                  <w:shd w:val="clear" w:color="auto" w:fill="FFFFFF"/>
                  <w:vAlign w:val="center"/>
                </w:tcPr>
                <w:p w14:paraId="0FF01A45" w14:textId="77777777" w:rsidR="00D56625" w:rsidRPr="00DC4AD8" w:rsidRDefault="00024FE2" w:rsidP="00774738">
                  <w:pPr>
                    <w:jc w:val="center"/>
                    <w:rPr>
                      <w:rFonts w:eastAsia="Arial" w:cs="Arial"/>
                      <w:lang w:eastAsia="en-US"/>
                    </w:rPr>
                  </w:pPr>
                  <w:r>
                    <w:rPr>
                      <w:rFonts w:eastAsia="Arial" w:cs="Arial"/>
                      <w:lang w:eastAsia="en-US"/>
                    </w:rPr>
                    <w:t>36.1</w:t>
                  </w:r>
                </w:p>
              </w:tc>
            </w:tr>
            <w:tr w:rsidR="00D56625" w:rsidRPr="00DC4AD8" w14:paraId="02325F46" w14:textId="77777777" w:rsidTr="00A800C9">
              <w:trPr>
                <w:trHeight w:val="569"/>
              </w:trPr>
              <w:tc>
                <w:tcPr>
                  <w:tcW w:w="2233" w:type="dxa"/>
                  <w:shd w:val="clear" w:color="auto" w:fill="FFFFFF"/>
                </w:tcPr>
                <w:p w14:paraId="0A81D45F" w14:textId="77777777" w:rsidR="00D56625" w:rsidRPr="00DC4AD8" w:rsidRDefault="00D56625" w:rsidP="00DC4AD8">
                  <w:pPr>
                    <w:pStyle w:val="MSGENFONTSTYLENAMETEMPLATEROLENUMBERMSGENFONTSTYLENAMEBYROLETEXT20"/>
                    <w:shd w:val="clear" w:color="auto" w:fill="auto"/>
                    <w:spacing w:before="0" w:after="0" w:line="200" w:lineRule="exact"/>
                    <w:jc w:val="left"/>
                    <w:rPr>
                      <w:rFonts w:ascii="Verdana" w:hAnsi="Verdana"/>
                      <w:lang w:val="sv-SE"/>
                    </w:rPr>
                  </w:pPr>
                  <w:r w:rsidRPr="00DC4AD8">
                    <w:rPr>
                      <w:rFonts w:ascii="Verdana" w:hAnsi="Verdana"/>
                      <w:lang w:val="sv-SE"/>
                    </w:rPr>
                    <w:t>Groundwater arable (µg.L</w:t>
                  </w:r>
                  <w:r w:rsidRPr="00DC4AD8">
                    <w:rPr>
                      <w:rFonts w:ascii="Verdana" w:hAnsi="Verdana"/>
                      <w:vertAlign w:val="superscript"/>
                      <w:lang w:val="sv-SE"/>
                    </w:rPr>
                    <w:t>-1</w:t>
                  </w:r>
                  <w:r w:rsidRPr="00DC4AD8">
                    <w:rPr>
                      <w:rFonts w:ascii="Verdana" w:hAnsi="Verdana"/>
                      <w:lang w:val="sv-SE"/>
                    </w:rPr>
                    <w:t>)</w:t>
                  </w:r>
                </w:p>
              </w:tc>
              <w:tc>
                <w:tcPr>
                  <w:tcW w:w="1818" w:type="dxa"/>
                  <w:vMerge/>
                  <w:shd w:val="clear" w:color="auto" w:fill="FFFFFF"/>
                  <w:vAlign w:val="center"/>
                </w:tcPr>
                <w:p w14:paraId="31BCECDF"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b/>
                      <w:lang w:val="en-US"/>
                    </w:rPr>
                  </w:pPr>
                </w:p>
              </w:tc>
              <w:tc>
                <w:tcPr>
                  <w:tcW w:w="1540" w:type="dxa"/>
                  <w:shd w:val="clear" w:color="auto" w:fill="FFFFFF"/>
                  <w:vAlign w:val="center"/>
                </w:tcPr>
                <w:p w14:paraId="37D7EEDE" w14:textId="77777777" w:rsidR="00D56625" w:rsidRPr="00DC4AD8" w:rsidRDefault="00024FE2" w:rsidP="0077473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6.54</w:t>
                  </w:r>
                </w:p>
              </w:tc>
              <w:tc>
                <w:tcPr>
                  <w:tcW w:w="1796" w:type="dxa"/>
                  <w:shd w:val="clear" w:color="auto" w:fill="FFFFFF"/>
                  <w:vAlign w:val="center"/>
                </w:tcPr>
                <w:p w14:paraId="71F39BE7" w14:textId="77777777" w:rsidR="00D56625" w:rsidRPr="00DC4AD8" w:rsidRDefault="00024FE2" w:rsidP="00DC4AD8">
                  <w:pPr>
                    <w:pStyle w:val="MSGENFONTSTYLENAMETEMPLATEROLENUMBERMSGENFONTSTYLENAMEBYROLETEXT20"/>
                    <w:shd w:val="clear" w:color="auto" w:fill="auto"/>
                    <w:spacing w:before="0" w:after="0" w:line="200" w:lineRule="exact"/>
                    <w:jc w:val="center"/>
                    <w:rPr>
                      <w:rFonts w:ascii="Verdana" w:hAnsi="Verdana"/>
                      <w:lang w:val="sv-SE"/>
                    </w:rPr>
                  </w:pPr>
                  <w:r>
                    <w:rPr>
                      <w:rFonts w:ascii="Verdana" w:hAnsi="Verdana"/>
                      <w:lang w:val="sv-SE"/>
                    </w:rPr>
                    <w:t>6.54</w:t>
                  </w:r>
                </w:p>
              </w:tc>
              <w:tc>
                <w:tcPr>
                  <w:tcW w:w="1510" w:type="dxa"/>
                  <w:shd w:val="clear" w:color="auto" w:fill="FFFFFF"/>
                  <w:vAlign w:val="center"/>
                </w:tcPr>
                <w:p w14:paraId="29B0E448" w14:textId="77777777" w:rsidR="00D56625" w:rsidRPr="00DC4AD8" w:rsidRDefault="00D355B7" w:rsidP="00DC4AD8">
                  <w:pPr>
                    <w:jc w:val="center"/>
                    <w:rPr>
                      <w:rFonts w:eastAsia="Arial" w:cs="Arial"/>
                      <w:lang w:eastAsia="en-US"/>
                    </w:rPr>
                  </w:pPr>
                  <w:r>
                    <w:rPr>
                      <w:rFonts w:eastAsia="Arial" w:cs="Arial"/>
                      <w:lang w:eastAsia="en-US"/>
                    </w:rPr>
                    <w:t>9.03</w:t>
                  </w:r>
                </w:p>
              </w:tc>
            </w:tr>
            <w:tr w:rsidR="00D56625" w:rsidRPr="00DC4AD8" w14:paraId="2D88872C" w14:textId="77777777" w:rsidTr="00A800C9">
              <w:trPr>
                <w:trHeight w:val="378"/>
              </w:trPr>
              <w:tc>
                <w:tcPr>
                  <w:tcW w:w="8897" w:type="dxa"/>
                  <w:gridSpan w:val="5"/>
                  <w:shd w:val="clear" w:color="auto" w:fill="FFFFFF"/>
                  <w:vAlign w:val="center"/>
                </w:tcPr>
                <w:p w14:paraId="617DADFC" w14:textId="77777777" w:rsidR="00D56625" w:rsidRPr="00DC4AD8" w:rsidRDefault="00D56625" w:rsidP="00DC4AD8">
                  <w:pPr>
                    <w:pStyle w:val="MSGENFONTSTYLENAMETEMPLATEROLENUMBERMSGENFONTSTYLENAMEBYROLETEXT20"/>
                    <w:shd w:val="clear" w:color="auto" w:fill="auto"/>
                    <w:spacing w:before="0" w:after="0" w:line="200" w:lineRule="exact"/>
                    <w:ind w:left="20"/>
                    <w:jc w:val="left"/>
                    <w:rPr>
                      <w:rFonts w:ascii="Verdana" w:hAnsi="Verdana"/>
                      <w:b/>
                      <w:lang w:val="en-US"/>
                    </w:rPr>
                  </w:pPr>
                  <w:r w:rsidRPr="00DC4AD8">
                    <w:rPr>
                      <w:rStyle w:val="MSGENFONTSTYLENAMETEMPLATEROLENUMBERMSGENFONTSTYLENAMEBYROLETEXT2MSGENFONTSTYLEMODIFERSIZE9"/>
                      <w:rFonts w:ascii="Verdana" w:hAnsi="Verdana"/>
                      <w:sz w:val="20"/>
                      <w:szCs w:val="20"/>
                    </w:rPr>
                    <w:t>Via STP</w:t>
                  </w:r>
                </w:p>
              </w:tc>
            </w:tr>
            <w:tr w:rsidR="00D56625" w:rsidRPr="00DC4AD8" w14:paraId="2F250D63" w14:textId="77777777" w:rsidTr="00A800C9">
              <w:trPr>
                <w:trHeight w:val="378"/>
              </w:trPr>
              <w:tc>
                <w:tcPr>
                  <w:tcW w:w="2233" w:type="dxa"/>
                  <w:shd w:val="clear" w:color="auto" w:fill="FFFFFF"/>
                  <w:vAlign w:val="center"/>
                </w:tcPr>
                <w:p w14:paraId="69B67FAB" w14:textId="77777777" w:rsidR="00D56625" w:rsidRPr="00DC4AD8" w:rsidRDefault="00D56625" w:rsidP="00DC4AD8">
                  <w:pPr>
                    <w:pStyle w:val="MSGENFONTSTYLENAMETEMPLATEROLENUMBERMSGENFONTSTYLENAMEBYROLETEXT20"/>
                    <w:shd w:val="clear" w:color="auto" w:fill="auto"/>
                    <w:spacing w:before="0" w:after="0" w:line="200" w:lineRule="exact"/>
                    <w:ind w:left="20"/>
                    <w:jc w:val="left"/>
                    <w:rPr>
                      <w:rStyle w:val="MSGENFONTSTYLENAMETEMPLATEROLENUMBERMSGENFONTSTYLENAMEBYROLETEXT2MSGENFONTSTYLEMODIFERSIZE9"/>
                      <w:rFonts w:ascii="Verdana" w:hAnsi="Verdana"/>
                      <w:sz w:val="20"/>
                      <w:szCs w:val="20"/>
                    </w:rPr>
                  </w:pPr>
                  <w:r w:rsidRPr="00DC4AD8">
                    <w:rPr>
                      <w:rStyle w:val="MSGENFONTSTYLENAMETEMPLATEROLENUMBERMSGENFONTSTYLENAMEBYROLETEXT2MSGENFONTSTYLEMODIFERSIZE9"/>
                      <w:rFonts w:ascii="Verdana" w:hAnsi="Verdana"/>
                      <w:sz w:val="20"/>
                      <w:szCs w:val="20"/>
                    </w:rPr>
                    <w:t xml:space="preserve">Elocal </w:t>
                  </w:r>
                  <w:r w:rsidRPr="00DC4AD8">
                    <w:rPr>
                      <w:rStyle w:val="MSGENFONTSTYLENAMETEMPLATEROLENUMBERMSGENFONTSTYLENAMEBYROLETEXT2MSGENFONTSTYLEMODIFERSIZE9"/>
                      <w:rFonts w:ascii="Verdana" w:hAnsi="Verdana"/>
                      <w:b w:val="0"/>
                      <w:sz w:val="20"/>
                      <w:szCs w:val="20"/>
                    </w:rPr>
                    <w:t>(kg/d)</w:t>
                  </w:r>
                </w:p>
              </w:tc>
              <w:tc>
                <w:tcPr>
                  <w:tcW w:w="6664" w:type="dxa"/>
                  <w:gridSpan w:val="4"/>
                  <w:shd w:val="clear" w:color="auto" w:fill="FFFFFF"/>
                  <w:vAlign w:val="center"/>
                </w:tcPr>
                <w:p w14:paraId="194CB76A" w14:textId="77777777" w:rsidR="00D56625" w:rsidRPr="00DC4AD8" w:rsidRDefault="00D56625" w:rsidP="00D355B7">
                  <w:pPr>
                    <w:jc w:val="center"/>
                    <w:rPr>
                      <w:rFonts w:cs="Arial"/>
                    </w:rPr>
                  </w:pPr>
                  <w:r w:rsidRPr="00DC4AD8">
                    <w:rPr>
                      <w:rFonts w:cs="Arial"/>
                    </w:rPr>
                    <w:t>1.</w:t>
                  </w:r>
                  <w:r w:rsidR="00D355B7">
                    <w:rPr>
                      <w:rFonts w:cs="Arial"/>
                    </w:rPr>
                    <w:t>91</w:t>
                  </w:r>
                  <w:r w:rsidR="00D355B7" w:rsidRPr="00DC4AD8">
                    <w:rPr>
                      <w:rFonts w:cs="Arial"/>
                    </w:rPr>
                    <w:t>E</w:t>
                  </w:r>
                  <w:r w:rsidRPr="00DC4AD8">
                    <w:rPr>
                      <w:rFonts w:cs="Arial"/>
                    </w:rPr>
                    <w:t>-3</w:t>
                  </w:r>
                </w:p>
              </w:tc>
            </w:tr>
            <w:tr w:rsidR="00D56625" w:rsidRPr="00DC4AD8" w14:paraId="73466970" w14:textId="77777777" w:rsidTr="00A800C9">
              <w:trPr>
                <w:trHeight w:val="75"/>
              </w:trPr>
              <w:tc>
                <w:tcPr>
                  <w:tcW w:w="2233" w:type="dxa"/>
                  <w:shd w:val="clear" w:color="auto" w:fill="FFFFFF"/>
                  <w:vAlign w:val="center"/>
                </w:tcPr>
                <w:p w14:paraId="3B7F6B6D" w14:textId="77777777" w:rsidR="00D56625" w:rsidRPr="00DC4AD8" w:rsidRDefault="00D56625" w:rsidP="00DC4AD8">
                  <w:pPr>
                    <w:pStyle w:val="MSGENFONTSTYLENAMETEMPLATEROLENUMBERMSGENFONTSTYLENAMEBYROLETEXT20"/>
                    <w:shd w:val="clear" w:color="auto" w:fill="auto"/>
                    <w:spacing w:before="0" w:after="0" w:line="200" w:lineRule="exact"/>
                    <w:rPr>
                      <w:rFonts w:ascii="Verdana" w:hAnsi="Verdana"/>
                      <w:b/>
                    </w:rPr>
                  </w:pPr>
                  <w:r w:rsidRPr="00DC4AD8">
                    <w:rPr>
                      <w:rStyle w:val="MSGENFONTSTYLENAMETEMPLATEROLENUMBERMSGENFONTSTYLENAMEBYROLETEXT2MSGENFONTSTYLEMODIFERSIZE9"/>
                      <w:rFonts w:ascii="Verdana" w:hAnsi="Verdana"/>
                      <w:b w:val="0"/>
                      <w:sz w:val="20"/>
                      <w:szCs w:val="20"/>
                    </w:rPr>
                    <w:t>STP (mg/L)</w:t>
                  </w:r>
                </w:p>
              </w:tc>
              <w:tc>
                <w:tcPr>
                  <w:tcW w:w="1818" w:type="dxa"/>
                  <w:shd w:val="clear" w:color="auto" w:fill="FFFFFF"/>
                  <w:vAlign w:val="center"/>
                </w:tcPr>
                <w:p w14:paraId="224913FC" w14:textId="77777777" w:rsidR="00D56625" w:rsidRPr="00DC4AD8" w:rsidRDefault="00D56625" w:rsidP="00DC4AD8">
                  <w:pPr>
                    <w:jc w:val="center"/>
                    <w:rPr>
                      <w:color w:val="000000"/>
                    </w:rPr>
                  </w:pPr>
                  <w:r w:rsidRPr="00DC4AD8">
                    <w:rPr>
                      <w:color w:val="000000"/>
                    </w:rPr>
                    <w:t>-</w:t>
                  </w:r>
                </w:p>
              </w:tc>
              <w:tc>
                <w:tcPr>
                  <w:tcW w:w="1540" w:type="dxa"/>
                  <w:shd w:val="clear" w:color="auto" w:fill="FFFFFF"/>
                  <w:vAlign w:val="center"/>
                </w:tcPr>
                <w:p w14:paraId="689066C9" w14:textId="77777777" w:rsidR="00D56625" w:rsidRPr="00DC4AD8" w:rsidRDefault="00D355B7" w:rsidP="00DC4AD8">
                  <w:pPr>
                    <w:pStyle w:val="MSGENFONTSTYLENAMETEMPLATEROLENUMBERMSGENFONTSTYLENAMEBYROLETEXT20"/>
                    <w:shd w:val="clear" w:color="auto" w:fill="auto"/>
                    <w:spacing w:before="0" w:after="0" w:line="200" w:lineRule="exact"/>
                    <w:jc w:val="center"/>
                    <w:rPr>
                      <w:rFonts w:ascii="Verdana" w:hAnsi="Verdana" w:cs="Times New Roman"/>
                      <w:color w:val="000000"/>
                    </w:rPr>
                  </w:pPr>
                  <w:r>
                    <w:rPr>
                      <w:rFonts w:ascii="Verdana" w:hAnsi="Verdana"/>
                      <w:lang w:val="sv-SE"/>
                    </w:rPr>
                    <w:t>7.63</w:t>
                  </w:r>
                  <w:r w:rsidR="00D56625" w:rsidRPr="00DC4AD8">
                    <w:rPr>
                      <w:rFonts w:ascii="Verdana" w:hAnsi="Verdana"/>
                      <w:lang w:val="sv-SE"/>
                    </w:rPr>
                    <w:t>E-04</w:t>
                  </w:r>
                </w:p>
              </w:tc>
              <w:tc>
                <w:tcPr>
                  <w:tcW w:w="1796" w:type="dxa"/>
                  <w:shd w:val="clear" w:color="auto" w:fill="FFFFFF"/>
                  <w:vAlign w:val="center"/>
                </w:tcPr>
                <w:p w14:paraId="06C42EB9" w14:textId="77777777" w:rsidR="00D56625" w:rsidRPr="00DC4AD8" w:rsidRDefault="00D84518" w:rsidP="00D84518">
                  <w:pPr>
                    <w:jc w:val="center"/>
                    <w:rPr>
                      <w:color w:val="000000"/>
                    </w:rPr>
                  </w:pPr>
                  <w:r>
                    <w:rPr>
                      <w:rFonts w:eastAsia="Arial" w:cs="Arial"/>
                      <w:lang w:eastAsia="en-US"/>
                    </w:rPr>
                    <w:t>7.63</w:t>
                  </w:r>
                  <w:r w:rsidR="00D56625" w:rsidRPr="00DC4AD8">
                    <w:rPr>
                      <w:rFonts w:eastAsia="Arial" w:cs="Arial"/>
                      <w:lang w:eastAsia="en-US"/>
                    </w:rPr>
                    <w:t>E-04</w:t>
                  </w:r>
                </w:p>
              </w:tc>
              <w:tc>
                <w:tcPr>
                  <w:tcW w:w="1510" w:type="dxa"/>
                  <w:shd w:val="clear" w:color="auto" w:fill="FFFFFF"/>
                  <w:vAlign w:val="center"/>
                </w:tcPr>
                <w:p w14:paraId="2F4132CB" w14:textId="77777777" w:rsidR="00D56625" w:rsidRPr="00DC4AD8" w:rsidRDefault="00D355B7" w:rsidP="00DC4AD8">
                  <w:pPr>
                    <w:jc w:val="center"/>
                    <w:rPr>
                      <w:color w:val="000000"/>
                    </w:rPr>
                  </w:pPr>
                  <w:r>
                    <w:rPr>
                      <w:rFonts w:eastAsia="Arial" w:cs="Arial"/>
                      <w:lang w:eastAsia="en-US"/>
                    </w:rPr>
                    <w:t>1.05</w:t>
                  </w:r>
                  <w:r w:rsidR="00D56625" w:rsidRPr="00DC4AD8">
                    <w:rPr>
                      <w:rFonts w:eastAsia="Arial" w:cs="Arial"/>
                      <w:lang w:eastAsia="en-US"/>
                    </w:rPr>
                    <w:t>E-0</w:t>
                  </w:r>
                  <w:r>
                    <w:rPr>
                      <w:rFonts w:eastAsia="Arial" w:cs="Arial"/>
                      <w:lang w:eastAsia="en-US"/>
                    </w:rPr>
                    <w:t>3</w:t>
                  </w:r>
                </w:p>
              </w:tc>
            </w:tr>
            <w:tr w:rsidR="00D56625" w:rsidRPr="00DC4AD8" w14:paraId="3FF2916E" w14:textId="77777777" w:rsidTr="00A800C9">
              <w:trPr>
                <w:trHeight w:val="75"/>
              </w:trPr>
              <w:tc>
                <w:tcPr>
                  <w:tcW w:w="2233" w:type="dxa"/>
                  <w:shd w:val="clear" w:color="auto" w:fill="FFFFFF"/>
                  <w:vAlign w:val="bottom"/>
                </w:tcPr>
                <w:p w14:paraId="6F47E9C4" w14:textId="77777777" w:rsidR="00D56625" w:rsidRPr="00DC4AD8" w:rsidRDefault="00D56625" w:rsidP="00DC4AD8">
                  <w:pPr>
                    <w:pStyle w:val="MSGENFONTSTYLENAMETEMPLATEROLENUMBERMSGENFONTSTYLENAMEBYROLETEXT20"/>
                    <w:shd w:val="clear" w:color="auto" w:fill="auto"/>
                    <w:spacing w:before="0" w:after="0" w:line="264" w:lineRule="exact"/>
                    <w:jc w:val="left"/>
                    <w:rPr>
                      <w:rFonts w:ascii="Verdana" w:hAnsi="Verdana"/>
                      <w:b/>
                    </w:rPr>
                  </w:pPr>
                  <w:r w:rsidRPr="00DC4AD8">
                    <w:rPr>
                      <w:rStyle w:val="MSGENFONTSTYLENAMETEMPLATEROLENUMBERMSGENFONTSTYLENAMEBYROLETEXT2MSGENFONTSTYLEMODIFERSIZE9"/>
                      <w:rFonts w:ascii="Verdana" w:hAnsi="Verdana"/>
                      <w:b w:val="0"/>
                      <w:sz w:val="20"/>
                      <w:szCs w:val="20"/>
                    </w:rPr>
                    <w:t>Surface water (µg/L)</w:t>
                  </w:r>
                </w:p>
              </w:tc>
              <w:tc>
                <w:tcPr>
                  <w:tcW w:w="1818" w:type="dxa"/>
                  <w:shd w:val="clear" w:color="auto" w:fill="FFFFFF"/>
                  <w:vAlign w:val="center"/>
                </w:tcPr>
                <w:p w14:paraId="34DFFC9D"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0.5-20</w:t>
                  </w:r>
                </w:p>
              </w:tc>
              <w:tc>
                <w:tcPr>
                  <w:tcW w:w="1540" w:type="dxa"/>
                  <w:shd w:val="clear" w:color="auto" w:fill="FFFFFF"/>
                  <w:vAlign w:val="center"/>
                </w:tcPr>
                <w:p w14:paraId="0FEAE8FB" w14:textId="77777777" w:rsidR="00D56625" w:rsidRPr="00DC4AD8" w:rsidRDefault="00D355B7" w:rsidP="00DC4AD8">
                  <w:pPr>
                    <w:pStyle w:val="MSGENFONTSTYLENAMETEMPLATEROLENUMBERMSGENFONTSTYLENAMEBYROLETEXT20"/>
                    <w:shd w:val="clear" w:color="auto" w:fill="auto"/>
                    <w:spacing w:before="0" w:after="0" w:line="200" w:lineRule="exact"/>
                    <w:jc w:val="center"/>
                    <w:rPr>
                      <w:rFonts w:ascii="Verdana" w:hAnsi="Verdana" w:cs="Times New Roman"/>
                      <w:color w:val="000000"/>
                    </w:rPr>
                  </w:pPr>
                  <w:r>
                    <w:rPr>
                      <w:rFonts w:ascii="Verdana" w:hAnsi="Verdana"/>
                      <w:lang w:val="sv-SE"/>
                    </w:rPr>
                    <w:t>7.60</w:t>
                  </w:r>
                  <w:r w:rsidR="00D56625" w:rsidRPr="00DC4AD8">
                    <w:rPr>
                      <w:rFonts w:ascii="Verdana" w:hAnsi="Verdana"/>
                      <w:lang w:val="sv-SE"/>
                    </w:rPr>
                    <w:t>E-0</w:t>
                  </w:r>
                  <w:r>
                    <w:rPr>
                      <w:rFonts w:ascii="Verdana" w:hAnsi="Verdana"/>
                      <w:lang w:val="sv-SE"/>
                    </w:rPr>
                    <w:t>2</w:t>
                  </w:r>
                </w:p>
              </w:tc>
              <w:tc>
                <w:tcPr>
                  <w:tcW w:w="1796" w:type="dxa"/>
                  <w:shd w:val="clear" w:color="auto" w:fill="FFFFFF"/>
                  <w:vAlign w:val="center"/>
                </w:tcPr>
                <w:p w14:paraId="41F8A5C6" w14:textId="77777777" w:rsidR="00D56625" w:rsidRPr="00DC4AD8" w:rsidRDefault="00D84518" w:rsidP="00DC4AD8">
                  <w:pPr>
                    <w:jc w:val="center"/>
                    <w:rPr>
                      <w:color w:val="000000"/>
                    </w:rPr>
                  </w:pPr>
                  <w:r>
                    <w:rPr>
                      <w:rFonts w:eastAsia="Arial" w:cs="Arial"/>
                      <w:lang w:eastAsia="en-US"/>
                    </w:rPr>
                    <w:t>7.60</w:t>
                  </w:r>
                  <w:r w:rsidR="00D56625" w:rsidRPr="00DC4AD8">
                    <w:rPr>
                      <w:rFonts w:eastAsia="Arial" w:cs="Arial"/>
                      <w:lang w:eastAsia="en-US"/>
                    </w:rPr>
                    <w:t>E-0</w:t>
                  </w:r>
                  <w:r w:rsidR="00D355B7">
                    <w:rPr>
                      <w:rFonts w:eastAsia="Arial" w:cs="Arial"/>
                      <w:lang w:eastAsia="en-US"/>
                    </w:rPr>
                    <w:t>2</w:t>
                  </w:r>
                </w:p>
              </w:tc>
              <w:tc>
                <w:tcPr>
                  <w:tcW w:w="1510" w:type="dxa"/>
                  <w:shd w:val="clear" w:color="auto" w:fill="FFFFFF"/>
                  <w:vAlign w:val="center"/>
                </w:tcPr>
                <w:p w14:paraId="7AFC666E" w14:textId="77777777" w:rsidR="00D56625" w:rsidRPr="00DC4AD8" w:rsidRDefault="00D355B7" w:rsidP="00DC4AD8">
                  <w:pPr>
                    <w:jc w:val="center"/>
                    <w:rPr>
                      <w:color w:val="000000"/>
                    </w:rPr>
                  </w:pPr>
                  <w:r>
                    <w:rPr>
                      <w:rFonts w:eastAsia="Arial" w:cs="Arial"/>
                      <w:lang w:eastAsia="en-US"/>
                    </w:rPr>
                    <w:t>1.05</w:t>
                  </w:r>
                  <w:r w:rsidR="00D56625" w:rsidRPr="00DC4AD8">
                    <w:rPr>
                      <w:rFonts w:eastAsia="Arial" w:cs="Arial"/>
                      <w:lang w:eastAsia="en-US"/>
                    </w:rPr>
                    <w:t>E-0</w:t>
                  </w:r>
                  <w:r>
                    <w:rPr>
                      <w:rFonts w:eastAsia="Arial" w:cs="Arial"/>
                      <w:lang w:eastAsia="en-US"/>
                    </w:rPr>
                    <w:t>1</w:t>
                  </w:r>
                </w:p>
              </w:tc>
            </w:tr>
            <w:tr w:rsidR="00D56625" w:rsidRPr="00DC4AD8" w14:paraId="3168FE65" w14:textId="77777777" w:rsidTr="00A800C9">
              <w:trPr>
                <w:trHeight w:val="75"/>
              </w:trPr>
              <w:tc>
                <w:tcPr>
                  <w:tcW w:w="2233" w:type="dxa"/>
                  <w:shd w:val="clear" w:color="auto" w:fill="FFFFFF"/>
                  <w:vAlign w:val="center"/>
                </w:tcPr>
                <w:p w14:paraId="57C21262" w14:textId="77777777" w:rsidR="00D56625" w:rsidRPr="00DC4AD8" w:rsidRDefault="00D56625" w:rsidP="00DC4AD8">
                  <w:pPr>
                    <w:pStyle w:val="MSGENFONTSTYLENAMETEMPLATEROLENUMBERMSGENFONTSTYLENAMEBYROLETEXT20"/>
                    <w:shd w:val="clear" w:color="auto" w:fill="auto"/>
                    <w:spacing w:before="0" w:after="0" w:line="200" w:lineRule="exact"/>
                    <w:rPr>
                      <w:rFonts w:ascii="Verdana" w:hAnsi="Verdana"/>
                      <w:b/>
                    </w:rPr>
                  </w:pPr>
                  <w:r w:rsidRPr="00DC4AD8">
                    <w:rPr>
                      <w:rStyle w:val="MSGENFONTSTYLENAMETEMPLATEROLENUMBERMSGENFONTSTYLENAMEBYROLETEXT2MSGENFONTSTYLEMODIFERSIZE9"/>
                      <w:rFonts w:ascii="Verdana" w:hAnsi="Verdana"/>
                      <w:b w:val="0"/>
                      <w:sz w:val="20"/>
                      <w:szCs w:val="20"/>
                    </w:rPr>
                    <w:t>Soil (mg/kg</w:t>
                  </w:r>
                  <w:r w:rsidRPr="00DC4AD8">
                    <w:rPr>
                      <w:rStyle w:val="MSGENFONTSTYLENAMETEMPLATEROLENUMBERMSGENFONTSTYLENAMEBYROLETEXT2MSGENFONTSTYLEMODIFERSIZE9"/>
                      <w:rFonts w:ascii="Verdana" w:hAnsi="Verdana"/>
                      <w:b w:val="0"/>
                      <w:sz w:val="20"/>
                      <w:szCs w:val="20"/>
                      <w:vertAlign w:val="subscript"/>
                    </w:rPr>
                    <w:t>wwt</w:t>
                  </w:r>
                  <w:r w:rsidRPr="00DC4AD8">
                    <w:rPr>
                      <w:rStyle w:val="MSGENFONTSTYLENAMETEMPLATEROLENUMBERMSGENFONTSTYLENAMEBYROLETEXT2MSGENFONTSTYLEMODIFERSIZE9"/>
                      <w:rFonts w:ascii="Verdana" w:hAnsi="Verdana"/>
                      <w:b w:val="0"/>
                      <w:sz w:val="20"/>
                      <w:szCs w:val="20"/>
                    </w:rPr>
                    <w:t>)</w:t>
                  </w:r>
                </w:p>
              </w:tc>
              <w:tc>
                <w:tcPr>
                  <w:tcW w:w="1818" w:type="dxa"/>
                  <w:shd w:val="clear" w:color="auto" w:fill="FFFFFF"/>
                  <w:vAlign w:val="center"/>
                </w:tcPr>
                <w:p w14:paraId="4B48293F"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lang w:val="sv-SE"/>
                    </w:rPr>
                  </w:pPr>
                  <w:r w:rsidRPr="00DC4AD8">
                    <w:rPr>
                      <w:rFonts w:ascii="Verdana" w:hAnsi="Verdana"/>
                      <w:lang w:val="sv-SE"/>
                    </w:rPr>
                    <w:t>0.565-22.6</w:t>
                  </w:r>
                </w:p>
                <w:p w14:paraId="2A632217"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extremes up to 110.74</w:t>
                  </w:r>
                </w:p>
              </w:tc>
              <w:tc>
                <w:tcPr>
                  <w:tcW w:w="1540" w:type="dxa"/>
                  <w:shd w:val="clear" w:color="auto" w:fill="FFFFFF"/>
                  <w:vAlign w:val="center"/>
                </w:tcPr>
                <w:p w14:paraId="381F9BC8" w14:textId="77777777" w:rsidR="00D56625" w:rsidRPr="00DC4AD8" w:rsidRDefault="00D355B7" w:rsidP="00DC4AD8">
                  <w:pPr>
                    <w:jc w:val="center"/>
                    <w:rPr>
                      <w:color w:val="000000"/>
                    </w:rPr>
                  </w:pPr>
                  <w:r>
                    <w:rPr>
                      <w:rFonts w:eastAsia="Arial" w:cs="Arial"/>
                      <w:lang w:eastAsia="en-US"/>
                    </w:rPr>
                    <w:t>4.72</w:t>
                  </w:r>
                  <w:r w:rsidR="00D56625" w:rsidRPr="00DC4AD8">
                    <w:rPr>
                      <w:rFonts w:eastAsia="Arial" w:cs="Arial"/>
                      <w:lang w:eastAsia="en-US"/>
                    </w:rPr>
                    <w:t>E-03</w:t>
                  </w:r>
                </w:p>
              </w:tc>
              <w:tc>
                <w:tcPr>
                  <w:tcW w:w="1796" w:type="dxa"/>
                  <w:shd w:val="clear" w:color="auto" w:fill="FFFFFF"/>
                  <w:vAlign w:val="center"/>
                </w:tcPr>
                <w:p w14:paraId="2FA80FD0" w14:textId="77777777" w:rsidR="00D56625" w:rsidRPr="00DC4AD8" w:rsidRDefault="00D3764E" w:rsidP="00DC4AD8">
                  <w:pPr>
                    <w:jc w:val="center"/>
                    <w:rPr>
                      <w:color w:val="000000"/>
                    </w:rPr>
                  </w:pPr>
                  <w:r>
                    <w:rPr>
                      <w:rFonts w:eastAsia="Arial" w:cs="Arial"/>
                      <w:lang w:eastAsia="en-US"/>
                    </w:rPr>
                    <w:t>6.61</w:t>
                  </w:r>
                  <w:r w:rsidR="00D56625" w:rsidRPr="00DC4AD8">
                    <w:rPr>
                      <w:rFonts w:eastAsia="Arial" w:cs="Arial"/>
                      <w:lang w:eastAsia="en-US"/>
                    </w:rPr>
                    <w:t>E-04</w:t>
                  </w:r>
                </w:p>
              </w:tc>
              <w:tc>
                <w:tcPr>
                  <w:tcW w:w="1510" w:type="dxa"/>
                  <w:shd w:val="clear" w:color="auto" w:fill="FFFFFF"/>
                  <w:vAlign w:val="center"/>
                </w:tcPr>
                <w:p w14:paraId="5D737554" w14:textId="77777777" w:rsidR="00D56625" w:rsidRPr="00DC4AD8" w:rsidRDefault="00D3764E" w:rsidP="00DC4AD8">
                  <w:pPr>
                    <w:jc w:val="center"/>
                    <w:rPr>
                      <w:color w:val="000000"/>
                    </w:rPr>
                  </w:pPr>
                  <w:r>
                    <w:rPr>
                      <w:rFonts w:eastAsia="Arial" w:cs="Arial"/>
                      <w:lang w:eastAsia="en-US"/>
                    </w:rPr>
                    <w:t>6.52</w:t>
                  </w:r>
                  <w:r w:rsidR="00D56625" w:rsidRPr="00DC4AD8">
                    <w:rPr>
                      <w:rFonts w:eastAsia="Arial" w:cs="Arial"/>
                      <w:lang w:eastAsia="en-US"/>
                    </w:rPr>
                    <w:t>E-03</w:t>
                  </w:r>
                </w:p>
              </w:tc>
            </w:tr>
            <w:tr w:rsidR="00D56625" w:rsidRPr="00DC4AD8" w14:paraId="0F2E977E" w14:textId="77777777" w:rsidTr="00A800C9">
              <w:trPr>
                <w:trHeight w:val="75"/>
              </w:trPr>
              <w:tc>
                <w:tcPr>
                  <w:tcW w:w="2233" w:type="dxa"/>
                  <w:shd w:val="clear" w:color="auto" w:fill="FFFFFF"/>
                  <w:vAlign w:val="bottom"/>
                </w:tcPr>
                <w:p w14:paraId="23F42B3B" w14:textId="77777777" w:rsidR="00D56625" w:rsidRPr="00DC4AD8" w:rsidRDefault="00D56625" w:rsidP="00DC4AD8">
                  <w:pPr>
                    <w:pStyle w:val="MSGENFONTSTYLENAMETEMPLATEROLENUMBERMSGENFONTSTYLENAMEBYROLETEXT20"/>
                    <w:shd w:val="clear" w:color="auto" w:fill="auto"/>
                    <w:spacing w:before="0" w:after="100" w:line="200" w:lineRule="exact"/>
                    <w:rPr>
                      <w:rFonts w:ascii="Verdana" w:hAnsi="Verdana"/>
                      <w:b/>
                    </w:rPr>
                  </w:pPr>
                  <w:r w:rsidRPr="00DC4AD8">
                    <w:rPr>
                      <w:rStyle w:val="MSGENFONTSTYLENAMETEMPLATEROLENUMBERMSGENFONTSTYLENAMEBYROLETEXT2MSGENFONTSTYLEMODIFERSIZE9"/>
                      <w:rFonts w:ascii="Verdana" w:hAnsi="Verdana"/>
                      <w:b w:val="0"/>
                      <w:sz w:val="20"/>
                      <w:szCs w:val="20"/>
                    </w:rPr>
                    <w:t>Groundwater</w:t>
                  </w:r>
                  <w:r w:rsidRPr="00DC4AD8">
                    <w:rPr>
                      <w:rFonts w:ascii="Verdana" w:hAnsi="Verdana"/>
                      <w:b/>
                    </w:rPr>
                    <w:t xml:space="preserve"> </w:t>
                  </w:r>
                  <w:r w:rsidRPr="00DC4AD8">
                    <w:rPr>
                      <w:rFonts w:ascii="Verdana" w:hAnsi="Verdana"/>
                    </w:rPr>
                    <w:t>(µg/L)</w:t>
                  </w:r>
                  <w:r w:rsidRPr="00DC4AD8">
                    <w:rPr>
                      <w:rStyle w:val="MSGENFONTSTYLENAMETEMPLATEROLENUMBERMSGENFONTSTYLENAMEBYROLETEXT2MSGENFONTSTYLEMODIFERSIZE9"/>
                      <w:rFonts w:ascii="Verdana" w:hAnsi="Verdana"/>
                      <w:b w:val="0"/>
                      <w:sz w:val="20"/>
                      <w:szCs w:val="20"/>
                    </w:rPr>
                    <w:tab/>
                  </w:r>
                </w:p>
              </w:tc>
              <w:tc>
                <w:tcPr>
                  <w:tcW w:w="1818" w:type="dxa"/>
                  <w:shd w:val="clear" w:color="auto" w:fill="FFFFFF"/>
                  <w:vAlign w:val="center"/>
                </w:tcPr>
                <w:p w14:paraId="692B354C"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lang w:val="sv-SE"/>
                    </w:rPr>
                  </w:pPr>
                  <w:r w:rsidRPr="00DC4AD8">
                    <w:rPr>
                      <w:rFonts w:ascii="Verdana" w:hAnsi="Verdana"/>
                      <w:lang w:val="sv-SE"/>
                    </w:rPr>
                    <w:t>1-70</w:t>
                  </w:r>
                </w:p>
                <w:p w14:paraId="39A88DA9" w14:textId="77777777" w:rsidR="00D56625" w:rsidRPr="00DC4AD8" w:rsidRDefault="00D56625" w:rsidP="00DC4AD8">
                  <w:pPr>
                    <w:pStyle w:val="MSGENFONTSTYLENAMETEMPLATEROLENUMBERMSGENFONTSTYLENAMEBYROLETEXT20"/>
                    <w:shd w:val="clear" w:color="auto" w:fill="auto"/>
                    <w:spacing w:before="0" w:after="0" w:line="200" w:lineRule="exact"/>
                    <w:jc w:val="center"/>
                    <w:rPr>
                      <w:rFonts w:ascii="Verdana" w:hAnsi="Verdana"/>
                      <w:b/>
                      <w:lang w:val="en-US"/>
                    </w:rPr>
                  </w:pPr>
                  <w:r w:rsidRPr="00DC4AD8">
                    <w:rPr>
                      <w:rFonts w:ascii="Verdana" w:hAnsi="Verdana"/>
                      <w:lang w:val="sv-SE"/>
                    </w:rPr>
                    <w:t>extremes up to 400</w:t>
                  </w:r>
                </w:p>
              </w:tc>
              <w:tc>
                <w:tcPr>
                  <w:tcW w:w="1540" w:type="dxa"/>
                  <w:shd w:val="clear" w:color="auto" w:fill="FFFFFF"/>
                  <w:vAlign w:val="center"/>
                </w:tcPr>
                <w:p w14:paraId="124F5933" w14:textId="77777777" w:rsidR="00D56625" w:rsidRPr="00DC4AD8" w:rsidRDefault="00D3764E" w:rsidP="00DC4AD8">
                  <w:pPr>
                    <w:jc w:val="center"/>
                    <w:rPr>
                      <w:color w:val="000000"/>
                    </w:rPr>
                  </w:pPr>
                  <w:r>
                    <w:rPr>
                      <w:rFonts w:eastAsia="Arial" w:cs="Arial"/>
                      <w:lang w:eastAsia="en-US"/>
                    </w:rPr>
                    <w:t>8.83</w:t>
                  </w:r>
                  <w:r w:rsidR="00D56625" w:rsidRPr="00DC4AD8">
                    <w:rPr>
                      <w:rFonts w:eastAsia="Arial" w:cs="Arial"/>
                      <w:lang w:eastAsia="en-US"/>
                    </w:rPr>
                    <w:t>E-01</w:t>
                  </w:r>
                </w:p>
              </w:tc>
              <w:tc>
                <w:tcPr>
                  <w:tcW w:w="1796" w:type="dxa"/>
                  <w:shd w:val="clear" w:color="auto" w:fill="FFFFFF"/>
                  <w:vAlign w:val="center"/>
                </w:tcPr>
                <w:p w14:paraId="091DB3FA" w14:textId="77777777" w:rsidR="00D56625" w:rsidRPr="00DC4AD8" w:rsidRDefault="00D3764E" w:rsidP="00DC4AD8">
                  <w:pPr>
                    <w:jc w:val="center"/>
                    <w:rPr>
                      <w:color w:val="000000"/>
                    </w:rPr>
                  </w:pPr>
                  <w:r>
                    <w:rPr>
                      <w:rFonts w:eastAsia="Arial" w:cs="Arial"/>
                      <w:lang w:eastAsia="en-US"/>
                    </w:rPr>
                    <w:t>1.24</w:t>
                  </w:r>
                  <w:r w:rsidR="00D56625" w:rsidRPr="00DC4AD8">
                    <w:rPr>
                      <w:rFonts w:eastAsia="Arial" w:cs="Arial"/>
                      <w:lang w:eastAsia="en-US"/>
                    </w:rPr>
                    <w:t>E-0</w:t>
                  </w:r>
                  <w:r>
                    <w:rPr>
                      <w:rFonts w:eastAsia="Arial" w:cs="Arial"/>
                      <w:lang w:eastAsia="en-US"/>
                    </w:rPr>
                    <w:t>1</w:t>
                  </w:r>
                </w:p>
              </w:tc>
              <w:tc>
                <w:tcPr>
                  <w:tcW w:w="1510" w:type="dxa"/>
                  <w:shd w:val="clear" w:color="auto" w:fill="FFFFFF"/>
                  <w:vAlign w:val="center"/>
                </w:tcPr>
                <w:p w14:paraId="538E2502" w14:textId="77777777" w:rsidR="00D56625" w:rsidRPr="00DC4AD8" w:rsidRDefault="00D3764E" w:rsidP="00D3764E">
                  <w:pPr>
                    <w:jc w:val="center"/>
                    <w:rPr>
                      <w:b/>
                      <w:bCs/>
                      <w:color w:val="000000"/>
                    </w:rPr>
                  </w:pPr>
                  <w:r>
                    <w:rPr>
                      <w:rFonts w:eastAsia="Arial" w:cs="Arial"/>
                      <w:lang w:eastAsia="en-US"/>
                    </w:rPr>
                    <w:t>1.22</w:t>
                  </w:r>
                </w:p>
              </w:tc>
            </w:tr>
          </w:tbl>
          <w:p w14:paraId="0976877B" w14:textId="77777777" w:rsidR="00DC4AD8" w:rsidRPr="00DC4AD8" w:rsidRDefault="00DC4AD8" w:rsidP="00DC4AD8">
            <w:pPr>
              <w:spacing w:line="276" w:lineRule="auto"/>
              <w:jc w:val="both"/>
              <w:rPr>
                <w:rFonts w:cs="Arial"/>
                <w:sz w:val="20"/>
                <w:szCs w:val="20"/>
              </w:rPr>
            </w:pPr>
          </w:p>
        </w:tc>
      </w:tr>
    </w:tbl>
    <w:p w14:paraId="3DB6293B" w14:textId="77777777" w:rsidR="00DC4AD8" w:rsidRPr="00DC4AD8" w:rsidRDefault="00DC4AD8">
      <w:pPr>
        <w:spacing w:line="276" w:lineRule="auto"/>
        <w:rPr>
          <w:rFonts w:eastAsia="Calibri" w:cs="Times New Roman"/>
          <w:i/>
          <w:lang w:eastAsia="en-US"/>
        </w:rPr>
      </w:pPr>
    </w:p>
    <w:p w14:paraId="10588BB6" w14:textId="77777777" w:rsidR="009D0C0B" w:rsidRDefault="00FA480B">
      <w:pPr>
        <w:rPr>
          <w:rFonts w:eastAsia="Calibri"/>
          <w:b/>
          <w:i/>
          <w:sz w:val="22"/>
          <w:szCs w:val="22"/>
          <w:lang w:eastAsia="en-US"/>
        </w:rPr>
      </w:pPr>
      <w:r>
        <w:rPr>
          <w:rFonts w:eastAsia="Calibri"/>
          <w:b/>
          <w:i/>
          <w:sz w:val="22"/>
          <w:szCs w:val="22"/>
          <w:lang w:eastAsia="en-US"/>
        </w:rPr>
        <w:t>Primary and secondary poisoning</w:t>
      </w:r>
    </w:p>
    <w:p w14:paraId="2FF47F56" w14:textId="77777777" w:rsidR="009D0C0B" w:rsidRDefault="009D0C0B">
      <w:pPr>
        <w:spacing w:line="260" w:lineRule="atLeast"/>
        <w:rPr>
          <w:rFonts w:eastAsia="Calibri"/>
          <w:b/>
          <w:i/>
          <w:sz w:val="22"/>
          <w:szCs w:val="22"/>
          <w:lang w:eastAsia="en-US"/>
        </w:rPr>
      </w:pPr>
    </w:p>
    <w:tbl>
      <w:tblPr>
        <w:tblStyle w:val="Grilledutableau4"/>
        <w:tblW w:w="9214" w:type="dxa"/>
        <w:tblInd w:w="108" w:type="dxa"/>
        <w:tblLook w:val="04A0" w:firstRow="1" w:lastRow="0" w:firstColumn="1" w:lastColumn="0" w:noHBand="0" w:noVBand="1"/>
      </w:tblPr>
      <w:tblGrid>
        <w:gridCol w:w="9214"/>
      </w:tblGrid>
      <w:tr w:rsidR="00DC4AD8" w:rsidRPr="00D24EE1" w14:paraId="16FBA201" w14:textId="77777777" w:rsidTr="00DC4AD8">
        <w:tc>
          <w:tcPr>
            <w:tcW w:w="9214" w:type="dxa"/>
            <w:shd w:val="clear" w:color="auto" w:fill="D6E3BC" w:themeFill="accent3" w:themeFillTint="66"/>
          </w:tcPr>
          <w:p w14:paraId="51C5E540" w14:textId="77777777" w:rsidR="00DC4AD8" w:rsidRPr="00DC4AD8" w:rsidRDefault="00DC4AD8" w:rsidP="00DC4AD8">
            <w:pPr>
              <w:spacing w:line="276" w:lineRule="auto"/>
              <w:jc w:val="both"/>
              <w:rPr>
                <w:rFonts w:cs="Arial"/>
                <w:b/>
                <w:sz w:val="20"/>
                <w:szCs w:val="20"/>
              </w:rPr>
            </w:pPr>
            <w:r w:rsidRPr="00DC4AD8">
              <w:rPr>
                <w:rStyle w:val="LgendeCar"/>
                <w:b/>
                <w:sz w:val="20"/>
                <w:szCs w:val="20"/>
              </w:rPr>
              <w:t xml:space="preserve">Infobox </w:t>
            </w:r>
            <w:r w:rsidRPr="00DC4AD8">
              <w:rPr>
                <w:rStyle w:val="LgendeCar"/>
                <w:b/>
                <w:sz w:val="20"/>
              </w:rPr>
              <w:fldChar w:fldCharType="begin"/>
            </w:r>
            <w:r w:rsidRPr="00DC4AD8">
              <w:rPr>
                <w:rStyle w:val="LgendeCar"/>
                <w:b/>
                <w:sz w:val="20"/>
                <w:szCs w:val="20"/>
              </w:rPr>
              <w:instrText xml:space="preserve"> SEQ Infobox \* ARABIC </w:instrText>
            </w:r>
            <w:r w:rsidRPr="00DC4AD8">
              <w:rPr>
                <w:rStyle w:val="LgendeCar"/>
                <w:b/>
                <w:sz w:val="20"/>
              </w:rPr>
              <w:fldChar w:fldCharType="separate"/>
            </w:r>
            <w:r w:rsidR="00D3764E">
              <w:rPr>
                <w:rStyle w:val="LgendeCar"/>
                <w:b/>
                <w:noProof/>
                <w:sz w:val="20"/>
                <w:szCs w:val="20"/>
              </w:rPr>
              <w:t>11</w:t>
            </w:r>
            <w:r w:rsidRPr="00DC4AD8">
              <w:rPr>
                <w:rStyle w:val="LgendeCar"/>
                <w:b/>
                <w:sz w:val="20"/>
              </w:rPr>
              <w:fldChar w:fldCharType="end"/>
            </w:r>
            <w:r w:rsidRPr="00DC4AD8">
              <w:rPr>
                <w:rStyle w:val="LgendeCar"/>
                <w:b/>
                <w:sz w:val="20"/>
                <w:szCs w:val="20"/>
              </w:rPr>
              <w:t xml:space="preserve"> -</w:t>
            </w:r>
            <w:r w:rsidRPr="00DC4AD8">
              <w:rPr>
                <w:rStyle w:val="LgendeCar"/>
                <w:sz w:val="20"/>
                <w:szCs w:val="20"/>
              </w:rPr>
              <w:t xml:space="preserve"> </w:t>
            </w:r>
            <w:r w:rsidRPr="00DC4AD8">
              <w:rPr>
                <w:rFonts w:cs="Arial"/>
                <w:b/>
                <w:sz w:val="20"/>
                <w:szCs w:val="20"/>
              </w:rPr>
              <w:t>FR CA position:</w:t>
            </w:r>
          </w:p>
          <w:p w14:paraId="2FF8AE61" w14:textId="77777777" w:rsidR="00DC4AD8" w:rsidRPr="00DC4AD8" w:rsidRDefault="00DC4AD8" w:rsidP="00DC4AD8">
            <w:pPr>
              <w:jc w:val="both"/>
              <w:rPr>
                <w:rFonts w:eastAsia="Arial" w:cs="Arial"/>
                <w:color w:val="000000"/>
                <w:sz w:val="20"/>
                <w:szCs w:val="20"/>
                <w:lang w:eastAsia="en-GB" w:bidi="en-GB"/>
              </w:rPr>
            </w:pPr>
            <w:r w:rsidRPr="00DC4AD8">
              <w:rPr>
                <w:rFonts w:eastAsia="Arial" w:cs="Arial"/>
                <w:color w:val="000000"/>
                <w:sz w:val="20"/>
                <w:szCs w:val="20"/>
                <w:lang w:eastAsia="en-GB" w:bidi="en-GB"/>
              </w:rPr>
              <w:t>As iodine is an essential element for many organisms and its absorption is regulated in animals of several taxonomic groups, estimation of bioaccumulation potential for iodine is not considered relevant. In addition, as the amounts of iodine potentially released into the environment through biocidal uses are within the natural occurring background levels, there is no concern with respect to secondary poisoning. Primary poisoning is not expected for the intended use, which is taking place indoors.</w:t>
            </w:r>
          </w:p>
          <w:p w14:paraId="724688D1" w14:textId="77777777" w:rsidR="00DC4AD8" w:rsidRPr="00E25EB3" w:rsidRDefault="00DC4AD8" w:rsidP="00AB090C">
            <w:pPr>
              <w:jc w:val="both"/>
              <w:rPr>
                <w:rFonts w:ascii="Arial" w:eastAsia="Arial" w:hAnsi="Arial" w:cs="Arial"/>
                <w:sz w:val="20"/>
                <w:szCs w:val="20"/>
                <w:lang w:eastAsia="en-US"/>
              </w:rPr>
            </w:pPr>
            <w:r w:rsidRPr="00DC4AD8">
              <w:rPr>
                <w:rFonts w:eastAsia="Arial" w:cs="Arial"/>
                <w:color w:val="000000"/>
                <w:sz w:val="20"/>
                <w:szCs w:val="20"/>
                <w:lang w:eastAsia="en-GB" w:bidi="en-GB"/>
              </w:rPr>
              <w:t xml:space="preserve">Hence </w:t>
            </w:r>
            <w:r w:rsidR="00AB090C">
              <w:rPr>
                <w:rFonts w:eastAsia="Arial" w:cs="Arial"/>
                <w:color w:val="000000"/>
                <w:sz w:val="20"/>
                <w:szCs w:val="20"/>
                <w:lang w:eastAsia="en-GB" w:bidi="en-GB"/>
              </w:rPr>
              <w:t xml:space="preserve">the </w:t>
            </w:r>
            <w:r w:rsidRPr="00DC4AD8">
              <w:rPr>
                <w:rFonts w:eastAsia="Arial" w:cs="Arial"/>
                <w:color w:val="000000"/>
                <w:sz w:val="20"/>
                <w:szCs w:val="20"/>
                <w:lang w:eastAsia="en-GB" w:bidi="en-GB"/>
              </w:rPr>
              <w:t>risk to birds and mammals</w:t>
            </w:r>
            <w:r w:rsidR="00AB090C">
              <w:rPr>
                <w:rFonts w:eastAsia="Arial" w:cs="Arial"/>
                <w:color w:val="000000"/>
                <w:sz w:val="20"/>
                <w:szCs w:val="20"/>
                <w:lang w:eastAsia="en-GB" w:bidi="en-GB"/>
              </w:rPr>
              <w:t xml:space="preserve"> is acceptable</w:t>
            </w:r>
            <w:r w:rsidRPr="00DC4AD8">
              <w:rPr>
                <w:rFonts w:eastAsia="Arial" w:cs="Arial"/>
                <w:color w:val="000000"/>
                <w:sz w:val="20"/>
                <w:szCs w:val="20"/>
                <w:lang w:eastAsia="en-GB" w:bidi="en-GB"/>
              </w:rPr>
              <w:t>.</w:t>
            </w:r>
          </w:p>
        </w:tc>
      </w:tr>
    </w:tbl>
    <w:p w14:paraId="4E82BF61" w14:textId="77777777" w:rsidR="009D0C0B" w:rsidRDefault="00FA480B">
      <w:pPr>
        <w:pStyle w:val="Titre4"/>
        <w:rPr>
          <w:b/>
          <w:i/>
          <w:szCs w:val="22"/>
          <w:lang w:eastAsia="en-US"/>
        </w:rPr>
      </w:pPr>
      <w:bookmarkStart w:id="115" w:name="_Toc516669794"/>
      <w:r>
        <w:t>Risk characterisation</w:t>
      </w:r>
      <w:bookmarkEnd w:id="115"/>
    </w:p>
    <w:p w14:paraId="08F4BCDD" w14:textId="77777777" w:rsidR="0069123B" w:rsidRDefault="0069123B">
      <w:pPr>
        <w:rPr>
          <w:rFonts w:eastAsia="Calibri"/>
          <w:b/>
          <w:i/>
          <w:sz w:val="22"/>
          <w:szCs w:val="22"/>
          <w:lang w:eastAsia="en-US"/>
        </w:rPr>
      </w:pPr>
    </w:p>
    <w:tbl>
      <w:tblPr>
        <w:tblStyle w:val="Grilledutableau4"/>
        <w:tblW w:w="9214" w:type="dxa"/>
        <w:tblInd w:w="108" w:type="dxa"/>
        <w:tblLook w:val="04A0" w:firstRow="1" w:lastRow="0" w:firstColumn="1" w:lastColumn="0" w:noHBand="0" w:noVBand="1"/>
      </w:tblPr>
      <w:tblGrid>
        <w:gridCol w:w="9214"/>
      </w:tblGrid>
      <w:tr w:rsidR="0069123B" w:rsidRPr="0069123B" w14:paraId="5A86310D" w14:textId="77777777" w:rsidTr="0069123B">
        <w:trPr>
          <w:trHeight w:val="1043"/>
        </w:trPr>
        <w:tc>
          <w:tcPr>
            <w:tcW w:w="9214" w:type="dxa"/>
            <w:shd w:val="clear" w:color="auto" w:fill="D6E3BC" w:themeFill="accent3" w:themeFillTint="66"/>
          </w:tcPr>
          <w:p w14:paraId="2FFE2ED9" w14:textId="77777777" w:rsidR="0069123B" w:rsidRPr="0069123B" w:rsidRDefault="0069123B" w:rsidP="001B3B87">
            <w:pPr>
              <w:spacing w:line="276" w:lineRule="auto"/>
              <w:jc w:val="both"/>
              <w:rPr>
                <w:rFonts w:cs="Arial"/>
                <w:b/>
                <w:sz w:val="20"/>
                <w:szCs w:val="20"/>
              </w:rPr>
            </w:pPr>
            <w:r w:rsidRPr="0069123B">
              <w:rPr>
                <w:rStyle w:val="LgendeCar"/>
                <w:b/>
                <w:sz w:val="20"/>
                <w:szCs w:val="20"/>
              </w:rPr>
              <w:lastRenderedPageBreak/>
              <w:t xml:space="preserve">Infobox </w:t>
            </w:r>
            <w:r w:rsidRPr="0069123B">
              <w:rPr>
                <w:rStyle w:val="LgendeCar"/>
                <w:b/>
                <w:sz w:val="20"/>
              </w:rPr>
              <w:fldChar w:fldCharType="begin"/>
            </w:r>
            <w:r w:rsidRPr="0069123B">
              <w:rPr>
                <w:rStyle w:val="LgendeCar"/>
                <w:b/>
                <w:sz w:val="20"/>
                <w:szCs w:val="20"/>
              </w:rPr>
              <w:instrText xml:space="preserve"> SEQ Infobox \* ARABIC </w:instrText>
            </w:r>
            <w:r w:rsidRPr="0069123B">
              <w:rPr>
                <w:rStyle w:val="LgendeCar"/>
                <w:b/>
                <w:sz w:val="20"/>
              </w:rPr>
              <w:fldChar w:fldCharType="separate"/>
            </w:r>
            <w:r w:rsidR="00D3764E">
              <w:rPr>
                <w:rStyle w:val="LgendeCar"/>
                <w:b/>
                <w:noProof/>
                <w:sz w:val="20"/>
                <w:szCs w:val="20"/>
              </w:rPr>
              <w:t>12</w:t>
            </w:r>
            <w:r w:rsidRPr="0069123B">
              <w:rPr>
                <w:rStyle w:val="LgendeCar"/>
                <w:b/>
                <w:sz w:val="20"/>
              </w:rPr>
              <w:fldChar w:fldCharType="end"/>
            </w:r>
            <w:r w:rsidRPr="0069123B">
              <w:rPr>
                <w:rStyle w:val="LgendeCar"/>
                <w:b/>
                <w:sz w:val="20"/>
                <w:szCs w:val="20"/>
              </w:rPr>
              <w:t xml:space="preserve"> - </w:t>
            </w:r>
            <w:r w:rsidRPr="0069123B">
              <w:rPr>
                <w:rFonts w:cs="Arial"/>
                <w:b/>
                <w:sz w:val="20"/>
                <w:szCs w:val="20"/>
              </w:rPr>
              <w:t>FR CA position:</w:t>
            </w:r>
          </w:p>
          <w:p w14:paraId="4557F606" w14:textId="77777777" w:rsidR="0069123B" w:rsidRPr="0069123B" w:rsidRDefault="0069123B" w:rsidP="0069123B">
            <w:pPr>
              <w:jc w:val="both"/>
              <w:rPr>
                <w:rFonts w:cs="Arial"/>
                <w:sz w:val="20"/>
                <w:szCs w:val="20"/>
              </w:rPr>
            </w:pPr>
            <w:r w:rsidRPr="0069123B">
              <w:rPr>
                <w:rFonts w:eastAsia="Arial" w:cs="Arial"/>
                <w:sz w:val="20"/>
                <w:szCs w:val="20"/>
                <w:lang w:val="en-US" w:eastAsia="en-US"/>
              </w:rPr>
              <w:t xml:space="preserve">In addition to the classical risk assessment approach (PEC/PNEC ratios), the PEC values for iodine were compared to natural background levels to assess the environmental risk. </w:t>
            </w:r>
          </w:p>
        </w:tc>
      </w:tr>
    </w:tbl>
    <w:p w14:paraId="691496A3" w14:textId="77777777" w:rsidR="0069123B" w:rsidRPr="0069123B" w:rsidRDefault="0069123B">
      <w:pPr>
        <w:rPr>
          <w:rFonts w:eastAsia="Calibri"/>
          <w:b/>
          <w:i/>
          <w:sz w:val="22"/>
          <w:szCs w:val="22"/>
          <w:lang w:eastAsia="en-US"/>
        </w:rPr>
      </w:pPr>
    </w:p>
    <w:p w14:paraId="55E3E007" w14:textId="77777777" w:rsidR="009D0C0B" w:rsidRDefault="00FA480B">
      <w:pPr>
        <w:rPr>
          <w:rFonts w:eastAsia="Calibri"/>
          <w:b/>
          <w:i/>
          <w:sz w:val="22"/>
          <w:szCs w:val="22"/>
          <w:lang w:eastAsia="en-US"/>
        </w:rPr>
      </w:pPr>
      <w:r>
        <w:rPr>
          <w:rFonts w:eastAsia="Calibri"/>
          <w:b/>
          <w:i/>
          <w:sz w:val="22"/>
          <w:szCs w:val="22"/>
          <w:lang w:eastAsia="en-US"/>
        </w:rPr>
        <w:t>Atmosphere</w:t>
      </w:r>
    </w:p>
    <w:p w14:paraId="22164D34" w14:textId="77777777" w:rsidR="009D0C0B" w:rsidRDefault="009D0C0B">
      <w:pPr>
        <w:spacing w:line="260" w:lineRule="atLeast"/>
        <w:rPr>
          <w:rFonts w:eastAsia="Calibri"/>
          <w:b/>
          <w:i/>
          <w:sz w:val="22"/>
          <w:szCs w:val="22"/>
          <w:lang w:eastAsia="en-US"/>
        </w:rPr>
      </w:pPr>
    </w:p>
    <w:tbl>
      <w:tblPr>
        <w:tblStyle w:val="Grilledutableau4"/>
        <w:tblW w:w="9214" w:type="dxa"/>
        <w:tblInd w:w="108" w:type="dxa"/>
        <w:tblLook w:val="04A0" w:firstRow="1" w:lastRow="0" w:firstColumn="1" w:lastColumn="0" w:noHBand="0" w:noVBand="1"/>
      </w:tblPr>
      <w:tblGrid>
        <w:gridCol w:w="9214"/>
      </w:tblGrid>
      <w:tr w:rsidR="0069123B" w:rsidRPr="00D24EE1" w14:paraId="2E7FADF8" w14:textId="77777777" w:rsidTr="0069123B">
        <w:trPr>
          <w:trHeight w:val="1644"/>
        </w:trPr>
        <w:tc>
          <w:tcPr>
            <w:tcW w:w="9214" w:type="dxa"/>
            <w:shd w:val="clear" w:color="auto" w:fill="D6E3BC" w:themeFill="accent3" w:themeFillTint="66"/>
          </w:tcPr>
          <w:p w14:paraId="4C9C8381" w14:textId="77777777" w:rsidR="0069123B" w:rsidRPr="0069123B" w:rsidRDefault="0069123B" w:rsidP="001B3B87">
            <w:pPr>
              <w:spacing w:line="276" w:lineRule="auto"/>
              <w:jc w:val="both"/>
              <w:rPr>
                <w:rFonts w:cs="Arial"/>
                <w:b/>
                <w:sz w:val="20"/>
                <w:szCs w:val="20"/>
              </w:rPr>
            </w:pPr>
            <w:r w:rsidRPr="0069123B">
              <w:rPr>
                <w:rStyle w:val="LgendeCar"/>
                <w:b/>
              </w:rPr>
              <w:t xml:space="preserve">Infobox </w:t>
            </w:r>
            <w:r w:rsidRPr="0069123B">
              <w:rPr>
                <w:rStyle w:val="LgendeCar"/>
                <w:b/>
              </w:rPr>
              <w:fldChar w:fldCharType="begin"/>
            </w:r>
            <w:r w:rsidRPr="0069123B">
              <w:rPr>
                <w:rStyle w:val="LgendeCar"/>
                <w:b/>
              </w:rPr>
              <w:instrText xml:space="preserve"> SEQ Infobox \* ARABIC </w:instrText>
            </w:r>
            <w:r w:rsidRPr="0069123B">
              <w:rPr>
                <w:rStyle w:val="LgendeCar"/>
                <w:b/>
              </w:rPr>
              <w:fldChar w:fldCharType="separate"/>
            </w:r>
            <w:r w:rsidR="00D3764E">
              <w:rPr>
                <w:rStyle w:val="LgendeCar"/>
                <w:b/>
                <w:noProof/>
              </w:rPr>
              <w:t>13</w:t>
            </w:r>
            <w:r w:rsidRPr="0069123B">
              <w:rPr>
                <w:rStyle w:val="LgendeCar"/>
                <w:b/>
              </w:rPr>
              <w:fldChar w:fldCharType="end"/>
            </w:r>
            <w:r w:rsidRPr="0069123B">
              <w:rPr>
                <w:rStyle w:val="LgendeCar"/>
                <w:b/>
              </w:rPr>
              <w:t xml:space="preserve"> -</w:t>
            </w:r>
            <w:r w:rsidRPr="0069123B">
              <w:rPr>
                <w:rStyle w:val="LgendeCar"/>
              </w:rPr>
              <w:t xml:space="preserve"> </w:t>
            </w:r>
            <w:r w:rsidRPr="0069123B">
              <w:rPr>
                <w:rFonts w:cs="Arial"/>
                <w:b/>
                <w:sz w:val="20"/>
                <w:szCs w:val="20"/>
              </w:rPr>
              <w:t>FR CA position:</w:t>
            </w:r>
          </w:p>
          <w:p w14:paraId="2B6DCDDF" w14:textId="77777777" w:rsidR="0069123B" w:rsidRPr="00C75200" w:rsidRDefault="00986D2C" w:rsidP="00986D2C">
            <w:pPr>
              <w:pStyle w:val="MSGENFONTSTYLENAMETEMPLATEROLENUMBERMSGENFONTSTYLENAMEBYROLETEXT80"/>
              <w:shd w:val="clear" w:color="auto" w:fill="auto"/>
              <w:spacing w:before="0" w:after="240" w:line="278" w:lineRule="exact"/>
              <w:jc w:val="both"/>
              <w:rPr>
                <w:sz w:val="20"/>
                <w:szCs w:val="20"/>
                <w:lang w:val="en-GB"/>
              </w:rPr>
            </w:pPr>
            <w:r>
              <w:rPr>
                <w:rFonts w:ascii="Verdana" w:hAnsi="Verdana"/>
                <w:color w:val="000000"/>
                <w:sz w:val="20"/>
                <w:szCs w:val="20"/>
                <w:lang w:val="en-GB" w:eastAsia="en-GB" w:bidi="en-GB"/>
              </w:rPr>
              <w:t>I</w:t>
            </w:r>
            <w:r w:rsidR="0069123B" w:rsidRPr="0069123B">
              <w:rPr>
                <w:rFonts w:ascii="Verdana" w:hAnsi="Verdana"/>
                <w:color w:val="000000"/>
                <w:sz w:val="20"/>
                <w:szCs w:val="20"/>
                <w:lang w:val="en-GB" w:eastAsia="en-GB" w:bidi="en-GB"/>
              </w:rPr>
              <w:t>n view of the high background values of iodine in air, emission to air resulting from application of iodine as disinfectant is not considered to be relevant. This approach is in line with the one taken in the Assessment Report. A risk assessment for the atmosphere is therefore not considered necessary.</w:t>
            </w:r>
          </w:p>
        </w:tc>
      </w:tr>
    </w:tbl>
    <w:p w14:paraId="7341C148" w14:textId="77777777" w:rsidR="0069123B" w:rsidRDefault="0069123B">
      <w:pPr>
        <w:spacing w:before="60" w:line="276" w:lineRule="auto"/>
        <w:ind w:left="142"/>
        <w:rPr>
          <w:rFonts w:ascii="Times New Roman" w:eastAsia="Calibri" w:hAnsi="Times New Roman" w:cs="Times New Roman"/>
          <w:i/>
          <w:lang w:eastAsia="en-US"/>
        </w:rPr>
        <w:sectPr w:rsidR="0069123B" w:rsidSect="00170391">
          <w:pgSz w:w="11906" w:h="16838"/>
          <w:pgMar w:top="1474" w:right="1247" w:bottom="2013" w:left="1446" w:header="850" w:footer="850" w:gutter="0"/>
          <w:cols w:space="720"/>
          <w:docGrid w:linePitch="272"/>
        </w:sectPr>
      </w:pPr>
    </w:p>
    <w:tbl>
      <w:tblPr>
        <w:tblStyle w:val="Grilledutableau1"/>
        <w:tblW w:w="14175" w:type="dxa"/>
        <w:shd w:val="clear" w:color="auto" w:fill="D6E3BC" w:themeFill="accent3" w:themeFillTint="66"/>
        <w:tblLayout w:type="fixed"/>
        <w:tblLook w:val="04A0" w:firstRow="1" w:lastRow="0" w:firstColumn="1" w:lastColumn="0" w:noHBand="0" w:noVBand="1"/>
      </w:tblPr>
      <w:tblGrid>
        <w:gridCol w:w="14175"/>
      </w:tblGrid>
      <w:tr w:rsidR="0069123B" w:rsidRPr="0069123B" w14:paraId="481F495B" w14:textId="77777777" w:rsidTr="008B4D23">
        <w:trPr>
          <w:trHeight w:val="5336"/>
        </w:trPr>
        <w:tc>
          <w:tcPr>
            <w:tcW w:w="14742" w:type="dxa"/>
            <w:shd w:val="clear" w:color="auto" w:fill="D6E3BC" w:themeFill="accent3" w:themeFillTint="66"/>
          </w:tcPr>
          <w:p w14:paraId="3CA0DE38" w14:textId="77777777" w:rsidR="0069123B" w:rsidRPr="0069123B" w:rsidRDefault="0069123B" w:rsidP="0069123B">
            <w:pPr>
              <w:suppressAutoHyphens w:val="0"/>
              <w:spacing w:line="276" w:lineRule="auto"/>
              <w:jc w:val="both"/>
              <w:rPr>
                <w:rFonts w:cs="Arial"/>
                <w:b/>
                <w:lang w:val="sv-SE" w:eastAsia="sv-SE"/>
              </w:rPr>
            </w:pPr>
            <w:r w:rsidRPr="0069123B">
              <w:rPr>
                <w:rFonts w:cs="Arial"/>
                <w:b/>
                <w:lang w:val="sv-SE" w:eastAsia="sv-SE"/>
              </w:rPr>
              <w:lastRenderedPageBreak/>
              <w:t xml:space="preserve">Infobox </w:t>
            </w:r>
            <w:r w:rsidRPr="0069123B">
              <w:rPr>
                <w:rFonts w:cs="Arial"/>
                <w:b/>
                <w:lang w:val="sv-SE" w:eastAsia="sv-SE"/>
              </w:rPr>
              <w:fldChar w:fldCharType="begin"/>
            </w:r>
            <w:r w:rsidRPr="0069123B">
              <w:rPr>
                <w:rFonts w:cs="Arial"/>
                <w:b/>
                <w:lang w:val="sv-SE" w:eastAsia="sv-SE"/>
              </w:rPr>
              <w:instrText xml:space="preserve"> SEQ Infobox \* ARABIC </w:instrText>
            </w:r>
            <w:r w:rsidRPr="0069123B">
              <w:rPr>
                <w:rFonts w:cs="Arial"/>
                <w:b/>
                <w:lang w:val="sv-SE" w:eastAsia="sv-SE"/>
              </w:rPr>
              <w:fldChar w:fldCharType="separate"/>
            </w:r>
            <w:r w:rsidR="00D3764E">
              <w:rPr>
                <w:rFonts w:cs="Arial"/>
                <w:b/>
                <w:noProof/>
                <w:lang w:val="sv-SE" w:eastAsia="sv-SE"/>
              </w:rPr>
              <w:t>14</w:t>
            </w:r>
            <w:r w:rsidRPr="0069123B">
              <w:rPr>
                <w:rFonts w:cs="Arial"/>
                <w:b/>
                <w:lang w:val="sv-SE" w:eastAsia="sv-SE"/>
              </w:rPr>
              <w:fldChar w:fldCharType="end"/>
            </w:r>
            <w:r>
              <w:rPr>
                <w:rFonts w:cs="Arial"/>
                <w:b/>
                <w:lang w:val="sv-SE" w:eastAsia="sv-SE"/>
              </w:rPr>
              <w:t xml:space="preserve"> </w:t>
            </w:r>
            <w:r w:rsidRPr="0069123B">
              <w:rPr>
                <w:rFonts w:cs="Arial"/>
                <w:b/>
                <w:lang w:val="sv-SE" w:eastAsia="sv-SE"/>
              </w:rPr>
              <w:t>- FR CA position:</w:t>
            </w:r>
          </w:p>
          <w:p w14:paraId="0279D5F3" w14:textId="77777777" w:rsidR="0069123B" w:rsidRDefault="0069123B" w:rsidP="0069123B">
            <w:pPr>
              <w:shd w:val="clear" w:color="auto" w:fill="D6E3BC"/>
              <w:suppressAutoHyphens w:val="0"/>
              <w:jc w:val="both"/>
              <w:textAlignment w:val="baseline"/>
              <w:rPr>
                <w:rFonts w:eastAsia="Arial" w:cs="Arial"/>
                <w:b/>
                <w:bCs/>
                <w:color w:val="000000"/>
                <w:u w:val="single"/>
                <w:lang w:eastAsia="en-GB" w:bidi="en-GB"/>
              </w:rPr>
            </w:pPr>
            <w:r w:rsidRPr="008A2ABE">
              <w:rPr>
                <w:rFonts w:eastAsia="Arial" w:cs="Arial"/>
                <w:b/>
                <w:bCs/>
                <w:color w:val="000000"/>
                <w:u w:val="single"/>
                <w:lang w:eastAsia="en-GB" w:bidi="en-GB"/>
              </w:rPr>
              <w:t>Risk characterization</w:t>
            </w:r>
          </w:p>
          <w:p w14:paraId="17118952" w14:textId="77777777" w:rsidR="007A1BBD" w:rsidRPr="00705A8C" w:rsidRDefault="007A1BBD" w:rsidP="0069123B">
            <w:pPr>
              <w:shd w:val="clear" w:color="auto" w:fill="D6E3BC"/>
              <w:suppressAutoHyphens w:val="0"/>
              <w:jc w:val="both"/>
              <w:textAlignment w:val="baseline"/>
              <w:rPr>
                <w:rFonts w:cs="Times New Roman"/>
                <w:color w:val="000000"/>
                <w:sz w:val="18"/>
                <w:lang w:eastAsia="en-GB" w:bidi="en-GB"/>
              </w:rPr>
            </w:pPr>
          </w:p>
          <w:p w14:paraId="16CDD18E" w14:textId="77777777" w:rsidR="0069123B" w:rsidRDefault="0069123B" w:rsidP="0069123B">
            <w:pPr>
              <w:shd w:val="clear" w:color="auto" w:fill="D6E3BC"/>
              <w:suppressAutoHyphens w:val="0"/>
              <w:jc w:val="both"/>
              <w:textAlignment w:val="baseline"/>
              <w:rPr>
                <w:rFonts w:cs="Arial"/>
                <w:color w:val="000000"/>
                <w:sz w:val="20"/>
                <w:lang w:eastAsia="en-GB" w:bidi="en-GB"/>
              </w:rPr>
            </w:pPr>
            <w:r w:rsidRPr="00705A8C">
              <w:rPr>
                <w:rFonts w:cs="Arial"/>
                <w:color w:val="000000"/>
                <w:sz w:val="20"/>
                <w:lang w:eastAsia="en-GB" w:bidi="en-GB"/>
              </w:rPr>
              <w:t>The risk assessments via manure and STP are summarized in the table below. It should be noted that the nitrogen standard is the most relevant in Europe notably in France. So, for emission via manure, the PEC values were calculated for application to grassland and arable land on the nitrogen standard.</w:t>
            </w:r>
          </w:p>
          <w:p w14:paraId="70ECF8FE" w14:textId="77777777" w:rsidR="007A1BBD" w:rsidRPr="00705A8C" w:rsidRDefault="007A1BBD" w:rsidP="0069123B">
            <w:pPr>
              <w:shd w:val="clear" w:color="auto" w:fill="D6E3BC"/>
              <w:suppressAutoHyphens w:val="0"/>
              <w:jc w:val="both"/>
              <w:textAlignment w:val="baseline"/>
              <w:rPr>
                <w:rFonts w:cs="Arial"/>
                <w:color w:val="000000"/>
                <w:sz w:val="16"/>
                <w:lang w:eastAsia="en-GB" w:bidi="en-GB"/>
              </w:rPr>
            </w:pPr>
          </w:p>
          <w:tbl>
            <w:tblPr>
              <w:tblStyle w:val="Grilledutableau1"/>
              <w:tblW w:w="13495" w:type="dxa"/>
              <w:tblLayout w:type="fixed"/>
              <w:tblLook w:val="0200" w:firstRow="0" w:lastRow="0" w:firstColumn="0" w:lastColumn="0" w:noHBand="1" w:noVBand="0"/>
            </w:tblPr>
            <w:tblGrid>
              <w:gridCol w:w="1696"/>
              <w:gridCol w:w="1547"/>
              <w:gridCol w:w="1354"/>
              <w:gridCol w:w="1669"/>
              <w:gridCol w:w="1701"/>
              <w:gridCol w:w="1843"/>
              <w:gridCol w:w="1417"/>
              <w:gridCol w:w="2268"/>
            </w:tblGrid>
            <w:tr w:rsidR="0069123B" w:rsidRPr="0069123B" w14:paraId="35440CBA" w14:textId="77777777" w:rsidTr="001B3B87">
              <w:trPr>
                <w:trHeight w:val="60"/>
              </w:trPr>
              <w:tc>
                <w:tcPr>
                  <w:tcW w:w="13495" w:type="dxa"/>
                  <w:gridSpan w:val="8"/>
                  <w:shd w:val="clear" w:color="auto" w:fill="FFFFCC"/>
                </w:tcPr>
                <w:p w14:paraId="4E192242"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Summary table on calculated PEC/PNEC and background levels (as iodine)</w:t>
                  </w:r>
                </w:p>
              </w:tc>
            </w:tr>
            <w:tr w:rsidR="0069123B" w:rsidRPr="0069123B" w14:paraId="14D2CF58" w14:textId="77777777" w:rsidTr="001B3B87">
              <w:trPr>
                <w:trHeight w:val="60"/>
              </w:trPr>
              <w:tc>
                <w:tcPr>
                  <w:tcW w:w="1696" w:type="dxa"/>
                  <w:shd w:val="clear" w:color="auto" w:fill="FFFFFF" w:themeFill="background1"/>
                </w:tcPr>
                <w:p w14:paraId="0EA911BE"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p>
              </w:tc>
              <w:tc>
                <w:tcPr>
                  <w:tcW w:w="4570" w:type="dxa"/>
                  <w:gridSpan w:val="3"/>
                  <w:shd w:val="clear" w:color="auto" w:fill="FFFFFF" w:themeFill="background1"/>
                </w:tcPr>
                <w:p w14:paraId="071A5528"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Values for Iodine</w:t>
                  </w:r>
                  <w:r w:rsidRPr="0069123B">
                    <w:rPr>
                      <w:rFonts w:cs="Arial"/>
                      <w:b/>
                      <w:bCs/>
                      <w:color w:val="000000"/>
                      <w:sz w:val="18"/>
                      <w:szCs w:val="18"/>
                      <w:lang w:val="sv-SE" w:eastAsia="en-GB"/>
                    </w:rPr>
                    <w:tab/>
                  </w:r>
                </w:p>
              </w:tc>
              <w:tc>
                <w:tcPr>
                  <w:tcW w:w="3544" w:type="dxa"/>
                  <w:gridSpan w:val="2"/>
                  <w:shd w:val="clear" w:color="auto" w:fill="FFFFFF" w:themeFill="background1"/>
                </w:tcPr>
                <w:p w14:paraId="18419CAD"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Values for Iodide</w:t>
                  </w:r>
                  <w:r w:rsidRPr="0069123B">
                    <w:rPr>
                      <w:rFonts w:cs="Arial"/>
                      <w:b/>
                      <w:bCs/>
                      <w:color w:val="000000"/>
                      <w:sz w:val="18"/>
                      <w:szCs w:val="18"/>
                      <w:lang w:val="sv-SE" w:eastAsia="en-GB"/>
                    </w:rPr>
                    <w:tab/>
                  </w:r>
                </w:p>
              </w:tc>
              <w:tc>
                <w:tcPr>
                  <w:tcW w:w="3685" w:type="dxa"/>
                  <w:gridSpan w:val="2"/>
                  <w:shd w:val="clear" w:color="auto" w:fill="FFFFFF" w:themeFill="background1"/>
                </w:tcPr>
                <w:p w14:paraId="282454B8"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Values for Iodate</w:t>
                  </w:r>
                </w:p>
              </w:tc>
            </w:tr>
            <w:tr w:rsidR="0069123B" w:rsidRPr="0069123B" w14:paraId="6A6C3D64" w14:textId="77777777" w:rsidTr="001B3B87">
              <w:trPr>
                <w:trHeight w:val="109"/>
              </w:trPr>
              <w:tc>
                <w:tcPr>
                  <w:tcW w:w="1696" w:type="dxa"/>
                  <w:shd w:val="clear" w:color="auto" w:fill="FFFFFF" w:themeFill="background1"/>
                </w:tcPr>
                <w:p w14:paraId="766914CB" w14:textId="77777777" w:rsidR="0069123B" w:rsidRPr="0069123B" w:rsidRDefault="0069123B" w:rsidP="0069123B">
                  <w:pPr>
                    <w:suppressAutoHyphens w:val="0"/>
                    <w:autoSpaceDE w:val="0"/>
                    <w:autoSpaceDN w:val="0"/>
                    <w:adjustRightInd w:val="0"/>
                    <w:spacing w:before="60" w:after="60" w:line="260" w:lineRule="atLeast"/>
                    <w:rPr>
                      <w:rFonts w:cs="Arial"/>
                      <w:b/>
                      <w:bCs/>
                      <w:color w:val="000000"/>
                      <w:sz w:val="18"/>
                      <w:szCs w:val="18"/>
                      <w:lang w:val="sv-SE" w:eastAsia="en-GB"/>
                    </w:rPr>
                  </w:pPr>
                </w:p>
              </w:tc>
              <w:tc>
                <w:tcPr>
                  <w:tcW w:w="1547" w:type="dxa"/>
                  <w:shd w:val="clear" w:color="auto" w:fill="FFFFFF" w:themeFill="background1"/>
                  <w:vAlign w:val="center"/>
                </w:tcPr>
                <w:p w14:paraId="384FA7EF"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Background</w:t>
                  </w:r>
                </w:p>
                <w:p w14:paraId="62EA3CC9"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Times New Roman"/>
                      <w:sz w:val="16"/>
                      <w:szCs w:val="16"/>
                      <w:lang w:val="sv-SE" w:eastAsia="sv-SE"/>
                    </w:rPr>
                    <w:t>(µg.L</w:t>
                  </w:r>
                  <w:r w:rsidRPr="0069123B">
                    <w:rPr>
                      <w:rFonts w:cs="Times New Roman"/>
                      <w:sz w:val="16"/>
                      <w:szCs w:val="16"/>
                      <w:vertAlign w:val="superscript"/>
                      <w:lang w:val="sv-SE" w:eastAsia="sv-SE"/>
                    </w:rPr>
                    <w:t>-1</w:t>
                  </w:r>
                  <w:r w:rsidRPr="0069123B">
                    <w:rPr>
                      <w:rFonts w:cs="Times New Roman"/>
                      <w:sz w:val="16"/>
                      <w:szCs w:val="16"/>
                      <w:lang w:val="sv-SE" w:eastAsia="sv-SE"/>
                    </w:rPr>
                    <w:t xml:space="preserve"> or mg.kg</w:t>
                  </w:r>
                  <w:r w:rsidRPr="0069123B">
                    <w:rPr>
                      <w:rFonts w:cs="Times New Roman"/>
                      <w:sz w:val="16"/>
                      <w:szCs w:val="16"/>
                      <w:vertAlign w:val="subscript"/>
                      <w:lang w:val="sv-SE" w:eastAsia="sv-SE"/>
                    </w:rPr>
                    <w:t>wwt</w:t>
                  </w:r>
                  <w:r w:rsidRPr="0069123B">
                    <w:rPr>
                      <w:rFonts w:cs="Times New Roman"/>
                      <w:sz w:val="16"/>
                      <w:szCs w:val="16"/>
                      <w:lang w:val="sv-SE" w:eastAsia="sv-SE"/>
                    </w:rPr>
                    <w:t xml:space="preserve"> )</w:t>
                  </w:r>
                </w:p>
              </w:tc>
              <w:tc>
                <w:tcPr>
                  <w:tcW w:w="1354" w:type="dxa"/>
                  <w:shd w:val="clear" w:color="auto" w:fill="FFFFFF" w:themeFill="background1"/>
                  <w:vAlign w:val="center"/>
                </w:tcPr>
                <w:p w14:paraId="4F2AD75E"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PEC</w:t>
                  </w:r>
                </w:p>
                <w:p w14:paraId="3994FDA7"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Times New Roman"/>
                      <w:sz w:val="16"/>
                      <w:szCs w:val="16"/>
                      <w:lang w:val="sv-SE" w:eastAsia="sv-SE"/>
                    </w:rPr>
                    <w:t>(µg.L</w:t>
                  </w:r>
                  <w:r w:rsidRPr="0069123B">
                    <w:rPr>
                      <w:rFonts w:cs="Times New Roman"/>
                      <w:sz w:val="16"/>
                      <w:szCs w:val="16"/>
                      <w:vertAlign w:val="superscript"/>
                      <w:lang w:val="sv-SE" w:eastAsia="sv-SE"/>
                    </w:rPr>
                    <w:t>-1</w:t>
                  </w:r>
                  <w:r w:rsidRPr="0069123B">
                    <w:rPr>
                      <w:rFonts w:cs="Times New Roman"/>
                      <w:sz w:val="16"/>
                      <w:szCs w:val="16"/>
                      <w:lang w:val="sv-SE" w:eastAsia="sv-SE"/>
                    </w:rPr>
                    <w:t xml:space="preserve"> or mg.kg</w:t>
                  </w:r>
                  <w:r w:rsidRPr="0069123B">
                    <w:rPr>
                      <w:rFonts w:cs="Times New Roman"/>
                      <w:sz w:val="16"/>
                      <w:szCs w:val="16"/>
                      <w:vertAlign w:val="subscript"/>
                      <w:lang w:val="sv-SE" w:eastAsia="sv-SE"/>
                    </w:rPr>
                    <w:t>wwt</w:t>
                  </w:r>
                  <w:r w:rsidRPr="0069123B">
                    <w:rPr>
                      <w:rFonts w:cs="Times New Roman"/>
                      <w:sz w:val="16"/>
                      <w:szCs w:val="16"/>
                      <w:lang w:val="sv-SE" w:eastAsia="sv-SE"/>
                    </w:rPr>
                    <w:t xml:space="preserve"> )</w:t>
                  </w:r>
                </w:p>
              </w:tc>
              <w:tc>
                <w:tcPr>
                  <w:tcW w:w="1669" w:type="dxa"/>
                  <w:shd w:val="clear" w:color="auto" w:fill="FFFFFF" w:themeFill="background1"/>
                  <w:vAlign w:val="center"/>
                </w:tcPr>
                <w:p w14:paraId="23D3B49B"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PEC/PNEC</w:t>
                  </w:r>
                </w:p>
              </w:tc>
              <w:tc>
                <w:tcPr>
                  <w:tcW w:w="1701" w:type="dxa"/>
                  <w:shd w:val="clear" w:color="auto" w:fill="FFFFFF" w:themeFill="background1"/>
                  <w:vAlign w:val="center"/>
                </w:tcPr>
                <w:p w14:paraId="0BC455FC"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PEC</w:t>
                  </w:r>
                </w:p>
                <w:p w14:paraId="06235674"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Times New Roman"/>
                      <w:sz w:val="16"/>
                      <w:szCs w:val="16"/>
                      <w:lang w:val="sv-SE" w:eastAsia="sv-SE"/>
                    </w:rPr>
                    <w:t>(µg.L</w:t>
                  </w:r>
                  <w:r w:rsidRPr="0069123B">
                    <w:rPr>
                      <w:rFonts w:cs="Times New Roman"/>
                      <w:sz w:val="16"/>
                      <w:szCs w:val="16"/>
                      <w:vertAlign w:val="superscript"/>
                      <w:lang w:val="sv-SE" w:eastAsia="sv-SE"/>
                    </w:rPr>
                    <w:t>-1</w:t>
                  </w:r>
                  <w:r w:rsidRPr="0069123B">
                    <w:rPr>
                      <w:rFonts w:cs="Times New Roman"/>
                      <w:sz w:val="16"/>
                      <w:szCs w:val="16"/>
                      <w:lang w:val="sv-SE" w:eastAsia="sv-SE"/>
                    </w:rPr>
                    <w:t xml:space="preserve"> or mg.kg</w:t>
                  </w:r>
                  <w:r w:rsidRPr="0069123B">
                    <w:rPr>
                      <w:rFonts w:cs="Times New Roman"/>
                      <w:sz w:val="16"/>
                      <w:szCs w:val="16"/>
                      <w:vertAlign w:val="subscript"/>
                      <w:lang w:val="sv-SE" w:eastAsia="sv-SE"/>
                    </w:rPr>
                    <w:t>wwt</w:t>
                  </w:r>
                  <w:r w:rsidRPr="0069123B">
                    <w:rPr>
                      <w:rFonts w:cs="Times New Roman"/>
                      <w:sz w:val="16"/>
                      <w:szCs w:val="16"/>
                      <w:lang w:val="sv-SE" w:eastAsia="sv-SE"/>
                    </w:rPr>
                    <w:t xml:space="preserve"> )</w:t>
                  </w:r>
                </w:p>
              </w:tc>
              <w:tc>
                <w:tcPr>
                  <w:tcW w:w="1843" w:type="dxa"/>
                  <w:shd w:val="clear" w:color="auto" w:fill="FFFFFF" w:themeFill="background1"/>
                  <w:vAlign w:val="center"/>
                </w:tcPr>
                <w:p w14:paraId="14B85292"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PEC/PNEC</w:t>
                  </w:r>
                </w:p>
              </w:tc>
              <w:tc>
                <w:tcPr>
                  <w:tcW w:w="1417" w:type="dxa"/>
                  <w:shd w:val="clear" w:color="auto" w:fill="FFFFFF" w:themeFill="background1"/>
                  <w:vAlign w:val="center"/>
                </w:tcPr>
                <w:p w14:paraId="7E4467E1"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PEC</w:t>
                  </w:r>
                </w:p>
                <w:p w14:paraId="21520F76"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Times New Roman"/>
                      <w:sz w:val="16"/>
                      <w:szCs w:val="16"/>
                      <w:lang w:val="sv-SE" w:eastAsia="sv-SE"/>
                    </w:rPr>
                    <w:t>(µg.L</w:t>
                  </w:r>
                  <w:r w:rsidRPr="0069123B">
                    <w:rPr>
                      <w:rFonts w:cs="Times New Roman"/>
                      <w:sz w:val="16"/>
                      <w:szCs w:val="16"/>
                      <w:vertAlign w:val="superscript"/>
                      <w:lang w:val="sv-SE" w:eastAsia="sv-SE"/>
                    </w:rPr>
                    <w:t>-1</w:t>
                  </w:r>
                  <w:r w:rsidRPr="0069123B">
                    <w:rPr>
                      <w:rFonts w:cs="Times New Roman"/>
                      <w:sz w:val="16"/>
                      <w:szCs w:val="16"/>
                      <w:lang w:val="sv-SE" w:eastAsia="sv-SE"/>
                    </w:rPr>
                    <w:t xml:space="preserve"> or mg.kg</w:t>
                  </w:r>
                  <w:r w:rsidRPr="0069123B">
                    <w:rPr>
                      <w:rFonts w:cs="Times New Roman"/>
                      <w:sz w:val="16"/>
                      <w:szCs w:val="16"/>
                      <w:vertAlign w:val="subscript"/>
                      <w:lang w:val="sv-SE" w:eastAsia="sv-SE"/>
                    </w:rPr>
                    <w:t>wwt</w:t>
                  </w:r>
                  <w:r w:rsidRPr="0069123B">
                    <w:rPr>
                      <w:rFonts w:cs="Times New Roman"/>
                      <w:sz w:val="16"/>
                      <w:szCs w:val="16"/>
                      <w:lang w:val="sv-SE" w:eastAsia="sv-SE"/>
                    </w:rPr>
                    <w:t xml:space="preserve"> )</w:t>
                  </w:r>
                </w:p>
              </w:tc>
              <w:tc>
                <w:tcPr>
                  <w:tcW w:w="2268" w:type="dxa"/>
                  <w:shd w:val="clear" w:color="auto" w:fill="FFFFFF" w:themeFill="background1"/>
                  <w:vAlign w:val="center"/>
                </w:tcPr>
                <w:p w14:paraId="6427EAEC" w14:textId="77777777" w:rsidR="0069123B" w:rsidRPr="0069123B" w:rsidRDefault="0069123B" w:rsidP="0069123B">
                  <w:pPr>
                    <w:suppressAutoHyphens w:val="0"/>
                    <w:autoSpaceDE w:val="0"/>
                    <w:autoSpaceDN w:val="0"/>
                    <w:adjustRightInd w:val="0"/>
                    <w:spacing w:before="60" w:after="60" w:line="260" w:lineRule="atLeast"/>
                    <w:jc w:val="center"/>
                    <w:rPr>
                      <w:rFonts w:cs="Arial"/>
                      <w:b/>
                      <w:bCs/>
                      <w:color w:val="000000"/>
                      <w:sz w:val="18"/>
                      <w:szCs w:val="18"/>
                      <w:lang w:val="sv-SE" w:eastAsia="en-GB"/>
                    </w:rPr>
                  </w:pPr>
                  <w:r w:rsidRPr="0069123B">
                    <w:rPr>
                      <w:rFonts w:cs="Arial"/>
                      <w:b/>
                      <w:bCs/>
                      <w:color w:val="000000"/>
                      <w:sz w:val="18"/>
                      <w:szCs w:val="18"/>
                      <w:lang w:val="sv-SE" w:eastAsia="en-GB"/>
                    </w:rPr>
                    <w:t>PEC/PNEC</w:t>
                  </w:r>
                </w:p>
              </w:tc>
            </w:tr>
            <w:tr w:rsidR="0069123B" w:rsidRPr="0069123B" w14:paraId="170360B8" w14:textId="77777777" w:rsidTr="001B3B87">
              <w:trPr>
                <w:trHeight w:val="44"/>
              </w:trPr>
              <w:tc>
                <w:tcPr>
                  <w:tcW w:w="13495" w:type="dxa"/>
                  <w:gridSpan w:val="8"/>
                  <w:shd w:val="clear" w:color="auto" w:fill="FFFFFF" w:themeFill="background1"/>
                </w:tcPr>
                <w:p w14:paraId="557C277A" w14:textId="77777777" w:rsidR="0069123B" w:rsidRPr="0069123B" w:rsidRDefault="0069123B" w:rsidP="0069123B">
                  <w:pPr>
                    <w:suppressAutoHyphens w:val="0"/>
                    <w:autoSpaceDE w:val="0"/>
                    <w:autoSpaceDN w:val="0"/>
                    <w:adjustRightInd w:val="0"/>
                    <w:spacing w:before="60" w:after="60" w:line="260" w:lineRule="atLeast"/>
                    <w:rPr>
                      <w:rFonts w:cs="Arial"/>
                      <w:b/>
                      <w:color w:val="000000"/>
                      <w:sz w:val="18"/>
                      <w:szCs w:val="18"/>
                      <w:lang w:eastAsia="en-GB" w:bidi="en-GB"/>
                    </w:rPr>
                  </w:pPr>
                  <w:r w:rsidRPr="0069123B">
                    <w:rPr>
                      <w:rFonts w:cs="Arial"/>
                      <w:b/>
                      <w:sz w:val="18"/>
                      <w:szCs w:val="18"/>
                      <w:lang w:val="sv-SE" w:eastAsia="sv-SE"/>
                    </w:rPr>
                    <w:t>Via manure application (one year applications)</w:t>
                  </w:r>
                </w:p>
              </w:tc>
            </w:tr>
            <w:tr w:rsidR="0069123B" w:rsidRPr="0069123B" w14:paraId="364F523D" w14:textId="77777777" w:rsidTr="001B3B87">
              <w:trPr>
                <w:trHeight w:val="60"/>
              </w:trPr>
              <w:tc>
                <w:tcPr>
                  <w:tcW w:w="1696" w:type="dxa"/>
                  <w:shd w:val="clear" w:color="auto" w:fill="FFFFFF" w:themeFill="background1"/>
                </w:tcPr>
                <w:p w14:paraId="77A22DCF" w14:textId="77777777" w:rsidR="0069123B" w:rsidRPr="0069123B" w:rsidRDefault="0069123B"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Surface water grassland </w:t>
                  </w:r>
                  <w:r w:rsidRPr="0069123B">
                    <w:rPr>
                      <w:rFonts w:eastAsia="Arial" w:cs="Arial"/>
                      <w:sz w:val="16"/>
                      <w:szCs w:val="16"/>
                      <w:lang w:val="sv-SE" w:eastAsia="en-US"/>
                    </w:rPr>
                    <w:t>via run-off from soil</w:t>
                  </w:r>
                </w:p>
              </w:tc>
              <w:tc>
                <w:tcPr>
                  <w:tcW w:w="1547" w:type="dxa"/>
                  <w:vMerge w:val="restart"/>
                  <w:shd w:val="clear" w:color="auto" w:fill="FFFFFF" w:themeFill="background1"/>
                  <w:vAlign w:val="center"/>
                </w:tcPr>
                <w:p w14:paraId="23C45C88" w14:textId="77777777" w:rsidR="0069123B" w:rsidRPr="0069123B" w:rsidRDefault="0069123B" w:rsidP="0069123B">
                  <w:pPr>
                    <w:widowControl w:val="0"/>
                    <w:suppressAutoHyphens w:val="0"/>
                    <w:spacing w:before="100" w:beforeAutospacing="1" w:after="100" w:afterAutospacing="1"/>
                    <w:contextualSpacing/>
                    <w:jc w:val="center"/>
                    <w:rPr>
                      <w:rFonts w:eastAsia="Arial" w:cs="Arial"/>
                      <w:b/>
                      <w:lang w:val="en-US" w:eastAsia="en-US"/>
                    </w:rPr>
                  </w:pPr>
                  <w:r w:rsidRPr="0069123B">
                    <w:rPr>
                      <w:rFonts w:eastAsia="Arial" w:cs="Arial"/>
                      <w:sz w:val="18"/>
                      <w:szCs w:val="18"/>
                      <w:lang w:val="sv-SE" w:eastAsia="en-US"/>
                    </w:rPr>
                    <w:t>0.5-20</w:t>
                  </w:r>
                </w:p>
              </w:tc>
              <w:tc>
                <w:tcPr>
                  <w:tcW w:w="1354" w:type="dxa"/>
                  <w:shd w:val="clear" w:color="auto" w:fill="FFFFFF" w:themeFill="background1"/>
                  <w:vAlign w:val="center"/>
                </w:tcPr>
                <w:p w14:paraId="3F1E8A79"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color w:val="000000"/>
                      <w:lang w:val="fr-FR" w:eastAsia="en-US"/>
                    </w:rPr>
                  </w:pPr>
                  <w:r>
                    <w:rPr>
                      <w:rFonts w:eastAsia="Arial" w:cs="Arial"/>
                      <w:sz w:val="18"/>
                      <w:szCs w:val="18"/>
                      <w:lang w:val="sv-SE" w:eastAsia="en-US"/>
                    </w:rPr>
                    <w:t>2.61</w:t>
                  </w:r>
                  <w:r w:rsidR="0069123B" w:rsidRPr="0069123B">
                    <w:rPr>
                      <w:rFonts w:eastAsia="Arial" w:cs="Arial"/>
                      <w:sz w:val="18"/>
                      <w:szCs w:val="18"/>
                      <w:lang w:val="sv-SE" w:eastAsia="en-US"/>
                    </w:rPr>
                    <w:t>E-01</w:t>
                  </w:r>
                </w:p>
              </w:tc>
              <w:tc>
                <w:tcPr>
                  <w:tcW w:w="1669" w:type="dxa"/>
                  <w:shd w:val="clear" w:color="auto" w:fill="FFFFFF" w:themeFill="background1"/>
                  <w:vAlign w:val="center"/>
                </w:tcPr>
                <w:p w14:paraId="11B31F39" w14:textId="77777777" w:rsidR="0069123B"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4.43</w:t>
                  </w:r>
                  <w:r w:rsidR="0069123B" w:rsidRPr="0069123B">
                    <w:rPr>
                      <w:rFonts w:eastAsia="Arial" w:cs="Arial"/>
                      <w:sz w:val="18"/>
                      <w:szCs w:val="18"/>
                      <w:lang w:val="sv-SE" w:eastAsia="en-US"/>
                    </w:rPr>
                    <w:t>E-01</w:t>
                  </w:r>
                </w:p>
              </w:tc>
              <w:tc>
                <w:tcPr>
                  <w:tcW w:w="1701" w:type="dxa"/>
                  <w:shd w:val="clear" w:color="auto" w:fill="FFFFFF" w:themeFill="background1"/>
                  <w:vAlign w:val="center"/>
                </w:tcPr>
                <w:p w14:paraId="1FC18A54"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color w:val="000000"/>
                      <w:lang w:val="fr-FR" w:eastAsia="en-US"/>
                    </w:rPr>
                  </w:pPr>
                  <w:r>
                    <w:rPr>
                      <w:rFonts w:eastAsia="Arial" w:cs="Arial"/>
                      <w:sz w:val="18"/>
                      <w:szCs w:val="18"/>
                      <w:lang w:val="sv-SE" w:eastAsia="en-US"/>
                    </w:rPr>
                    <w:t>2.61</w:t>
                  </w:r>
                  <w:r w:rsidR="0069123B" w:rsidRPr="0069123B">
                    <w:rPr>
                      <w:rFonts w:eastAsia="Arial" w:cs="Arial"/>
                      <w:sz w:val="18"/>
                      <w:szCs w:val="18"/>
                      <w:lang w:val="sv-SE" w:eastAsia="en-US"/>
                    </w:rPr>
                    <w:t>E-01</w:t>
                  </w:r>
                </w:p>
              </w:tc>
              <w:tc>
                <w:tcPr>
                  <w:tcW w:w="1843" w:type="dxa"/>
                  <w:shd w:val="clear" w:color="auto" w:fill="FFFFFF" w:themeFill="background1"/>
                  <w:vAlign w:val="center"/>
                </w:tcPr>
                <w:p w14:paraId="5EE469F7" w14:textId="77777777" w:rsidR="0069123B"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3.15</w:t>
                  </w:r>
                  <w:r w:rsidR="0069123B" w:rsidRPr="0069123B">
                    <w:rPr>
                      <w:rFonts w:eastAsia="Arial" w:cs="Arial"/>
                      <w:sz w:val="18"/>
                      <w:szCs w:val="18"/>
                      <w:lang w:val="sv-SE" w:eastAsia="en-US"/>
                    </w:rPr>
                    <w:t>E-01</w:t>
                  </w:r>
                </w:p>
              </w:tc>
              <w:tc>
                <w:tcPr>
                  <w:tcW w:w="1417" w:type="dxa"/>
                  <w:shd w:val="clear" w:color="auto" w:fill="FFFFFF" w:themeFill="background1"/>
                  <w:vAlign w:val="center"/>
                </w:tcPr>
                <w:p w14:paraId="7BC2246F" w14:textId="77777777" w:rsidR="0069123B"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3.61</w:t>
                  </w:r>
                  <w:r w:rsidR="0069123B" w:rsidRPr="0069123B">
                    <w:rPr>
                      <w:rFonts w:cs="Arial"/>
                      <w:sz w:val="18"/>
                      <w:szCs w:val="18"/>
                      <w:lang w:val="sv-SE" w:eastAsia="en-US"/>
                    </w:rPr>
                    <w:t>E-01</w:t>
                  </w:r>
                </w:p>
              </w:tc>
              <w:tc>
                <w:tcPr>
                  <w:tcW w:w="2268" w:type="dxa"/>
                  <w:shd w:val="clear" w:color="auto" w:fill="FFFFFF" w:themeFill="background1"/>
                  <w:vAlign w:val="center"/>
                </w:tcPr>
                <w:p w14:paraId="61FCB241" w14:textId="77777777" w:rsidR="0069123B" w:rsidRPr="0069123B" w:rsidRDefault="0050289C"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6.18</w:t>
                  </w:r>
                  <w:r w:rsidR="0069123B" w:rsidRPr="0069123B">
                    <w:rPr>
                      <w:rFonts w:cs="Arial"/>
                      <w:sz w:val="18"/>
                      <w:szCs w:val="18"/>
                      <w:lang w:val="sv-SE" w:eastAsia="en-US"/>
                    </w:rPr>
                    <w:t>E-03</w:t>
                  </w:r>
                </w:p>
              </w:tc>
            </w:tr>
            <w:tr w:rsidR="0069123B" w:rsidRPr="0069123B" w14:paraId="6395CC37" w14:textId="77777777" w:rsidTr="001B3B87">
              <w:trPr>
                <w:trHeight w:val="60"/>
              </w:trPr>
              <w:tc>
                <w:tcPr>
                  <w:tcW w:w="1696" w:type="dxa"/>
                  <w:shd w:val="clear" w:color="auto" w:fill="FFFFFF" w:themeFill="background1"/>
                </w:tcPr>
                <w:p w14:paraId="1C12B3D9" w14:textId="77777777" w:rsidR="0069123B" w:rsidRPr="0069123B" w:rsidRDefault="0069123B" w:rsidP="0069123B">
                  <w:pPr>
                    <w:widowControl w:val="0"/>
                    <w:suppressAutoHyphens w:val="0"/>
                    <w:spacing w:before="100" w:beforeAutospacing="1" w:after="100" w:afterAutospacing="1"/>
                    <w:contextualSpacing/>
                    <w:rPr>
                      <w:rFonts w:eastAsia="Arial" w:cs="Arial"/>
                      <w:b/>
                      <w:sz w:val="18"/>
                      <w:szCs w:val="18"/>
                      <w:lang w:val="sv-SE" w:eastAsia="en-US"/>
                    </w:rPr>
                  </w:pPr>
                  <w:r w:rsidRPr="0069123B">
                    <w:rPr>
                      <w:rFonts w:eastAsia="Arial" w:cs="Arial"/>
                      <w:sz w:val="18"/>
                      <w:szCs w:val="18"/>
                      <w:lang w:val="sv-SE" w:eastAsia="en-US"/>
                    </w:rPr>
                    <w:t xml:space="preserve">Surface water arable </w:t>
                  </w:r>
                  <w:r w:rsidRPr="0069123B">
                    <w:rPr>
                      <w:rFonts w:eastAsia="Arial" w:cs="Arial"/>
                      <w:sz w:val="16"/>
                      <w:szCs w:val="16"/>
                      <w:lang w:val="sv-SE" w:eastAsia="en-US"/>
                    </w:rPr>
                    <w:t>via run-off from soil</w:t>
                  </w:r>
                </w:p>
              </w:tc>
              <w:tc>
                <w:tcPr>
                  <w:tcW w:w="1547" w:type="dxa"/>
                  <w:vMerge/>
                  <w:shd w:val="clear" w:color="auto" w:fill="FFFFFF" w:themeFill="background1"/>
                  <w:vAlign w:val="center"/>
                </w:tcPr>
                <w:p w14:paraId="148A3C77" w14:textId="77777777" w:rsidR="0069123B" w:rsidRPr="0069123B" w:rsidRDefault="0069123B" w:rsidP="0069123B">
                  <w:pPr>
                    <w:suppressAutoHyphens w:val="0"/>
                    <w:spacing w:before="100" w:beforeAutospacing="1" w:after="100" w:afterAutospacing="1"/>
                    <w:contextualSpacing/>
                    <w:jc w:val="center"/>
                    <w:rPr>
                      <w:rFonts w:cs="Arial"/>
                      <w:color w:val="000000"/>
                      <w:sz w:val="18"/>
                      <w:szCs w:val="18"/>
                      <w:lang w:val="sv-SE" w:eastAsia="sv-SE"/>
                    </w:rPr>
                  </w:pPr>
                </w:p>
              </w:tc>
              <w:tc>
                <w:tcPr>
                  <w:tcW w:w="1354" w:type="dxa"/>
                  <w:shd w:val="clear" w:color="auto" w:fill="FFFFFF" w:themeFill="background1"/>
                  <w:vAlign w:val="center"/>
                </w:tcPr>
                <w:p w14:paraId="163E504A"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color w:val="000000"/>
                      <w:lang w:val="sv-SE" w:eastAsia="en-US"/>
                    </w:rPr>
                  </w:pPr>
                  <w:r>
                    <w:rPr>
                      <w:rFonts w:eastAsia="Arial" w:cs="Arial"/>
                      <w:sz w:val="18"/>
                      <w:szCs w:val="18"/>
                      <w:lang w:val="sv-SE" w:eastAsia="en-US"/>
                    </w:rPr>
                    <w:t>6.54</w:t>
                  </w:r>
                  <w:r w:rsidR="0069123B" w:rsidRPr="0069123B">
                    <w:rPr>
                      <w:rFonts w:eastAsia="Arial" w:cs="Arial"/>
                      <w:sz w:val="18"/>
                      <w:szCs w:val="18"/>
                      <w:lang w:val="sv-SE" w:eastAsia="en-US"/>
                    </w:rPr>
                    <w:t>E-02</w:t>
                  </w:r>
                </w:p>
              </w:tc>
              <w:tc>
                <w:tcPr>
                  <w:tcW w:w="1669" w:type="dxa"/>
                  <w:shd w:val="clear" w:color="auto" w:fill="FFFFFF" w:themeFill="background1"/>
                  <w:vAlign w:val="center"/>
                </w:tcPr>
                <w:p w14:paraId="6F9ADD0E" w14:textId="77777777" w:rsidR="0069123B"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1.11</w:t>
                  </w:r>
                  <w:r w:rsidR="0069123B" w:rsidRPr="0069123B">
                    <w:rPr>
                      <w:rFonts w:eastAsia="Arial" w:cs="Arial"/>
                      <w:sz w:val="18"/>
                      <w:szCs w:val="18"/>
                      <w:lang w:val="sv-SE" w:eastAsia="en-US"/>
                    </w:rPr>
                    <w:t>E-0</w:t>
                  </w:r>
                  <w:r>
                    <w:rPr>
                      <w:rFonts w:eastAsia="Arial" w:cs="Arial"/>
                      <w:sz w:val="18"/>
                      <w:szCs w:val="18"/>
                      <w:lang w:val="sv-SE" w:eastAsia="en-US"/>
                    </w:rPr>
                    <w:t>1</w:t>
                  </w:r>
                </w:p>
              </w:tc>
              <w:tc>
                <w:tcPr>
                  <w:tcW w:w="1701" w:type="dxa"/>
                  <w:shd w:val="clear" w:color="auto" w:fill="FFFFFF" w:themeFill="background1"/>
                  <w:vAlign w:val="center"/>
                </w:tcPr>
                <w:p w14:paraId="231F4871"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6.54</w:t>
                  </w:r>
                  <w:r w:rsidR="0069123B" w:rsidRPr="0069123B">
                    <w:rPr>
                      <w:rFonts w:eastAsia="Arial" w:cs="Arial"/>
                      <w:sz w:val="18"/>
                      <w:szCs w:val="18"/>
                      <w:lang w:val="sv-SE" w:eastAsia="en-US"/>
                    </w:rPr>
                    <w:t>E-02</w:t>
                  </w:r>
                </w:p>
              </w:tc>
              <w:tc>
                <w:tcPr>
                  <w:tcW w:w="1843" w:type="dxa"/>
                  <w:shd w:val="clear" w:color="auto" w:fill="FFFFFF" w:themeFill="background1"/>
                  <w:vAlign w:val="center"/>
                </w:tcPr>
                <w:p w14:paraId="022ACF53" w14:textId="77777777" w:rsidR="0069123B"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7.87</w:t>
                  </w:r>
                  <w:r w:rsidR="0069123B" w:rsidRPr="0069123B">
                    <w:rPr>
                      <w:rFonts w:eastAsia="Arial" w:cs="Arial"/>
                      <w:sz w:val="18"/>
                      <w:szCs w:val="18"/>
                      <w:lang w:val="sv-SE" w:eastAsia="en-US"/>
                    </w:rPr>
                    <w:t>E-02</w:t>
                  </w:r>
                </w:p>
              </w:tc>
              <w:tc>
                <w:tcPr>
                  <w:tcW w:w="1417" w:type="dxa"/>
                  <w:shd w:val="clear" w:color="auto" w:fill="FFFFFF" w:themeFill="background1"/>
                  <w:vAlign w:val="center"/>
                </w:tcPr>
                <w:p w14:paraId="3F606670" w14:textId="77777777" w:rsidR="0069123B"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9.03</w:t>
                  </w:r>
                  <w:r w:rsidR="0069123B" w:rsidRPr="0069123B">
                    <w:rPr>
                      <w:rFonts w:cs="Arial"/>
                      <w:sz w:val="18"/>
                      <w:szCs w:val="18"/>
                      <w:lang w:val="sv-SE" w:eastAsia="en-US"/>
                    </w:rPr>
                    <w:t>E-02</w:t>
                  </w:r>
                </w:p>
              </w:tc>
              <w:tc>
                <w:tcPr>
                  <w:tcW w:w="2268" w:type="dxa"/>
                  <w:shd w:val="clear" w:color="auto" w:fill="FFFFFF" w:themeFill="background1"/>
                  <w:vAlign w:val="center"/>
                </w:tcPr>
                <w:p w14:paraId="7046B4DF" w14:textId="77777777" w:rsidR="0069123B" w:rsidRPr="0069123B" w:rsidRDefault="0050289C"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1.54</w:t>
                  </w:r>
                  <w:r w:rsidR="0069123B" w:rsidRPr="0069123B">
                    <w:rPr>
                      <w:rFonts w:cs="Arial"/>
                      <w:sz w:val="18"/>
                      <w:szCs w:val="18"/>
                      <w:lang w:val="sv-SE" w:eastAsia="en-US"/>
                    </w:rPr>
                    <w:t>E-0</w:t>
                  </w:r>
                  <w:r>
                    <w:rPr>
                      <w:rFonts w:cs="Arial"/>
                      <w:sz w:val="18"/>
                      <w:szCs w:val="18"/>
                      <w:lang w:val="sv-SE" w:eastAsia="en-US"/>
                    </w:rPr>
                    <w:t>3</w:t>
                  </w:r>
                </w:p>
              </w:tc>
            </w:tr>
            <w:tr w:rsidR="0069123B" w:rsidRPr="0069123B" w14:paraId="74FDE7BA" w14:textId="77777777" w:rsidTr="001B3B87">
              <w:trPr>
                <w:trHeight w:val="60"/>
              </w:trPr>
              <w:tc>
                <w:tcPr>
                  <w:tcW w:w="1696" w:type="dxa"/>
                  <w:shd w:val="clear" w:color="auto" w:fill="FFFFFF" w:themeFill="background1"/>
                </w:tcPr>
                <w:p w14:paraId="04C847E7" w14:textId="77777777" w:rsidR="0069123B" w:rsidRPr="0069123B" w:rsidRDefault="0069123B"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Soil grassland </w:t>
                  </w:r>
                </w:p>
              </w:tc>
              <w:tc>
                <w:tcPr>
                  <w:tcW w:w="1547" w:type="dxa"/>
                  <w:vMerge w:val="restart"/>
                  <w:shd w:val="clear" w:color="auto" w:fill="FFFFFF" w:themeFill="background1"/>
                  <w:vAlign w:val="center"/>
                </w:tcPr>
                <w:p w14:paraId="127B2E4E" w14:textId="77777777" w:rsidR="0069123B" w:rsidRPr="0069123B" w:rsidRDefault="0069123B" w:rsidP="0069123B">
                  <w:pPr>
                    <w:widowControl w:val="0"/>
                    <w:suppressAutoHyphens w:val="0"/>
                    <w:spacing w:before="100" w:beforeAutospacing="1" w:after="100" w:afterAutospacing="1"/>
                    <w:contextualSpacing/>
                    <w:jc w:val="center"/>
                    <w:rPr>
                      <w:rFonts w:eastAsia="Arial" w:cs="Arial"/>
                      <w:sz w:val="18"/>
                      <w:szCs w:val="18"/>
                      <w:lang w:val="sv-SE" w:eastAsia="en-US"/>
                    </w:rPr>
                  </w:pPr>
                  <w:r w:rsidRPr="0069123B">
                    <w:rPr>
                      <w:rFonts w:eastAsia="Arial" w:cs="Arial"/>
                      <w:sz w:val="18"/>
                      <w:szCs w:val="18"/>
                      <w:lang w:val="sv-SE" w:eastAsia="en-US"/>
                    </w:rPr>
                    <w:t>0.565-22.6</w:t>
                  </w:r>
                </w:p>
                <w:p w14:paraId="1AAC2175" w14:textId="77777777" w:rsidR="0069123B" w:rsidRPr="0069123B" w:rsidRDefault="0069123B" w:rsidP="0069123B">
                  <w:pPr>
                    <w:widowControl w:val="0"/>
                    <w:suppressAutoHyphens w:val="0"/>
                    <w:spacing w:before="100" w:beforeAutospacing="1" w:after="100" w:afterAutospacing="1"/>
                    <w:contextualSpacing/>
                    <w:jc w:val="center"/>
                    <w:rPr>
                      <w:rFonts w:eastAsia="Arial" w:cs="Arial"/>
                      <w:b/>
                      <w:lang w:val="sv-SE" w:eastAsia="en-US"/>
                    </w:rPr>
                  </w:pPr>
                  <w:r w:rsidRPr="0069123B">
                    <w:rPr>
                      <w:rFonts w:eastAsia="Arial" w:cs="Arial"/>
                      <w:sz w:val="18"/>
                      <w:szCs w:val="18"/>
                      <w:lang w:val="sv-SE" w:eastAsia="en-US"/>
                    </w:rPr>
                    <w:t>extremes up to 110.74</w:t>
                  </w:r>
                </w:p>
              </w:tc>
              <w:tc>
                <w:tcPr>
                  <w:tcW w:w="1354" w:type="dxa"/>
                  <w:shd w:val="clear" w:color="auto" w:fill="FFFFFF" w:themeFill="background1"/>
                  <w:vAlign w:val="center"/>
                </w:tcPr>
                <w:p w14:paraId="588C450B"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1.37</w:t>
                  </w:r>
                  <w:r w:rsidR="0069123B" w:rsidRPr="0069123B">
                    <w:rPr>
                      <w:rFonts w:eastAsia="Arial" w:cs="Arial"/>
                      <w:sz w:val="18"/>
                      <w:szCs w:val="18"/>
                      <w:lang w:val="sv-SE" w:eastAsia="en-US"/>
                    </w:rPr>
                    <w:t>E-0</w:t>
                  </w:r>
                  <w:r>
                    <w:rPr>
                      <w:rFonts w:eastAsia="Arial" w:cs="Arial"/>
                      <w:sz w:val="18"/>
                      <w:szCs w:val="18"/>
                      <w:lang w:val="sv-SE" w:eastAsia="en-US"/>
                    </w:rPr>
                    <w:t>2</w:t>
                  </w:r>
                </w:p>
              </w:tc>
              <w:tc>
                <w:tcPr>
                  <w:tcW w:w="1669" w:type="dxa"/>
                  <w:shd w:val="clear" w:color="auto" w:fill="FFFFFF" w:themeFill="background1"/>
                  <w:vAlign w:val="center"/>
                </w:tcPr>
                <w:p w14:paraId="18419209" w14:textId="77777777" w:rsid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1.16</w:t>
                  </w:r>
                </w:p>
                <w:p w14:paraId="268C3159" w14:textId="77777777" w:rsidR="0050289C"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sidRPr="0069123B">
                    <w:rPr>
                      <w:rFonts w:eastAsia="Arial" w:cs="Arial"/>
                      <w:sz w:val="18"/>
                      <w:szCs w:val="18"/>
                      <w:lang w:val="sv-SE" w:eastAsia="en-US"/>
                    </w:rPr>
                    <w:t>Lower to the background level</w:t>
                  </w:r>
                </w:p>
              </w:tc>
              <w:tc>
                <w:tcPr>
                  <w:tcW w:w="1701" w:type="dxa"/>
                  <w:shd w:val="clear" w:color="auto" w:fill="FFFFFF" w:themeFill="background1"/>
                  <w:vAlign w:val="center"/>
                </w:tcPr>
                <w:p w14:paraId="6B4DE125"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1.37</w:t>
                  </w:r>
                  <w:r w:rsidR="0069123B" w:rsidRPr="0069123B">
                    <w:rPr>
                      <w:rFonts w:eastAsia="Arial" w:cs="Arial"/>
                      <w:sz w:val="18"/>
                      <w:szCs w:val="18"/>
                      <w:lang w:val="sv-SE" w:eastAsia="en-US"/>
                    </w:rPr>
                    <w:t>E-0</w:t>
                  </w:r>
                  <w:r>
                    <w:rPr>
                      <w:rFonts w:eastAsia="Arial" w:cs="Arial"/>
                      <w:sz w:val="18"/>
                      <w:szCs w:val="18"/>
                      <w:lang w:val="sv-SE" w:eastAsia="en-US"/>
                    </w:rPr>
                    <w:t>2</w:t>
                  </w:r>
                </w:p>
              </w:tc>
              <w:tc>
                <w:tcPr>
                  <w:tcW w:w="1843" w:type="dxa"/>
                  <w:shd w:val="clear" w:color="auto" w:fill="FFFFFF" w:themeFill="background1"/>
                  <w:vAlign w:val="center"/>
                </w:tcPr>
                <w:p w14:paraId="25C34307" w14:textId="77777777" w:rsidR="0069123B"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3.18</w:t>
                  </w:r>
                  <w:r w:rsidR="0069123B" w:rsidRPr="0069123B">
                    <w:rPr>
                      <w:rFonts w:eastAsia="Arial" w:cs="Arial"/>
                      <w:sz w:val="18"/>
                      <w:szCs w:val="18"/>
                      <w:lang w:val="sv-SE" w:eastAsia="en-US"/>
                    </w:rPr>
                    <w:t xml:space="preserve">E+00 </w:t>
                  </w:r>
                </w:p>
                <w:p w14:paraId="4EEF1D50" w14:textId="77777777" w:rsidR="0069123B" w:rsidRPr="0069123B" w:rsidRDefault="0069123B" w:rsidP="0069123B">
                  <w:pPr>
                    <w:widowControl w:val="0"/>
                    <w:suppressAutoHyphens w:val="0"/>
                    <w:spacing w:before="100" w:beforeAutospacing="1" w:after="100" w:afterAutospacing="1"/>
                    <w:contextualSpacing/>
                    <w:jc w:val="center"/>
                    <w:rPr>
                      <w:rFonts w:eastAsia="Arial" w:cs="Arial"/>
                      <w:b/>
                      <w:sz w:val="18"/>
                      <w:szCs w:val="18"/>
                      <w:lang w:val="sv-SE" w:eastAsia="en-US"/>
                    </w:rPr>
                  </w:pPr>
                  <w:r w:rsidRPr="0069123B">
                    <w:rPr>
                      <w:rFonts w:eastAsia="Arial" w:cs="Arial"/>
                      <w:sz w:val="18"/>
                      <w:szCs w:val="18"/>
                      <w:lang w:val="sv-SE" w:eastAsia="en-US"/>
                    </w:rPr>
                    <w:t>Lower to the background level</w:t>
                  </w:r>
                </w:p>
              </w:tc>
              <w:tc>
                <w:tcPr>
                  <w:tcW w:w="1417" w:type="dxa"/>
                  <w:shd w:val="clear" w:color="auto" w:fill="FFFFFF" w:themeFill="background1"/>
                  <w:vAlign w:val="center"/>
                </w:tcPr>
                <w:p w14:paraId="464461A0"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1.</w:t>
                  </w:r>
                  <w:r w:rsidR="008C1D70">
                    <w:rPr>
                      <w:rFonts w:cs="Arial"/>
                      <w:sz w:val="18"/>
                      <w:szCs w:val="18"/>
                      <w:lang w:val="sv-SE" w:eastAsia="en-US"/>
                    </w:rPr>
                    <w:t>8</w:t>
                  </w:r>
                  <w:r w:rsidRPr="0069123B">
                    <w:rPr>
                      <w:rFonts w:cs="Arial"/>
                      <w:sz w:val="18"/>
                      <w:szCs w:val="18"/>
                      <w:lang w:val="sv-SE" w:eastAsia="en-US"/>
                    </w:rPr>
                    <w:t>9E-02</w:t>
                  </w:r>
                </w:p>
              </w:tc>
              <w:tc>
                <w:tcPr>
                  <w:tcW w:w="2268" w:type="dxa"/>
                  <w:shd w:val="clear" w:color="auto" w:fill="FFFFFF" w:themeFill="background1"/>
                  <w:vAlign w:val="center"/>
                </w:tcPr>
                <w:p w14:paraId="48620F9D" w14:textId="77777777" w:rsidR="0069123B" w:rsidRPr="0069123B" w:rsidRDefault="0050289C"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6.22</w:t>
                  </w:r>
                  <w:r w:rsidR="0069123B" w:rsidRPr="0069123B">
                    <w:rPr>
                      <w:rFonts w:cs="Arial"/>
                      <w:sz w:val="18"/>
                      <w:szCs w:val="18"/>
                      <w:lang w:val="sv-SE" w:eastAsia="en-US"/>
                    </w:rPr>
                    <w:t>E-02</w:t>
                  </w:r>
                </w:p>
              </w:tc>
            </w:tr>
            <w:tr w:rsidR="0069123B" w:rsidRPr="0069123B" w14:paraId="4845B16C" w14:textId="77777777" w:rsidTr="001B3B87">
              <w:trPr>
                <w:trHeight w:val="60"/>
              </w:trPr>
              <w:tc>
                <w:tcPr>
                  <w:tcW w:w="1696" w:type="dxa"/>
                  <w:shd w:val="clear" w:color="auto" w:fill="FFFFFF" w:themeFill="background1"/>
                </w:tcPr>
                <w:p w14:paraId="4BAFC7C6" w14:textId="77777777" w:rsidR="0069123B" w:rsidRPr="0069123B" w:rsidRDefault="0069123B" w:rsidP="0069123B">
                  <w:pPr>
                    <w:widowControl w:val="0"/>
                    <w:suppressAutoHyphens w:val="0"/>
                    <w:spacing w:before="100" w:beforeAutospacing="1" w:after="100" w:afterAutospacing="1"/>
                    <w:contextualSpacing/>
                    <w:rPr>
                      <w:rFonts w:eastAsia="Arial" w:cs="Arial"/>
                      <w:b/>
                      <w:sz w:val="18"/>
                      <w:szCs w:val="18"/>
                      <w:lang w:val="sv-SE" w:eastAsia="en-US"/>
                    </w:rPr>
                  </w:pPr>
                  <w:r w:rsidRPr="0069123B">
                    <w:rPr>
                      <w:rFonts w:eastAsia="Arial" w:cs="Arial"/>
                      <w:sz w:val="18"/>
                      <w:szCs w:val="18"/>
                      <w:lang w:val="sv-SE" w:eastAsia="en-US"/>
                    </w:rPr>
                    <w:t xml:space="preserve">Soil arable </w:t>
                  </w:r>
                </w:p>
              </w:tc>
              <w:tc>
                <w:tcPr>
                  <w:tcW w:w="1547" w:type="dxa"/>
                  <w:vMerge/>
                  <w:shd w:val="clear" w:color="auto" w:fill="FFFFFF" w:themeFill="background1"/>
                  <w:vAlign w:val="center"/>
                </w:tcPr>
                <w:p w14:paraId="318FE4DA" w14:textId="77777777" w:rsidR="0069123B" w:rsidRPr="0069123B" w:rsidRDefault="0069123B" w:rsidP="0069123B">
                  <w:pPr>
                    <w:suppressAutoHyphens w:val="0"/>
                    <w:spacing w:before="100" w:beforeAutospacing="1" w:after="100" w:afterAutospacing="1"/>
                    <w:contextualSpacing/>
                    <w:jc w:val="center"/>
                    <w:rPr>
                      <w:rFonts w:cs="Arial"/>
                      <w:b/>
                      <w:color w:val="000000"/>
                      <w:sz w:val="18"/>
                      <w:szCs w:val="18"/>
                      <w:lang w:val="sv-SE" w:eastAsia="sv-SE"/>
                    </w:rPr>
                  </w:pPr>
                </w:p>
              </w:tc>
              <w:tc>
                <w:tcPr>
                  <w:tcW w:w="1354" w:type="dxa"/>
                  <w:shd w:val="clear" w:color="auto" w:fill="FFFFFF" w:themeFill="background1"/>
                  <w:vAlign w:val="center"/>
                </w:tcPr>
                <w:p w14:paraId="784B4493"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3.42</w:t>
                  </w:r>
                  <w:r w:rsidR="0069123B" w:rsidRPr="0069123B">
                    <w:rPr>
                      <w:rFonts w:eastAsia="Arial" w:cs="Arial"/>
                      <w:sz w:val="18"/>
                      <w:szCs w:val="18"/>
                      <w:lang w:val="sv-SE" w:eastAsia="en-US"/>
                    </w:rPr>
                    <w:t>E-03</w:t>
                  </w:r>
                </w:p>
              </w:tc>
              <w:tc>
                <w:tcPr>
                  <w:tcW w:w="1669" w:type="dxa"/>
                  <w:shd w:val="clear" w:color="auto" w:fill="FFFFFF" w:themeFill="background1"/>
                  <w:vAlign w:val="center"/>
                </w:tcPr>
                <w:p w14:paraId="7A92C33E" w14:textId="77777777" w:rsidR="0069123B"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2.90</w:t>
                  </w:r>
                  <w:r w:rsidR="0069123B" w:rsidRPr="0069123B">
                    <w:rPr>
                      <w:rFonts w:eastAsia="Arial" w:cs="Arial"/>
                      <w:sz w:val="18"/>
                      <w:szCs w:val="18"/>
                      <w:lang w:val="sv-SE" w:eastAsia="en-US"/>
                    </w:rPr>
                    <w:t>E-01</w:t>
                  </w:r>
                </w:p>
              </w:tc>
              <w:tc>
                <w:tcPr>
                  <w:tcW w:w="1701" w:type="dxa"/>
                  <w:shd w:val="clear" w:color="auto" w:fill="FFFFFF" w:themeFill="background1"/>
                  <w:vAlign w:val="center"/>
                </w:tcPr>
                <w:p w14:paraId="6B592DDD"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3.42</w:t>
                  </w:r>
                  <w:r w:rsidR="0069123B" w:rsidRPr="0069123B">
                    <w:rPr>
                      <w:rFonts w:eastAsia="Arial" w:cs="Arial"/>
                      <w:sz w:val="18"/>
                      <w:szCs w:val="18"/>
                      <w:lang w:val="sv-SE" w:eastAsia="en-US"/>
                    </w:rPr>
                    <w:t>E-0</w:t>
                  </w:r>
                  <w:r w:rsidR="00D84518">
                    <w:rPr>
                      <w:rFonts w:eastAsia="Arial" w:cs="Arial"/>
                      <w:sz w:val="18"/>
                      <w:szCs w:val="18"/>
                      <w:lang w:val="sv-SE" w:eastAsia="en-US"/>
                    </w:rPr>
                    <w:t>3</w:t>
                  </w:r>
                </w:p>
              </w:tc>
              <w:tc>
                <w:tcPr>
                  <w:tcW w:w="1843" w:type="dxa"/>
                  <w:shd w:val="clear" w:color="auto" w:fill="FFFFFF" w:themeFill="background1"/>
                  <w:vAlign w:val="center"/>
                </w:tcPr>
                <w:p w14:paraId="5741595D" w14:textId="77777777" w:rsidR="0069123B"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7.96</w:t>
                  </w:r>
                  <w:r w:rsidR="0069123B" w:rsidRPr="0069123B">
                    <w:rPr>
                      <w:rFonts w:eastAsia="Arial" w:cs="Arial"/>
                      <w:sz w:val="18"/>
                      <w:szCs w:val="18"/>
                      <w:lang w:val="sv-SE" w:eastAsia="en-US"/>
                    </w:rPr>
                    <w:t>E-01</w:t>
                  </w:r>
                </w:p>
              </w:tc>
              <w:tc>
                <w:tcPr>
                  <w:tcW w:w="1417" w:type="dxa"/>
                  <w:shd w:val="clear" w:color="auto" w:fill="FFFFFF" w:themeFill="background1"/>
                  <w:vAlign w:val="center"/>
                </w:tcPr>
                <w:p w14:paraId="010E3C26" w14:textId="77777777" w:rsidR="0069123B"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4.73</w:t>
                  </w:r>
                  <w:r w:rsidR="0069123B" w:rsidRPr="0069123B">
                    <w:rPr>
                      <w:rFonts w:cs="Arial"/>
                      <w:sz w:val="18"/>
                      <w:szCs w:val="18"/>
                      <w:lang w:val="sv-SE" w:eastAsia="en-US"/>
                    </w:rPr>
                    <w:t>E-03</w:t>
                  </w:r>
                </w:p>
              </w:tc>
              <w:tc>
                <w:tcPr>
                  <w:tcW w:w="2268" w:type="dxa"/>
                  <w:shd w:val="clear" w:color="auto" w:fill="FFFFFF" w:themeFill="background1"/>
                  <w:vAlign w:val="center"/>
                </w:tcPr>
                <w:p w14:paraId="1A263ED8" w14:textId="77777777" w:rsidR="0069123B" w:rsidRPr="0069123B" w:rsidRDefault="0050289C"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1.56</w:t>
                  </w:r>
                  <w:r w:rsidR="0069123B" w:rsidRPr="0069123B">
                    <w:rPr>
                      <w:rFonts w:cs="Arial"/>
                      <w:sz w:val="18"/>
                      <w:szCs w:val="18"/>
                      <w:lang w:val="sv-SE" w:eastAsia="en-US"/>
                    </w:rPr>
                    <w:t>E-0</w:t>
                  </w:r>
                  <w:r>
                    <w:rPr>
                      <w:rFonts w:cs="Arial"/>
                      <w:sz w:val="18"/>
                      <w:szCs w:val="18"/>
                      <w:lang w:val="sv-SE" w:eastAsia="en-US"/>
                    </w:rPr>
                    <w:t>2</w:t>
                  </w:r>
                </w:p>
              </w:tc>
            </w:tr>
            <w:tr w:rsidR="0069123B" w:rsidRPr="0069123B" w14:paraId="2AF7E246" w14:textId="77777777" w:rsidTr="001B3B87">
              <w:trPr>
                <w:trHeight w:val="60"/>
              </w:trPr>
              <w:tc>
                <w:tcPr>
                  <w:tcW w:w="1696" w:type="dxa"/>
                  <w:shd w:val="clear" w:color="auto" w:fill="FFFFFF" w:themeFill="background1"/>
                </w:tcPr>
                <w:p w14:paraId="34B4501E" w14:textId="77777777" w:rsidR="0069123B" w:rsidRPr="0069123B" w:rsidRDefault="0069123B" w:rsidP="0069123B">
                  <w:pPr>
                    <w:widowControl w:val="0"/>
                    <w:suppressAutoHyphens w:val="0"/>
                    <w:spacing w:before="100" w:beforeAutospacing="1" w:after="100" w:afterAutospacing="1"/>
                    <w:contextualSpacing/>
                    <w:rPr>
                      <w:rFonts w:eastAsia="Arial" w:cs="Arial"/>
                      <w:b/>
                      <w:sz w:val="18"/>
                      <w:szCs w:val="18"/>
                      <w:lang w:val="sv-SE" w:eastAsia="en-US"/>
                    </w:rPr>
                  </w:pPr>
                  <w:r w:rsidRPr="0069123B">
                    <w:rPr>
                      <w:rFonts w:eastAsia="Arial" w:cs="Arial"/>
                      <w:sz w:val="18"/>
                      <w:szCs w:val="18"/>
                      <w:lang w:val="sv-SE" w:eastAsia="en-US"/>
                    </w:rPr>
                    <w:t xml:space="preserve">Groundwater grassland </w:t>
                  </w:r>
                </w:p>
              </w:tc>
              <w:tc>
                <w:tcPr>
                  <w:tcW w:w="1547" w:type="dxa"/>
                  <w:vMerge w:val="restart"/>
                  <w:shd w:val="clear" w:color="auto" w:fill="FFFFFF" w:themeFill="background1"/>
                  <w:vAlign w:val="center"/>
                </w:tcPr>
                <w:p w14:paraId="047262D2" w14:textId="77777777" w:rsidR="0069123B" w:rsidRPr="0069123B" w:rsidRDefault="0069123B" w:rsidP="0069123B">
                  <w:pPr>
                    <w:widowControl w:val="0"/>
                    <w:suppressAutoHyphens w:val="0"/>
                    <w:spacing w:before="100" w:beforeAutospacing="1" w:after="100" w:afterAutospacing="1"/>
                    <w:contextualSpacing/>
                    <w:jc w:val="center"/>
                    <w:rPr>
                      <w:rFonts w:eastAsia="Arial" w:cs="Arial"/>
                      <w:sz w:val="18"/>
                      <w:szCs w:val="18"/>
                      <w:lang w:val="sv-SE" w:eastAsia="en-US"/>
                    </w:rPr>
                  </w:pPr>
                  <w:r w:rsidRPr="0069123B">
                    <w:rPr>
                      <w:rFonts w:eastAsia="Arial" w:cs="Arial"/>
                      <w:sz w:val="18"/>
                      <w:szCs w:val="18"/>
                      <w:lang w:val="sv-SE" w:eastAsia="en-US"/>
                    </w:rPr>
                    <w:t>1-70</w:t>
                  </w:r>
                </w:p>
                <w:p w14:paraId="3345D68D" w14:textId="77777777" w:rsidR="0069123B" w:rsidRPr="0069123B" w:rsidRDefault="0069123B" w:rsidP="0069123B">
                  <w:pPr>
                    <w:widowControl w:val="0"/>
                    <w:suppressAutoHyphens w:val="0"/>
                    <w:spacing w:before="100" w:beforeAutospacing="1" w:after="100" w:afterAutospacing="1"/>
                    <w:contextualSpacing/>
                    <w:jc w:val="center"/>
                    <w:rPr>
                      <w:rFonts w:eastAsia="Arial" w:cs="Arial"/>
                      <w:b/>
                      <w:lang w:val="sv-SE" w:eastAsia="en-US"/>
                    </w:rPr>
                  </w:pPr>
                  <w:r w:rsidRPr="0069123B">
                    <w:rPr>
                      <w:rFonts w:eastAsia="Arial" w:cs="Arial"/>
                      <w:sz w:val="18"/>
                      <w:szCs w:val="18"/>
                      <w:lang w:val="sv-SE" w:eastAsia="en-US"/>
                    </w:rPr>
                    <w:t>extremes up to 400</w:t>
                  </w:r>
                </w:p>
              </w:tc>
              <w:tc>
                <w:tcPr>
                  <w:tcW w:w="1354" w:type="dxa"/>
                  <w:shd w:val="clear" w:color="auto" w:fill="FFFFFF" w:themeFill="background1"/>
                  <w:vAlign w:val="center"/>
                </w:tcPr>
                <w:p w14:paraId="1944A4E9"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2.61</w:t>
                  </w:r>
                  <w:r w:rsidR="0069123B" w:rsidRPr="0069123B">
                    <w:rPr>
                      <w:rFonts w:eastAsia="Arial" w:cs="Arial"/>
                      <w:sz w:val="18"/>
                      <w:szCs w:val="18"/>
                      <w:lang w:val="sv-SE" w:eastAsia="en-US"/>
                    </w:rPr>
                    <w:t>E+00</w:t>
                  </w:r>
                </w:p>
              </w:tc>
              <w:tc>
                <w:tcPr>
                  <w:tcW w:w="1669" w:type="dxa"/>
                  <w:shd w:val="clear" w:color="auto" w:fill="FFFFFF" w:themeFill="background1"/>
                  <w:vAlign w:val="center"/>
                </w:tcPr>
                <w:p w14:paraId="79772F45"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 xml:space="preserve">&gt; 0.1 µg/L </w:t>
                  </w:r>
                </w:p>
                <w:p w14:paraId="6C5D65D8"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701" w:type="dxa"/>
                  <w:shd w:val="clear" w:color="auto" w:fill="FFFFFF" w:themeFill="background1"/>
                  <w:vAlign w:val="center"/>
                </w:tcPr>
                <w:p w14:paraId="5619125E"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2.61</w:t>
                  </w:r>
                  <w:r w:rsidR="0069123B" w:rsidRPr="0069123B">
                    <w:rPr>
                      <w:rFonts w:eastAsia="Arial" w:cs="Arial"/>
                      <w:sz w:val="18"/>
                      <w:szCs w:val="18"/>
                      <w:lang w:val="sv-SE" w:eastAsia="en-US"/>
                    </w:rPr>
                    <w:t>E+00</w:t>
                  </w:r>
                </w:p>
              </w:tc>
              <w:tc>
                <w:tcPr>
                  <w:tcW w:w="1843" w:type="dxa"/>
                  <w:shd w:val="clear" w:color="auto" w:fill="FFFFFF" w:themeFill="background1"/>
                  <w:vAlign w:val="center"/>
                </w:tcPr>
                <w:p w14:paraId="1AE28694"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 xml:space="preserve">&gt; 0.1 µg/L </w:t>
                  </w:r>
                </w:p>
                <w:p w14:paraId="7F519ADA"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417" w:type="dxa"/>
                  <w:shd w:val="clear" w:color="auto" w:fill="FFFFFF" w:themeFill="background1"/>
                  <w:vAlign w:val="center"/>
                </w:tcPr>
                <w:p w14:paraId="78AE9B26" w14:textId="77777777" w:rsidR="0069123B" w:rsidRPr="0069123B" w:rsidRDefault="008C1D70"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3.61</w:t>
                  </w:r>
                  <w:r w:rsidR="0069123B" w:rsidRPr="0069123B">
                    <w:rPr>
                      <w:rFonts w:cs="Arial"/>
                      <w:sz w:val="18"/>
                      <w:szCs w:val="18"/>
                      <w:lang w:val="sv-SE" w:eastAsia="en-US"/>
                    </w:rPr>
                    <w:t xml:space="preserve">E+00 </w:t>
                  </w:r>
                </w:p>
              </w:tc>
              <w:tc>
                <w:tcPr>
                  <w:tcW w:w="2268" w:type="dxa"/>
                  <w:shd w:val="clear" w:color="auto" w:fill="FFFFFF" w:themeFill="background1"/>
                  <w:vAlign w:val="center"/>
                </w:tcPr>
                <w:p w14:paraId="5D82E7AE"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 xml:space="preserve">&gt; 0.1 µg/L </w:t>
                  </w:r>
                </w:p>
                <w:p w14:paraId="01FEE731"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r>
            <w:tr w:rsidR="0069123B" w:rsidRPr="0069123B" w14:paraId="6339B2A8" w14:textId="77777777" w:rsidTr="001B3B87">
              <w:trPr>
                <w:trHeight w:val="60"/>
              </w:trPr>
              <w:tc>
                <w:tcPr>
                  <w:tcW w:w="1696" w:type="dxa"/>
                  <w:shd w:val="clear" w:color="auto" w:fill="FFFFFF" w:themeFill="background1"/>
                </w:tcPr>
                <w:p w14:paraId="02B05600" w14:textId="77777777" w:rsidR="0069123B" w:rsidRPr="0069123B" w:rsidRDefault="0069123B"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Groundwater arable </w:t>
                  </w:r>
                </w:p>
              </w:tc>
              <w:tc>
                <w:tcPr>
                  <w:tcW w:w="1547" w:type="dxa"/>
                  <w:vMerge/>
                  <w:shd w:val="clear" w:color="auto" w:fill="FFFFFF" w:themeFill="background1"/>
                  <w:vAlign w:val="center"/>
                </w:tcPr>
                <w:p w14:paraId="41DFFBD1" w14:textId="77777777" w:rsidR="0069123B" w:rsidRPr="0069123B" w:rsidRDefault="0069123B" w:rsidP="0069123B">
                  <w:pPr>
                    <w:suppressAutoHyphens w:val="0"/>
                    <w:spacing w:before="100" w:beforeAutospacing="1" w:after="100" w:afterAutospacing="1"/>
                    <w:contextualSpacing/>
                    <w:jc w:val="center"/>
                    <w:rPr>
                      <w:rFonts w:cs="Arial"/>
                      <w:color w:val="000000"/>
                      <w:sz w:val="18"/>
                      <w:szCs w:val="18"/>
                      <w:lang w:val="sv-SE" w:eastAsia="sv-SE"/>
                    </w:rPr>
                  </w:pPr>
                </w:p>
              </w:tc>
              <w:tc>
                <w:tcPr>
                  <w:tcW w:w="1354" w:type="dxa"/>
                  <w:shd w:val="clear" w:color="auto" w:fill="FFFFFF" w:themeFill="background1"/>
                  <w:vAlign w:val="center"/>
                </w:tcPr>
                <w:p w14:paraId="48CC5526" w14:textId="77777777" w:rsidR="0069123B" w:rsidRPr="0069123B" w:rsidRDefault="00D3764E"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6.54</w:t>
                  </w:r>
                  <w:r w:rsidR="0069123B" w:rsidRPr="0069123B">
                    <w:rPr>
                      <w:rFonts w:eastAsia="Arial" w:cs="Arial"/>
                      <w:sz w:val="18"/>
                      <w:szCs w:val="18"/>
                      <w:lang w:val="sv-SE" w:eastAsia="en-US"/>
                    </w:rPr>
                    <w:t>E-01</w:t>
                  </w:r>
                </w:p>
              </w:tc>
              <w:tc>
                <w:tcPr>
                  <w:tcW w:w="1669" w:type="dxa"/>
                  <w:shd w:val="clear" w:color="auto" w:fill="FFFFFF" w:themeFill="background1"/>
                  <w:vAlign w:val="center"/>
                </w:tcPr>
                <w:p w14:paraId="61EB6393"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1E57F744"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Lower to the background level</w:t>
                  </w:r>
                </w:p>
              </w:tc>
              <w:tc>
                <w:tcPr>
                  <w:tcW w:w="1701" w:type="dxa"/>
                  <w:shd w:val="clear" w:color="auto" w:fill="FFFFFF" w:themeFill="background1"/>
                  <w:vAlign w:val="center"/>
                </w:tcPr>
                <w:p w14:paraId="2FB59EA8" w14:textId="77777777" w:rsidR="0069123B"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6.54</w:t>
                  </w:r>
                  <w:r w:rsidR="0069123B" w:rsidRPr="0069123B">
                    <w:rPr>
                      <w:rFonts w:eastAsia="Arial" w:cs="Arial"/>
                      <w:sz w:val="18"/>
                      <w:szCs w:val="18"/>
                      <w:lang w:val="sv-SE" w:eastAsia="en-US"/>
                    </w:rPr>
                    <w:t>E-01</w:t>
                  </w:r>
                </w:p>
              </w:tc>
              <w:tc>
                <w:tcPr>
                  <w:tcW w:w="1843" w:type="dxa"/>
                  <w:shd w:val="clear" w:color="auto" w:fill="FFFFFF" w:themeFill="background1"/>
                  <w:vAlign w:val="center"/>
                </w:tcPr>
                <w:p w14:paraId="65945A49"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075898C3"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Lower to the background level</w:t>
                  </w:r>
                </w:p>
              </w:tc>
              <w:tc>
                <w:tcPr>
                  <w:tcW w:w="1417" w:type="dxa"/>
                  <w:shd w:val="clear" w:color="auto" w:fill="FFFFFF" w:themeFill="background1"/>
                  <w:vAlign w:val="center"/>
                </w:tcPr>
                <w:p w14:paraId="6CE91614" w14:textId="77777777" w:rsidR="0069123B" w:rsidRPr="0069123B" w:rsidRDefault="008C1D70"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9.03</w:t>
                  </w:r>
                  <w:r w:rsidR="0069123B" w:rsidRPr="0069123B">
                    <w:rPr>
                      <w:rFonts w:cs="Arial"/>
                      <w:sz w:val="18"/>
                      <w:szCs w:val="18"/>
                      <w:lang w:val="sv-SE" w:eastAsia="en-US"/>
                    </w:rPr>
                    <w:t>E-01</w:t>
                  </w:r>
                </w:p>
              </w:tc>
              <w:tc>
                <w:tcPr>
                  <w:tcW w:w="2268" w:type="dxa"/>
                  <w:shd w:val="clear" w:color="auto" w:fill="FFFFFF" w:themeFill="background1"/>
                  <w:vAlign w:val="center"/>
                </w:tcPr>
                <w:p w14:paraId="4500E1AB"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4DDE463F" w14:textId="77777777" w:rsidR="0069123B" w:rsidRPr="0069123B" w:rsidRDefault="0069123B"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Lower to the background level</w:t>
                  </w:r>
                </w:p>
              </w:tc>
            </w:tr>
            <w:tr w:rsidR="007A1BBD" w:rsidRPr="0069123B" w14:paraId="6C0667C4" w14:textId="77777777" w:rsidTr="00841FF5">
              <w:trPr>
                <w:trHeight w:val="425"/>
              </w:trPr>
              <w:tc>
                <w:tcPr>
                  <w:tcW w:w="13495" w:type="dxa"/>
                  <w:gridSpan w:val="8"/>
                  <w:shd w:val="clear" w:color="auto" w:fill="FFFFFF" w:themeFill="background1"/>
                </w:tcPr>
                <w:p w14:paraId="3787B3B8" w14:textId="77777777" w:rsidR="007A1BBD" w:rsidRPr="0069123B" w:rsidRDefault="007A1BBD" w:rsidP="00841FF5">
                  <w:pPr>
                    <w:suppressAutoHyphens w:val="0"/>
                    <w:spacing w:before="100" w:beforeAutospacing="1" w:after="100" w:afterAutospacing="1"/>
                    <w:contextualSpacing/>
                    <w:rPr>
                      <w:rFonts w:cs="Arial"/>
                      <w:sz w:val="18"/>
                      <w:szCs w:val="18"/>
                      <w:lang w:val="sv-SE" w:eastAsia="en-US"/>
                    </w:rPr>
                  </w:pPr>
                  <w:r w:rsidRPr="0069123B">
                    <w:rPr>
                      <w:rFonts w:cs="Arial"/>
                      <w:b/>
                      <w:sz w:val="18"/>
                      <w:szCs w:val="18"/>
                      <w:lang w:val="sv-SE" w:eastAsia="sv-SE"/>
                    </w:rPr>
                    <w:t>Via manure application (</w:t>
                  </w:r>
                  <w:r>
                    <w:rPr>
                      <w:rFonts w:cs="Arial"/>
                      <w:b/>
                      <w:sz w:val="18"/>
                      <w:szCs w:val="18"/>
                      <w:lang w:val="sv-SE" w:eastAsia="sv-SE"/>
                    </w:rPr>
                    <w:t>10</w:t>
                  </w:r>
                  <w:r w:rsidRPr="0069123B">
                    <w:rPr>
                      <w:rFonts w:cs="Arial"/>
                      <w:b/>
                      <w:sz w:val="18"/>
                      <w:szCs w:val="18"/>
                      <w:lang w:val="sv-SE" w:eastAsia="sv-SE"/>
                    </w:rPr>
                    <w:t xml:space="preserve"> year</w:t>
                  </w:r>
                  <w:r>
                    <w:rPr>
                      <w:rFonts w:cs="Arial"/>
                      <w:b/>
                      <w:sz w:val="18"/>
                      <w:szCs w:val="18"/>
                      <w:lang w:val="sv-SE" w:eastAsia="sv-SE"/>
                    </w:rPr>
                    <w:t>s</w:t>
                  </w:r>
                  <w:r w:rsidRPr="0069123B">
                    <w:rPr>
                      <w:rFonts w:cs="Arial"/>
                      <w:b/>
                      <w:sz w:val="18"/>
                      <w:szCs w:val="18"/>
                      <w:lang w:val="sv-SE" w:eastAsia="sv-SE"/>
                    </w:rPr>
                    <w:t xml:space="preserve"> applications)</w:t>
                  </w:r>
                </w:p>
              </w:tc>
            </w:tr>
            <w:tr w:rsidR="00DB3175" w:rsidRPr="0069123B" w14:paraId="132C26BD" w14:textId="77777777" w:rsidTr="001B3B87">
              <w:trPr>
                <w:trHeight w:val="60"/>
              </w:trPr>
              <w:tc>
                <w:tcPr>
                  <w:tcW w:w="1696" w:type="dxa"/>
                  <w:shd w:val="clear" w:color="auto" w:fill="FFFFFF" w:themeFill="background1"/>
                </w:tcPr>
                <w:p w14:paraId="4CC7C6CF"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Surface water grassland </w:t>
                  </w:r>
                  <w:r w:rsidRPr="0069123B">
                    <w:rPr>
                      <w:rFonts w:eastAsia="Arial" w:cs="Arial"/>
                      <w:sz w:val="16"/>
                      <w:szCs w:val="16"/>
                      <w:lang w:val="sv-SE" w:eastAsia="en-US"/>
                    </w:rPr>
                    <w:t>via run-off from soil</w:t>
                  </w:r>
                </w:p>
              </w:tc>
              <w:tc>
                <w:tcPr>
                  <w:tcW w:w="1547" w:type="dxa"/>
                  <w:vMerge w:val="restart"/>
                  <w:shd w:val="clear" w:color="auto" w:fill="FFFFFF" w:themeFill="background1"/>
                  <w:vAlign w:val="center"/>
                </w:tcPr>
                <w:p w14:paraId="2722CFBD"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r w:rsidRPr="0069123B">
                    <w:rPr>
                      <w:rFonts w:eastAsia="Arial" w:cs="Arial"/>
                      <w:sz w:val="18"/>
                      <w:szCs w:val="18"/>
                      <w:lang w:val="sv-SE" w:eastAsia="en-US"/>
                    </w:rPr>
                    <w:t>0.5-20</w:t>
                  </w:r>
                </w:p>
              </w:tc>
              <w:tc>
                <w:tcPr>
                  <w:tcW w:w="1354" w:type="dxa"/>
                  <w:shd w:val="clear" w:color="auto" w:fill="FFFFFF" w:themeFill="background1"/>
                  <w:vAlign w:val="center"/>
                </w:tcPr>
                <w:p w14:paraId="7D8845A5" w14:textId="77777777" w:rsidR="00F81B26" w:rsidRPr="0069123B" w:rsidRDefault="008C1D70" w:rsidP="00F81B26">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2.61</w:t>
                  </w:r>
                </w:p>
              </w:tc>
              <w:tc>
                <w:tcPr>
                  <w:tcW w:w="1669" w:type="dxa"/>
                  <w:shd w:val="clear" w:color="auto" w:fill="FFFFFF" w:themeFill="background1"/>
                  <w:vAlign w:val="center"/>
                </w:tcPr>
                <w:p w14:paraId="6FE4CFC9" w14:textId="77777777" w:rsidR="00DB3175" w:rsidRDefault="00506C18" w:rsidP="00DB3175">
                  <w:pPr>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4.43</w:t>
                  </w:r>
                </w:p>
                <w:p w14:paraId="3804542C" w14:textId="77777777" w:rsidR="00F81B26" w:rsidRPr="0069123B" w:rsidRDefault="00F81B26" w:rsidP="00DB3175">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701" w:type="dxa"/>
                  <w:shd w:val="clear" w:color="auto" w:fill="FFFFFF" w:themeFill="background1"/>
                  <w:vAlign w:val="center"/>
                </w:tcPr>
                <w:p w14:paraId="191DE318" w14:textId="77777777" w:rsidR="00F81B26" w:rsidRPr="0069123B" w:rsidRDefault="008C1D70" w:rsidP="00F81B26">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2.61</w:t>
                  </w:r>
                </w:p>
              </w:tc>
              <w:tc>
                <w:tcPr>
                  <w:tcW w:w="1843" w:type="dxa"/>
                  <w:shd w:val="clear" w:color="auto" w:fill="FFFFFF" w:themeFill="background1"/>
                  <w:vAlign w:val="center"/>
                </w:tcPr>
                <w:p w14:paraId="2A9DD1A8" w14:textId="77777777" w:rsidR="00DB3175" w:rsidRDefault="00506C18" w:rsidP="00DB3175">
                  <w:pPr>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3.15</w:t>
                  </w:r>
                </w:p>
                <w:p w14:paraId="0380EDE1" w14:textId="77777777" w:rsidR="00F81B26" w:rsidRPr="0069123B" w:rsidRDefault="00F81B26" w:rsidP="00DB3175">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417" w:type="dxa"/>
                  <w:shd w:val="clear" w:color="auto" w:fill="FFFFFF" w:themeFill="background1"/>
                  <w:vAlign w:val="center"/>
                </w:tcPr>
                <w:p w14:paraId="04328E09" w14:textId="77777777" w:rsidR="00F81B26" w:rsidRPr="0069123B" w:rsidRDefault="008C1D70" w:rsidP="00F81B26">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3.61</w:t>
                  </w:r>
                </w:p>
              </w:tc>
              <w:tc>
                <w:tcPr>
                  <w:tcW w:w="2268" w:type="dxa"/>
                  <w:shd w:val="clear" w:color="auto" w:fill="FFFFFF" w:themeFill="background1"/>
                  <w:vAlign w:val="center"/>
                </w:tcPr>
                <w:p w14:paraId="227F92B6" w14:textId="77777777" w:rsidR="00DB3175" w:rsidRPr="0069123B" w:rsidRDefault="00BC4342"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6.18</w:t>
                  </w:r>
                  <w:r w:rsidR="00DB3175">
                    <w:rPr>
                      <w:rFonts w:cs="Arial"/>
                      <w:sz w:val="18"/>
                      <w:szCs w:val="18"/>
                      <w:lang w:val="sv-SE" w:eastAsia="en-US"/>
                    </w:rPr>
                    <w:t>E-02</w:t>
                  </w:r>
                </w:p>
              </w:tc>
            </w:tr>
            <w:tr w:rsidR="00DB3175" w:rsidRPr="0069123B" w14:paraId="1C6C1C10" w14:textId="77777777" w:rsidTr="001B3B87">
              <w:trPr>
                <w:trHeight w:val="60"/>
              </w:trPr>
              <w:tc>
                <w:tcPr>
                  <w:tcW w:w="1696" w:type="dxa"/>
                  <w:shd w:val="clear" w:color="auto" w:fill="FFFFFF" w:themeFill="background1"/>
                </w:tcPr>
                <w:p w14:paraId="1FD6D33D"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Surface water arable </w:t>
                  </w:r>
                  <w:r w:rsidRPr="0069123B">
                    <w:rPr>
                      <w:rFonts w:eastAsia="Arial" w:cs="Arial"/>
                      <w:sz w:val="16"/>
                      <w:szCs w:val="16"/>
                      <w:lang w:val="sv-SE" w:eastAsia="en-US"/>
                    </w:rPr>
                    <w:t>via run-off from soil</w:t>
                  </w:r>
                </w:p>
              </w:tc>
              <w:tc>
                <w:tcPr>
                  <w:tcW w:w="1547" w:type="dxa"/>
                  <w:vMerge/>
                  <w:shd w:val="clear" w:color="auto" w:fill="FFFFFF" w:themeFill="background1"/>
                  <w:vAlign w:val="center"/>
                </w:tcPr>
                <w:p w14:paraId="0F7295F1"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p>
              </w:tc>
              <w:tc>
                <w:tcPr>
                  <w:tcW w:w="1354" w:type="dxa"/>
                  <w:shd w:val="clear" w:color="auto" w:fill="FFFFFF" w:themeFill="background1"/>
                  <w:vAlign w:val="center"/>
                </w:tcPr>
                <w:p w14:paraId="39EEFCAB" w14:textId="77777777" w:rsidR="00DB3175"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6.54</w:t>
                  </w:r>
                  <w:r w:rsidR="00DB3175">
                    <w:rPr>
                      <w:rFonts w:eastAsia="Arial" w:cs="Arial"/>
                      <w:sz w:val="18"/>
                      <w:szCs w:val="18"/>
                      <w:lang w:val="sv-SE" w:eastAsia="en-US"/>
                    </w:rPr>
                    <w:t>E-01</w:t>
                  </w:r>
                </w:p>
              </w:tc>
              <w:tc>
                <w:tcPr>
                  <w:tcW w:w="1669" w:type="dxa"/>
                  <w:shd w:val="clear" w:color="auto" w:fill="FFFFFF" w:themeFill="background1"/>
                  <w:vAlign w:val="center"/>
                </w:tcPr>
                <w:p w14:paraId="205FF5DA" w14:textId="77777777" w:rsidR="00DB3175" w:rsidRDefault="00506C18" w:rsidP="0069123B">
                  <w:pPr>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1.11</w:t>
                  </w:r>
                </w:p>
                <w:p w14:paraId="1C677BD9" w14:textId="77777777" w:rsidR="00506C18" w:rsidRPr="0069123B" w:rsidRDefault="00506C18"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701" w:type="dxa"/>
                  <w:shd w:val="clear" w:color="auto" w:fill="FFFFFF" w:themeFill="background1"/>
                  <w:vAlign w:val="center"/>
                </w:tcPr>
                <w:p w14:paraId="4906EA88" w14:textId="77777777" w:rsidR="00DB3175"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6.54</w:t>
                  </w:r>
                  <w:r w:rsidR="00DB3175">
                    <w:rPr>
                      <w:rFonts w:eastAsia="Arial" w:cs="Arial"/>
                      <w:sz w:val="18"/>
                      <w:szCs w:val="18"/>
                      <w:lang w:val="sv-SE" w:eastAsia="en-US"/>
                    </w:rPr>
                    <w:t>E-01</w:t>
                  </w:r>
                </w:p>
              </w:tc>
              <w:tc>
                <w:tcPr>
                  <w:tcW w:w="1843" w:type="dxa"/>
                  <w:shd w:val="clear" w:color="auto" w:fill="FFFFFF" w:themeFill="background1"/>
                  <w:vAlign w:val="center"/>
                </w:tcPr>
                <w:p w14:paraId="29602DD0" w14:textId="77777777" w:rsidR="00DB3175" w:rsidRPr="0069123B" w:rsidRDefault="00506C18" w:rsidP="0069123B">
                  <w:pPr>
                    <w:suppressAutoHyphens w:val="0"/>
                    <w:spacing w:before="100" w:beforeAutospacing="1" w:after="100" w:afterAutospacing="1"/>
                    <w:contextualSpacing/>
                    <w:jc w:val="center"/>
                    <w:rPr>
                      <w:rFonts w:cs="Arial"/>
                      <w:sz w:val="18"/>
                      <w:szCs w:val="18"/>
                      <w:lang w:val="sv-SE" w:eastAsia="en-US"/>
                    </w:rPr>
                  </w:pPr>
                  <w:r>
                    <w:rPr>
                      <w:rFonts w:eastAsia="Arial" w:cs="Arial"/>
                      <w:sz w:val="18"/>
                      <w:szCs w:val="18"/>
                      <w:lang w:val="sv-SE" w:eastAsia="en-US"/>
                    </w:rPr>
                    <w:t>7.87</w:t>
                  </w:r>
                  <w:r w:rsidR="00DB3175">
                    <w:rPr>
                      <w:rFonts w:eastAsia="Arial" w:cs="Arial"/>
                      <w:sz w:val="18"/>
                      <w:szCs w:val="18"/>
                      <w:lang w:val="sv-SE" w:eastAsia="en-US"/>
                    </w:rPr>
                    <w:t>E-01</w:t>
                  </w:r>
                </w:p>
              </w:tc>
              <w:tc>
                <w:tcPr>
                  <w:tcW w:w="1417" w:type="dxa"/>
                  <w:shd w:val="clear" w:color="auto" w:fill="FFFFFF" w:themeFill="background1"/>
                  <w:vAlign w:val="center"/>
                </w:tcPr>
                <w:p w14:paraId="69CA4633" w14:textId="77777777" w:rsidR="00DB3175" w:rsidRPr="0069123B" w:rsidRDefault="008C1D70"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9.03</w:t>
                  </w:r>
                  <w:r w:rsidR="00DB3175">
                    <w:rPr>
                      <w:rFonts w:cs="Arial"/>
                      <w:sz w:val="18"/>
                      <w:szCs w:val="18"/>
                      <w:lang w:val="sv-SE" w:eastAsia="en-US"/>
                    </w:rPr>
                    <w:t>E-01</w:t>
                  </w:r>
                </w:p>
              </w:tc>
              <w:tc>
                <w:tcPr>
                  <w:tcW w:w="2268" w:type="dxa"/>
                  <w:shd w:val="clear" w:color="auto" w:fill="FFFFFF" w:themeFill="background1"/>
                  <w:vAlign w:val="center"/>
                </w:tcPr>
                <w:p w14:paraId="0FF3F0DE" w14:textId="77777777" w:rsidR="00DB3175" w:rsidRPr="0069123B" w:rsidRDefault="00BC4342"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1.54</w:t>
                  </w:r>
                  <w:r w:rsidR="00DB3175">
                    <w:rPr>
                      <w:rFonts w:cs="Arial"/>
                      <w:sz w:val="18"/>
                      <w:szCs w:val="18"/>
                      <w:lang w:val="sv-SE" w:eastAsia="en-US"/>
                    </w:rPr>
                    <w:t>E-0</w:t>
                  </w:r>
                  <w:r>
                    <w:rPr>
                      <w:rFonts w:cs="Arial"/>
                      <w:sz w:val="18"/>
                      <w:szCs w:val="18"/>
                      <w:lang w:val="sv-SE" w:eastAsia="en-US"/>
                    </w:rPr>
                    <w:t>2</w:t>
                  </w:r>
                </w:p>
              </w:tc>
            </w:tr>
            <w:tr w:rsidR="00DB3175" w:rsidRPr="0069123B" w14:paraId="2D758340" w14:textId="77777777" w:rsidTr="00985AFA">
              <w:trPr>
                <w:trHeight w:val="489"/>
              </w:trPr>
              <w:tc>
                <w:tcPr>
                  <w:tcW w:w="1696" w:type="dxa"/>
                  <w:shd w:val="clear" w:color="auto" w:fill="FFFFFF" w:themeFill="background1"/>
                </w:tcPr>
                <w:p w14:paraId="7A7D5A1D"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Soil grassland </w:t>
                  </w:r>
                </w:p>
              </w:tc>
              <w:tc>
                <w:tcPr>
                  <w:tcW w:w="1547" w:type="dxa"/>
                  <w:vMerge w:val="restart"/>
                  <w:shd w:val="clear" w:color="auto" w:fill="FFFFFF" w:themeFill="background1"/>
                  <w:vAlign w:val="center"/>
                </w:tcPr>
                <w:p w14:paraId="35F7159A" w14:textId="77777777" w:rsidR="00DB3175" w:rsidRPr="0069123B" w:rsidRDefault="00DB3175" w:rsidP="00985AFA">
                  <w:pPr>
                    <w:widowControl w:val="0"/>
                    <w:suppressAutoHyphens w:val="0"/>
                    <w:spacing w:before="100" w:beforeAutospacing="1" w:after="100" w:afterAutospacing="1"/>
                    <w:contextualSpacing/>
                    <w:jc w:val="center"/>
                    <w:rPr>
                      <w:rFonts w:eastAsia="Arial" w:cs="Arial"/>
                      <w:sz w:val="18"/>
                      <w:szCs w:val="18"/>
                      <w:lang w:val="sv-SE" w:eastAsia="en-US"/>
                    </w:rPr>
                  </w:pPr>
                  <w:r w:rsidRPr="0069123B">
                    <w:rPr>
                      <w:rFonts w:eastAsia="Arial" w:cs="Arial"/>
                      <w:sz w:val="18"/>
                      <w:szCs w:val="18"/>
                      <w:lang w:val="sv-SE" w:eastAsia="en-US"/>
                    </w:rPr>
                    <w:t>0.565-22.6</w:t>
                  </w:r>
                </w:p>
                <w:p w14:paraId="63049394"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r w:rsidRPr="0069123B">
                    <w:rPr>
                      <w:rFonts w:eastAsia="Arial" w:cs="Arial"/>
                      <w:sz w:val="18"/>
                      <w:szCs w:val="18"/>
                      <w:lang w:val="sv-SE" w:eastAsia="en-US"/>
                    </w:rPr>
                    <w:t>extremes up to 110.74</w:t>
                  </w:r>
                </w:p>
              </w:tc>
              <w:tc>
                <w:tcPr>
                  <w:tcW w:w="1354" w:type="dxa"/>
                  <w:shd w:val="clear" w:color="auto" w:fill="FFFFFF" w:themeFill="background1"/>
                  <w:vAlign w:val="center"/>
                </w:tcPr>
                <w:p w14:paraId="419E7E6A" w14:textId="77777777" w:rsidR="00DB3175"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1.37</w:t>
                  </w:r>
                  <w:r w:rsidR="00DB3175">
                    <w:rPr>
                      <w:rFonts w:eastAsia="Arial" w:cs="Arial"/>
                      <w:sz w:val="18"/>
                      <w:szCs w:val="18"/>
                      <w:lang w:val="sv-SE" w:eastAsia="en-US"/>
                    </w:rPr>
                    <w:t>E-0</w:t>
                  </w:r>
                  <w:r>
                    <w:rPr>
                      <w:rFonts w:eastAsia="Arial" w:cs="Arial"/>
                      <w:sz w:val="18"/>
                      <w:szCs w:val="18"/>
                      <w:lang w:val="sv-SE" w:eastAsia="en-US"/>
                    </w:rPr>
                    <w:t>1</w:t>
                  </w:r>
                </w:p>
              </w:tc>
              <w:tc>
                <w:tcPr>
                  <w:tcW w:w="1669" w:type="dxa"/>
                  <w:shd w:val="clear" w:color="auto" w:fill="FFFFFF" w:themeFill="background1"/>
                  <w:vAlign w:val="center"/>
                </w:tcPr>
                <w:p w14:paraId="786486B1" w14:textId="77777777" w:rsidR="00DB3175" w:rsidRDefault="00506C18" w:rsidP="00DB3175">
                  <w:pPr>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1.16E+01</w:t>
                  </w:r>
                </w:p>
                <w:p w14:paraId="43901A81" w14:textId="77777777" w:rsidR="00506C18" w:rsidRPr="0069123B" w:rsidRDefault="00506C18" w:rsidP="00DB3175">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Lower to</w:t>
                  </w:r>
                  <w:r w:rsidRPr="0069123B">
                    <w:rPr>
                      <w:rFonts w:cs="Arial"/>
                      <w:sz w:val="18"/>
                      <w:szCs w:val="18"/>
                      <w:lang w:val="sv-SE" w:eastAsia="en-US"/>
                    </w:rPr>
                    <w:t xml:space="preserve"> the background level</w:t>
                  </w:r>
                </w:p>
              </w:tc>
              <w:tc>
                <w:tcPr>
                  <w:tcW w:w="1701" w:type="dxa"/>
                  <w:shd w:val="clear" w:color="auto" w:fill="FFFFFF" w:themeFill="background1"/>
                  <w:vAlign w:val="center"/>
                </w:tcPr>
                <w:p w14:paraId="0A55976A" w14:textId="77777777" w:rsidR="00DB3175"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1.37</w:t>
                  </w:r>
                  <w:r w:rsidR="00DB3175">
                    <w:rPr>
                      <w:rFonts w:eastAsia="Arial" w:cs="Arial"/>
                      <w:sz w:val="18"/>
                      <w:szCs w:val="18"/>
                      <w:lang w:val="sv-SE" w:eastAsia="en-US"/>
                    </w:rPr>
                    <w:t>E-0</w:t>
                  </w:r>
                  <w:r w:rsidR="00BC4342">
                    <w:rPr>
                      <w:rFonts w:eastAsia="Arial" w:cs="Arial"/>
                      <w:sz w:val="18"/>
                      <w:szCs w:val="18"/>
                      <w:lang w:val="sv-SE" w:eastAsia="en-US"/>
                    </w:rPr>
                    <w:t>1</w:t>
                  </w:r>
                </w:p>
              </w:tc>
              <w:tc>
                <w:tcPr>
                  <w:tcW w:w="1843" w:type="dxa"/>
                  <w:shd w:val="clear" w:color="auto" w:fill="FFFFFF" w:themeFill="background1"/>
                  <w:vAlign w:val="center"/>
                </w:tcPr>
                <w:p w14:paraId="109E7B1A" w14:textId="77777777" w:rsidR="00DB3175" w:rsidRDefault="00506C18" w:rsidP="00841FF5">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3.18E+01</w:t>
                  </w:r>
                </w:p>
                <w:p w14:paraId="2AE553C3" w14:textId="77777777" w:rsidR="00DB3175" w:rsidRPr="0069123B" w:rsidRDefault="00DB3175" w:rsidP="00841FF5">
                  <w:pPr>
                    <w:widowControl w:val="0"/>
                    <w:suppressAutoHyphens w:val="0"/>
                    <w:spacing w:before="100" w:beforeAutospacing="1" w:after="100" w:afterAutospacing="1"/>
                    <w:contextualSpacing/>
                    <w:jc w:val="center"/>
                    <w:rPr>
                      <w:rFonts w:cs="Arial"/>
                      <w:sz w:val="18"/>
                      <w:szCs w:val="18"/>
                      <w:lang w:val="sv-SE" w:eastAsia="en-US"/>
                    </w:rPr>
                  </w:pPr>
                  <w:r w:rsidRPr="0069123B">
                    <w:rPr>
                      <w:rFonts w:eastAsia="Arial" w:cs="Arial"/>
                      <w:sz w:val="18"/>
                      <w:szCs w:val="18"/>
                      <w:lang w:val="sv-SE" w:eastAsia="en-US"/>
                    </w:rPr>
                    <w:t>Lower to the background level</w:t>
                  </w:r>
                </w:p>
              </w:tc>
              <w:tc>
                <w:tcPr>
                  <w:tcW w:w="1417" w:type="dxa"/>
                  <w:shd w:val="clear" w:color="auto" w:fill="FFFFFF" w:themeFill="background1"/>
                  <w:vAlign w:val="center"/>
                </w:tcPr>
                <w:p w14:paraId="3ACB25F9" w14:textId="77777777" w:rsidR="00DB3175" w:rsidRPr="0069123B" w:rsidRDefault="00DB3175"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1.</w:t>
                  </w:r>
                  <w:r w:rsidR="008C1D70">
                    <w:rPr>
                      <w:rFonts w:cs="Arial"/>
                      <w:sz w:val="18"/>
                      <w:szCs w:val="18"/>
                      <w:lang w:val="sv-SE" w:eastAsia="en-US"/>
                    </w:rPr>
                    <w:t>8</w:t>
                  </w:r>
                  <w:r>
                    <w:rPr>
                      <w:rFonts w:cs="Arial"/>
                      <w:sz w:val="18"/>
                      <w:szCs w:val="18"/>
                      <w:lang w:val="sv-SE" w:eastAsia="en-US"/>
                    </w:rPr>
                    <w:t>9E-01</w:t>
                  </w:r>
                </w:p>
              </w:tc>
              <w:tc>
                <w:tcPr>
                  <w:tcW w:w="2268" w:type="dxa"/>
                  <w:shd w:val="clear" w:color="auto" w:fill="FFFFFF" w:themeFill="background1"/>
                  <w:vAlign w:val="center"/>
                </w:tcPr>
                <w:p w14:paraId="1E7C9BE6" w14:textId="77777777" w:rsidR="00DB3175" w:rsidRPr="0069123B" w:rsidRDefault="00BC4342"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6.22</w:t>
                  </w:r>
                  <w:r w:rsidR="00DB3175">
                    <w:rPr>
                      <w:rFonts w:cs="Arial"/>
                      <w:sz w:val="18"/>
                      <w:szCs w:val="18"/>
                      <w:lang w:val="sv-SE" w:eastAsia="en-US"/>
                    </w:rPr>
                    <w:t>E-01</w:t>
                  </w:r>
                </w:p>
              </w:tc>
            </w:tr>
            <w:tr w:rsidR="00DB3175" w:rsidRPr="0069123B" w14:paraId="6B98E4D2" w14:textId="77777777" w:rsidTr="00985AFA">
              <w:trPr>
                <w:trHeight w:val="412"/>
              </w:trPr>
              <w:tc>
                <w:tcPr>
                  <w:tcW w:w="1696" w:type="dxa"/>
                  <w:shd w:val="clear" w:color="auto" w:fill="FFFFFF" w:themeFill="background1"/>
                </w:tcPr>
                <w:p w14:paraId="1038E6AD"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Soil arable </w:t>
                  </w:r>
                </w:p>
              </w:tc>
              <w:tc>
                <w:tcPr>
                  <w:tcW w:w="1547" w:type="dxa"/>
                  <w:vMerge/>
                  <w:shd w:val="clear" w:color="auto" w:fill="FFFFFF" w:themeFill="background1"/>
                  <w:vAlign w:val="center"/>
                </w:tcPr>
                <w:p w14:paraId="71F625B4"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p>
              </w:tc>
              <w:tc>
                <w:tcPr>
                  <w:tcW w:w="1354" w:type="dxa"/>
                  <w:shd w:val="clear" w:color="auto" w:fill="FFFFFF" w:themeFill="background1"/>
                  <w:vAlign w:val="center"/>
                </w:tcPr>
                <w:p w14:paraId="0B1166B3" w14:textId="77777777" w:rsidR="00DB3175"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3.42</w:t>
                  </w:r>
                  <w:r w:rsidR="00DB3175">
                    <w:rPr>
                      <w:rFonts w:eastAsia="Arial" w:cs="Arial"/>
                      <w:sz w:val="18"/>
                      <w:szCs w:val="18"/>
                      <w:lang w:val="sv-SE" w:eastAsia="en-US"/>
                    </w:rPr>
                    <w:t>E-02</w:t>
                  </w:r>
                </w:p>
              </w:tc>
              <w:tc>
                <w:tcPr>
                  <w:tcW w:w="1669" w:type="dxa"/>
                  <w:shd w:val="clear" w:color="auto" w:fill="FFFFFF" w:themeFill="background1"/>
                  <w:vAlign w:val="center"/>
                </w:tcPr>
                <w:p w14:paraId="359DA1B1" w14:textId="77777777" w:rsidR="00DB3175" w:rsidRDefault="00506C18" w:rsidP="0069123B">
                  <w:pPr>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2.90</w:t>
                  </w:r>
                </w:p>
                <w:p w14:paraId="7B50D3C5" w14:textId="77777777" w:rsidR="00506C18" w:rsidRPr="0069123B" w:rsidRDefault="00506C18"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Lower to</w:t>
                  </w:r>
                  <w:r w:rsidRPr="0069123B">
                    <w:rPr>
                      <w:rFonts w:cs="Arial"/>
                      <w:sz w:val="18"/>
                      <w:szCs w:val="18"/>
                      <w:lang w:val="sv-SE" w:eastAsia="en-US"/>
                    </w:rPr>
                    <w:t xml:space="preserve"> the background level</w:t>
                  </w:r>
                </w:p>
              </w:tc>
              <w:tc>
                <w:tcPr>
                  <w:tcW w:w="1701" w:type="dxa"/>
                  <w:shd w:val="clear" w:color="auto" w:fill="FFFFFF" w:themeFill="background1"/>
                  <w:vAlign w:val="center"/>
                </w:tcPr>
                <w:p w14:paraId="66D92FEA" w14:textId="77777777" w:rsidR="00DB3175"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3.42</w:t>
                  </w:r>
                  <w:r w:rsidR="00DB3175">
                    <w:rPr>
                      <w:rFonts w:eastAsia="Arial" w:cs="Arial"/>
                      <w:sz w:val="18"/>
                      <w:szCs w:val="18"/>
                      <w:lang w:val="sv-SE" w:eastAsia="en-US"/>
                    </w:rPr>
                    <w:t>E-02</w:t>
                  </w:r>
                </w:p>
              </w:tc>
              <w:tc>
                <w:tcPr>
                  <w:tcW w:w="1843" w:type="dxa"/>
                  <w:shd w:val="clear" w:color="auto" w:fill="FFFFFF" w:themeFill="background1"/>
                  <w:vAlign w:val="center"/>
                </w:tcPr>
                <w:p w14:paraId="35100DE2" w14:textId="77777777" w:rsidR="00DB3175" w:rsidRDefault="00506C18" w:rsidP="00DB3175">
                  <w:pPr>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7.96</w:t>
                  </w:r>
                </w:p>
                <w:p w14:paraId="43F163D4" w14:textId="77777777" w:rsidR="00506C18" w:rsidRPr="0069123B" w:rsidRDefault="00506C18" w:rsidP="00DB3175">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Lower to</w:t>
                  </w:r>
                  <w:r w:rsidRPr="0069123B">
                    <w:rPr>
                      <w:rFonts w:cs="Arial"/>
                      <w:sz w:val="18"/>
                      <w:szCs w:val="18"/>
                      <w:lang w:val="sv-SE" w:eastAsia="en-US"/>
                    </w:rPr>
                    <w:t xml:space="preserve"> the background level</w:t>
                  </w:r>
                </w:p>
              </w:tc>
              <w:tc>
                <w:tcPr>
                  <w:tcW w:w="1417" w:type="dxa"/>
                  <w:shd w:val="clear" w:color="auto" w:fill="FFFFFF" w:themeFill="background1"/>
                  <w:vAlign w:val="center"/>
                </w:tcPr>
                <w:p w14:paraId="1E8F95DB" w14:textId="77777777" w:rsidR="00DB3175" w:rsidRPr="0069123B" w:rsidRDefault="008C1D70"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4.73</w:t>
                  </w:r>
                  <w:r w:rsidR="00DB3175">
                    <w:rPr>
                      <w:rFonts w:cs="Arial"/>
                      <w:sz w:val="18"/>
                      <w:szCs w:val="18"/>
                      <w:lang w:val="sv-SE" w:eastAsia="en-US"/>
                    </w:rPr>
                    <w:t>E-02</w:t>
                  </w:r>
                </w:p>
              </w:tc>
              <w:tc>
                <w:tcPr>
                  <w:tcW w:w="2268" w:type="dxa"/>
                  <w:shd w:val="clear" w:color="auto" w:fill="FFFFFF" w:themeFill="background1"/>
                  <w:vAlign w:val="center"/>
                </w:tcPr>
                <w:p w14:paraId="0574C43C" w14:textId="77777777" w:rsidR="00DB3175" w:rsidRPr="0069123B" w:rsidRDefault="00BC4342"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1.56</w:t>
                  </w:r>
                  <w:r w:rsidR="00DB3175">
                    <w:rPr>
                      <w:rFonts w:cs="Arial"/>
                      <w:sz w:val="18"/>
                      <w:szCs w:val="18"/>
                      <w:lang w:val="sv-SE" w:eastAsia="en-US"/>
                    </w:rPr>
                    <w:t>E-0</w:t>
                  </w:r>
                  <w:r>
                    <w:rPr>
                      <w:rFonts w:cs="Arial"/>
                      <w:sz w:val="18"/>
                      <w:szCs w:val="18"/>
                      <w:lang w:val="sv-SE" w:eastAsia="en-US"/>
                    </w:rPr>
                    <w:t>1</w:t>
                  </w:r>
                </w:p>
              </w:tc>
            </w:tr>
            <w:tr w:rsidR="00DB3175" w:rsidRPr="0069123B" w14:paraId="27447F47" w14:textId="77777777" w:rsidTr="001B3B87">
              <w:trPr>
                <w:trHeight w:val="60"/>
              </w:trPr>
              <w:tc>
                <w:tcPr>
                  <w:tcW w:w="1696" w:type="dxa"/>
                  <w:shd w:val="clear" w:color="auto" w:fill="FFFFFF" w:themeFill="background1"/>
                </w:tcPr>
                <w:p w14:paraId="638F40E0"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Groundwater grassland </w:t>
                  </w:r>
                </w:p>
              </w:tc>
              <w:tc>
                <w:tcPr>
                  <w:tcW w:w="1547" w:type="dxa"/>
                  <w:vMerge w:val="restart"/>
                  <w:shd w:val="clear" w:color="auto" w:fill="FFFFFF" w:themeFill="background1"/>
                  <w:vAlign w:val="center"/>
                </w:tcPr>
                <w:p w14:paraId="09B8C37F" w14:textId="77777777" w:rsidR="00DB3175" w:rsidRPr="0069123B" w:rsidRDefault="00DB3175" w:rsidP="00985AFA">
                  <w:pPr>
                    <w:widowControl w:val="0"/>
                    <w:suppressAutoHyphens w:val="0"/>
                    <w:spacing w:before="100" w:beforeAutospacing="1" w:after="100" w:afterAutospacing="1"/>
                    <w:contextualSpacing/>
                    <w:jc w:val="center"/>
                    <w:rPr>
                      <w:rFonts w:eastAsia="Arial" w:cs="Arial"/>
                      <w:sz w:val="18"/>
                      <w:szCs w:val="18"/>
                      <w:lang w:val="sv-SE" w:eastAsia="en-US"/>
                    </w:rPr>
                  </w:pPr>
                  <w:r w:rsidRPr="0069123B">
                    <w:rPr>
                      <w:rFonts w:eastAsia="Arial" w:cs="Arial"/>
                      <w:sz w:val="18"/>
                      <w:szCs w:val="18"/>
                      <w:lang w:val="sv-SE" w:eastAsia="en-US"/>
                    </w:rPr>
                    <w:t>1-70</w:t>
                  </w:r>
                </w:p>
                <w:p w14:paraId="103084C1"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r w:rsidRPr="0069123B">
                    <w:rPr>
                      <w:rFonts w:eastAsia="Arial" w:cs="Arial"/>
                      <w:sz w:val="18"/>
                      <w:szCs w:val="18"/>
                      <w:lang w:val="sv-SE" w:eastAsia="en-US"/>
                    </w:rPr>
                    <w:t>extremes up to 400</w:t>
                  </w:r>
                </w:p>
              </w:tc>
              <w:tc>
                <w:tcPr>
                  <w:tcW w:w="1354" w:type="dxa"/>
                  <w:shd w:val="clear" w:color="auto" w:fill="FFFFFF" w:themeFill="background1"/>
                  <w:vAlign w:val="center"/>
                </w:tcPr>
                <w:p w14:paraId="30619AA2" w14:textId="77777777" w:rsidR="00DB3175" w:rsidRPr="0069123B" w:rsidRDefault="008C1D70" w:rsidP="00DB3175">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26.1</w:t>
                  </w:r>
                </w:p>
              </w:tc>
              <w:tc>
                <w:tcPr>
                  <w:tcW w:w="1669" w:type="dxa"/>
                  <w:shd w:val="clear" w:color="auto" w:fill="FFFFFF" w:themeFill="background1"/>
                  <w:vAlign w:val="center"/>
                </w:tcPr>
                <w:p w14:paraId="2B760D5F" w14:textId="77777777" w:rsidR="00DB3175" w:rsidRPr="0069123B" w:rsidRDefault="00DB3175" w:rsidP="00985AFA">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 xml:space="preserve">&gt; 0.1 µg/L </w:t>
                  </w:r>
                </w:p>
                <w:p w14:paraId="6AEBCB27" w14:textId="77777777" w:rsidR="00DB3175" w:rsidRPr="0069123B" w:rsidRDefault="00DB3175"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701" w:type="dxa"/>
                  <w:shd w:val="clear" w:color="auto" w:fill="FFFFFF" w:themeFill="background1"/>
                  <w:vAlign w:val="center"/>
                </w:tcPr>
                <w:p w14:paraId="72DD889B" w14:textId="77777777" w:rsidR="00DB3175" w:rsidRPr="0069123B" w:rsidRDefault="008C1D70" w:rsidP="00423720">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26.1</w:t>
                  </w:r>
                </w:p>
              </w:tc>
              <w:tc>
                <w:tcPr>
                  <w:tcW w:w="1843" w:type="dxa"/>
                  <w:shd w:val="clear" w:color="auto" w:fill="FFFFFF" w:themeFill="background1"/>
                  <w:vAlign w:val="center"/>
                </w:tcPr>
                <w:p w14:paraId="37CEA2D0" w14:textId="77777777" w:rsidR="00DB3175" w:rsidRPr="0069123B" w:rsidRDefault="00DB3175" w:rsidP="00985AFA">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 xml:space="preserve">&gt; 0.1 µg/L </w:t>
                  </w:r>
                </w:p>
                <w:p w14:paraId="0D48CCD3" w14:textId="77777777" w:rsidR="00DB3175" w:rsidRPr="0069123B" w:rsidRDefault="00DB3175"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417" w:type="dxa"/>
                  <w:shd w:val="clear" w:color="auto" w:fill="FFFFFF" w:themeFill="background1"/>
                  <w:vAlign w:val="center"/>
                </w:tcPr>
                <w:p w14:paraId="3CE6642A" w14:textId="77777777" w:rsidR="00DB3175" w:rsidRPr="0069123B" w:rsidRDefault="008C1D70" w:rsidP="00DB3175">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36.1</w:t>
                  </w:r>
                  <w:r w:rsidR="00DB3175" w:rsidRPr="0069123B">
                    <w:rPr>
                      <w:rFonts w:cs="Arial"/>
                      <w:sz w:val="18"/>
                      <w:szCs w:val="18"/>
                      <w:lang w:val="sv-SE" w:eastAsia="en-US"/>
                    </w:rPr>
                    <w:t xml:space="preserve"> </w:t>
                  </w:r>
                </w:p>
              </w:tc>
              <w:tc>
                <w:tcPr>
                  <w:tcW w:w="2268" w:type="dxa"/>
                  <w:shd w:val="clear" w:color="auto" w:fill="FFFFFF" w:themeFill="background1"/>
                  <w:vAlign w:val="center"/>
                </w:tcPr>
                <w:p w14:paraId="6D9D6ADC" w14:textId="77777777" w:rsidR="00DB3175" w:rsidRPr="0069123B" w:rsidRDefault="00DB3175" w:rsidP="00985AFA">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 xml:space="preserve">&gt; 0.1 µg/L </w:t>
                  </w:r>
                </w:p>
                <w:p w14:paraId="4B195E53" w14:textId="77777777" w:rsidR="00DB3175" w:rsidRPr="0069123B" w:rsidRDefault="00DB3175"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r>
            <w:tr w:rsidR="00DB3175" w:rsidRPr="0069123B" w14:paraId="1D0BA9B8" w14:textId="77777777" w:rsidTr="001B3B87">
              <w:trPr>
                <w:trHeight w:val="60"/>
              </w:trPr>
              <w:tc>
                <w:tcPr>
                  <w:tcW w:w="1696" w:type="dxa"/>
                  <w:shd w:val="clear" w:color="auto" w:fill="FFFFFF" w:themeFill="background1"/>
                </w:tcPr>
                <w:p w14:paraId="09D39A91"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Groundwater arable </w:t>
                  </w:r>
                </w:p>
              </w:tc>
              <w:tc>
                <w:tcPr>
                  <w:tcW w:w="1547" w:type="dxa"/>
                  <w:vMerge/>
                  <w:shd w:val="clear" w:color="auto" w:fill="FFFFFF" w:themeFill="background1"/>
                  <w:vAlign w:val="center"/>
                </w:tcPr>
                <w:p w14:paraId="15DD6300"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p>
              </w:tc>
              <w:tc>
                <w:tcPr>
                  <w:tcW w:w="1354" w:type="dxa"/>
                  <w:shd w:val="clear" w:color="auto" w:fill="FFFFFF" w:themeFill="background1"/>
                  <w:vAlign w:val="center"/>
                </w:tcPr>
                <w:p w14:paraId="692BC4EC" w14:textId="77777777" w:rsidR="00DB3175" w:rsidRPr="0069123B" w:rsidRDefault="008C1D70" w:rsidP="00DB3175">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6.54</w:t>
                  </w:r>
                </w:p>
              </w:tc>
              <w:tc>
                <w:tcPr>
                  <w:tcW w:w="1669" w:type="dxa"/>
                  <w:shd w:val="clear" w:color="auto" w:fill="FFFFFF" w:themeFill="background1"/>
                  <w:vAlign w:val="center"/>
                </w:tcPr>
                <w:p w14:paraId="4F2E8E57" w14:textId="77777777" w:rsidR="00DB3175" w:rsidRPr="0069123B" w:rsidRDefault="00DB3175" w:rsidP="00985AFA">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48177C11" w14:textId="77777777" w:rsidR="00DB3175" w:rsidRPr="0069123B" w:rsidRDefault="00F81B26"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701" w:type="dxa"/>
                  <w:shd w:val="clear" w:color="auto" w:fill="FFFFFF" w:themeFill="background1"/>
                  <w:vAlign w:val="center"/>
                </w:tcPr>
                <w:p w14:paraId="47FF778F" w14:textId="77777777" w:rsidR="00DB3175" w:rsidRPr="0069123B" w:rsidRDefault="008C1D70"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6.54</w:t>
                  </w:r>
                </w:p>
              </w:tc>
              <w:tc>
                <w:tcPr>
                  <w:tcW w:w="1843" w:type="dxa"/>
                  <w:shd w:val="clear" w:color="auto" w:fill="FFFFFF" w:themeFill="background1"/>
                  <w:vAlign w:val="center"/>
                </w:tcPr>
                <w:p w14:paraId="2E9A8B8E" w14:textId="77777777" w:rsidR="00DB3175" w:rsidRPr="0069123B" w:rsidRDefault="00DB3175" w:rsidP="00985AFA">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79E8A1EC" w14:textId="77777777" w:rsidR="00DB3175" w:rsidRPr="0069123B" w:rsidRDefault="00F81B26"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c>
                <w:tcPr>
                  <w:tcW w:w="1417" w:type="dxa"/>
                  <w:shd w:val="clear" w:color="auto" w:fill="FFFFFF" w:themeFill="background1"/>
                  <w:vAlign w:val="center"/>
                </w:tcPr>
                <w:p w14:paraId="6C98C4AE" w14:textId="77777777" w:rsidR="00DB3175" w:rsidRPr="0069123B" w:rsidRDefault="008C1D70" w:rsidP="00DB3175">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9.03</w:t>
                  </w:r>
                </w:p>
              </w:tc>
              <w:tc>
                <w:tcPr>
                  <w:tcW w:w="2268" w:type="dxa"/>
                  <w:shd w:val="clear" w:color="auto" w:fill="FFFFFF" w:themeFill="background1"/>
                  <w:vAlign w:val="center"/>
                </w:tcPr>
                <w:p w14:paraId="3BBE416B" w14:textId="77777777" w:rsidR="00DB3175" w:rsidRPr="0069123B" w:rsidRDefault="00DB3175" w:rsidP="00985AFA">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0CE0899B" w14:textId="77777777" w:rsidR="00DB3175" w:rsidRPr="0069123B" w:rsidRDefault="00F81B26"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In the background level</w:t>
                  </w:r>
                </w:p>
              </w:tc>
            </w:tr>
            <w:tr w:rsidR="00DB3175" w:rsidRPr="0069123B" w14:paraId="78B144EB" w14:textId="77777777" w:rsidTr="001B3B87">
              <w:trPr>
                <w:trHeight w:val="60"/>
              </w:trPr>
              <w:tc>
                <w:tcPr>
                  <w:tcW w:w="13495" w:type="dxa"/>
                  <w:gridSpan w:val="8"/>
                  <w:shd w:val="clear" w:color="auto" w:fill="FFFFFF" w:themeFill="background1"/>
                  <w:vAlign w:val="center"/>
                </w:tcPr>
                <w:p w14:paraId="637ACA57" w14:textId="77777777" w:rsidR="00DB3175" w:rsidRPr="0069123B" w:rsidRDefault="00DB3175" w:rsidP="0069123B">
                  <w:pPr>
                    <w:suppressAutoHyphens w:val="0"/>
                    <w:autoSpaceDE w:val="0"/>
                    <w:autoSpaceDN w:val="0"/>
                    <w:adjustRightInd w:val="0"/>
                    <w:spacing w:before="100" w:beforeAutospacing="1" w:after="100" w:afterAutospacing="1"/>
                    <w:contextualSpacing/>
                    <w:rPr>
                      <w:rFonts w:cs="Arial"/>
                      <w:bCs/>
                      <w:sz w:val="18"/>
                      <w:szCs w:val="18"/>
                      <w:lang w:val="sv-SE" w:eastAsia="sv-SE"/>
                    </w:rPr>
                  </w:pPr>
                  <w:r w:rsidRPr="0069123B">
                    <w:rPr>
                      <w:rFonts w:cs="Arial"/>
                      <w:b/>
                      <w:sz w:val="18"/>
                      <w:szCs w:val="18"/>
                      <w:lang w:val="sv-SE" w:eastAsia="sv-SE"/>
                    </w:rPr>
                    <w:t>Via STP</w:t>
                  </w:r>
                </w:p>
              </w:tc>
            </w:tr>
            <w:tr w:rsidR="00DB3175" w:rsidRPr="0069123B" w14:paraId="2071D283" w14:textId="77777777" w:rsidTr="001B3B87">
              <w:trPr>
                <w:trHeight w:val="60"/>
              </w:trPr>
              <w:tc>
                <w:tcPr>
                  <w:tcW w:w="1696" w:type="dxa"/>
                  <w:shd w:val="clear" w:color="auto" w:fill="FFFFFF" w:themeFill="background1"/>
                </w:tcPr>
                <w:p w14:paraId="43ADD8FE"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STP </w:t>
                  </w:r>
                </w:p>
              </w:tc>
              <w:tc>
                <w:tcPr>
                  <w:tcW w:w="1547" w:type="dxa"/>
                  <w:shd w:val="clear" w:color="auto" w:fill="FFFFFF" w:themeFill="background1"/>
                  <w:vAlign w:val="center"/>
                </w:tcPr>
                <w:p w14:paraId="7F6A5838" w14:textId="77777777" w:rsidR="00DB3175" w:rsidRPr="0069123B" w:rsidRDefault="00DB3175" w:rsidP="0069123B">
                  <w:pPr>
                    <w:widowControl w:val="0"/>
                    <w:suppressAutoHyphens w:val="0"/>
                    <w:spacing w:before="100" w:beforeAutospacing="1" w:after="100" w:afterAutospacing="1"/>
                    <w:contextualSpacing/>
                    <w:jc w:val="center"/>
                    <w:rPr>
                      <w:rFonts w:eastAsia="Arial" w:cs="Arial"/>
                      <w:b/>
                      <w:lang w:val="sv-SE" w:eastAsia="en-US"/>
                    </w:rPr>
                  </w:pPr>
                  <w:r w:rsidRPr="0069123B">
                    <w:rPr>
                      <w:rFonts w:eastAsia="Arial" w:cs="Arial"/>
                      <w:b/>
                      <w:lang w:val="sv-SE" w:eastAsia="en-US"/>
                    </w:rPr>
                    <w:t>-</w:t>
                  </w:r>
                </w:p>
              </w:tc>
              <w:tc>
                <w:tcPr>
                  <w:tcW w:w="1354" w:type="dxa"/>
                  <w:shd w:val="clear" w:color="auto" w:fill="FFFFFF" w:themeFill="background1"/>
                  <w:vAlign w:val="center"/>
                </w:tcPr>
                <w:p w14:paraId="2DC75548" w14:textId="77777777" w:rsidR="00DB3175" w:rsidRPr="0069123B" w:rsidRDefault="008C1D70" w:rsidP="0069123B">
                  <w:pPr>
                    <w:widowControl w:val="0"/>
                    <w:suppressAutoHyphens w:val="0"/>
                    <w:spacing w:before="100" w:beforeAutospacing="1" w:after="100" w:afterAutospacing="1"/>
                    <w:contextualSpacing/>
                    <w:jc w:val="center"/>
                    <w:rPr>
                      <w:rFonts w:eastAsia="Arial" w:cs="Times New Roman"/>
                      <w:color w:val="000000"/>
                      <w:lang w:val="sv-SE" w:eastAsia="en-US"/>
                    </w:rPr>
                  </w:pPr>
                  <w:r>
                    <w:rPr>
                      <w:rFonts w:eastAsia="Arial" w:cs="Arial"/>
                      <w:sz w:val="18"/>
                      <w:szCs w:val="18"/>
                      <w:lang w:val="sv-SE" w:eastAsia="en-US"/>
                    </w:rPr>
                    <w:t>7.63</w:t>
                  </w:r>
                  <w:r w:rsidR="00DB3175" w:rsidRPr="0069123B">
                    <w:rPr>
                      <w:rFonts w:eastAsia="Arial" w:cs="Arial"/>
                      <w:sz w:val="18"/>
                      <w:szCs w:val="18"/>
                      <w:lang w:val="sv-SE" w:eastAsia="en-US"/>
                    </w:rPr>
                    <w:t>E-04</w:t>
                  </w:r>
                </w:p>
              </w:tc>
              <w:tc>
                <w:tcPr>
                  <w:tcW w:w="1669" w:type="dxa"/>
                  <w:shd w:val="clear" w:color="auto" w:fill="FFFFFF" w:themeFill="background1"/>
                  <w:vAlign w:val="center"/>
                </w:tcPr>
                <w:p w14:paraId="531F653A" w14:textId="77777777" w:rsidR="00DB3175"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2.63</w:t>
                  </w:r>
                  <w:r w:rsidR="00DB3175" w:rsidRPr="0069123B">
                    <w:rPr>
                      <w:rFonts w:eastAsia="Arial" w:cs="Arial"/>
                      <w:sz w:val="18"/>
                      <w:szCs w:val="18"/>
                      <w:lang w:val="sv-SE" w:eastAsia="en-US"/>
                    </w:rPr>
                    <w:t>E-04</w:t>
                  </w:r>
                </w:p>
              </w:tc>
              <w:tc>
                <w:tcPr>
                  <w:tcW w:w="1701" w:type="dxa"/>
                  <w:shd w:val="clear" w:color="auto" w:fill="FFFFFF" w:themeFill="background1"/>
                  <w:vAlign w:val="center"/>
                </w:tcPr>
                <w:p w14:paraId="767B3324" w14:textId="77777777" w:rsidR="00DB3175" w:rsidRPr="0069123B" w:rsidRDefault="00EA78B3"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7.63</w:t>
                  </w:r>
                  <w:r w:rsidR="00DB3175" w:rsidRPr="0069123B">
                    <w:rPr>
                      <w:rFonts w:cs="Arial"/>
                      <w:sz w:val="18"/>
                      <w:szCs w:val="18"/>
                      <w:lang w:val="sv-SE" w:eastAsia="en-US"/>
                    </w:rPr>
                    <w:t>E-04</w:t>
                  </w:r>
                </w:p>
              </w:tc>
              <w:tc>
                <w:tcPr>
                  <w:tcW w:w="1843" w:type="dxa"/>
                  <w:shd w:val="clear" w:color="auto" w:fill="FFFFFF" w:themeFill="background1"/>
                  <w:vAlign w:val="center"/>
                </w:tcPr>
                <w:p w14:paraId="6F65DA72"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r w:rsidRPr="0069123B">
                    <w:rPr>
                      <w:rFonts w:cs="Arial"/>
                      <w:b/>
                      <w:bCs/>
                      <w:color w:val="000000"/>
                      <w:sz w:val="18"/>
                      <w:szCs w:val="18"/>
                      <w:lang w:val="sv-SE" w:eastAsia="sv-SE"/>
                    </w:rPr>
                    <w:t>Not relevant</w:t>
                  </w:r>
                </w:p>
              </w:tc>
              <w:tc>
                <w:tcPr>
                  <w:tcW w:w="1417" w:type="dxa"/>
                  <w:shd w:val="clear" w:color="auto" w:fill="FFFFFF" w:themeFill="background1"/>
                  <w:vAlign w:val="center"/>
                </w:tcPr>
                <w:p w14:paraId="317A36AF" w14:textId="77777777" w:rsidR="00DB3175"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1.05</w:t>
                  </w:r>
                  <w:r w:rsidR="00DB3175" w:rsidRPr="0069123B">
                    <w:rPr>
                      <w:rFonts w:cs="Arial"/>
                      <w:sz w:val="18"/>
                      <w:szCs w:val="18"/>
                      <w:lang w:val="sv-SE" w:eastAsia="en-US"/>
                    </w:rPr>
                    <w:t>E-0</w:t>
                  </w:r>
                  <w:r>
                    <w:rPr>
                      <w:rFonts w:cs="Arial"/>
                      <w:sz w:val="18"/>
                      <w:szCs w:val="18"/>
                      <w:lang w:val="sv-SE" w:eastAsia="en-US"/>
                    </w:rPr>
                    <w:t>3</w:t>
                  </w:r>
                </w:p>
              </w:tc>
              <w:tc>
                <w:tcPr>
                  <w:tcW w:w="2268" w:type="dxa"/>
                  <w:shd w:val="clear" w:color="auto" w:fill="FFFFFF" w:themeFill="background1"/>
                  <w:vAlign w:val="center"/>
                </w:tcPr>
                <w:p w14:paraId="3890A760" w14:textId="77777777" w:rsidR="00DB3175" w:rsidRPr="0069123B" w:rsidRDefault="00DB3175" w:rsidP="0069123B">
                  <w:pPr>
                    <w:suppressAutoHyphens w:val="0"/>
                    <w:spacing w:before="100" w:beforeAutospacing="1" w:after="100" w:afterAutospacing="1"/>
                    <w:contextualSpacing/>
                    <w:jc w:val="center"/>
                    <w:rPr>
                      <w:rFonts w:cs="Arial"/>
                      <w:color w:val="000000"/>
                      <w:sz w:val="18"/>
                      <w:szCs w:val="18"/>
                      <w:lang w:val="sv-SE" w:eastAsia="sv-SE"/>
                    </w:rPr>
                  </w:pPr>
                  <w:r w:rsidRPr="0069123B">
                    <w:rPr>
                      <w:rFonts w:cs="Arial"/>
                      <w:b/>
                      <w:bCs/>
                      <w:color w:val="000000"/>
                      <w:sz w:val="18"/>
                      <w:szCs w:val="18"/>
                      <w:lang w:val="sv-SE" w:eastAsia="sv-SE"/>
                    </w:rPr>
                    <w:t>Not relevant</w:t>
                  </w:r>
                </w:p>
              </w:tc>
            </w:tr>
            <w:tr w:rsidR="00DB3175" w:rsidRPr="0069123B" w14:paraId="3722A329" w14:textId="77777777" w:rsidTr="001B3B87">
              <w:trPr>
                <w:trHeight w:val="60"/>
              </w:trPr>
              <w:tc>
                <w:tcPr>
                  <w:tcW w:w="1696" w:type="dxa"/>
                  <w:shd w:val="clear" w:color="auto" w:fill="FFFFFF" w:themeFill="background1"/>
                </w:tcPr>
                <w:p w14:paraId="49A5ADC0"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Surface water </w:t>
                  </w:r>
                </w:p>
              </w:tc>
              <w:tc>
                <w:tcPr>
                  <w:tcW w:w="1547" w:type="dxa"/>
                  <w:shd w:val="clear" w:color="auto" w:fill="FFFFFF" w:themeFill="background1"/>
                  <w:vAlign w:val="center"/>
                </w:tcPr>
                <w:p w14:paraId="7407877F" w14:textId="77777777" w:rsidR="00DB3175" w:rsidRPr="0069123B" w:rsidRDefault="00DB3175" w:rsidP="0069123B">
                  <w:pPr>
                    <w:widowControl w:val="0"/>
                    <w:suppressAutoHyphens w:val="0"/>
                    <w:spacing w:before="100" w:beforeAutospacing="1" w:after="100" w:afterAutospacing="1"/>
                    <w:contextualSpacing/>
                    <w:jc w:val="center"/>
                    <w:rPr>
                      <w:rFonts w:eastAsia="Arial" w:cs="Arial"/>
                      <w:b/>
                      <w:lang w:val="sv-SE" w:eastAsia="en-US"/>
                    </w:rPr>
                  </w:pPr>
                  <w:r w:rsidRPr="0069123B">
                    <w:rPr>
                      <w:rFonts w:eastAsia="Arial" w:cs="Arial"/>
                      <w:sz w:val="18"/>
                      <w:szCs w:val="18"/>
                      <w:lang w:val="sv-SE" w:eastAsia="en-US"/>
                    </w:rPr>
                    <w:t>0.5-20</w:t>
                  </w:r>
                </w:p>
              </w:tc>
              <w:tc>
                <w:tcPr>
                  <w:tcW w:w="1354" w:type="dxa"/>
                  <w:shd w:val="clear" w:color="auto" w:fill="FFFFFF" w:themeFill="background1"/>
                  <w:vAlign w:val="center"/>
                </w:tcPr>
                <w:p w14:paraId="5FE610CA" w14:textId="77777777" w:rsidR="00DB3175" w:rsidRPr="0069123B" w:rsidRDefault="008C1D70" w:rsidP="0069123B">
                  <w:pPr>
                    <w:widowControl w:val="0"/>
                    <w:suppressAutoHyphens w:val="0"/>
                    <w:spacing w:before="100" w:beforeAutospacing="1" w:after="100" w:afterAutospacing="1"/>
                    <w:contextualSpacing/>
                    <w:jc w:val="center"/>
                    <w:rPr>
                      <w:rFonts w:eastAsia="Arial" w:cs="Times New Roman"/>
                      <w:color w:val="000000"/>
                      <w:lang w:val="sv-SE" w:eastAsia="en-US"/>
                    </w:rPr>
                  </w:pPr>
                  <w:r>
                    <w:rPr>
                      <w:rFonts w:eastAsia="Arial" w:cs="Arial"/>
                      <w:sz w:val="18"/>
                      <w:szCs w:val="18"/>
                      <w:lang w:val="sv-SE" w:eastAsia="en-US"/>
                    </w:rPr>
                    <w:t>7.60</w:t>
                  </w:r>
                  <w:r w:rsidR="00DB3175" w:rsidRPr="0069123B">
                    <w:rPr>
                      <w:rFonts w:eastAsia="Arial" w:cs="Arial"/>
                      <w:sz w:val="18"/>
                      <w:szCs w:val="18"/>
                      <w:lang w:val="sv-SE" w:eastAsia="en-US"/>
                    </w:rPr>
                    <w:t>E-02</w:t>
                  </w:r>
                </w:p>
              </w:tc>
              <w:tc>
                <w:tcPr>
                  <w:tcW w:w="1669" w:type="dxa"/>
                  <w:shd w:val="clear" w:color="auto" w:fill="FFFFFF" w:themeFill="background1"/>
                  <w:vAlign w:val="center"/>
                </w:tcPr>
                <w:p w14:paraId="181F06C1" w14:textId="77777777" w:rsidR="00DB3175"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1.29</w:t>
                  </w:r>
                  <w:r w:rsidR="00DB3175" w:rsidRPr="0069123B">
                    <w:rPr>
                      <w:rFonts w:eastAsia="Arial" w:cs="Arial"/>
                      <w:sz w:val="18"/>
                      <w:szCs w:val="18"/>
                      <w:lang w:val="sv-SE" w:eastAsia="en-US"/>
                    </w:rPr>
                    <w:t>E-0</w:t>
                  </w:r>
                  <w:r>
                    <w:rPr>
                      <w:rFonts w:eastAsia="Arial" w:cs="Arial"/>
                      <w:sz w:val="18"/>
                      <w:szCs w:val="18"/>
                      <w:lang w:val="sv-SE" w:eastAsia="en-US"/>
                    </w:rPr>
                    <w:t>1</w:t>
                  </w:r>
                </w:p>
              </w:tc>
              <w:tc>
                <w:tcPr>
                  <w:tcW w:w="1701" w:type="dxa"/>
                  <w:shd w:val="clear" w:color="auto" w:fill="FFFFFF" w:themeFill="background1"/>
                  <w:vAlign w:val="center"/>
                </w:tcPr>
                <w:p w14:paraId="7952C6C4" w14:textId="77777777" w:rsidR="00DB3175" w:rsidRPr="0069123B" w:rsidRDefault="00EA78B3"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7.60</w:t>
                  </w:r>
                  <w:r w:rsidR="00DB3175" w:rsidRPr="0069123B">
                    <w:rPr>
                      <w:rFonts w:cs="Arial"/>
                      <w:sz w:val="18"/>
                      <w:szCs w:val="18"/>
                      <w:lang w:val="sv-SE" w:eastAsia="en-US"/>
                    </w:rPr>
                    <w:t>E-02</w:t>
                  </w:r>
                </w:p>
              </w:tc>
              <w:tc>
                <w:tcPr>
                  <w:tcW w:w="1843" w:type="dxa"/>
                  <w:shd w:val="clear" w:color="auto" w:fill="FFFFFF" w:themeFill="background1"/>
                  <w:vAlign w:val="center"/>
                </w:tcPr>
                <w:p w14:paraId="77A0574B" w14:textId="77777777" w:rsidR="00DB3175" w:rsidRPr="0069123B" w:rsidRDefault="00EA78B3"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9.16</w:t>
                  </w:r>
                  <w:r w:rsidR="00DB3175" w:rsidRPr="0069123B">
                    <w:rPr>
                      <w:rFonts w:cs="Arial"/>
                      <w:sz w:val="18"/>
                      <w:szCs w:val="18"/>
                      <w:lang w:val="sv-SE" w:eastAsia="en-US"/>
                    </w:rPr>
                    <w:t>E-02</w:t>
                  </w:r>
                </w:p>
              </w:tc>
              <w:tc>
                <w:tcPr>
                  <w:tcW w:w="1417" w:type="dxa"/>
                  <w:shd w:val="clear" w:color="auto" w:fill="FFFFFF" w:themeFill="background1"/>
                  <w:vAlign w:val="center"/>
                </w:tcPr>
                <w:p w14:paraId="5D41CF75" w14:textId="77777777" w:rsidR="00DB3175"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1.05</w:t>
                  </w:r>
                  <w:r w:rsidR="00DB3175" w:rsidRPr="0069123B">
                    <w:rPr>
                      <w:rFonts w:cs="Arial"/>
                      <w:sz w:val="18"/>
                      <w:szCs w:val="18"/>
                      <w:lang w:val="sv-SE" w:eastAsia="en-US"/>
                    </w:rPr>
                    <w:t>E-0</w:t>
                  </w:r>
                  <w:r>
                    <w:rPr>
                      <w:rFonts w:cs="Arial"/>
                      <w:sz w:val="18"/>
                      <w:szCs w:val="18"/>
                      <w:lang w:val="sv-SE" w:eastAsia="en-US"/>
                    </w:rPr>
                    <w:t>1</w:t>
                  </w:r>
                </w:p>
              </w:tc>
              <w:tc>
                <w:tcPr>
                  <w:tcW w:w="2268" w:type="dxa"/>
                  <w:shd w:val="clear" w:color="auto" w:fill="FFFFFF" w:themeFill="background1"/>
                  <w:vAlign w:val="center"/>
                </w:tcPr>
                <w:p w14:paraId="40C0950B" w14:textId="77777777" w:rsidR="00DB3175" w:rsidRPr="0069123B" w:rsidRDefault="00DB3175" w:rsidP="0050289C">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1.</w:t>
                  </w:r>
                  <w:r w:rsidR="0050289C">
                    <w:rPr>
                      <w:rFonts w:cs="Arial"/>
                      <w:sz w:val="18"/>
                      <w:szCs w:val="18"/>
                      <w:lang w:val="sv-SE" w:eastAsia="en-US"/>
                    </w:rPr>
                    <w:t>80</w:t>
                  </w:r>
                  <w:r w:rsidR="0050289C" w:rsidRPr="0069123B">
                    <w:rPr>
                      <w:rFonts w:cs="Arial"/>
                      <w:sz w:val="18"/>
                      <w:szCs w:val="18"/>
                      <w:lang w:val="sv-SE" w:eastAsia="en-US"/>
                    </w:rPr>
                    <w:t>E</w:t>
                  </w:r>
                  <w:r w:rsidRPr="0069123B">
                    <w:rPr>
                      <w:rFonts w:cs="Arial"/>
                      <w:sz w:val="18"/>
                      <w:szCs w:val="18"/>
                      <w:lang w:val="sv-SE" w:eastAsia="en-US"/>
                    </w:rPr>
                    <w:t>-03</w:t>
                  </w:r>
                </w:p>
              </w:tc>
            </w:tr>
            <w:tr w:rsidR="00DB3175" w:rsidRPr="0069123B" w14:paraId="283788FC" w14:textId="77777777" w:rsidTr="001B3B87">
              <w:trPr>
                <w:trHeight w:val="60"/>
              </w:trPr>
              <w:tc>
                <w:tcPr>
                  <w:tcW w:w="1696" w:type="dxa"/>
                  <w:shd w:val="clear" w:color="auto" w:fill="FFFFFF" w:themeFill="background1"/>
                </w:tcPr>
                <w:p w14:paraId="46DA1F68"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Soil </w:t>
                  </w:r>
                </w:p>
              </w:tc>
              <w:tc>
                <w:tcPr>
                  <w:tcW w:w="1547" w:type="dxa"/>
                  <w:shd w:val="clear" w:color="auto" w:fill="FFFFFF" w:themeFill="background1"/>
                  <w:vAlign w:val="center"/>
                </w:tcPr>
                <w:p w14:paraId="38F3A582" w14:textId="77777777" w:rsidR="00DB3175" w:rsidRPr="0069123B" w:rsidRDefault="00DB3175" w:rsidP="0069123B">
                  <w:pPr>
                    <w:widowControl w:val="0"/>
                    <w:suppressAutoHyphens w:val="0"/>
                    <w:spacing w:before="100" w:beforeAutospacing="1" w:after="100" w:afterAutospacing="1"/>
                    <w:contextualSpacing/>
                    <w:jc w:val="center"/>
                    <w:rPr>
                      <w:rFonts w:eastAsia="Arial" w:cs="Arial"/>
                      <w:sz w:val="18"/>
                      <w:szCs w:val="18"/>
                      <w:lang w:val="sv-SE" w:eastAsia="en-US"/>
                    </w:rPr>
                  </w:pPr>
                  <w:r w:rsidRPr="0069123B">
                    <w:rPr>
                      <w:rFonts w:eastAsia="Arial" w:cs="Arial"/>
                      <w:sz w:val="18"/>
                      <w:szCs w:val="18"/>
                      <w:lang w:val="sv-SE" w:eastAsia="en-US"/>
                    </w:rPr>
                    <w:t>0.565-22.6</w:t>
                  </w:r>
                </w:p>
                <w:p w14:paraId="76214610" w14:textId="77777777" w:rsidR="00DB3175" w:rsidRPr="0069123B" w:rsidRDefault="00DB3175" w:rsidP="0069123B">
                  <w:pPr>
                    <w:widowControl w:val="0"/>
                    <w:suppressAutoHyphens w:val="0"/>
                    <w:spacing w:before="100" w:beforeAutospacing="1" w:after="100" w:afterAutospacing="1"/>
                    <w:contextualSpacing/>
                    <w:jc w:val="center"/>
                    <w:rPr>
                      <w:rFonts w:eastAsia="Arial" w:cs="Arial"/>
                      <w:b/>
                      <w:lang w:val="sv-SE" w:eastAsia="en-US"/>
                    </w:rPr>
                  </w:pPr>
                  <w:r w:rsidRPr="0069123B">
                    <w:rPr>
                      <w:rFonts w:eastAsia="Arial" w:cs="Arial"/>
                      <w:sz w:val="18"/>
                      <w:szCs w:val="18"/>
                      <w:lang w:val="sv-SE" w:eastAsia="en-US"/>
                    </w:rPr>
                    <w:t>extremes up to 110.74</w:t>
                  </w:r>
                </w:p>
              </w:tc>
              <w:tc>
                <w:tcPr>
                  <w:tcW w:w="1354" w:type="dxa"/>
                  <w:shd w:val="clear" w:color="auto" w:fill="FFFFFF" w:themeFill="background1"/>
                  <w:vAlign w:val="center"/>
                </w:tcPr>
                <w:p w14:paraId="7589CBD8" w14:textId="77777777" w:rsidR="00DB3175"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4.72</w:t>
                  </w:r>
                  <w:r w:rsidR="00DB3175" w:rsidRPr="0069123B">
                    <w:rPr>
                      <w:rFonts w:cs="Arial"/>
                      <w:sz w:val="18"/>
                      <w:szCs w:val="18"/>
                      <w:lang w:val="sv-SE" w:eastAsia="en-US"/>
                    </w:rPr>
                    <w:t>E-03</w:t>
                  </w:r>
                </w:p>
              </w:tc>
              <w:tc>
                <w:tcPr>
                  <w:tcW w:w="1669" w:type="dxa"/>
                  <w:shd w:val="clear" w:color="auto" w:fill="FFFFFF" w:themeFill="background1"/>
                  <w:vAlign w:val="center"/>
                </w:tcPr>
                <w:p w14:paraId="425E1D5F" w14:textId="77777777" w:rsidR="00DB3175" w:rsidRPr="0069123B" w:rsidRDefault="0050289C" w:rsidP="0069123B">
                  <w:pPr>
                    <w:widowControl w:val="0"/>
                    <w:suppressAutoHyphens w:val="0"/>
                    <w:spacing w:before="100" w:beforeAutospacing="1" w:after="100" w:afterAutospacing="1"/>
                    <w:contextualSpacing/>
                    <w:jc w:val="center"/>
                    <w:rPr>
                      <w:rFonts w:eastAsia="Arial" w:cs="Arial"/>
                      <w:sz w:val="18"/>
                      <w:szCs w:val="18"/>
                      <w:lang w:val="sv-SE" w:eastAsia="en-US"/>
                    </w:rPr>
                  </w:pPr>
                  <w:r>
                    <w:rPr>
                      <w:rFonts w:eastAsia="Arial" w:cs="Arial"/>
                      <w:sz w:val="18"/>
                      <w:szCs w:val="18"/>
                      <w:lang w:val="sv-SE" w:eastAsia="en-US"/>
                    </w:rPr>
                    <w:t>4.00</w:t>
                  </w:r>
                  <w:r w:rsidR="00DB3175" w:rsidRPr="0069123B">
                    <w:rPr>
                      <w:rFonts w:eastAsia="Arial" w:cs="Arial"/>
                      <w:sz w:val="18"/>
                      <w:szCs w:val="18"/>
                      <w:lang w:val="sv-SE" w:eastAsia="en-US"/>
                    </w:rPr>
                    <w:t>E-01</w:t>
                  </w:r>
                </w:p>
              </w:tc>
              <w:tc>
                <w:tcPr>
                  <w:tcW w:w="1701" w:type="dxa"/>
                  <w:shd w:val="clear" w:color="auto" w:fill="FFFFFF" w:themeFill="background1"/>
                  <w:vAlign w:val="center"/>
                </w:tcPr>
                <w:p w14:paraId="2F99A1C0" w14:textId="77777777" w:rsidR="00DB3175"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6.61</w:t>
                  </w:r>
                  <w:r w:rsidR="00DB3175" w:rsidRPr="0069123B">
                    <w:rPr>
                      <w:rFonts w:cs="Arial"/>
                      <w:sz w:val="18"/>
                      <w:szCs w:val="18"/>
                      <w:lang w:val="sv-SE" w:eastAsia="en-US"/>
                    </w:rPr>
                    <w:t>E-04</w:t>
                  </w:r>
                </w:p>
              </w:tc>
              <w:tc>
                <w:tcPr>
                  <w:tcW w:w="1843" w:type="dxa"/>
                  <w:shd w:val="clear" w:color="auto" w:fill="FFFFFF" w:themeFill="background1"/>
                  <w:vAlign w:val="center"/>
                </w:tcPr>
                <w:p w14:paraId="33DF0D3B" w14:textId="77777777" w:rsidR="00DB3175" w:rsidRPr="0069123B" w:rsidRDefault="0050289C" w:rsidP="0069123B">
                  <w:pPr>
                    <w:suppressAutoHyphens w:val="0"/>
                    <w:spacing w:before="100" w:beforeAutospacing="1" w:after="100" w:afterAutospacing="1"/>
                    <w:contextualSpacing/>
                    <w:jc w:val="center"/>
                    <w:rPr>
                      <w:rFonts w:cs="Arial"/>
                      <w:b/>
                      <w:sz w:val="18"/>
                      <w:szCs w:val="18"/>
                      <w:lang w:val="sv-SE" w:eastAsia="en-US"/>
                    </w:rPr>
                  </w:pPr>
                  <w:r>
                    <w:rPr>
                      <w:rFonts w:cs="Arial"/>
                      <w:sz w:val="18"/>
                      <w:szCs w:val="18"/>
                      <w:lang w:val="sv-SE" w:eastAsia="en-US"/>
                    </w:rPr>
                    <w:t>1.54</w:t>
                  </w:r>
                  <w:r w:rsidR="00DB3175" w:rsidRPr="0069123B">
                    <w:rPr>
                      <w:rFonts w:cs="Arial"/>
                      <w:sz w:val="18"/>
                      <w:szCs w:val="18"/>
                      <w:lang w:val="sv-SE" w:eastAsia="en-US"/>
                    </w:rPr>
                    <w:t>E-0</w:t>
                  </w:r>
                  <w:r>
                    <w:rPr>
                      <w:rFonts w:cs="Arial"/>
                      <w:sz w:val="18"/>
                      <w:szCs w:val="18"/>
                      <w:lang w:val="sv-SE" w:eastAsia="en-US"/>
                    </w:rPr>
                    <w:t>1</w:t>
                  </w:r>
                </w:p>
              </w:tc>
              <w:tc>
                <w:tcPr>
                  <w:tcW w:w="1417" w:type="dxa"/>
                  <w:shd w:val="clear" w:color="auto" w:fill="FFFFFF" w:themeFill="background1"/>
                  <w:vAlign w:val="center"/>
                </w:tcPr>
                <w:p w14:paraId="0F0B590B" w14:textId="77777777" w:rsidR="00DB3175"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6.52</w:t>
                  </w:r>
                  <w:r w:rsidR="00DB3175" w:rsidRPr="0069123B">
                    <w:rPr>
                      <w:rFonts w:cs="Arial"/>
                      <w:sz w:val="18"/>
                      <w:szCs w:val="18"/>
                      <w:lang w:val="sv-SE" w:eastAsia="en-US"/>
                    </w:rPr>
                    <w:t>E-03</w:t>
                  </w:r>
                </w:p>
              </w:tc>
              <w:tc>
                <w:tcPr>
                  <w:tcW w:w="2268" w:type="dxa"/>
                  <w:shd w:val="clear" w:color="auto" w:fill="FFFFFF" w:themeFill="background1"/>
                  <w:vAlign w:val="center"/>
                </w:tcPr>
                <w:p w14:paraId="4163AED9" w14:textId="77777777" w:rsidR="00DB3175" w:rsidRPr="0069123B" w:rsidRDefault="0050289C" w:rsidP="0069123B">
                  <w:pPr>
                    <w:suppressAutoHyphens w:val="0"/>
                    <w:spacing w:before="100" w:beforeAutospacing="1" w:after="100" w:afterAutospacing="1"/>
                    <w:contextualSpacing/>
                    <w:jc w:val="center"/>
                    <w:rPr>
                      <w:rFonts w:cs="Arial"/>
                      <w:sz w:val="18"/>
                      <w:szCs w:val="18"/>
                      <w:lang w:val="sv-SE" w:eastAsia="en-US"/>
                    </w:rPr>
                  </w:pPr>
                  <w:r>
                    <w:rPr>
                      <w:rFonts w:cs="Arial"/>
                      <w:sz w:val="18"/>
                      <w:szCs w:val="18"/>
                      <w:lang w:val="sv-SE" w:eastAsia="en-US"/>
                    </w:rPr>
                    <w:t>2.15</w:t>
                  </w:r>
                  <w:r w:rsidR="00DB3175" w:rsidRPr="0069123B">
                    <w:rPr>
                      <w:rFonts w:cs="Arial"/>
                      <w:sz w:val="18"/>
                      <w:szCs w:val="18"/>
                      <w:lang w:val="sv-SE" w:eastAsia="en-US"/>
                    </w:rPr>
                    <w:t>E-02</w:t>
                  </w:r>
                </w:p>
              </w:tc>
            </w:tr>
            <w:tr w:rsidR="00DB3175" w:rsidRPr="0069123B" w14:paraId="69814488" w14:textId="77777777" w:rsidTr="001B3B87">
              <w:trPr>
                <w:trHeight w:val="60"/>
              </w:trPr>
              <w:tc>
                <w:tcPr>
                  <w:tcW w:w="1696" w:type="dxa"/>
                  <w:shd w:val="clear" w:color="auto" w:fill="FFFFFF" w:themeFill="background1"/>
                </w:tcPr>
                <w:p w14:paraId="758EF054" w14:textId="77777777" w:rsidR="00DB3175" w:rsidRPr="0069123B" w:rsidRDefault="00DB3175" w:rsidP="0069123B">
                  <w:pPr>
                    <w:widowControl w:val="0"/>
                    <w:suppressAutoHyphens w:val="0"/>
                    <w:spacing w:before="100" w:beforeAutospacing="1" w:after="100" w:afterAutospacing="1"/>
                    <w:contextualSpacing/>
                    <w:rPr>
                      <w:rFonts w:eastAsia="Arial" w:cs="Arial"/>
                      <w:sz w:val="18"/>
                      <w:szCs w:val="18"/>
                      <w:lang w:val="sv-SE" w:eastAsia="en-US"/>
                    </w:rPr>
                  </w:pPr>
                  <w:r w:rsidRPr="0069123B">
                    <w:rPr>
                      <w:rFonts w:eastAsia="Arial" w:cs="Arial"/>
                      <w:sz w:val="18"/>
                      <w:szCs w:val="18"/>
                      <w:lang w:val="sv-SE" w:eastAsia="en-US"/>
                    </w:rPr>
                    <w:t xml:space="preserve">Groundwater </w:t>
                  </w:r>
                </w:p>
              </w:tc>
              <w:tc>
                <w:tcPr>
                  <w:tcW w:w="1547" w:type="dxa"/>
                  <w:shd w:val="clear" w:color="auto" w:fill="FFFFFF" w:themeFill="background1"/>
                  <w:vAlign w:val="center"/>
                </w:tcPr>
                <w:p w14:paraId="07A6BCFB" w14:textId="77777777" w:rsidR="00DB3175" w:rsidRPr="0069123B" w:rsidRDefault="00DB3175" w:rsidP="0069123B">
                  <w:pPr>
                    <w:widowControl w:val="0"/>
                    <w:suppressAutoHyphens w:val="0"/>
                    <w:spacing w:before="100" w:beforeAutospacing="1" w:after="100" w:afterAutospacing="1"/>
                    <w:contextualSpacing/>
                    <w:jc w:val="center"/>
                    <w:rPr>
                      <w:rFonts w:eastAsia="Arial" w:cs="Arial"/>
                      <w:sz w:val="18"/>
                      <w:szCs w:val="18"/>
                      <w:lang w:val="sv-SE" w:eastAsia="en-US"/>
                    </w:rPr>
                  </w:pPr>
                  <w:r w:rsidRPr="0069123B">
                    <w:rPr>
                      <w:rFonts w:eastAsia="Arial" w:cs="Arial"/>
                      <w:sz w:val="18"/>
                      <w:szCs w:val="18"/>
                      <w:lang w:val="sv-SE" w:eastAsia="en-US"/>
                    </w:rPr>
                    <w:t>1-70</w:t>
                  </w:r>
                </w:p>
                <w:p w14:paraId="22ACA368" w14:textId="77777777" w:rsidR="00DB3175" w:rsidRPr="0069123B" w:rsidRDefault="00DB3175" w:rsidP="0069123B">
                  <w:pPr>
                    <w:widowControl w:val="0"/>
                    <w:suppressAutoHyphens w:val="0"/>
                    <w:spacing w:before="100" w:beforeAutospacing="1" w:after="100" w:afterAutospacing="1"/>
                    <w:contextualSpacing/>
                    <w:jc w:val="center"/>
                    <w:rPr>
                      <w:rFonts w:eastAsia="Arial" w:cs="Arial"/>
                      <w:b/>
                      <w:lang w:val="sv-SE" w:eastAsia="en-US"/>
                    </w:rPr>
                  </w:pPr>
                  <w:r w:rsidRPr="0069123B">
                    <w:rPr>
                      <w:rFonts w:eastAsia="Arial" w:cs="Arial"/>
                      <w:sz w:val="18"/>
                      <w:szCs w:val="18"/>
                      <w:lang w:val="sv-SE" w:eastAsia="en-US"/>
                    </w:rPr>
                    <w:t>extremes up to 400</w:t>
                  </w:r>
                </w:p>
              </w:tc>
              <w:tc>
                <w:tcPr>
                  <w:tcW w:w="1354" w:type="dxa"/>
                  <w:shd w:val="clear" w:color="auto" w:fill="FFFFFF" w:themeFill="background1"/>
                  <w:vAlign w:val="center"/>
                </w:tcPr>
                <w:p w14:paraId="5405856D" w14:textId="77777777" w:rsidR="00DB3175"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8.83</w:t>
                  </w:r>
                  <w:r w:rsidR="00DB3175" w:rsidRPr="0069123B">
                    <w:rPr>
                      <w:rFonts w:cs="Arial"/>
                      <w:sz w:val="18"/>
                      <w:szCs w:val="18"/>
                      <w:lang w:val="sv-SE" w:eastAsia="en-US"/>
                    </w:rPr>
                    <w:t>E-01</w:t>
                  </w:r>
                </w:p>
              </w:tc>
              <w:tc>
                <w:tcPr>
                  <w:tcW w:w="1669" w:type="dxa"/>
                  <w:shd w:val="clear" w:color="auto" w:fill="FFFFFF" w:themeFill="background1"/>
                  <w:vAlign w:val="center"/>
                </w:tcPr>
                <w:p w14:paraId="72DC8CB9" w14:textId="77777777" w:rsidR="00DB3175" w:rsidRPr="0069123B" w:rsidRDefault="00DB3175"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120F8527" w14:textId="77777777" w:rsidR="00DB3175" w:rsidRPr="0069123B" w:rsidRDefault="00DB3175" w:rsidP="0069123B">
                  <w:pPr>
                    <w:suppressAutoHyphens w:val="0"/>
                    <w:spacing w:before="100" w:beforeAutospacing="1" w:after="100" w:afterAutospacing="1"/>
                    <w:contextualSpacing/>
                    <w:jc w:val="center"/>
                    <w:rPr>
                      <w:rFonts w:cs="Arial"/>
                      <w:b/>
                      <w:bCs/>
                      <w:color w:val="000000"/>
                      <w:sz w:val="18"/>
                      <w:szCs w:val="18"/>
                      <w:lang w:val="sv-SE" w:eastAsia="sv-SE"/>
                    </w:rPr>
                  </w:pPr>
                  <w:r w:rsidRPr="0069123B">
                    <w:rPr>
                      <w:rFonts w:cs="Arial"/>
                      <w:sz w:val="18"/>
                      <w:szCs w:val="18"/>
                      <w:lang w:val="sv-SE" w:eastAsia="en-US"/>
                    </w:rPr>
                    <w:t>Lower to the background level</w:t>
                  </w:r>
                </w:p>
              </w:tc>
              <w:tc>
                <w:tcPr>
                  <w:tcW w:w="1701" w:type="dxa"/>
                  <w:shd w:val="clear" w:color="auto" w:fill="FFFFFF" w:themeFill="background1"/>
                  <w:vAlign w:val="center"/>
                </w:tcPr>
                <w:p w14:paraId="7873EB07" w14:textId="77777777" w:rsidR="00DB3175" w:rsidRPr="0069123B" w:rsidRDefault="008C1D70" w:rsidP="0069123B">
                  <w:pPr>
                    <w:suppressAutoHyphens w:val="0"/>
                    <w:spacing w:before="100" w:beforeAutospacing="1" w:after="100" w:afterAutospacing="1"/>
                    <w:contextualSpacing/>
                    <w:jc w:val="center"/>
                    <w:rPr>
                      <w:rFonts w:cs="Times New Roman"/>
                      <w:color w:val="000000"/>
                      <w:szCs w:val="24"/>
                      <w:lang w:val="sv-SE" w:eastAsia="sv-SE"/>
                    </w:rPr>
                  </w:pPr>
                  <w:r>
                    <w:rPr>
                      <w:rFonts w:cs="Arial"/>
                      <w:sz w:val="18"/>
                      <w:szCs w:val="18"/>
                      <w:lang w:val="sv-SE" w:eastAsia="en-US"/>
                    </w:rPr>
                    <w:t>1.24</w:t>
                  </w:r>
                  <w:r w:rsidR="00DB3175" w:rsidRPr="0069123B">
                    <w:rPr>
                      <w:rFonts w:cs="Arial"/>
                      <w:sz w:val="18"/>
                      <w:szCs w:val="18"/>
                      <w:lang w:val="sv-SE" w:eastAsia="en-US"/>
                    </w:rPr>
                    <w:t>E-0</w:t>
                  </w:r>
                  <w:r>
                    <w:rPr>
                      <w:rFonts w:cs="Arial"/>
                      <w:sz w:val="18"/>
                      <w:szCs w:val="18"/>
                      <w:lang w:val="sv-SE" w:eastAsia="en-US"/>
                    </w:rPr>
                    <w:t>1</w:t>
                  </w:r>
                </w:p>
              </w:tc>
              <w:tc>
                <w:tcPr>
                  <w:tcW w:w="1843" w:type="dxa"/>
                  <w:shd w:val="clear" w:color="auto" w:fill="FFFFFF" w:themeFill="background1"/>
                  <w:vAlign w:val="center"/>
                </w:tcPr>
                <w:p w14:paraId="120C5EC9" w14:textId="77777777" w:rsidR="00DB3175" w:rsidRPr="0069123B" w:rsidRDefault="00DB3175"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7F9D0694" w14:textId="77777777" w:rsidR="00DB3175" w:rsidRPr="0069123B" w:rsidRDefault="00DB3175" w:rsidP="0069123B">
                  <w:pPr>
                    <w:suppressAutoHyphens w:val="0"/>
                    <w:spacing w:before="100" w:beforeAutospacing="1" w:after="100" w:afterAutospacing="1"/>
                    <w:contextualSpacing/>
                    <w:jc w:val="center"/>
                    <w:rPr>
                      <w:rFonts w:cs="Arial"/>
                      <w:b/>
                      <w:bCs/>
                      <w:color w:val="000000"/>
                      <w:sz w:val="18"/>
                      <w:szCs w:val="18"/>
                      <w:lang w:val="sv-SE" w:eastAsia="sv-SE"/>
                    </w:rPr>
                  </w:pPr>
                  <w:r w:rsidRPr="0069123B">
                    <w:rPr>
                      <w:rFonts w:cs="Arial"/>
                      <w:sz w:val="18"/>
                      <w:szCs w:val="18"/>
                      <w:lang w:val="sv-SE" w:eastAsia="en-US"/>
                    </w:rPr>
                    <w:t>Lower to the background level</w:t>
                  </w:r>
                </w:p>
              </w:tc>
              <w:tc>
                <w:tcPr>
                  <w:tcW w:w="1417" w:type="dxa"/>
                  <w:shd w:val="clear" w:color="auto" w:fill="FFFFFF" w:themeFill="background1"/>
                  <w:vAlign w:val="center"/>
                </w:tcPr>
                <w:p w14:paraId="4612597F" w14:textId="77777777" w:rsidR="00DB3175" w:rsidRPr="0069123B" w:rsidRDefault="008C1D70" w:rsidP="0069123B">
                  <w:pPr>
                    <w:suppressAutoHyphens w:val="0"/>
                    <w:spacing w:before="100" w:beforeAutospacing="1" w:after="100" w:afterAutospacing="1"/>
                    <w:contextualSpacing/>
                    <w:jc w:val="center"/>
                    <w:rPr>
                      <w:rFonts w:cs="Times New Roman"/>
                      <w:b/>
                      <w:bCs/>
                      <w:color w:val="000000"/>
                      <w:szCs w:val="24"/>
                      <w:lang w:val="sv-SE" w:eastAsia="sv-SE"/>
                    </w:rPr>
                  </w:pPr>
                  <w:r>
                    <w:rPr>
                      <w:rFonts w:cs="Arial"/>
                      <w:sz w:val="18"/>
                      <w:szCs w:val="18"/>
                      <w:lang w:val="sv-SE" w:eastAsia="en-US"/>
                    </w:rPr>
                    <w:t>1.22</w:t>
                  </w:r>
                </w:p>
              </w:tc>
              <w:tc>
                <w:tcPr>
                  <w:tcW w:w="2268" w:type="dxa"/>
                  <w:shd w:val="clear" w:color="auto" w:fill="FFFFFF" w:themeFill="background1"/>
                  <w:vAlign w:val="center"/>
                </w:tcPr>
                <w:p w14:paraId="49002F2F" w14:textId="77777777" w:rsidR="00DB3175" w:rsidRPr="0069123B" w:rsidRDefault="00DB3175" w:rsidP="0069123B">
                  <w:pPr>
                    <w:suppressAutoHyphens w:val="0"/>
                    <w:spacing w:before="100" w:beforeAutospacing="1" w:after="100" w:afterAutospacing="1"/>
                    <w:contextualSpacing/>
                    <w:jc w:val="center"/>
                    <w:rPr>
                      <w:rFonts w:cs="Arial"/>
                      <w:sz w:val="18"/>
                      <w:szCs w:val="18"/>
                      <w:lang w:val="sv-SE" w:eastAsia="en-US"/>
                    </w:rPr>
                  </w:pPr>
                  <w:r w:rsidRPr="0069123B">
                    <w:rPr>
                      <w:rFonts w:cs="Arial"/>
                      <w:sz w:val="18"/>
                      <w:szCs w:val="18"/>
                      <w:lang w:val="sv-SE" w:eastAsia="en-US"/>
                    </w:rPr>
                    <w:t>&gt; 0.1 µg/L</w:t>
                  </w:r>
                </w:p>
                <w:p w14:paraId="271EF3F2" w14:textId="77777777" w:rsidR="00DB3175" w:rsidRPr="0069123B" w:rsidRDefault="0050289C" w:rsidP="0069123B">
                  <w:pPr>
                    <w:suppressAutoHyphens w:val="0"/>
                    <w:spacing w:before="100" w:beforeAutospacing="1" w:after="100" w:afterAutospacing="1"/>
                    <w:contextualSpacing/>
                    <w:jc w:val="center"/>
                    <w:rPr>
                      <w:rFonts w:cs="Arial"/>
                      <w:b/>
                      <w:bCs/>
                      <w:color w:val="000000"/>
                      <w:sz w:val="18"/>
                      <w:szCs w:val="18"/>
                      <w:lang w:val="sv-SE" w:eastAsia="sv-SE"/>
                    </w:rPr>
                  </w:pPr>
                  <w:r>
                    <w:rPr>
                      <w:rFonts w:cs="Arial"/>
                      <w:sz w:val="18"/>
                      <w:szCs w:val="18"/>
                      <w:lang w:val="sv-SE" w:eastAsia="en-US"/>
                    </w:rPr>
                    <w:t>In</w:t>
                  </w:r>
                  <w:r w:rsidR="00DB3175" w:rsidRPr="0069123B">
                    <w:rPr>
                      <w:rFonts w:cs="Arial"/>
                      <w:sz w:val="18"/>
                      <w:szCs w:val="18"/>
                      <w:lang w:val="sv-SE" w:eastAsia="en-US"/>
                    </w:rPr>
                    <w:t xml:space="preserve"> the background level</w:t>
                  </w:r>
                </w:p>
              </w:tc>
            </w:tr>
          </w:tbl>
          <w:p w14:paraId="1F2F0966" w14:textId="77777777" w:rsidR="007A1BBD" w:rsidRDefault="007A1BBD" w:rsidP="00705A8C">
            <w:pPr>
              <w:suppressAutoHyphens w:val="0"/>
              <w:spacing w:before="60"/>
              <w:jc w:val="both"/>
              <w:rPr>
                <w:rFonts w:cs="Arial"/>
                <w:b/>
                <w:lang w:val="sv-SE" w:eastAsia="en-US"/>
              </w:rPr>
            </w:pPr>
          </w:p>
          <w:p w14:paraId="6A88486C" w14:textId="77777777" w:rsidR="007A1BBD" w:rsidRDefault="007A1BBD" w:rsidP="00705A8C">
            <w:pPr>
              <w:suppressAutoHyphens w:val="0"/>
              <w:spacing w:before="60"/>
              <w:jc w:val="both"/>
              <w:rPr>
                <w:rFonts w:cs="Arial"/>
                <w:b/>
                <w:lang w:val="sv-SE" w:eastAsia="en-US"/>
              </w:rPr>
            </w:pPr>
          </w:p>
          <w:p w14:paraId="094F442F" w14:textId="77777777" w:rsidR="0069123B" w:rsidRPr="00705A8C" w:rsidRDefault="0069123B" w:rsidP="00705A8C">
            <w:pPr>
              <w:suppressAutoHyphens w:val="0"/>
              <w:spacing w:before="60"/>
              <w:jc w:val="both"/>
              <w:rPr>
                <w:rFonts w:cs="Arial"/>
                <w:b/>
                <w:sz w:val="18"/>
                <w:lang w:val="sv-SE" w:eastAsia="en-US"/>
              </w:rPr>
            </w:pPr>
            <w:r w:rsidRPr="008A2ABE">
              <w:rPr>
                <w:rFonts w:cs="Arial"/>
                <w:b/>
                <w:lang w:val="sv-SE" w:eastAsia="en-US"/>
              </w:rPr>
              <w:t>Conclusion:</w:t>
            </w:r>
          </w:p>
          <w:p w14:paraId="40F77699"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u w:val="single"/>
                <w:lang w:val="en-US" w:eastAsia="en-US"/>
              </w:rPr>
              <w:t>Concerning the risk assessment via manure application</w:t>
            </w:r>
            <w:r w:rsidR="00423720">
              <w:rPr>
                <w:rFonts w:cs="Arial"/>
                <w:sz w:val="20"/>
                <w:u w:val="single"/>
                <w:lang w:val="en-US" w:eastAsia="en-US"/>
              </w:rPr>
              <w:t xml:space="preserve"> after 10 years applications</w:t>
            </w:r>
            <w:r w:rsidRPr="00705A8C">
              <w:rPr>
                <w:rFonts w:cs="Arial"/>
                <w:sz w:val="20"/>
                <w:lang w:val="en-US" w:eastAsia="en-US"/>
              </w:rPr>
              <w:t>:</w:t>
            </w:r>
          </w:p>
          <w:p w14:paraId="708D95E9" w14:textId="77777777" w:rsidR="0069123B" w:rsidRPr="00705A8C" w:rsidRDefault="0069123B" w:rsidP="00705A8C">
            <w:pPr>
              <w:suppressAutoHyphens w:val="0"/>
              <w:spacing w:before="60"/>
              <w:ind w:left="142"/>
              <w:jc w:val="both"/>
              <w:rPr>
                <w:rFonts w:cs="Arial"/>
                <w:b/>
                <w:i/>
                <w:sz w:val="16"/>
                <w:lang w:val="en-US" w:eastAsia="en-US"/>
              </w:rPr>
            </w:pPr>
            <w:r w:rsidRPr="00705A8C">
              <w:rPr>
                <w:rFonts w:cs="Arial"/>
                <w:b/>
                <w:i/>
                <w:sz w:val="20"/>
                <w:lang w:val="en-US" w:eastAsia="en-US"/>
              </w:rPr>
              <w:t>In surface water</w:t>
            </w:r>
          </w:p>
          <w:p w14:paraId="02BCECAE"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lang w:val="en-US" w:eastAsia="en-US"/>
              </w:rPr>
              <w:t xml:space="preserve">- For iodine, iodide and iodate, </w:t>
            </w:r>
            <w:r w:rsidR="00423720">
              <w:rPr>
                <w:rFonts w:cs="Arial"/>
                <w:sz w:val="20"/>
                <w:lang w:val="en-US" w:eastAsia="en-US"/>
              </w:rPr>
              <w:t>PEC</w:t>
            </w:r>
            <w:r w:rsidRPr="00705A8C">
              <w:rPr>
                <w:rFonts w:cs="Arial"/>
                <w:sz w:val="20"/>
                <w:lang w:val="en-US" w:eastAsia="en-US"/>
              </w:rPr>
              <w:t xml:space="preserve"> values in surface water are </w:t>
            </w:r>
            <w:r w:rsidR="00423720">
              <w:rPr>
                <w:rFonts w:cs="Arial"/>
                <w:sz w:val="20"/>
                <w:lang w:val="en-US" w:eastAsia="en-US"/>
              </w:rPr>
              <w:t>below or</w:t>
            </w:r>
            <w:r w:rsidR="00423720" w:rsidRPr="00705A8C">
              <w:rPr>
                <w:rFonts w:cs="Arial"/>
                <w:sz w:val="20"/>
                <w:lang w:val="en-US" w:eastAsia="en-US"/>
              </w:rPr>
              <w:t xml:space="preserve"> </w:t>
            </w:r>
            <w:r w:rsidR="00423720">
              <w:rPr>
                <w:rFonts w:cs="Arial"/>
                <w:sz w:val="20"/>
                <w:lang w:val="en-US" w:eastAsia="en-US"/>
              </w:rPr>
              <w:t>in the background level</w:t>
            </w:r>
            <w:r w:rsidRPr="00705A8C">
              <w:rPr>
                <w:rFonts w:cs="Arial"/>
                <w:sz w:val="20"/>
                <w:lang w:val="en-US" w:eastAsia="en-US"/>
              </w:rPr>
              <w:t xml:space="preserve"> which indicates acceptable risks.</w:t>
            </w:r>
          </w:p>
          <w:p w14:paraId="24D08B61" w14:textId="77777777" w:rsidR="0069123B" w:rsidRPr="00705A8C" w:rsidRDefault="0069123B" w:rsidP="00705A8C">
            <w:pPr>
              <w:suppressAutoHyphens w:val="0"/>
              <w:spacing w:before="60"/>
              <w:ind w:left="142"/>
              <w:jc w:val="both"/>
              <w:rPr>
                <w:rFonts w:cs="Arial"/>
                <w:b/>
                <w:i/>
                <w:sz w:val="16"/>
                <w:lang w:val="en-US" w:eastAsia="en-US"/>
              </w:rPr>
            </w:pPr>
            <w:r w:rsidRPr="00705A8C">
              <w:rPr>
                <w:rFonts w:cs="Arial"/>
                <w:b/>
                <w:i/>
                <w:sz w:val="20"/>
                <w:lang w:val="en-US" w:eastAsia="en-US"/>
              </w:rPr>
              <w:t>In soil</w:t>
            </w:r>
          </w:p>
          <w:p w14:paraId="6F7FDC9B"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lang w:val="en-US" w:eastAsia="en-US"/>
              </w:rPr>
              <w:t>- For iodi</w:t>
            </w:r>
            <w:r w:rsidR="00BC4342">
              <w:rPr>
                <w:rFonts w:cs="Arial"/>
                <w:sz w:val="20"/>
                <w:lang w:val="en-US" w:eastAsia="en-US"/>
              </w:rPr>
              <w:t>n</w:t>
            </w:r>
            <w:r w:rsidRPr="00705A8C">
              <w:rPr>
                <w:rFonts w:cs="Arial"/>
                <w:sz w:val="20"/>
                <w:lang w:val="en-US" w:eastAsia="en-US"/>
              </w:rPr>
              <w:t>e</w:t>
            </w:r>
            <w:r w:rsidR="00BC4342">
              <w:rPr>
                <w:rFonts w:cs="Arial"/>
                <w:sz w:val="20"/>
                <w:lang w:val="en-US" w:eastAsia="en-US"/>
              </w:rPr>
              <w:t xml:space="preserve"> and iodide</w:t>
            </w:r>
            <w:r w:rsidRPr="00705A8C">
              <w:rPr>
                <w:rFonts w:cs="Arial"/>
                <w:sz w:val="20"/>
                <w:lang w:val="en-US" w:eastAsia="en-US"/>
              </w:rPr>
              <w:t>, PEC/PNEC values above 1 have been identified for spreading of manure. However, in the worst case the PECsoil value</w:t>
            </w:r>
            <w:r w:rsidR="00BC4342">
              <w:rPr>
                <w:rFonts w:cs="Arial"/>
                <w:sz w:val="20"/>
                <w:lang w:val="en-US" w:eastAsia="en-US"/>
              </w:rPr>
              <w:t>s</w:t>
            </w:r>
            <w:r w:rsidRPr="00705A8C">
              <w:rPr>
                <w:rFonts w:cs="Arial"/>
                <w:sz w:val="20"/>
                <w:lang w:val="en-US" w:eastAsia="en-US"/>
              </w:rPr>
              <w:t xml:space="preserve"> </w:t>
            </w:r>
            <w:r w:rsidR="00BC4342">
              <w:rPr>
                <w:rFonts w:cs="Arial"/>
                <w:sz w:val="20"/>
                <w:lang w:val="en-US" w:eastAsia="en-US"/>
              </w:rPr>
              <w:t>are</w:t>
            </w:r>
            <w:r w:rsidRPr="00705A8C">
              <w:rPr>
                <w:rFonts w:cs="Arial"/>
                <w:sz w:val="20"/>
                <w:lang w:val="en-US" w:eastAsia="en-US"/>
              </w:rPr>
              <w:t xml:space="preserve"> below the typically background concentrations ranging from 0.565 to 22.6 mg/kg wwt. </w:t>
            </w:r>
          </w:p>
          <w:p w14:paraId="173F2B62"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lang w:val="en-US" w:eastAsia="en-US"/>
              </w:rPr>
              <w:t xml:space="preserve">- For iodate, PEC values in soil are all below </w:t>
            </w:r>
            <w:r w:rsidR="00423720">
              <w:rPr>
                <w:rFonts w:cs="Arial"/>
                <w:sz w:val="20"/>
                <w:lang w:val="en-US" w:eastAsia="en-US"/>
              </w:rPr>
              <w:t>the background level</w:t>
            </w:r>
            <w:r w:rsidR="00423720" w:rsidRPr="00705A8C">
              <w:rPr>
                <w:rFonts w:cs="Arial"/>
                <w:sz w:val="20"/>
                <w:lang w:val="en-US" w:eastAsia="en-US"/>
              </w:rPr>
              <w:t xml:space="preserve"> </w:t>
            </w:r>
            <w:r w:rsidRPr="00705A8C">
              <w:rPr>
                <w:rFonts w:cs="Arial"/>
                <w:sz w:val="20"/>
                <w:lang w:val="en-US" w:eastAsia="en-US"/>
              </w:rPr>
              <w:t>which indicates acceptable risks.</w:t>
            </w:r>
          </w:p>
          <w:p w14:paraId="6D7018DA" w14:textId="77777777" w:rsidR="0069123B" w:rsidRPr="00705A8C" w:rsidRDefault="0069123B" w:rsidP="00705A8C">
            <w:pPr>
              <w:suppressAutoHyphens w:val="0"/>
              <w:spacing w:before="60"/>
              <w:ind w:left="142"/>
              <w:jc w:val="both"/>
              <w:rPr>
                <w:rFonts w:cs="Arial"/>
                <w:b/>
                <w:i/>
                <w:sz w:val="16"/>
                <w:lang w:val="en-US" w:eastAsia="en-US"/>
              </w:rPr>
            </w:pPr>
            <w:r w:rsidRPr="00705A8C">
              <w:rPr>
                <w:rFonts w:cs="Arial"/>
                <w:b/>
                <w:i/>
                <w:sz w:val="20"/>
                <w:lang w:val="en-US" w:eastAsia="en-US"/>
              </w:rPr>
              <w:t>In groundwater</w:t>
            </w:r>
          </w:p>
          <w:p w14:paraId="007663A0" w14:textId="77777777" w:rsidR="00423720" w:rsidRDefault="0069123B" w:rsidP="00705A8C">
            <w:pPr>
              <w:suppressAutoHyphens w:val="0"/>
              <w:spacing w:before="60"/>
              <w:ind w:left="142"/>
              <w:jc w:val="both"/>
              <w:rPr>
                <w:rFonts w:cs="Arial"/>
                <w:sz w:val="20"/>
                <w:lang w:val="en-US" w:eastAsia="en-US"/>
              </w:rPr>
            </w:pPr>
            <w:r w:rsidRPr="00705A8C">
              <w:rPr>
                <w:rFonts w:cs="Arial"/>
                <w:sz w:val="20"/>
                <w:lang w:val="sv-SE" w:eastAsia="en-US"/>
              </w:rPr>
              <w:t xml:space="preserve">In </w:t>
            </w:r>
            <w:r w:rsidRPr="00705A8C">
              <w:rPr>
                <w:rFonts w:cs="Arial"/>
                <w:sz w:val="20"/>
                <w:lang w:val="en-US" w:eastAsia="en-US"/>
              </w:rPr>
              <w:t xml:space="preserve">the risk assessment for groundwater, the PECgw values are compared with the limit value of 0.1 µg/L provided for pesticides in the Drinking Water Directive 98/83/EC. However, as iodine and iodine compounds are not xenobiotics, this threshold value can be considered as over conservative. Maximum calculated PECgw values are </w:t>
            </w:r>
            <w:r w:rsidR="00BC4342">
              <w:rPr>
                <w:rFonts w:cs="Arial"/>
                <w:sz w:val="20"/>
                <w:lang w:val="en-US" w:eastAsia="en-US"/>
              </w:rPr>
              <w:t>26.1</w:t>
            </w:r>
            <w:r w:rsidRPr="00705A8C">
              <w:rPr>
                <w:rFonts w:cs="Arial"/>
                <w:sz w:val="20"/>
                <w:lang w:val="en-US" w:eastAsia="en-US"/>
              </w:rPr>
              <w:t xml:space="preserve"> µg/L for iodine /iodide and </w:t>
            </w:r>
            <w:r w:rsidR="00BC4342">
              <w:rPr>
                <w:rFonts w:cs="Arial"/>
                <w:sz w:val="20"/>
                <w:lang w:val="en-US" w:eastAsia="en-US"/>
              </w:rPr>
              <w:t>36.1</w:t>
            </w:r>
            <w:r w:rsidRPr="00705A8C">
              <w:rPr>
                <w:rFonts w:cs="Arial"/>
                <w:sz w:val="20"/>
                <w:lang w:val="en-US" w:eastAsia="en-US"/>
              </w:rPr>
              <w:t xml:space="preserve"> µg/L for iodate. Although these concentrations are above the mean natural background concentration of 1 µg/L in groundwater, they are still below the maximum natural background concentration of 70 µg/L. </w:t>
            </w:r>
          </w:p>
          <w:p w14:paraId="58D8B17D"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u w:val="single"/>
                <w:lang w:val="en-US" w:eastAsia="en-US"/>
              </w:rPr>
              <w:t>Concerning the risk assessment via STP</w:t>
            </w:r>
            <w:r w:rsidRPr="00705A8C">
              <w:rPr>
                <w:rFonts w:cs="Arial"/>
                <w:sz w:val="20"/>
                <w:lang w:val="en-US" w:eastAsia="en-US"/>
              </w:rPr>
              <w:t>:</w:t>
            </w:r>
          </w:p>
          <w:p w14:paraId="0C1DE361" w14:textId="77777777" w:rsidR="0069123B" w:rsidRPr="00705A8C" w:rsidRDefault="0069123B" w:rsidP="00705A8C">
            <w:pPr>
              <w:suppressAutoHyphens w:val="0"/>
              <w:spacing w:before="60"/>
              <w:ind w:left="142"/>
              <w:jc w:val="both"/>
              <w:rPr>
                <w:rFonts w:cs="Arial"/>
                <w:b/>
                <w:i/>
                <w:sz w:val="16"/>
                <w:lang w:val="en-US" w:eastAsia="en-US"/>
              </w:rPr>
            </w:pPr>
            <w:r w:rsidRPr="00705A8C">
              <w:rPr>
                <w:rFonts w:cs="Arial"/>
                <w:b/>
                <w:i/>
                <w:sz w:val="20"/>
                <w:lang w:val="en-US" w:eastAsia="en-US"/>
              </w:rPr>
              <w:t>In STP</w:t>
            </w:r>
          </w:p>
          <w:p w14:paraId="71A8AC71"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lang w:val="en-US" w:eastAsia="en-US"/>
              </w:rPr>
              <w:t>-</w:t>
            </w:r>
            <w:r w:rsidRPr="00705A8C">
              <w:rPr>
                <w:rFonts w:cs="Times New Roman"/>
                <w:color w:val="000000"/>
                <w:sz w:val="20"/>
                <w:lang w:eastAsia="en-GB" w:bidi="en-GB"/>
              </w:rPr>
              <w:t xml:space="preserve"> </w:t>
            </w:r>
            <w:r w:rsidRPr="00705A8C">
              <w:rPr>
                <w:rFonts w:cs="Arial"/>
                <w:sz w:val="20"/>
                <w:lang w:val="en-US" w:eastAsia="en-US"/>
              </w:rPr>
              <w:t>For iodine PEC/PNEC value is below 1 which indicates acceptable risks. Iodide and iodate are not relevant for the STP.</w:t>
            </w:r>
          </w:p>
          <w:p w14:paraId="6EEC71B2" w14:textId="77777777" w:rsidR="0069123B" w:rsidRPr="00705A8C" w:rsidRDefault="0069123B" w:rsidP="00705A8C">
            <w:pPr>
              <w:suppressAutoHyphens w:val="0"/>
              <w:spacing w:before="60"/>
              <w:ind w:left="142"/>
              <w:jc w:val="both"/>
              <w:rPr>
                <w:rFonts w:cs="Arial"/>
                <w:b/>
                <w:i/>
                <w:sz w:val="16"/>
                <w:lang w:val="en-US" w:eastAsia="en-US"/>
              </w:rPr>
            </w:pPr>
            <w:r w:rsidRPr="00705A8C">
              <w:rPr>
                <w:rFonts w:cs="Arial"/>
                <w:b/>
                <w:i/>
                <w:sz w:val="20"/>
                <w:lang w:val="en-US" w:eastAsia="en-US"/>
              </w:rPr>
              <w:t>In surface water</w:t>
            </w:r>
          </w:p>
          <w:p w14:paraId="7FD2A33C"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lang w:val="en-US" w:eastAsia="en-US"/>
              </w:rPr>
              <w:t>- For iodine, iodide and iodate, PEC/PNEC values for surface water are all below 1 which indicates acceptable risks.</w:t>
            </w:r>
          </w:p>
          <w:p w14:paraId="4ECD3273" w14:textId="77777777" w:rsidR="0069123B" w:rsidRPr="00705A8C" w:rsidRDefault="0069123B" w:rsidP="00705A8C">
            <w:pPr>
              <w:suppressAutoHyphens w:val="0"/>
              <w:spacing w:before="60"/>
              <w:ind w:left="142"/>
              <w:jc w:val="both"/>
              <w:rPr>
                <w:rFonts w:cs="Arial"/>
                <w:b/>
                <w:i/>
                <w:sz w:val="16"/>
                <w:lang w:val="en-US" w:eastAsia="en-US"/>
              </w:rPr>
            </w:pPr>
            <w:r w:rsidRPr="00705A8C">
              <w:rPr>
                <w:rFonts w:cs="Arial"/>
                <w:b/>
                <w:i/>
                <w:sz w:val="20"/>
                <w:lang w:val="en-US" w:eastAsia="en-US"/>
              </w:rPr>
              <w:t>In soil</w:t>
            </w:r>
          </w:p>
          <w:p w14:paraId="31155725" w14:textId="77777777" w:rsidR="0069123B" w:rsidRPr="00705A8C" w:rsidRDefault="0069123B" w:rsidP="00705A8C">
            <w:pPr>
              <w:suppressAutoHyphens w:val="0"/>
              <w:spacing w:before="60"/>
              <w:ind w:left="142"/>
              <w:jc w:val="both"/>
              <w:rPr>
                <w:rFonts w:cs="Arial"/>
                <w:sz w:val="16"/>
                <w:lang w:val="en-US" w:eastAsia="en-US"/>
              </w:rPr>
            </w:pPr>
            <w:r w:rsidRPr="00705A8C">
              <w:rPr>
                <w:rFonts w:cs="Arial"/>
                <w:sz w:val="20"/>
                <w:lang w:val="en-US" w:eastAsia="en-US"/>
              </w:rPr>
              <w:t>- For iodine, iodide and iodate, PEC/PNEC values for soil are all below 1 which indicates acceptable risks.</w:t>
            </w:r>
          </w:p>
          <w:p w14:paraId="1ABCF977" w14:textId="77777777" w:rsidR="0069123B" w:rsidRPr="00705A8C" w:rsidRDefault="0069123B" w:rsidP="00705A8C">
            <w:pPr>
              <w:suppressAutoHyphens w:val="0"/>
              <w:spacing w:before="60"/>
              <w:ind w:left="142"/>
              <w:jc w:val="both"/>
              <w:rPr>
                <w:rFonts w:cs="Arial"/>
                <w:b/>
                <w:i/>
                <w:sz w:val="16"/>
                <w:lang w:val="en-US" w:eastAsia="en-US"/>
              </w:rPr>
            </w:pPr>
            <w:r w:rsidRPr="00705A8C">
              <w:rPr>
                <w:rFonts w:cs="Arial"/>
                <w:b/>
                <w:i/>
                <w:sz w:val="20"/>
                <w:lang w:val="en-US" w:eastAsia="en-US"/>
              </w:rPr>
              <w:t>In groundwater</w:t>
            </w:r>
          </w:p>
          <w:p w14:paraId="5EBB0798" w14:textId="77777777" w:rsidR="0069123B" w:rsidRPr="0069123B" w:rsidRDefault="0069123B" w:rsidP="00A47143">
            <w:pPr>
              <w:suppressAutoHyphens w:val="0"/>
              <w:spacing w:before="60"/>
              <w:ind w:left="142"/>
              <w:jc w:val="both"/>
              <w:rPr>
                <w:rFonts w:cs="Arial"/>
                <w:sz w:val="18"/>
                <w:szCs w:val="18"/>
                <w:lang w:val="en-US" w:eastAsia="en-US"/>
              </w:rPr>
            </w:pPr>
            <w:r w:rsidRPr="00705A8C">
              <w:rPr>
                <w:rFonts w:cs="Arial"/>
                <w:sz w:val="20"/>
                <w:lang w:val="en-US" w:eastAsia="en-US"/>
              </w:rPr>
              <w:t xml:space="preserve">- For iodine, iodide and iodate, the concentrations in groundwater are all </w:t>
            </w:r>
            <w:r w:rsidR="00A47143">
              <w:rPr>
                <w:rFonts w:cs="Arial"/>
                <w:sz w:val="20"/>
                <w:lang w:val="en-US" w:eastAsia="en-US"/>
              </w:rPr>
              <w:t xml:space="preserve">far </w:t>
            </w:r>
            <w:r w:rsidRPr="00705A8C">
              <w:rPr>
                <w:rFonts w:cs="Arial"/>
                <w:sz w:val="20"/>
                <w:lang w:val="en-US" w:eastAsia="en-US"/>
              </w:rPr>
              <w:t xml:space="preserve">below </w:t>
            </w:r>
            <w:r w:rsidR="00A47143" w:rsidRPr="00705A8C">
              <w:rPr>
                <w:rFonts w:cs="Arial"/>
                <w:sz w:val="20"/>
                <w:lang w:val="en-US" w:eastAsia="en-US"/>
              </w:rPr>
              <w:t>the maximum natural background concentration of 70 µg/L</w:t>
            </w:r>
            <w:r w:rsidRPr="00705A8C">
              <w:rPr>
                <w:rFonts w:cs="Arial"/>
                <w:sz w:val="20"/>
                <w:lang w:val="en-US" w:eastAsia="en-US"/>
              </w:rPr>
              <w:t>, which indicates acceptable risks.</w:t>
            </w:r>
          </w:p>
        </w:tc>
      </w:tr>
    </w:tbl>
    <w:p w14:paraId="734DFA8D" w14:textId="77777777" w:rsidR="0069123B" w:rsidRDefault="0069123B">
      <w:pPr>
        <w:spacing w:before="60" w:line="276" w:lineRule="auto"/>
        <w:ind w:left="142"/>
        <w:rPr>
          <w:rFonts w:ascii="Times New Roman" w:eastAsia="Calibri" w:hAnsi="Times New Roman" w:cs="Times New Roman"/>
          <w:i/>
          <w:lang w:val="en-US" w:eastAsia="en-US"/>
        </w:rPr>
        <w:sectPr w:rsidR="0069123B" w:rsidSect="00170391">
          <w:pgSz w:w="16838" w:h="11906" w:orient="landscape"/>
          <w:pgMar w:top="720" w:right="720" w:bottom="720" w:left="720" w:header="850" w:footer="850" w:gutter="0"/>
          <w:cols w:space="720"/>
          <w:docGrid w:linePitch="272"/>
        </w:sectPr>
      </w:pPr>
    </w:p>
    <w:p w14:paraId="1191F2E7" w14:textId="77777777" w:rsidR="009D0C0B" w:rsidRDefault="00FA480B">
      <w:pPr>
        <w:rPr>
          <w:rFonts w:eastAsia="Calibri"/>
          <w:b/>
          <w:i/>
          <w:sz w:val="22"/>
          <w:szCs w:val="22"/>
          <w:u w:val="single"/>
          <w:lang w:eastAsia="en-US"/>
        </w:rPr>
      </w:pPr>
      <w:r>
        <w:rPr>
          <w:rFonts w:eastAsia="Calibri"/>
          <w:b/>
          <w:i/>
          <w:sz w:val="22"/>
          <w:szCs w:val="22"/>
          <w:lang w:eastAsia="en-US"/>
        </w:rPr>
        <w:t>Primary and secondary poisoning</w:t>
      </w:r>
    </w:p>
    <w:p w14:paraId="27204F2D" w14:textId="77777777" w:rsidR="0069123B" w:rsidRPr="006C0A8D" w:rsidRDefault="0069123B" w:rsidP="0069123B">
      <w:pPr>
        <w:rPr>
          <w:b/>
          <w:i/>
          <w:szCs w:val="22"/>
          <w:lang w:eastAsia="en-US"/>
        </w:rPr>
      </w:pPr>
    </w:p>
    <w:tbl>
      <w:tblPr>
        <w:tblStyle w:val="Grilledutableau4"/>
        <w:tblW w:w="9180" w:type="dxa"/>
        <w:tblLook w:val="04A0" w:firstRow="1" w:lastRow="0" w:firstColumn="1" w:lastColumn="0" w:noHBand="0" w:noVBand="1"/>
      </w:tblPr>
      <w:tblGrid>
        <w:gridCol w:w="9180"/>
      </w:tblGrid>
      <w:tr w:rsidR="0069123B" w:rsidRPr="0069123B" w14:paraId="6EEC1CCE" w14:textId="77777777" w:rsidTr="00705A8C">
        <w:trPr>
          <w:trHeight w:val="2192"/>
        </w:trPr>
        <w:tc>
          <w:tcPr>
            <w:tcW w:w="9180" w:type="dxa"/>
            <w:shd w:val="clear" w:color="auto" w:fill="D6E3BC" w:themeFill="accent3" w:themeFillTint="66"/>
          </w:tcPr>
          <w:p w14:paraId="1D8A4139" w14:textId="77777777" w:rsidR="0069123B" w:rsidRPr="0069123B" w:rsidRDefault="0069123B" w:rsidP="001B3B87">
            <w:pPr>
              <w:spacing w:line="276" w:lineRule="auto"/>
              <w:jc w:val="both"/>
              <w:rPr>
                <w:rFonts w:cs="Arial"/>
                <w:b/>
                <w:sz w:val="20"/>
                <w:szCs w:val="20"/>
              </w:rPr>
            </w:pPr>
            <w:r w:rsidRPr="0069123B">
              <w:rPr>
                <w:rStyle w:val="LgendeCar"/>
                <w:b/>
              </w:rPr>
              <w:t xml:space="preserve">Infobox </w:t>
            </w:r>
            <w:r w:rsidRPr="0069123B">
              <w:rPr>
                <w:rStyle w:val="LgendeCar"/>
                <w:b/>
              </w:rPr>
              <w:fldChar w:fldCharType="begin"/>
            </w:r>
            <w:r w:rsidRPr="0069123B">
              <w:rPr>
                <w:rStyle w:val="LgendeCar"/>
                <w:b/>
              </w:rPr>
              <w:instrText xml:space="preserve"> SEQ Infobox \* ARABIC </w:instrText>
            </w:r>
            <w:r w:rsidRPr="0069123B">
              <w:rPr>
                <w:rStyle w:val="LgendeCar"/>
                <w:b/>
              </w:rPr>
              <w:fldChar w:fldCharType="separate"/>
            </w:r>
            <w:r w:rsidR="00D3764E">
              <w:rPr>
                <w:rStyle w:val="LgendeCar"/>
                <w:b/>
                <w:noProof/>
              </w:rPr>
              <w:t>15</w:t>
            </w:r>
            <w:r w:rsidRPr="0069123B">
              <w:rPr>
                <w:rStyle w:val="LgendeCar"/>
                <w:b/>
              </w:rPr>
              <w:fldChar w:fldCharType="end"/>
            </w:r>
            <w:r>
              <w:rPr>
                <w:rStyle w:val="LgendeCar"/>
                <w:b/>
              </w:rPr>
              <w:t xml:space="preserve"> </w:t>
            </w:r>
            <w:r w:rsidRPr="0069123B">
              <w:rPr>
                <w:rStyle w:val="LgendeCar"/>
                <w:b/>
              </w:rPr>
              <w:t xml:space="preserve">- </w:t>
            </w:r>
            <w:r w:rsidRPr="0069123B">
              <w:rPr>
                <w:rFonts w:cs="Arial"/>
                <w:b/>
                <w:sz w:val="20"/>
                <w:szCs w:val="20"/>
              </w:rPr>
              <w:t>FR CA position:</w:t>
            </w:r>
          </w:p>
          <w:p w14:paraId="5BF4F34F" w14:textId="77777777" w:rsidR="0069123B" w:rsidRPr="0069123B" w:rsidRDefault="0069123B" w:rsidP="001B3B87">
            <w:pPr>
              <w:rPr>
                <w:rFonts w:eastAsia="Arial" w:cs="Arial"/>
                <w:color w:val="000000"/>
                <w:sz w:val="18"/>
                <w:szCs w:val="18"/>
                <w:lang w:eastAsia="en-GB" w:bidi="en-GB"/>
              </w:rPr>
            </w:pPr>
          </w:p>
          <w:p w14:paraId="5F27021A" w14:textId="77777777" w:rsidR="0069123B" w:rsidRPr="0069123B" w:rsidRDefault="0069123B" w:rsidP="001B3B87">
            <w:pPr>
              <w:rPr>
                <w:rFonts w:eastAsia="Arial" w:cs="Arial"/>
                <w:color w:val="000000"/>
                <w:sz w:val="20"/>
                <w:szCs w:val="20"/>
                <w:lang w:eastAsia="en-GB" w:bidi="en-GB"/>
              </w:rPr>
            </w:pPr>
            <w:r w:rsidRPr="0069123B">
              <w:rPr>
                <w:rFonts w:eastAsia="Arial" w:cs="Arial"/>
                <w:color w:val="000000"/>
                <w:sz w:val="20"/>
                <w:szCs w:val="20"/>
                <w:lang w:eastAsia="en-GB" w:bidi="en-GB"/>
              </w:rPr>
              <w:t>As iodine is an essential element for many organisms and its absorption is regulated in animals of several taxonomic groups, estimation of bioaccumulation potential for iodine is not considered relevant. In addition, as the amounts of iodine potentially released into the environment through biocidal uses are within the natural occurring background levels, there is no concern with respect to secondary poisoning. Primary poisoning is not expected for the intended use, which is taking place indoors.</w:t>
            </w:r>
          </w:p>
          <w:p w14:paraId="76888891" w14:textId="77777777" w:rsidR="0069123B" w:rsidRPr="0069123B" w:rsidRDefault="0069123B" w:rsidP="001B3B87">
            <w:pPr>
              <w:rPr>
                <w:rFonts w:cs="Arial"/>
                <w:sz w:val="20"/>
                <w:szCs w:val="20"/>
              </w:rPr>
            </w:pPr>
            <w:r w:rsidRPr="0069123B">
              <w:rPr>
                <w:rFonts w:eastAsia="Arial" w:cs="Arial"/>
                <w:color w:val="000000"/>
                <w:sz w:val="20"/>
                <w:szCs w:val="20"/>
                <w:lang w:eastAsia="en-GB" w:bidi="en-GB"/>
              </w:rPr>
              <w:t>Hence the risk to birds and mammals</w:t>
            </w:r>
            <w:r w:rsidR="005A5E1F">
              <w:rPr>
                <w:rFonts w:eastAsia="Arial" w:cs="Arial"/>
                <w:color w:val="000000"/>
                <w:sz w:val="20"/>
                <w:szCs w:val="20"/>
                <w:lang w:eastAsia="en-GB" w:bidi="en-GB"/>
              </w:rPr>
              <w:t xml:space="preserve"> is acceptable</w:t>
            </w:r>
            <w:r w:rsidRPr="0069123B">
              <w:rPr>
                <w:rFonts w:eastAsia="Arial" w:cs="Arial"/>
                <w:color w:val="000000"/>
                <w:sz w:val="20"/>
                <w:szCs w:val="20"/>
                <w:lang w:eastAsia="en-GB" w:bidi="en-GB"/>
              </w:rPr>
              <w:t>.</w:t>
            </w:r>
          </w:p>
        </w:tc>
      </w:tr>
    </w:tbl>
    <w:p w14:paraId="731A0E08" w14:textId="77777777" w:rsidR="0069123B" w:rsidRDefault="0069123B" w:rsidP="0069123B">
      <w:pPr>
        <w:rPr>
          <w:lang w:eastAsia="en-US"/>
        </w:rPr>
      </w:pPr>
      <w:bookmarkStart w:id="116" w:name="_Toc403472809"/>
    </w:p>
    <w:p w14:paraId="49994B35" w14:textId="77777777" w:rsidR="0069123B" w:rsidRPr="006C0A8D" w:rsidRDefault="0069123B" w:rsidP="0069123B">
      <w:pPr>
        <w:rPr>
          <w:b/>
          <w:i/>
          <w:szCs w:val="22"/>
          <w:lang w:eastAsia="en-US"/>
        </w:rPr>
      </w:pPr>
      <w:r w:rsidRPr="006C0A8D">
        <w:rPr>
          <w:b/>
          <w:i/>
          <w:szCs w:val="22"/>
          <w:lang w:eastAsia="en-US"/>
        </w:rPr>
        <w:t>Mixture toxicity</w:t>
      </w:r>
      <w:bookmarkEnd w:id="116"/>
    </w:p>
    <w:p w14:paraId="18E7054D" w14:textId="77777777" w:rsidR="0069123B" w:rsidRPr="00FD2055" w:rsidRDefault="0069123B" w:rsidP="0069123B">
      <w:pPr>
        <w:rPr>
          <w:b/>
          <w:i/>
          <w:szCs w:val="22"/>
          <w:lang w:eastAsia="en-US"/>
        </w:rPr>
      </w:pPr>
    </w:p>
    <w:tbl>
      <w:tblPr>
        <w:tblStyle w:val="Grilledutableau4"/>
        <w:tblpPr w:leftFromText="180" w:rightFromText="180" w:vertAnchor="text" w:horzAnchor="margin" w:tblpY="106"/>
        <w:tblW w:w="9180" w:type="dxa"/>
        <w:tblLook w:val="04A0" w:firstRow="1" w:lastRow="0" w:firstColumn="1" w:lastColumn="0" w:noHBand="0" w:noVBand="1"/>
      </w:tblPr>
      <w:tblGrid>
        <w:gridCol w:w="9180"/>
      </w:tblGrid>
      <w:tr w:rsidR="0069123B" w:rsidRPr="0069123B" w14:paraId="5FAF9D1A" w14:textId="77777777" w:rsidTr="001B3B87">
        <w:tc>
          <w:tcPr>
            <w:tcW w:w="9180" w:type="dxa"/>
            <w:shd w:val="clear" w:color="auto" w:fill="D6E3BC" w:themeFill="accent3" w:themeFillTint="66"/>
          </w:tcPr>
          <w:p w14:paraId="71C314AA" w14:textId="77777777" w:rsidR="0069123B" w:rsidRDefault="0069123B" w:rsidP="001B3B87">
            <w:pPr>
              <w:spacing w:line="276" w:lineRule="auto"/>
              <w:jc w:val="both"/>
              <w:rPr>
                <w:rFonts w:cs="Arial"/>
                <w:b/>
                <w:sz w:val="20"/>
                <w:szCs w:val="20"/>
              </w:rPr>
            </w:pPr>
            <w:bookmarkStart w:id="117" w:name="_Toc388285357"/>
            <w:bookmarkStart w:id="118" w:name="_Toc388374408"/>
            <w:bookmarkStart w:id="119" w:name="_Toc388610107"/>
            <w:bookmarkStart w:id="120" w:name="_Toc388625141"/>
            <w:bookmarkStart w:id="121" w:name="_Toc388625395"/>
            <w:bookmarkStart w:id="122" w:name="_Toc388633796"/>
            <w:bookmarkStart w:id="123" w:name="_Toc389725288"/>
            <w:bookmarkStart w:id="124" w:name="_Toc389726280"/>
            <w:bookmarkStart w:id="125" w:name="_Toc389727332"/>
            <w:bookmarkStart w:id="126" w:name="_Toc389727690"/>
            <w:bookmarkStart w:id="127" w:name="_Toc389728049"/>
            <w:bookmarkStart w:id="128" w:name="_Toc389728408"/>
            <w:bookmarkStart w:id="129" w:name="_Toc389728768"/>
            <w:bookmarkStart w:id="130" w:name="_Toc389729126"/>
            <w:bookmarkStart w:id="131" w:name="_Toc389729127"/>
            <w:bookmarkStart w:id="132" w:name="_Toc38972912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9123B">
              <w:rPr>
                <w:rStyle w:val="LgendeCar"/>
                <w:b/>
              </w:rPr>
              <w:t xml:space="preserve">Infobox </w:t>
            </w:r>
            <w:r w:rsidRPr="0069123B">
              <w:rPr>
                <w:rStyle w:val="LgendeCar"/>
                <w:b/>
              </w:rPr>
              <w:fldChar w:fldCharType="begin"/>
            </w:r>
            <w:r w:rsidRPr="0069123B">
              <w:rPr>
                <w:rStyle w:val="LgendeCar"/>
                <w:b/>
              </w:rPr>
              <w:instrText xml:space="preserve"> SEQ Infobox \* ARABIC </w:instrText>
            </w:r>
            <w:r w:rsidRPr="0069123B">
              <w:rPr>
                <w:rStyle w:val="LgendeCar"/>
                <w:b/>
              </w:rPr>
              <w:fldChar w:fldCharType="separate"/>
            </w:r>
            <w:r w:rsidR="00D3764E">
              <w:rPr>
                <w:rStyle w:val="LgendeCar"/>
                <w:b/>
                <w:noProof/>
              </w:rPr>
              <w:t>16</w:t>
            </w:r>
            <w:r w:rsidRPr="0069123B">
              <w:rPr>
                <w:rStyle w:val="LgendeCar"/>
                <w:b/>
              </w:rPr>
              <w:fldChar w:fldCharType="end"/>
            </w:r>
            <w:r w:rsidRPr="0069123B">
              <w:rPr>
                <w:rStyle w:val="LgendeCar"/>
                <w:b/>
              </w:rPr>
              <w:t xml:space="preserve"> -</w:t>
            </w:r>
            <w:r w:rsidRPr="0069123B">
              <w:rPr>
                <w:rStyle w:val="LgendeCar"/>
              </w:rPr>
              <w:t xml:space="preserve"> </w:t>
            </w:r>
            <w:r w:rsidRPr="0069123B">
              <w:rPr>
                <w:rFonts w:cs="Arial"/>
                <w:b/>
                <w:sz w:val="20"/>
                <w:szCs w:val="20"/>
              </w:rPr>
              <w:t>FR CA position:</w:t>
            </w:r>
          </w:p>
          <w:p w14:paraId="63FCB8B7" w14:textId="77777777" w:rsidR="00E224C1" w:rsidRPr="0069123B" w:rsidRDefault="00E224C1" w:rsidP="001B3B87">
            <w:pPr>
              <w:spacing w:line="276" w:lineRule="auto"/>
              <w:jc w:val="both"/>
              <w:rPr>
                <w:rFonts w:cs="Arial"/>
                <w:b/>
                <w:sz w:val="20"/>
                <w:szCs w:val="20"/>
              </w:rPr>
            </w:pPr>
          </w:p>
          <w:p w14:paraId="7147212A" w14:textId="77777777" w:rsidR="00E224C1" w:rsidRPr="00E224C1" w:rsidRDefault="00E224C1" w:rsidP="00E224C1">
            <w:pPr>
              <w:jc w:val="both"/>
              <w:rPr>
                <w:rFonts w:cs="Arial"/>
                <w:sz w:val="20"/>
                <w:szCs w:val="20"/>
              </w:rPr>
            </w:pPr>
            <w:r w:rsidRPr="00E224C1">
              <w:rPr>
                <w:rFonts w:cs="Arial"/>
                <w:sz w:val="20"/>
                <w:szCs w:val="20"/>
              </w:rPr>
              <w:t>The benzene sulfonic acid is classified H412</w:t>
            </w:r>
            <w:r w:rsidR="001E6067">
              <w:rPr>
                <w:rFonts w:cs="Arial"/>
                <w:sz w:val="20"/>
                <w:szCs w:val="20"/>
              </w:rPr>
              <w:t xml:space="preserve"> at a level higher than 0.1%</w:t>
            </w:r>
            <w:r w:rsidRPr="00E224C1">
              <w:rPr>
                <w:rFonts w:cs="Arial"/>
                <w:sz w:val="20"/>
                <w:szCs w:val="20"/>
              </w:rPr>
              <w:t xml:space="preserve">. </w:t>
            </w:r>
          </w:p>
          <w:p w14:paraId="50D03C8C" w14:textId="77777777" w:rsidR="0069123B" w:rsidRPr="0069123B" w:rsidRDefault="00E224C1" w:rsidP="0019327C">
            <w:pPr>
              <w:jc w:val="both"/>
              <w:rPr>
                <w:rFonts w:cs="Arial"/>
                <w:sz w:val="20"/>
                <w:szCs w:val="20"/>
              </w:rPr>
            </w:pPr>
            <w:r w:rsidRPr="00E224C1">
              <w:rPr>
                <w:rFonts w:cs="Arial"/>
                <w:sz w:val="20"/>
                <w:szCs w:val="20"/>
              </w:rPr>
              <w:t>According to the appendix 1 of the Transitional Guidance on mixture toxicity assessment for biocidal products for the environment, the calculation of the relative toxic units of compounds shows that the toxicity of product is principally linked (more than 95%) to the toxicity of iodine compounds. So, the benzene sulfonic acid is not considered as substance of concern in this formulation.</w:t>
            </w:r>
          </w:p>
        </w:tc>
      </w:tr>
    </w:tbl>
    <w:p w14:paraId="6F2ACAE7" w14:textId="77777777" w:rsidR="0069123B" w:rsidRDefault="0069123B" w:rsidP="00DC29E4">
      <w:pPr>
        <w:rPr>
          <w:lang w:eastAsia="en-US"/>
        </w:rPr>
      </w:pPr>
    </w:p>
    <w:bookmarkEnd w:id="132"/>
    <w:p w14:paraId="57B705AA" w14:textId="77777777" w:rsidR="0069123B" w:rsidRPr="00FD2055" w:rsidRDefault="0069123B" w:rsidP="0069123B">
      <w:pPr>
        <w:tabs>
          <w:tab w:val="left" w:pos="1418"/>
        </w:tabs>
        <w:ind w:left="2498" w:hanging="1418"/>
      </w:pPr>
    </w:p>
    <w:tbl>
      <w:tblPr>
        <w:tblStyle w:val="Grilledutableau4"/>
        <w:tblpPr w:leftFromText="180" w:rightFromText="180" w:vertAnchor="text" w:horzAnchor="margin" w:tblpY="106"/>
        <w:tblW w:w="9180" w:type="dxa"/>
        <w:tblLook w:val="04A0" w:firstRow="1" w:lastRow="0" w:firstColumn="1" w:lastColumn="0" w:noHBand="0" w:noVBand="1"/>
      </w:tblPr>
      <w:tblGrid>
        <w:gridCol w:w="9180"/>
      </w:tblGrid>
      <w:tr w:rsidR="0069123B" w:rsidRPr="00D24EE1" w14:paraId="2D487B88" w14:textId="77777777" w:rsidTr="000A3235">
        <w:trPr>
          <w:trHeight w:val="3541"/>
        </w:trPr>
        <w:tc>
          <w:tcPr>
            <w:tcW w:w="9180" w:type="dxa"/>
            <w:shd w:val="clear" w:color="auto" w:fill="D6E3BC" w:themeFill="accent3" w:themeFillTint="66"/>
          </w:tcPr>
          <w:p w14:paraId="23612D71" w14:textId="77777777" w:rsidR="0069123B" w:rsidRPr="0069123B" w:rsidRDefault="0069123B" w:rsidP="001B3B87">
            <w:pPr>
              <w:spacing w:line="276" w:lineRule="auto"/>
              <w:jc w:val="both"/>
              <w:rPr>
                <w:rFonts w:cs="Arial"/>
                <w:b/>
                <w:sz w:val="20"/>
                <w:szCs w:val="20"/>
              </w:rPr>
            </w:pPr>
            <w:r w:rsidRPr="0069123B">
              <w:rPr>
                <w:rStyle w:val="LgendeCar"/>
                <w:b/>
              </w:rPr>
              <w:t xml:space="preserve">Infobox </w:t>
            </w:r>
            <w:r w:rsidRPr="0069123B">
              <w:rPr>
                <w:rStyle w:val="LgendeCar"/>
                <w:b/>
              </w:rPr>
              <w:fldChar w:fldCharType="begin"/>
            </w:r>
            <w:r w:rsidRPr="0069123B">
              <w:rPr>
                <w:rStyle w:val="LgendeCar"/>
                <w:b/>
              </w:rPr>
              <w:instrText xml:space="preserve"> SEQ Infobox \* ARABIC </w:instrText>
            </w:r>
            <w:r w:rsidRPr="0069123B">
              <w:rPr>
                <w:rStyle w:val="LgendeCar"/>
                <w:b/>
              </w:rPr>
              <w:fldChar w:fldCharType="separate"/>
            </w:r>
            <w:r w:rsidR="00D3764E">
              <w:rPr>
                <w:rStyle w:val="LgendeCar"/>
                <w:b/>
                <w:noProof/>
              </w:rPr>
              <w:t>17</w:t>
            </w:r>
            <w:r w:rsidRPr="0069123B">
              <w:rPr>
                <w:rStyle w:val="LgendeCar"/>
                <w:b/>
              </w:rPr>
              <w:fldChar w:fldCharType="end"/>
            </w:r>
            <w:r>
              <w:rPr>
                <w:rStyle w:val="LgendeCar"/>
                <w:b/>
              </w:rPr>
              <w:t xml:space="preserve">- </w:t>
            </w:r>
            <w:r w:rsidRPr="0069123B">
              <w:rPr>
                <w:rFonts w:cs="Arial"/>
                <w:b/>
                <w:sz w:val="20"/>
                <w:szCs w:val="20"/>
              </w:rPr>
              <w:t>FR CA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4"/>
            </w:tblGrid>
            <w:tr w:rsidR="0069123B" w:rsidRPr="0069123B" w14:paraId="74BB0D19" w14:textId="77777777" w:rsidTr="001B3B87">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621903FE" w14:textId="77777777" w:rsidR="0069123B" w:rsidRPr="0069123B" w:rsidRDefault="0069123B" w:rsidP="00FA101C">
                  <w:pPr>
                    <w:framePr w:hSpace="180" w:wrap="around" w:vAnchor="text" w:hAnchor="margin" w:y="106"/>
                    <w:autoSpaceDE w:val="0"/>
                    <w:autoSpaceDN w:val="0"/>
                    <w:adjustRightInd w:val="0"/>
                    <w:spacing w:before="60" w:after="60"/>
                    <w:rPr>
                      <w:rFonts w:cs="Arial"/>
                      <w:color w:val="000000"/>
                      <w:szCs w:val="18"/>
                      <w:lang w:eastAsia="en-GB"/>
                    </w:rPr>
                  </w:pPr>
                  <w:r w:rsidRPr="0069123B">
                    <w:rPr>
                      <w:b/>
                      <w:szCs w:val="18"/>
                      <w:lang w:eastAsia="en-US"/>
                    </w:rPr>
                    <w:t>Overall conclusion on the risk assessment for the environment of the product</w:t>
                  </w:r>
                </w:p>
              </w:tc>
            </w:tr>
            <w:tr w:rsidR="0069123B" w:rsidRPr="0069123B" w14:paraId="15A65132" w14:textId="77777777" w:rsidTr="001B3B87">
              <w:trPr>
                <w:trHeight w:val="249"/>
              </w:trPr>
              <w:tc>
                <w:tcPr>
                  <w:tcW w:w="5000" w:type="pct"/>
                  <w:tcBorders>
                    <w:top w:val="single" w:sz="4" w:space="0" w:color="auto"/>
                    <w:left w:val="single" w:sz="4" w:space="0" w:color="auto"/>
                    <w:bottom w:val="single" w:sz="4" w:space="0" w:color="auto"/>
                  </w:tcBorders>
                  <w:shd w:val="clear" w:color="auto" w:fill="FFFFFF" w:themeFill="background1"/>
                  <w:vAlign w:val="center"/>
                </w:tcPr>
                <w:p w14:paraId="46F27284" w14:textId="77777777" w:rsidR="0069123B" w:rsidRPr="0069123B" w:rsidRDefault="0069123B" w:rsidP="00FA101C">
                  <w:pPr>
                    <w:framePr w:hSpace="180" w:wrap="around" w:vAnchor="text" w:hAnchor="margin" w:y="106"/>
                    <w:ind w:right="284"/>
                    <w:jc w:val="both"/>
                    <w:rPr>
                      <w:rFonts w:cs="Arial"/>
                      <w:lang w:eastAsia="fr-FR"/>
                    </w:rPr>
                  </w:pPr>
                  <w:r w:rsidRPr="0069123B">
                    <w:rPr>
                      <w:rFonts w:cs="Arial"/>
                      <w:lang w:eastAsia="fr-FR"/>
                    </w:rPr>
                    <w:t>The levels of exposure for the non-target organisms of the aquatic (STP and surface water) and terrestrial compartments following the use of the product IODIGUARD</w:t>
                  </w:r>
                  <w:r w:rsidRPr="0069123B">
                    <w:rPr>
                      <w:rFonts w:cs="Arial"/>
                      <w:caps/>
                      <w:lang w:eastAsia="fr-FR"/>
                    </w:rPr>
                    <w:t xml:space="preserve"> </w:t>
                  </w:r>
                  <w:r w:rsidRPr="0069123B">
                    <w:rPr>
                      <w:rFonts w:cs="Arial"/>
                      <w:lang w:eastAsia="fr-FR"/>
                    </w:rPr>
                    <w:t xml:space="preserve">on teats are lower than the </w:t>
                  </w:r>
                  <w:r w:rsidR="00567190">
                    <w:rPr>
                      <w:rFonts w:cs="Arial"/>
                      <w:lang w:eastAsia="fr-FR"/>
                    </w:rPr>
                    <w:t xml:space="preserve"> threshold</w:t>
                  </w:r>
                  <w:r w:rsidR="00567190" w:rsidRPr="0069123B">
                    <w:rPr>
                      <w:rFonts w:cs="Arial"/>
                      <w:lang w:eastAsia="fr-FR"/>
                    </w:rPr>
                    <w:t xml:space="preserve"> </w:t>
                  </w:r>
                  <w:r w:rsidRPr="0069123B">
                    <w:rPr>
                      <w:rFonts w:cs="Arial"/>
                      <w:lang w:eastAsia="fr-FR"/>
                    </w:rPr>
                    <w:t>values or still in the range of the background level for each compartment under the use conditions provided in the SPC.</w:t>
                  </w:r>
                </w:p>
                <w:p w14:paraId="5E20044C" w14:textId="77777777" w:rsidR="0069123B" w:rsidRPr="0069123B" w:rsidRDefault="0069123B" w:rsidP="00FA101C">
                  <w:pPr>
                    <w:framePr w:hSpace="180" w:wrap="around" w:vAnchor="text" w:hAnchor="margin" w:y="106"/>
                  </w:pPr>
                </w:p>
                <w:p w14:paraId="0D51C95B" w14:textId="77777777" w:rsidR="0069123B" w:rsidRPr="0069123B" w:rsidRDefault="0069123B" w:rsidP="00FA101C">
                  <w:pPr>
                    <w:framePr w:hSpace="180" w:wrap="around" w:vAnchor="text" w:hAnchor="margin" w:y="106"/>
                    <w:ind w:right="284"/>
                    <w:jc w:val="both"/>
                    <w:rPr>
                      <w:rFonts w:cs="Arial"/>
                      <w:lang w:eastAsia="fr-FR"/>
                    </w:rPr>
                  </w:pPr>
                  <w:r w:rsidRPr="0069123B">
                    <w:rPr>
                      <w:rFonts w:cs="Arial"/>
                      <w:lang w:eastAsia="fr-FR"/>
                    </w:rPr>
                    <w:t xml:space="preserve">Considering the profile of the active substance and the uses of the products on teats, the predicted concentrations in groundwater are higher than the </w:t>
                  </w:r>
                  <w:r w:rsidR="00567190">
                    <w:rPr>
                      <w:rFonts w:cs="Arial"/>
                      <w:lang w:eastAsia="fr-FR"/>
                    </w:rPr>
                    <w:t>threshold</w:t>
                  </w:r>
                  <w:r w:rsidRPr="0069123B">
                    <w:rPr>
                      <w:rFonts w:cs="Arial"/>
                      <w:lang w:eastAsia="fr-FR"/>
                    </w:rPr>
                    <w:t xml:space="preserve"> values of 0.1 µg/L provided in the Drinking Water Directive 98/83/EC, but still in the range of the background level considered acceptable under the use conditions provided in the SPC.</w:t>
                  </w:r>
                </w:p>
              </w:tc>
            </w:tr>
          </w:tbl>
          <w:p w14:paraId="2885BA4A" w14:textId="77777777" w:rsidR="0069123B" w:rsidRPr="00D24EE1" w:rsidRDefault="0069123B" w:rsidP="001B3B87">
            <w:pPr>
              <w:spacing w:line="276" w:lineRule="auto"/>
              <w:jc w:val="both"/>
              <w:rPr>
                <w:rFonts w:ascii="Arial" w:hAnsi="Arial" w:cs="Arial"/>
                <w:sz w:val="20"/>
                <w:szCs w:val="20"/>
              </w:rPr>
            </w:pPr>
          </w:p>
        </w:tc>
      </w:tr>
    </w:tbl>
    <w:p w14:paraId="50B7D14B" w14:textId="77777777" w:rsidR="0069123B" w:rsidRDefault="0069123B" w:rsidP="0069123B">
      <w:pPr>
        <w:rPr>
          <w:lang w:eastAsia="en-US"/>
        </w:rPr>
      </w:pPr>
    </w:p>
    <w:p w14:paraId="36E50FA0" w14:textId="77777777" w:rsidR="0069123B" w:rsidRDefault="0069123B" w:rsidP="0069123B">
      <w:pPr>
        <w:rPr>
          <w:lang w:eastAsia="en-US"/>
        </w:rPr>
      </w:pPr>
    </w:p>
    <w:p w14:paraId="0C953DC0" w14:textId="77777777" w:rsidR="009D0C0B" w:rsidRDefault="00FA480B">
      <w:pPr>
        <w:pStyle w:val="Titre3"/>
        <w:rPr>
          <w:rFonts w:ascii="Times New Roman" w:eastAsia="Calibri" w:hAnsi="Times New Roman" w:cs="Times New Roman"/>
          <w:i/>
          <w:iCs/>
          <w:lang w:eastAsia="en-US"/>
        </w:rPr>
      </w:pPr>
      <w:bookmarkStart w:id="133" w:name="_Toc516669795"/>
      <w:r>
        <w:t>Measures to protect man, animals and the environment</w:t>
      </w:r>
      <w:bookmarkEnd w:id="133"/>
    </w:p>
    <w:p w14:paraId="546EB34F" w14:textId="77777777" w:rsidR="00D32879" w:rsidRPr="00504135" w:rsidRDefault="00D32879" w:rsidP="00D32879">
      <w:pPr>
        <w:spacing w:line="260" w:lineRule="atLeast"/>
        <w:rPr>
          <w:rFonts w:eastAsia="Calibri" w:cs="Times New Roman"/>
          <w:i/>
          <w:iCs/>
          <w:lang w:eastAsia="en-US"/>
        </w:rPr>
      </w:pPr>
      <w:r w:rsidRPr="00504135">
        <w:rPr>
          <w:rFonts w:eastAsia="Calibri" w:cs="Times New Roman"/>
          <w:i/>
          <w:iCs/>
          <w:lang w:eastAsia="en-US"/>
        </w:rPr>
        <w:t>Please see SPC.</w:t>
      </w:r>
    </w:p>
    <w:p w14:paraId="35E1BF42" w14:textId="77777777" w:rsidR="009D0C0B" w:rsidRDefault="009D0C0B">
      <w:pPr>
        <w:spacing w:line="260" w:lineRule="atLeast"/>
        <w:rPr>
          <w:rFonts w:ascii="Times New Roman" w:eastAsia="Calibri" w:hAnsi="Times New Roman" w:cs="Times New Roman"/>
          <w:i/>
          <w:iCs/>
          <w:lang w:eastAsia="en-US"/>
        </w:rPr>
      </w:pPr>
    </w:p>
    <w:p w14:paraId="30730D7C" w14:textId="77777777" w:rsidR="009D0C0B" w:rsidRDefault="00FA480B">
      <w:pPr>
        <w:pStyle w:val="Titre3"/>
        <w:rPr>
          <w:rFonts w:eastAsia="Calibri"/>
          <w:lang w:eastAsia="en-US"/>
        </w:rPr>
      </w:pPr>
      <w:bookmarkStart w:id="134" w:name="_Toc516669796"/>
      <w:r>
        <w:t>Assessment of a combination of biocidal products</w:t>
      </w:r>
      <w:bookmarkEnd w:id="134"/>
    </w:p>
    <w:p w14:paraId="48D924F7" w14:textId="77777777" w:rsidR="00D32879" w:rsidRPr="005F3F95" w:rsidRDefault="00D32879" w:rsidP="00D32879">
      <w:pPr>
        <w:spacing w:line="260" w:lineRule="atLeast"/>
        <w:rPr>
          <w:rFonts w:eastAsia="Calibri" w:cs="Times New Roman"/>
          <w:i/>
          <w:iCs/>
          <w:lang w:eastAsia="en-US"/>
        </w:rPr>
      </w:pPr>
      <w:r w:rsidRPr="005F3F95">
        <w:rPr>
          <w:rFonts w:eastAsia="Calibri" w:cs="Times New Roman"/>
          <w:i/>
          <w:iCs/>
          <w:lang w:eastAsia="en-US"/>
        </w:rPr>
        <w:t>Not relevant.</w:t>
      </w:r>
    </w:p>
    <w:p w14:paraId="4D6BE62E" w14:textId="77777777" w:rsidR="009D0C0B" w:rsidRDefault="009D0C0B">
      <w:pPr>
        <w:spacing w:line="260" w:lineRule="atLeast"/>
        <w:rPr>
          <w:rFonts w:ascii="Times New Roman" w:eastAsia="Calibri" w:hAnsi="Times New Roman" w:cs="Times New Roman"/>
          <w:i/>
          <w:iCs/>
          <w:lang w:eastAsia="en-US"/>
        </w:rPr>
      </w:pPr>
    </w:p>
    <w:p w14:paraId="3F6A535E" w14:textId="77777777" w:rsidR="009D0C0B" w:rsidRDefault="00FA480B">
      <w:pPr>
        <w:pStyle w:val="Titre3"/>
        <w:rPr>
          <w:rFonts w:ascii="Times New Roman" w:eastAsia="Calibri" w:hAnsi="Times New Roman" w:cs="Times New Roman"/>
          <w:i/>
          <w:iCs/>
          <w:lang w:eastAsia="en-US"/>
        </w:rPr>
      </w:pPr>
      <w:bookmarkStart w:id="135" w:name="_Toc516669797"/>
      <w:r>
        <w:t>Comparative assessment</w:t>
      </w:r>
      <w:bookmarkEnd w:id="135"/>
    </w:p>
    <w:p w14:paraId="6D0D2320" w14:textId="77777777" w:rsidR="009D0C0B" w:rsidRDefault="00D32879">
      <w:pPr>
        <w:spacing w:line="260" w:lineRule="atLeast"/>
        <w:rPr>
          <w:rFonts w:ascii="Times New Roman" w:eastAsia="Calibri" w:hAnsi="Times New Roman" w:cs="Times New Roman"/>
          <w:i/>
          <w:iCs/>
          <w:lang w:eastAsia="en-US"/>
        </w:rPr>
      </w:pPr>
      <w:r w:rsidRPr="005F3F95">
        <w:rPr>
          <w:rFonts w:eastAsia="Calibri" w:cs="Times New Roman"/>
          <w:i/>
          <w:iCs/>
          <w:lang w:eastAsia="en-US"/>
        </w:rPr>
        <w:t>Not relevant.</w:t>
      </w:r>
    </w:p>
    <w:p w14:paraId="2C0964A2" w14:textId="77777777" w:rsidR="009D0C0B" w:rsidRDefault="009D0C0B">
      <w:pPr>
        <w:pageBreakBefore/>
        <w:rPr>
          <w:rFonts w:eastAsia="Calibri"/>
          <w:b/>
          <w:i/>
          <w:lang w:val="de-DE" w:eastAsia="en-US"/>
        </w:rPr>
      </w:pPr>
    </w:p>
    <w:p w14:paraId="7F6664CD" w14:textId="77777777" w:rsidR="009D0C0B" w:rsidRDefault="00FA480B">
      <w:pPr>
        <w:pStyle w:val="Titre1"/>
      </w:pPr>
      <w:bookmarkStart w:id="136" w:name="_Toc516669798"/>
      <w:r>
        <w:rPr>
          <w:rFonts w:eastAsia="Calibri"/>
        </w:rPr>
        <w:t>Annexes</w:t>
      </w:r>
      <w:bookmarkEnd w:id="136"/>
    </w:p>
    <w:p w14:paraId="16361765" w14:textId="77777777" w:rsidR="009D0C0B" w:rsidRDefault="00FA480B">
      <w:pPr>
        <w:pStyle w:val="Titre2"/>
        <w:rPr>
          <w:caps/>
          <w:sz w:val="28"/>
          <w:szCs w:val="28"/>
          <w:lang w:eastAsia="en-US"/>
        </w:rPr>
      </w:pPr>
      <w:bookmarkStart w:id="137" w:name="_Toc516669799"/>
      <w:r>
        <w:t>List of studies for the biocidal product</w:t>
      </w:r>
      <w:bookmarkEnd w:id="137"/>
      <w:r>
        <w:t xml:space="preserve"> </w:t>
      </w:r>
    </w:p>
    <w:tbl>
      <w:tblPr>
        <w:tblStyle w:val="Grilledutableau"/>
        <w:tblW w:w="0" w:type="auto"/>
        <w:tblLook w:val="04A0" w:firstRow="1" w:lastRow="0" w:firstColumn="1" w:lastColumn="0" w:noHBand="0" w:noVBand="1"/>
      </w:tblPr>
      <w:tblGrid>
        <w:gridCol w:w="1861"/>
        <w:gridCol w:w="730"/>
        <w:gridCol w:w="3293"/>
        <w:gridCol w:w="1427"/>
        <w:gridCol w:w="1892"/>
      </w:tblGrid>
      <w:tr w:rsidR="00903F7C" w:rsidRPr="00903F7C" w14:paraId="04ABB10B" w14:textId="77777777" w:rsidTr="009A4C47">
        <w:trPr>
          <w:trHeight w:val="796"/>
        </w:trPr>
        <w:tc>
          <w:tcPr>
            <w:tcW w:w="1861" w:type="dxa"/>
            <w:vAlign w:val="center"/>
          </w:tcPr>
          <w:p w14:paraId="342C282D" w14:textId="77777777" w:rsidR="00903F7C" w:rsidRPr="00903F7C" w:rsidRDefault="00903F7C" w:rsidP="00DC4AD8">
            <w:pPr>
              <w:pStyle w:val="TableHeading"/>
              <w:rPr>
                <w:rFonts w:ascii="Verdana" w:hAnsi="Verdana" w:cs="Arial"/>
                <w:sz w:val="20"/>
                <w:szCs w:val="20"/>
              </w:rPr>
            </w:pPr>
            <w:r w:rsidRPr="00903F7C">
              <w:rPr>
                <w:rFonts w:ascii="Verdana" w:hAnsi="Verdana" w:cs="Arial"/>
                <w:sz w:val="20"/>
                <w:szCs w:val="20"/>
              </w:rPr>
              <w:t>Author(s)</w:t>
            </w:r>
          </w:p>
        </w:tc>
        <w:tc>
          <w:tcPr>
            <w:tcW w:w="730" w:type="dxa"/>
            <w:vAlign w:val="center"/>
          </w:tcPr>
          <w:p w14:paraId="1D0E1FD1" w14:textId="77777777" w:rsidR="00903F7C" w:rsidRPr="00903F7C" w:rsidRDefault="00903F7C" w:rsidP="00DC4AD8">
            <w:pPr>
              <w:pStyle w:val="TableHeading"/>
              <w:rPr>
                <w:rFonts w:ascii="Verdana" w:hAnsi="Verdana" w:cs="Arial"/>
                <w:sz w:val="20"/>
                <w:szCs w:val="20"/>
              </w:rPr>
            </w:pPr>
            <w:r w:rsidRPr="00903F7C">
              <w:rPr>
                <w:rFonts w:ascii="Verdana" w:hAnsi="Verdana" w:cs="Arial"/>
                <w:sz w:val="20"/>
                <w:szCs w:val="20"/>
              </w:rPr>
              <w:t>Year</w:t>
            </w:r>
          </w:p>
        </w:tc>
        <w:tc>
          <w:tcPr>
            <w:tcW w:w="3293" w:type="dxa"/>
            <w:vAlign w:val="center"/>
          </w:tcPr>
          <w:p w14:paraId="41E743C2" w14:textId="77777777" w:rsidR="00903F7C" w:rsidRPr="00903F7C" w:rsidRDefault="00903F7C" w:rsidP="00DC4AD8">
            <w:pPr>
              <w:pStyle w:val="TableHeading"/>
              <w:rPr>
                <w:rFonts w:ascii="Verdana" w:hAnsi="Verdana" w:cs="Arial"/>
                <w:sz w:val="20"/>
                <w:szCs w:val="20"/>
              </w:rPr>
            </w:pPr>
            <w:r w:rsidRPr="00903F7C">
              <w:rPr>
                <w:rFonts w:ascii="Verdana" w:hAnsi="Verdana" w:cs="Arial"/>
                <w:sz w:val="20"/>
                <w:szCs w:val="20"/>
              </w:rPr>
              <w:t>Title</w:t>
            </w:r>
            <w:r w:rsidRPr="00903F7C">
              <w:rPr>
                <w:rFonts w:ascii="Verdana" w:hAnsi="Verdana" w:cs="Arial"/>
                <w:sz w:val="20"/>
                <w:szCs w:val="20"/>
              </w:rPr>
              <w:br/>
              <w:t>Source</w:t>
            </w:r>
            <w:r w:rsidRPr="00903F7C">
              <w:rPr>
                <w:rFonts w:ascii="Verdana" w:hAnsi="Verdana" w:cs="Arial"/>
                <w:sz w:val="20"/>
                <w:szCs w:val="20"/>
              </w:rPr>
              <w:br/>
              <w:t>Company Report No.</w:t>
            </w:r>
            <w:r w:rsidRPr="00903F7C">
              <w:rPr>
                <w:rFonts w:ascii="Verdana" w:hAnsi="Verdana" w:cs="Arial"/>
                <w:sz w:val="20"/>
                <w:szCs w:val="20"/>
              </w:rPr>
              <w:br/>
              <w:t>GLP or GEP Status (where relevant)</w:t>
            </w:r>
            <w:r w:rsidRPr="00903F7C">
              <w:rPr>
                <w:rFonts w:ascii="Verdana" w:hAnsi="Verdana" w:cs="Arial"/>
                <w:sz w:val="20"/>
                <w:szCs w:val="20"/>
              </w:rPr>
              <w:br/>
              <w:t>Published or not</w:t>
            </w:r>
          </w:p>
        </w:tc>
        <w:tc>
          <w:tcPr>
            <w:tcW w:w="1427" w:type="dxa"/>
            <w:vAlign w:val="center"/>
          </w:tcPr>
          <w:p w14:paraId="601F311B" w14:textId="77777777" w:rsidR="00903F7C" w:rsidRPr="00903F7C" w:rsidRDefault="00903F7C" w:rsidP="00DC4AD8">
            <w:pPr>
              <w:pStyle w:val="TableHeading"/>
              <w:rPr>
                <w:rFonts w:ascii="Verdana" w:hAnsi="Verdana" w:cs="Arial"/>
                <w:sz w:val="20"/>
                <w:szCs w:val="20"/>
              </w:rPr>
            </w:pPr>
            <w:r w:rsidRPr="00903F7C">
              <w:rPr>
                <w:rFonts w:ascii="Verdana" w:hAnsi="Verdana" w:cs="Arial"/>
                <w:sz w:val="20"/>
                <w:szCs w:val="20"/>
              </w:rPr>
              <w:t>Member State Data</w:t>
            </w:r>
            <w:r w:rsidRPr="00903F7C">
              <w:rPr>
                <w:rFonts w:ascii="Verdana" w:hAnsi="Verdana" w:cs="Arial"/>
                <w:sz w:val="20"/>
                <w:szCs w:val="20"/>
              </w:rPr>
              <w:br/>
              <w:t>Protection</w:t>
            </w:r>
            <w:r w:rsidRPr="00903F7C">
              <w:rPr>
                <w:rFonts w:ascii="Verdana" w:hAnsi="Verdana" w:cs="Arial"/>
                <w:sz w:val="20"/>
                <w:szCs w:val="20"/>
              </w:rPr>
              <w:br/>
              <w:t>Claimed</w:t>
            </w:r>
            <w:r w:rsidRPr="00903F7C">
              <w:rPr>
                <w:rFonts w:ascii="Verdana" w:hAnsi="Verdana" w:cs="Arial"/>
                <w:sz w:val="20"/>
                <w:szCs w:val="20"/>
              </w:rPr>
              <w:br/>
              <w:t>(Y/N)</w:t>
            </w:r>
          </w:p>
        </w:tc>
        <w:tc>
          <w:tcPr>
            <w:tcW w:w="1892" w:type="dxa"/>
            <w:vAlign w:val="center"/>
          </w:tcPr>
          <w:p w14:paraId="27ABCB87" w14:textId="77777777" w:rsidR="00903F7C" w:rsidRPr="00903F7C" w:rsidRDefault="00903F7C" w:rsidP="00DC4AD8">
            <w:pPr>
              <w:jc w:val="center"/>
              <w:rPr>
                <w:rFonts w:cs="Arial"/>
                <w:b/>
                <w:sz w:val="20"/>
                <w:szCs w:val="20"/>
                <w:lang w:val="en-US"/>
              </w:rPr>
            </w:pPr>
            <w:r w:rsidRPr="00903F7C">
              <w:rPr>
                <w:rFonts w:cs="Arial"/>
                <w:b/>
                <w:sz w:val="20"/>
                <w:szCs w:val="20"/>
                <w:lang w:val="en-US"/>
              </w:rPr>
              <w:t>Owner</w:t>
            </w:r>
          </w:p>
        </w:tc>
      </w:tr>
      <w:tr w:rsidR="00903F7C" w:rsidRPr="00903F7C" w14:paraId="0DF233B5" w14:textId="77777777" w:rsidTr="009A4C47">
        <w:trPr>
          <w:trHeight w:val="258"/>
        </w:trPr>
        <w:tc>
          <w:tcPr>
            <w:tcW w:w="1861" w:type="dxa"/>
            <w:vAlign w:val="center"/>
          </w:tcPr>
          <w:p w14:paraId="49B3B2E9" w14:textId="77777777" w:rsidR="00903F7C" w:rsidRPr="005813D3" w:rsidRDefault="00903F7C" w:rsidP="00DC4AD8">
            <w:pPr>
              <w:jc w:val="center"/>
              <w:rPr>
                <w:rFonts w:cs="Arial"/>
                <w:sz w:val="20"/>
                <w:szCs w:val="20"/>
                <w:highlight w:val="yellow"/>
                <w:lang w:eastAsia="de-DE"/>
              </w:rPr>
            </w:pPr>
            <w:r w:rsidRPr="005813D3">
              <w:rPr>
                <w:rFonts w:cs="Arial"/>
                <w:sz w:val="20"/>
                <w:szCs w:val="20"/>
                <w:highlight w:val="yellow"/>
                <w:lang w:eastAsia="de-DE"/>
              </w:rPr>
              <w:t>A.J. Wooley</w:t>
            </w:r>
          </w:p>
          <w:p w14:paraId="0DE36C2A" w14:textId="77777777" w:rsidR="00903F7C" w:rsidRPr="005813D3" w:rsidRDefault="00903F7C" w:rsidP="00DC4AD8">
            <w:pPr>
              <w:jc w:val="center"/>
              <w:rPr>
                <w:rFonts w:cs="Arial"/>
                <w:sz w:val="20"/>
                <w:szCs w:val="20"/>
                <w:highlight w:val="yellow"/>
                <w:lang w:eastAsia="de-DE"/>
              </w:rPr>
            </w:pPr>
            <w:r w:rsidRPr="005813D3">
              <w:rPr>
                <w:rFonts w:cs="Arial"/>
                <w:sz w:val="20"/>
                <w:szCs w:val="20"/>
                <w:highlight w:val="yellow"/>
                <w:lang w:eastAsia="de-DE"/>
              </w:rPr>
              <w:t>Report N°41500716</w:t>
            </w:r>
          </w:p>
        </w:tc>
        <w:tc>
          <w:tcPr>
            <w:tcW w:w="730" w:type="dxa"/>
            <w:vAlign w:val="center"/>
          </w:tcPr>
          <w:p w14:paraId="68B940BA" w14:textId="77777777" w:rsidR="00903F7C" w:rsidRPr="00903F7C" w:rsidRDefault="00903F7C" w:rsidP="00DC4AD8">
            <w:pPr>
              <w:jc w:val="center"/>
              <w:rPr>
                <w:rFonts w:cs="Arial"/>
                <w:sz w:val="20"/>
                <w:szCs w:val="20"/>
                <w:lang w:val="en-US"/>
              </w:rPr>
            </w:pPr>
            <w:r w:rsidRPr="00903F7C">
              <w:rPr>
                <w:rFonts w:cs="Arial"/>
                <w:sz w:val="20"/>
                <w:szCs w:val="20"/>
                <w:lang w:val="en-US"/>
              </w:rPr>
              <w:t>2015</w:t>
            </w:r>
          </w:p>
        </w:tc>
        <w:tc>
          <w:tcPr>
            <w:tcW w:w="3293" w:type="dxa"/>
            <w:vAlign w:val="center"/>
          </w:tcPr>
          <w:p w14:paraId="25F505A0" w14:textId="77777777" w:rsidR="00903F7C" w:rsidRPr="00903F7C" w:rsidRDefault="00903F7C" w:rsidP="00DC4AD8">
            <w:pPr>
              <w:jc w:val="center"/>
              <w:rPr>
                <w:rFonts w:cs="Arial"/>
                <w:sz w:val="20"/>
                <w:szCs w:val="20"/>
                <w:lang w:val="en-US"/>
              </w:rPr>
            </w:pPr>
            <w:r w:rsidRPr="00903F7C">
              <w:rPr>
                <w:rFonts w:cs="Arial"/>
                <w:sz w:val="20"/>
                <w:szCs w:val="20"/>
                <w:lang w:val="en-US"/>
              </w:rPr>
              <w:t>IODIGUARD : Determination of accelerated storage stability for PVP iodine in the biocidal product IODIGUARD</w:t>
            </w:r>
          </w:p>
        </w:tc>
        <w:tc>
          <w:tcPr>
            <w:tcW w:w="1427" w:type="dxa"/>
            <w:vAlign w:val="center"/>
          </w:tcPr>
          <w:p w14:paraId="43E58DBD" w14:textId="77777777" w:rsidR="00903F7C" w:rsidRPr="00903F7C" w:rsidRDefault="00903F7C" w:rsidP="00DC4AD8">
            <w:pPr>
              <w:jc w:val="center"/>
              <w:rPr>
                <w:rFonts w:cs="Arial"/>
                <w:sz w:val="20"/>
                <w:szCs w:val="20"/>
                <w:lang w:val="fr-FR"/>
              </w:rPr>
            </w:pPr>
            <w:r w:rsidRPr="00903F7C">
              <w:rPr>
                <w:rFonts w:cs="Arial"/>
                <w:sz w:val="20"/>
                <w:szCs w:val="20"/>
                <w:lang w:val="fr-FR"/>
              </w:rPr>
              <w:t>Y</w:t>
            </w:r>
          </w:p>
        </w:tc>
        <w:tc>
          <w:tcPr>
            <w:tcW w:w="1892" w:type="dxa"/>
            <w:vAlign w:val="center"/>
          </w:tcPr>
          <w:p w14:paraId="587B517E" w14:textId="77777777" w:rsidR="00903F7C" w:rsidRPr="0072604A" w:rsidRDefault="00903F7C" w:rsidP="00DC4AD8">
            <w:pPr>
              <w:jc w:val="center"/>
              <w:rPr>
                <w:rFonts w:cs="Arial"/>
                <w:sz w:val="20"/>
                <w:szCs w:val="20"/>
                <w:highlight w:val="yellow"/>
                <w:lang w:val="fr-FR"/>
              </w:rPr>
            </w:pPr>
            <w:r w:rsidRPr="0072604A">
              <w:rPr>
                <w:rFonts w:cs="Arial"/>
                <w:sz w:val="20"/>
                <w:szCs w:val="20"/>
                <w:highlight w:val="yellow"/>
                <w:lang w:val="fr-FR"/>
              </w:rPr>
              <w:t>Harlan</w:t>
            </w:r>
          </w:p>
        </w:tc>
      </w:tr>
      <w:tr w:rsidR="00903F7C" w:rsidRPr="00903F7C" w14:paraId="11E5EDFB" w14:textId="77777777" w:rsidTr="009A4C47">
        <w:trPr>
          <w:trHeight w:val="258"/>
        </w:trPr>
        <w:tc>
          <w:tcPr>
            <w:tcW w:w="1861" w:type="dxa"/>
            <w:vAlign w:val="center"/>
          </w:tcPr>
          <w:p w14:paraId="1FB64D92" w14:textId="77777777" w:rsidR="00903F7C" w:rsidRPr="005813D3" w:rsidRDefault="00903F7C" w:rsidP="00DC4AD8">
            <w:pPr>
              <w:jc w:val="center"/>
              <w:rPr>
                <w:rFonts w:cs="Arial"/>
                <w:sz w:val="20"/>
                <w:szCs w:val="20"/>
                <w:highlight w:val="yellow"/>
                <w:lang w:eastAsia="de-DE"/>
              </w:rPr>
            </w:pPr>
            <w:r w:rsidRPr="005813D3">
              <w:rPr>
                <w:rFonts w:cs="Arial"/>
                <w:sz w:val="20"/>
                <w:szCs w:val="20"/>
                <w:highlight w:val="yellow"/>
                <w:lang w:eastAsia="de-DE"/>
              </w:rPr>
              <w:t>A.J. Wooley</w:t>
            </w:r>
          </w:p>
          <w:p w14:paraId="2FCA90F6" w14:textId="77777777" w:rsidR="00903F7C" w:rsidRPr="005813D3" w:rsidRDefault="00903F7C" w:rsidP="00DC4AD8">
            <w:pPr>
              <w:jc w:val="center"/>
              <w:rPr>
                <w:rFonts w:cs="Arial"/>
                <w:sz w:val="20"/>
                <w:szCs w:val="20"/>
                <w:highlight w:val="yellow"/>
              </w:rPr>
            </w:pPr>
            <w:r w:rsidRPr="005813D3">
              <w:rPr>
                <w:rFonts w:cs="Arial"/>
                <w:sz w:val="20"/>
                <w:szCs w:val="20"/>
                <w:highlight w:val="yellow"/>
                <w:lang w:eastAsia="de-DE"/>
              </w:rPr>
              <w:t>Report N°41500717</w:t>
            </w:r>
          </w:p>
        </w:tc>
        <w:tc>
          <w:tcPr>
            <w:tcW w:w="730" w:type="dxa"/>
            <w:vAlign w:val="center"/>
          </w:tcPr>
          <w:p w14:paraId="09280CAE" w14:textId="77777777" w:rsidR="00903F7C" w:rsidRPr="00903F7C" w:rsidRDefault="00903F7C" w:rsidP="00DC4AD8">
            <w:pPr>
              <w:jc w:val="center"/>
              <w:rPr>
                <w:rFonts w:cs="Arial"/>
                <w:sz w:val="20"/>
                <w:szCs w:val="20"/>
                <w:lang w:val="en-US"/>
              </w:rPr>
            </w:pPr>
            <w:r w:rsidRPr="00903F7C">
              <w:rPr>
                <w:rFonts w:cs="Arial"/>
                <w:sz w:val="20"/>
                <w:szCs w:val="20"/>
                <w:lang w:val="en-US"/>
              </w:rPr>
              <w:t>2015</w:t>
            </w:r>
          </w:p>
        </w:tc>
        <w:tc>
          <w:tcPr>
            <w:tcW w:w="3293" w:type="dxa"/>
            <w:vAlign w:val="center"/>
          </w:tcPr>
          <w:p w14:paraId="607B247C" w14:textId="77777777" w:rsidR="00903F7C" w:rsidRPr="00903F7C" w:rsidRDefault="00903F7C" w:rsidP="00DC4AD8">
            <w:pPr>
              <w:jc w:val="center"/>
              <w:rPr>
                <w:rFonts w:cs="Arial"/>
                <w:sz w:val="20"/>
                <w:szCs w:val="20"/>
                <w:lang w:val="en-US"/>
              </w:rPr>
            </w:pPr>
            <w:r w:rsidRPr="00903F7C">
              <w:rPr>
                <w:rFonts w:cs="Arial"/>
                <w:sz w:val="20"/>
                <w:szCs w:val="20"/>
                <w:lang w:val="en-US"/>
              </w:rPr>
              <w:t>PVP iodine : determination of long term stability</w:t>
            </w:r>
          </w:p>
        </w:tc>
        <w:tc>
          <w:tcPr>
            <w:tcW w:w="1427" w:type="dxa"/>
            <w:vAlign w:val="center"/>
          </w:tcPr>
          <w:p w14:paraId="6F338881" w14:textId="77777777" w:rsidR="00903F7C" w:rsidRPr="00903F7C" w:rsidRDefault="00903F7C" w:rsidP="00DC4AD8">
            <w:pPr>
              <w:jc w:val="center"/>
              <w:rPr>
                <w:rFonts w:cs="Arial"/>
                <w:sz w:val="20"/>
                <w:szCs w:val="20"/>
                <w:lang w:val="fr-FR"/>
              </w:rPr>
            </w:pPr>
            <w:r w:rsidRPr="00903F7C">
              <w:rPr>
                <w:rFonts w:cs="Arial"/>
                <w:sz w:val="20"/>
                <w:szCs w:val="20"/>
                <w:lang w:val="fr-FR"/>
              </w:rPr>
              <w:t>Y</w:t>
            </w:r>
          </w:p>
        </w:tc>
        <w:tc>
          <w:tcPr>
            <w:tcW w:w="1892" w:type="dxa"/>
            <w:vAlign w:val="center"/>
          </w:tcPr>
          <w:p w14:paraId="2708A670" w14:textId="77777777" w:rsidR="00903F7C" w:rsidRPr="0072604A" w:rsidRDefault="00903F7C" w:rsidP="00DC4AD8">
            <w:pPr>
              <w:jc w:val="center"/>
              <w:rPr>
                <w:rFonts w:cs="Arial"/>
                <w:sz w:val="20"/>
                <w:szCs w:val="20"/>
                <w:highlight w:val="yellow"/>
                <w:lang w:val="fr-FR"/>
              </w:rPr>
            </w:pPr>
            <w:r w:rsidRPr="0072604A">
              <w:rPr>
                <w:rFonts w:cs="Arial"/>
                <w:sz w:val="20"/>
                <w:szCs w:val="20"/>
                <w:highlight w:val="yellow"/>
                <w:lang w:val="fr-FR"/>
              </w:rPr>
              <w:t>Harlan</w:t>
            </w:r>
          </w:p>
        </w:tc>
      </w:tr>
      <w:tr w:rsidR="00903F7C" w:rsidRPr="00903F7C" w14:paraId="7019900C" w14:textId="77777777" w:rsidTr="009A4C47">
        <w:trPr>
          <w:trHeight w:val="271"/>
        </w:trPr>
        <w:tc>
          <w:tcPr>
            <w:tcW w:w="1861" w:type="dxa"/>
            <w:vAlign w:val="center"/>
          </w:tcPr>
          <w:p w14:paraId="3CE7811D" w14:textId="77777777" w:rsidR="00903F7C" w:rsidRPr="005813D3" w:rsidRDefault="00903F7C" w:rsidP="00DC4AD8">
            <w:pPr>
              <w:jc w:val="center"/>
              <w:rPr>
                <w:rFonts w:cs="Arial"/>
                <w:sz w:val="20"/>
                <w:szCs w:val="20"/>
                <w:highlight w:val="yellow"/>
              </w:rPr>
            </w:pPr>
            <w:r w:rsidRPr="005813D3">
              <w:rPr>
                <w:rFonts w:cs="Arial"/>
                <w:sz w:val="20"/>
                <w:szCs w:val="20"/>
                <w:highlight w:val="yellow"/>
                <w:lang w:val="fr-FR" w:eastAsia="de-DE"/>
              </w:rPr>
              <w:t>Morel A.</w:t>
            </w:r>
          </w:p>
        </w:tc>
        <w:tc>
          <w:tcPr>
            <w:tcW w:w="730" w:type="dxa"/>
            <w:vAlign w:val="center"/>
          </w:tcPr>
          <w:p w14:paraId="18510197" w14:textId="77777777" w:rsidR="00903F7C" w:rsidRPr="00903F7C" w:rsidRDefault="00903F7C" w:rsidP="00DC4AD8">
            <w:pPr>
              <w:jc w:val="center"/>
              <w:rPr>
                <w:rFonts w:cs="Arial"/>
                <w:sz w:val="20"/>
                <w:szCs w:val="20"/>
                <w:lang w:val="en-US"/>
              </w:rPr>
            </w:pPr>
            <w:r w:rsidRPr="00903F7C">
              <w:rPr>
                <w:rFonts w:cs="Arial"/>
                <w:sz w:val="20"/>
                <w:szCs w:val="20"/>
                <w:lang w:val="en-US"/>
              </w:rPr>
              <w:t>2015</w:t>
            </w:r>
          </w:p>
        </w:tc>
        <w:tc>
          <w:tcPr>
            <w:tcW w:w="3293" w:type="dxa"/>
            <w:vAlign w:val="center"/>
          </w:tcPr>
          <w:p w14:paraId="76B6BF57" w14:textId="77777777" w:rsidR="00903F7C" w:rsidRPr="00903F7C" w:rsidRDefault="00903F7C" w:rsidP="00DC4AD8">
            <w:pPr>
              <w:jc w:val="center"/>
              <w:rPr>
                <w:rFonts w:cs="Arial"/>
                <w:sz w:val="20"/>
                <w:szCs w:val="20"/>
                <w:lang w:val="fr-FR"/>
              </w:rPr>
            </w:pPr>
            <w:r w:rsidRPr="00903F7C">
              <w:rPr>
                <w:rFonts w:cs="Arial"/>
                <w:sz w:val="20"/>
                <w:szCs w:val="20"/>
                <w:lang w:val="fr-FR"/>
              </w:rPr>
              <w:t>Dosage de l’iode actif</w:t>
            </w:r>
          </w:p>
        </w:tc>
        <w:tc>
          <w:tcPr>
            <w:tcW w:w="1427" w:type="dxa"/>
            <w:vAlign w:val="center"/>
          </w:tcPr>
          <w:p w14:paraId="5BD7635E" w14:textId="77777777" w:rsidR="00903F7C" w:rsidRPr="00903F7C" w:rsidRDefault="00903F7C" w:rsidP="00DC4AD8">
            <w:pPr>
              <w:jc w:val="center"/>
              <w:rPr>
                <w:rFonts w:cs="Arial"/>
                <w:sz w:val="20"/>
                <w:szCs w:val="20"/>
                <w:lang w:val="fr-FR"/>
              </w:rPr>
            </w:pPr>
            <w:r w:rsidRPr="00903F7C">
              <w:rPr>
                <w:rFonts w:cs="Arial"/>
                <w:sz w:val="20"/>
                <w:szCs w:val="20"/>
                <w:lang w:val="fr-FR"/>
              </w:rPr>
              <w:t>Y</w:t>
            </w:r>
          </w:p>
        </w:tc>
        <w:tc>
          <w:tcPr>
            <w:tcW w:w="1892" w:type="dxa"/>
            <w:vAlign w:val="center"/>
          </w:tcPr>
          <w:p w14:paraId="710BE33D" w14:textId="77777777" w:rsidR="00903F7C" w:rsidRPr="0072604A" w:rsidRDefault="00903F7C" w:rsidP="00DC4AD8">
            <w:pPr>
              <w:jc w:val="center"/>
              <w:rPr>
                <w:rFonts w:cs="Arial"/>
                <w:sz w:val="20"/>
                <w:szCs w:val="20"/>
                <w:highlight w:val="yellow"/>
                <w:lang w:val="fr-FR"/>
              </w:rPr>
            </w:pPr>
            <w:r w:rsidRPr="0072604A">
              <w:rPr>
                <w:rFonts w:cs="Arial"/>
                <w:sz w:val="20"/>
                <w:szCs w:val="20"/>
                <w:highlight w:val="yellow"/>
                <w:lang w:val="fr-FR"/>
              </w:rPr>
              <w:t>LABORATOIRE SOLUTIO</w:t>
            </w:r>
          </w:p>
        </w:tc>
      </w:tr>
      <w:tr w:rsidR="002A0438" w:rsidRPr="00903F7C" w14:paraId="09D2F807" w14:textId="77777777" w:rsidTr="009A4C47">
        <w:trPr>
          <w:trHeight w:val="271"/>
        </w:trPr>
        <w:tc>
          <w:tcPr>
            <w:tcW w:w="1861" w:type="dxa"/>
          </w:tcPr>
          <w:p w14:paraId="1FB803FD" w14:textId="77777777" w:rsidR="002A0438" w:rsidRPr="005813D3" w:rsidRDefault="002A0438" w:rsidP="002A0438">
            <w:pPr>
              <w:jc w:val="center"/>
              <w:rPr>
                <w:rFonts w:eastAsia="Times New Roman" w:cs="Arial"/>
                <w:sz w:val="20"/>
                <w:szCs w:val="20"/>
                <w:highlight w:val="yellow"/>
                <w:lang w:val="en-US"/>
              </w:rPr>
            </w:pPr>
            <w:r w:rsidRPr="005813D3">
              <w:rPr>
                <w:rFonts w:eastAsia="Times New Roman" w:cs="Arial"/>
                <w:sz w:val="20"/>
                <w:szCs w:val="20"/>
                <w:highlight w:val="yellow"/>
                <w:lang w:val="en-US"/>
              </w:rPr>
              <w:t>Thierry MERGNAT</w:t>
            </w:r>
          </w:p>
        </w:tc>
        <w:tc>
          <w:tcPr>
            <w:tcW w:w="730" w:type="dxa"/>
          </w:tcPr>
          <w:p w14:paraId="717DBC7A" w14:textId="77777777" w:rsidR="002A0438" w:rsidRPr="00C63ACB" w:rsidRDefault="002A0438" w:rsidP="002A0438">
            <w:pPr>
              <w:jc w:val="center"/>
              <w:rPr>
                <w:rFonts w:eastAsia="Times New Roman" w:cs="Arial"/>
                <w:sz w:val="20"/>
                <w:szCs w:val="20"/>
                <w:lang w:val="en-US"/>
              </w:rPr>
            </w:pPr>
            <w:r w:rsidRPr="00C63ACB">
              <w:rPr>
                <w:rFonts w:eastAsia="Times New Roman" w:cs="Arial"/>
                <w:sz w:val="20"/>
                <w:szCs w:val="20"/>
                <w:lang w:val="en-US"/>
              </w:rPr>
              <w:t>2011</w:t>
            </w:r>
          </w:p>
        </w:tc>
        <w:tc>
          <w:tcPr>
            <w:tcW w:w="3293" w:type="dxa"/>
          </w:tcPr>
          <w:p w14:paraId="7FB47DAA" w14:textId="77777777" w:rsidR="002A0438" w:rsidRPr="00C63ACB" w:rsidRDefault="002A0438" w:rsidP="002A0438">
            <w:pPr>
              <w:jc w:val="center"/>
              <w:rPr>
                <w:rFonts w:eastAsia="Times New Roman" w:cs="Arial"/>
                <w:sz w:val="20"/>
                <w:szCs w:val="20"/>
                <w:lang w:val="en-US"/>
              </w:rPr>
            </w:pPr>
            <w:proofErr w:type="gramStart"/>
            <w:r w:rsidRPr="00282FA0">
              <w:rPr>
                <w:rFonts w:eastAsia="Times New Roman" w:cs="Arial"/>
                <w:sz w:val="20"/>
                <w:szCs w:val="20"/>
                <w:lang w:val="fr-FR"/>
              </w:rPr>
              <w:t>essai</w:t>
            </w:r>
            <w:proofErr w:type="gramEnd"/>
            <w:r w:rsidRPr="00282FA0">
              <w:rPr>
                <w:rFonts w:eastAsia="Times New Roman" w:cs="Arial"/>
                <w:sz w:val="20"/>
                <w:szCs w:val="20"/>
                <w:lang w:val="fr-FR"/>
              </w:rPr>
              <w:t xml:space="preserve"> quantitatif de suspension pour l'évaluation de l'activité bactéricide des antiseptiques et désinfectants chimiques utilisés dans le domaine vétérinaire. </w:t>
            </w:r>
            <w:r w:rsidRPr="00C63ACB">
              <w:rPr>
                <w:rFonts w:eastAsia="Times New Roman" w:cs="Arial"/>
                <w:sz w:val="20"/>
                <w:szCs w:val="20"/>
                <w:lang w:val="en-US"/>
              </w:rPr>
              <w:t>Selon la norme NF EN 1656 de mars 2010</w:t>
            </w:r>
          </w:p>
        </w:tc>
        <w:tc>
          <w:tcPr>
            <w:tcW w:w="1427" w:type="dxa"/>
          </w:tcPr>
          <w:p w14:paraId="4A45F1F2" w14:textId="77777777" w:rsidR="002A0438" w:rsidRPr="00C63ACB" w:rsidRDefault="002A0438" w:rsidP="002A0438">
            <w:pPr>
              <w:jc w:val="center"/>
              <w:rPr>
                <w:rFonts w:eastAsia="Times New Roman" w:cs="Arial"/>
                <w:sz w:val="20"/>
                <w:szCs w:val="20"/>
                <w:lang w:val="en-US"/>
              </w:rPr>
            </w:pPr>
            <w:r w:rsidRPr="00C63ACB">
              <w:rPr>
                <w:rFonts w:eastAsia="Times New Roman" w:cs="Arial"/>
                <w:sz w:val="20"/>
                <w:szCs w:val="20"/>
                <w:lang w:val="en-US"/>
              </w:rPr>
              <w:t>Y</w:t>
            </w:r>
          </w:p>
        </w:tc>
        <w:tc>
          <w:tcPr>
            <w:tcW w:w="1892" w:type="dxa"/>
          </w:tcPr>
          <w:p w14:paraId="785FAF3F" w14:textId="77777777" w:rsidR="002A0438" w:rsidRPr="0072604A" w:rsidRDefault="002A0438" w:rsidP="002A0438">
            <w:pPr>
              <w:jc w:val="center"/>
              <w:rPr>
                <w:rFonts w:eastAsia="Times New Roman" w:cs="Arial"/>
                <w:sz w:val="20"/>
                <w:szCs w:val="20"/>
                <w:highlight w:val="yellow"/>
                <w:lang w:val="en-US"/>
              </w:rPr>
            </w:pPr>
            <w:r w:rsidRPr="0072604A">
              <w:rPr>
                <w:rFonts w:eastAsia="Times New Roman" w:cs="Arial"/>
                <w:sz w:val="20"/>
                <w:szCs w:val="20"/>
                <w:highlight w:val="yellow"/>
                <w:lang w:val="en-US"/>
              </w:rPr>
              <w:t>CTH</w:t>
            </w:r>
          </w:p>
        </w:tc>
      </w:tr>
      <w:tr w:rsidR="002A0438" w:rsidRPr="00903F7C" w14:paraId="2652D5BC" w14:textId="77777777" w:rsidTr="009A4C47">
        <w:trPr>
          <w:trHeight w:val="271"/>
        </w:trPr>
        <w:tc>
          <w:tcPr>
            <w:tcW w:w="1861" w:type="dxa"/>
          </w:tcPr>
          <w:p w14:paraId="7D81ECFF" w14:textId="77777777" w:rsidR="002A0438" w:rsidRPr="005813D3" w:rsidRDefault="002A0438" w:rsidP="002A0438">
            <w:pPr>
              <w:jc w:val="center"/>
              <w:rPr>
                <w:rFonts w:eastAsia="Times New Roman" w:cs="Arial"/>
                <w:sz w:val="20"/>
                <w:szCs w:val="20"/>
                <w:highlight w:val="yellow"/>
                <w:lang w:val="en-US"/>
              </w:rPr>
            </w:pPr>
            <w:r w:rsidRPr="005813D3">
              <w:rPr>
                <w:rFonts w:eastAsia="Times New Roman" w:cs="Arial"/>
                <w:sz w:val="20"/>
                <w:szCs w:val="20"/>
                <w:highlight w:val="yellow"/>
                <w:lang w:val="en-US"/>
              </w:rPr>
              <w:t>A. Morel</w:t>
            </w:r>
          </w:p>
        </w:tc>
        <w:tc>
          <w:tcPr>
            <w:tcW w:w="730" w:type="dxa"/>
          </w:tcPr>
          <w:p w14:paraId="7C6DE546" w14:textId="77777777" w:rsidR="002A0438" w:rsidRPr="00C63ACB" w:rsidRDefault="002A0438" w:rsidP="002A0438">
            <w:pPr>
              <w:jc w:val="center"/>
              <w:rPr>
                <w:rFonts w:eastAsia="Times New Roman" w:cs="Arial"/>
                <w:sz w:val="20"/>
                <w:szCs w:val="20"/>
                <w:lang w:val="en-US"/>
              </w:rPr>
            </w:pPr>
            <w:r w:rsidRPr="00C63ACB">
              <w:rPr>
                <w:rFonts w:eastAsia="Times New Roman" w:cs="Arial"/>
                <w:sz w:val="20"/>
                <w:szCs w:val="20"/>
                <w:lang w:val="en-US"/>
              </w:rPr>
              <w:t>2010</w:t>
            </w:r>
          </w:p>
        </w:tc>
        <w:tc>
          <w:tcPr>
            <w:tcW w:w="3293" w:type="dxa"/>
          </w:tcPr>
          <w:p w14:paraId="1F01AB56" w14:textId="77777777" w:rsidR="002A0438" w:rsidRPr="00282FA0" w:rsidRDefault="002A0438" w:rsidP="002A0438">
            <w:pPr>
              <w:jc w:val="center"/>
              <w:rPr>
                <w:rFonts w:eastAsia="Times New Roman" w:cs="Arial"/>
                <w:sz w:val="20"/>
                <w:szCs w:val="20"/>
                <w:lang w:val="fr-FR"/>
              </w:rPr>
            </w:pPr>
            <w:r w:rsidRPr="00282FA0">
              <w:rPr>
                <w:rFonts w:eastAsia="Times New Roman" w:cs="Arial"/>
                <w:sz w:val="20"/>
                <w:szCs w:val="20"/>
                <w:lang w:val="fr-FR"/>
              </w:rPr>
              <w:t>Rapport d'essai NF 1656, activité bactéricide, Mars 2010</w:t>
            </w:r>
          </w:p>
        </w:tc>
        <w:tc>
          <w:tcPr>
            <w:tcW w:w="1427" w:type="dxa"/>
          </w:tcPr>
          <w:p w14:paraId="1E16D44B" w14:textId="77777777" w:rsidR="002A0438" w:rsidRPr="00C63ACB" w:rsidRDefault="002A0438" w:rsidP="002A0438">
            <w:pPr>
              <w:jc w:val="center"/>
              <w:rPr>
                <w:rFonts w:eastAsia="Times New Roman" w:cs="Arial"/>
                <w:sz w:val="20"/>
                <w:szCs w:val="20"/>
                <w:lang w:val="en-US"/>
              </w:rPr>
            </w:pPr>
            <w:r w:rsidRPr="00C63ACB">
              <w:rPr>
                <w:rFonts w:eastAsia="Times New Roman" w:cs="Arial"/>
                <w:sz w:val="20"/>
                <w:szCs w:val="20"/>
                <w:lang w:val="en-US"/>
              </w:rPr>
              <w:t>Y</w:t>
            </w:r>
          </w:p>
        </w:tc>
        <w:tc>
          <w:tcPr>
            <w:tcW w:w="1892" w:type="dxa"/>
          </w:tcPr>
          <w:p w14:paraId="6CDAF0C0" w14:textId="77777777" w:rsidR="002A0438" w:rsidRPr="0072604A" w:rsidRDefault="002A0438" w:rsidP="002A0438">
            <w:pPr>
              <w:jc w:val="center"/>
              <w:rPr>
                <w:rFonts w:eastAsia="Times New Roman" w:cs="Arial"/>
                <w:sz w:val="20"/>
                <w:szCs w:val="20"/>
                <w:highlight w:val="yellow"/>
                <w:lang w:val="en-US"/>
              </w:rPr>
            </w:pPr>
            <w:r w:rsidRPr="0072604A">
              <w:rPr>
                <w:rFonts w:eastAsia="Times New Roman" w:cs="Arial"/>
                <w:sz w:val="20"/>
                <w:szCs w:val="20"/>
                <w:highlight w:val="yellow"/>
                <w:lang w:val="en-US"/>
              </w:rPr>
              <w:t>CTH</w:t>
            </w:r>
          </w:p>
        </w:tc>
      </w:tr>
      <w:tr w:rsidR="002A0438" w:rsidRPr="00903F7C" w14:paraId="15188D4F" w14:textId="77777777" w:rsidTr="009A4C47">
        <w:trPr>
          <w:trHeight w:val="271"/>
        </w:trPr>
        <w:tc>
          <w:tcPr>
            <w:tcW w:w="1861" w:type="dxa"/>
          </w:tcPr>
          <w:p w14:paraId="52DE5AFF" w14:textId="77777777" w:rsidR="002A0438" w:rsidRPr="005813D3" w:rsidRDefault="002A0438" w:rsidP="002A0438">
            <w:pPr>
              <w:jc w:val="center"/>
              <w:rPr>
                <w:rFonts w:eastAsia="Times New Roman" w:cs="Arial"/>
                <w:sz w:val="20"/>
                <w:szCs w:val="20"/>
                <w:highlight w:val="yellow"/>
                <w:lang w:val="en-US"/>
              </w:rPr>
            </w:pPr>
            <w:r w:rsidRPr="005813D3">
              <w:rPr>
                <w:rFonts w:eastAsia="Times New Roman" w:cs="Arial"/>
                <w:sz w:val="20"/>
                <w:szCs w:val="20"/>
                <w:highlight w:val="yellow"/>
                <w:lang w:val="en-US"/>
              </w:rPr>
              <w:t>CTH</w:t>
            </w:r>
          </w:p>
        </w:tc>
        <w:tc>
          <w:tcPr>
            <w:tcW w:w="730" w:type="dxa"/>
          </w:tcPr>
          <w:p w14:paraId="3755D057" w14:textId="77777777" w:rsidR="002A0438" w:rsidRPr="00C63ACB" w:rsidRDefault="002A0438" w:rsidP="002A0438">
            <w:pPr>
              <w:jc w:val="center"/>
              <w:rPr>
                <w:rFonts w:eastAsia="Times New Roman" w:cs="Arial"/>
                <w:sz w:val="20"/>
                <w:szCs w:val="20"/>
                <w:lang w:val="en-US"/>
              </w:rPr>
            </w:pPr>
          </w:p>
        </w:tc>
        <w:tc>
          <w:tcPr>
            <w:tcW w:w="3293" w:type="dxa"/>
          </w:tcPr>
          <w:p w14:paraId="72265C10" w14:textId="77777777" w:rsidR="002A0438" w:rsidRPr="00282FA0" w:rsidRDefault="002A0438" w:rsidP="002A0438">
            <w:pPr>
              <w:jc w:val="center"/>
              <w:rPr>
                <w:rFonts w:eastAsia="Times New Roman" w:cs="Arial"/>
                <w:sz w:val="20"/>
                <w:szCs w:val="20"/>
                <w:lang w:val="fr-FR"/>
              </w:rPr>
            </w:pPr>
            <w:r w:rsidRPr="00282FA0">
              <w:rPr>
                <w:rFonts w:eastAsia="Times New Roman" w:cs="Arial"/>
                <w:sz w:val="20"/>
                <w:szCs w:val="20"/>
                <w:lang w:val="fr-FR"/>
              </w:rPr>
              <w:t>Test d’efficacité bactéricide terrain Antiseptiques et désinfectants chimiques dans le domaine vétérinaire / produit post traite</w:t>
            </w:r>
          </w:p>
        </w:tc>
        <w:tc>
          <w:tcPr>
            <w:tcW w:w="1427" w:type="dxa"/>
          </w:tcPr>
          <w:p w14:paraId="44A6D670" w14:textId="77777777" w:rsidR="002A0438" w:rsidRPr="00C63ACB" w:rsidRDefault="002A0438" w:rsidP="002A0438">
            <w:pPr>
              <w:jc w:val="center"/>
              <w:rPr>
                <w:rFonts w:eastAsia="Times New Roman" w:cs="Arial"/>
                <w:sz w:val="20"/>
                <w:szCs w:val="20"/>
                <w:lang w:val="en-US"/>
              </w:rPr>
            </w:pPr>
            <w:r w:rsidRPr="00C63ACB">
              <w:rPr>
                <w:rFonts w:eastAsia="Times New Roman" w:cs="Arial"/>
                <w:sz w:val="20"/>
                <w:szCs w:val="20"/>
                <w:lang w:val="en-US"/>
              </w:rPr>
              <w:t>Y</w:t>
            </w:r>
          </w:p>
        </w:tc>
        <w:tc>
          <w:tcPr>
            <w:tcW w:w="1892" w:type="dxa"/>
          </w:tcPr>
          <w:p w14:paraId="4F7D4DA5" w14:textId="77777777" w:rsidR="002A0438" w:rsidRPr="0072604A" w:rsidRDefault="002A0438" w:rsidP="002A0438">
            <w:pPr>
              <w:jc w:val="center"/>
              <w:rPr>
                <w:rFonts w:eastAsia="Times New Roman" w:cs="Arial"/>
                <w:sz w:val="20"/>
                <w:szCs w:val="20"/>
                <w:highlight w:val="yellow"/>
                <w:lang w:val="en-US"/>
              </w:rPr>
            </w:pPr>
            <w:r w:rsidRPr="0072604A">
              <w:rPr>
                <w:rFonts w:eastAsia="Times New Roman" w:cs="Arial"/>
                <w:sz w:val="20"/>
                <w:szCs w:val="20"/>
                <w:highlight w:val="yellow"/>
                <w:lang w:val="en-US"/>
              </w:rPr>
              <w:t>CTH</w:t>
            </w:r>
          </w:p>
        </w:tc>
      </w:tr>
      <w:tr w:rsidR="002A0438" w:rsidRPr="00903F7C" w14:paraId="7D5DD29E" w14:textId="77777777" w:rsidTr="009A4C47">
        <w:trPr>
          <w:trHeight w:val="271"/>
        </w:trPr>
        <w:tc>
          <w:tcPr>
            <w:tcW w:w="1861" w:type="dxa"/>
          </w:tcPr>
          <w:p w14:paraId="69F1C56C" w14:textId="77777777" w:rsidR="002A0438" w:rsidRPr="005813D3" w:rsidRDefault="002A0438" w:rsidP="002A0438">
            <w:pPr>
              <w:jc w:val="center"/>
              <w:rPr>
                <w:rFonts w:eastAsia="Times New Roman" w:cs="Arial"/>
                <w:sz w:val="20"/>
                <w:szCs w:val="20"/>
                <w:highlight w:val="yellow"/>
                <w:lang w:val="en-US"/>
              </w:rPr>
            </w:pPr>
            <w:r w:rsidRPr="005813D3">
              <w:rPr>
                <w:rFonts w:eastAsia="Times New Roman" w:cs="Arial"/>
                <w:sz w:val="20"/>
                <w:szCs w:val="20"/>
                <w:highlight w:val="yellow"/>
                <w:lang w:val="en-US"/>
              </w:rPr>
              <w:t>Laboratoire Solutio</w:t>
            </w:r>
          </w:p>
        </w:tc>
        <w:tc>
          <w:tcPr>
            <w:tcW w:w="730" w:type="dxa"/>
          </w:tcPr>
          <w:p w14:paraId="7B2FA323" w14:textId="77777777" w:rsidR="002A0438" w:rsidRPr="00C63ACB" w:rsidRDefault="002A0438" w:rsidP="002A0438">
            <w:pPr>
              <w:jc w:val="center"/>
              <w:rPr>
                <w:rFonts w:eastAsia="Times New Roman" w:cs="Arial"/>
                <w:sz w:val="20"/>
                <w:szCs w:val="20"/>
                <w:lang w:val="en-US"/>
              </w:rPr>
            </w:pPr>
            <w:r w:rsidRPr="00C63ACB">
              <w:rPr>
                <w:rFonts w:eastAsia="Times New Roman" w:cs="Arial"/>
                <w:sz w:val="20"/>
                <w:szCs w:val="20"/>
                <w:lang w:val="en-US"/>
              </w:rPr>
              <w:t>2014</w:t>
            </w:r>
          </w:p>
        </w:tc>
        <w:tc>
          <w:tcPr>
            <w:tcW w:w="3293" w:type="dxa"/>
          </w:tcPr>
          <w:p w14:paraId="6D926CEC" w14:textId="77777777" w:rsidR="002A0438" w:rsidRPr="00282FA0" w:rsidRDefault="002A0438" w:rsidP="002A0438">
            <w:pPr>
              <w:jc w:val="center"/>
              <w:rPr>
                <w:rFonts w:eastAsia="Times New Roman" w:cs="Arial"/>
                <w:sz w:val="20"/>
                <w:szCs w:val="20"/>
                <w:lang w:val="fr-FR"/>
              </w:rPr>
            </w:pPr>
            <w:r w:rsidRPr="00282FA0">
              <w:rPr>
                <w:rFonts w:eastAsia="Times New Roman" w:cs="Arial"/>
                <w:sz w:val="20"/>
                <w:szCs w:val="20"/>
                <w:lang w:val="fr-FR"/>
              </w:rPr>
              <w:t>Essai screening selon la norme NF EN 1657 (avril 2006) Dilution - Neutralisation</w:t>
            </w:r>
          </w:p>
        </w:tc>
        <w:tc>
          <w:tcPr>
            <w:tcW w:w="1427" w:type="dxa"/>
          </w:tcPr>
          <w:p w14:paraId="256999A4" w14:textId="77777777" w:rsidR="002A0438" w:rsidRPr="00C63ACB" w:rsidRDefault="002A0438" w:rsidP="002A0438">
            <w:pPr>
              <w:jc w:val="center"/>
              <w:rPr>
                <w:rFonts w:eastAsia="Times New Roman" w:cs="Arial"/>
                <w:sz w:val="20"/>
                <w:szCs w:val="20"/>
                <w:lang w:val="en-US"/>
              </w:rPr>
            </w:pPr>
            <w:r w:rsidRPr="00C63ACB">
              <w:rPr>
                <w:rFonts w:eastAsia="Times New Roman" w:cs="Arial"/>
                <w:sz w:val="20"/>
                <w:szCs w:val="20"/>
                <w:lang w:val="en-US"/>
              </w:rPr>
              <w:t>Y</w:t>
            </w:r>
          </w:p>
        </w:tc>
        <w:tc>
          <w:tcPr>
            <w:tcW w:w="1892" w:type="dxa"/>
          </w:tcPr>
          <w:p w14:paraId="5F37DE73" w14:textId="77777777" w:rsidR="002A0438" w:rsidRPr="0072604A" w:rsidRDefault="002A0438" w:rsidP="002A0438">
            <w:pPr>
              <w:jc w:val="center"/>
              <w:rPr>
                <w:rFonts w:eastAsia="Times New Roman" w:cs="Arial"/>
                <w:sz w:val="20"/>
                <w:szCs w:val="20"/>
                <w:highlight w:val="yellow"/>
                <w:lang w:val="en-US"/>
              </w:rPr>
            </w:pPr>
            <w:r w:rsidRPr="0072604A">
              <w:rPr>
                <w:rFonts w:eastAsia="Times New Roman" w:cs="Arial"/>
                <w:sz w:val="20"/>
                <w:szCs w:val="20"/>
                <w:highlight w:val="yellow"/>
                <w:lang w:val="en-US"/>
              </w:rPr>
              <w:t>CTH</w:t>
            </w:r>
          </w:p>
        </w:tc>
      </w:tr>
      <w:tr w:rsidR="00AA3D31" w:rsidRPr="00903F7C" w14:paraId="14040177" w14:textId="77777777" w:rsidTr="009A4C47">
        <w:trPr>
          <w:trHeight w:val="271"/>
        </w:trPr>
        <w:tc>
          <w:tcPr>
            <w:tcW w:w="1861" w:type="dxa"/>
          </w:tcPr>
          <w:p w14:paraId="1365E65F" w14:textId="77777777" w:rsidR="00AA3D31" w:rsidRPr="005813D3" w:rsidRDefault="005955A5" w:rsidP="005955A5">
            <w:pPr>
              <w:jc w:val="center"/>
              <w:rPr>
                <w:rFonts w:cs="Arial"/>
                <w:sz w:val="20"/>
                <w:szCs w:val="20"/>
                <w:highlight w:val="yellow"/>
                <w:lang w:val="en-US"/>
              </w:rPr>
            </w:pPr>
            <w:r w:rsidRPr="005813D3">
              <w:rPr>
                <w:sz w:val="20"/>
                <w:szCs w:val="20"/>
                <w:highlight w:val="yellow"/>
                <w:lang w:eastAsia="en-US"/>
              </w:rPr>
              <w:t>N. Warren</w:t>
            </w:r>
          </w:p>
        </w:tc>
        <w:tc>
          <w:tcPr>
            <w:tcW w:w="730" w:type="dxa"/>
          </w:tcPr>
          <w:p w14:paraId="47437E70" w14:textId="77777777" w:rsidR="00AA3D31" w:rsidRPr="00ED50F5" w:rsidRDefault="005955A5" w:rsidP="002A0438">
            <w:pPr>
              <w:jc w:val="center"/>
              <w:rPr>
                <w:rFonts w:cs="Arial"/>
                <w:sz w:val="20"/>
                <w:szCs w:val="20"/>
                <w:lang w:val="en-US"/>
              </w:rPr>
            </w:pPr>
            <w:r w:rsidRPr="00ED50F5">
              <w:rPr>
                <w:sz w:val="20"/>
                <w:szCs w:val="20"/>
                <w:lang w:eastAsia="en-US"/>
              </w:rPr>
              <w:t>2015</w:t>
            </w:r>
          </w:p>
        </w:tc>
        <w:tc>
          <w:tcPr>
            <w:tcW w:w="3293" w:type="dxa"/>
          </w:tcPr>
          <w:p w14:paraId="035663CF" w14:textId="77777777" w:rsidR="00AA3D31" w:rsidRPr="00ED50F5" w:rsidRDefault="00132807" w:rsidP="002A0438">
            <w:pPr>
              <w:jc w:val="center"/>
              <w:rPr>
                <w:rFonts w:cs="Arial"/>
                <w:sz w:val="20"/>
                <w:szCs w:val="20"/>
                <w:lang w:val="en-US"/>
              </w:rPr>
            </w:pPr>
            <w:r w:rsidRPr="00ED50F5">
              <w:rPr>
                <w:rFonts w:cs="Arial"/>
                <w:sz w:val="20"/>
                <w:szCs w:val="20"/>
                <w:lang w:val="en-US"/>
              </w:rPr>
              <w:t>Iodiguard : The Bovine Corneal Opacity and Permeability (BCOP) Assay</w:t>
            </w:r>
          </w:p>
        </w:tc>
        <w:tc>
          <w:tcPr>
            <w:tcW w:w="1427" w:type="dxa"/>
          </w:tcPr>
          <w:p w14:paraId="243FBCDD" w14:textId="77777777" w:rsidR="00AA3D31" w:rsidRPr="00ED50F5" w:rsidRDefault="005955A5" w:rsidP="002A0438">
            <w:pPr>
              <w:jc w:val="center"/>
              <w:rPr>
                <w:rFonts w:cs="Arial"/>
                <w:sz w:val="20"/>
                <w:szCs w:val="20"/>
                <w:lang w:val="en-US"/>
              </w:rPr>
            </w:pPr>
            <w:r w:rsidRPr="00ED50F5">
              <w:rPr>
                <w:rFonts w:cs="Arial"/>
                <w:sz w:val="20"/>
                <w:szCs w:val="20"/>
                <w:lang w:val="en-US"/>
              </w:rPr>
              <w:t>Y</w:t>
            </w:r>
          </w:p>
        </w:tc>
        <w:tc>
          <w:tcPr>
            <w:tcW w:w="1892" w:type="dxa"/>
          </w:tcPr>
          <w:p w14:paraId="3C3D3AC2" w14:textId="77777777" w:rsidR="00AA3D31" w:rsidRPr="0072604A" w:rsidRDefault="00132807" w:rsidP="002A0438">
            <w:pPr>
              <w:jc w:val="center"/>
              <w:rPr>
                <w:rFonts w:cs="Arial"/>
                <w:sz w:val="20"/>
                <w:szCs w:val="20"/>
                <w:highlight w:val="yellow"/>
                <w:lang w:val="en-US"/>
              </w:rPr>
            </w:pPr>
            <w:r w:rsidRPr="0072604A">
              <w:rPr>
                <w:rFonts w:cs="Arial"/>
                <w:sz w:val="20"/>
                <w:szCs w:val="20"/>
                <w:highlight w:val="yellow"/>
                <w:lang w:val="en-US"/>
              </w:rPr>
              <w:t>CTH</w:t>
            </w:r>
          </w:p>
        </w:tc>
      </w:tr>
      <w:tr w:rsidR="009A4C47" w:rsidRPr="00903F7C" w14:paraId="76E62298" w14:textId="77777777" w:rsidTr="00DC29E4">
        <w:trPr>
          <w:trHeight w:val="271"/>
        </w:trPr>
        <w:tc>
          <w:tcPr>
            <w:tcW w:w="1861" w:type="dxa"/>
            <w:shd w:val="clear" w:color="auto" w:fill="D9D9D9" w:themeFill="background1" w:themeFillShade="D9"/>
            <w:vAlign w:val="center"/>
          </w:tcPr>
          <w:p w14:paraId="30916B28" w14:textId="44AABF1E" w:rsidR="009A4C47" w:rsidRPr="005813D3" w:rsidRDefault="009A4C47" w:rsidP="009A4C47">
            <w:pPr>
              <w:jc w:val="center"/>
              <w:rPr>
                <w:highlight w:val="yellow"/>
                <w:lang w:eastAsia="en-US"/>
              </w:rPr>
            </w:pPr>
            <w:r w:rsidRPr="005813D3">
              <w:rPr>
                <w:rFonts w:cs="Arial"/>
                <w:sz w:val="20"/>
                <w:szCs w:val="20"/>
                <w:highlight w:val="yellow"/>
                <w:lang w:val="fr-FR" w:eastAsia="de-DE"/>
              </w:rPr>
              <w:t>Morel A.</w:t>
            </w:r>
          </w:p>
        </w:tc>
        <w:tc>
          <w:tcPr>
            <w:tcW w:w="730" w:type="dxa"/>
            <w:shd w:val="clear" w:color="auto" w:fill="D9D9D9" w:themeFill="background1" w:themeFillShade="D9"/>
            <w:vAlign w:val="center"/>
          </w:tcPr>
          <w:p w14:paraId="55C89EDE" w14:textId="031085C3" w:rsidR="009A4C47" w:rsidRPr="00ED50F5" w:rsidRDefault="009A4C47" w:rsidP="009A4C47">
            <w:pPr>
              <w:jc w:val="center"/>
              <w:rPr>
                <w:lang w:eastAsia="en-US"/>
              </w:rPr>
            </w:pPr>
            <w:r>
              <w:rPr>
                <w:rFonts w:cs="Arial"/>
                <w:sz w:val="20"/>
                <w:szCs w:val="20"/>
                <w:lang w:val="en-US"/>
              </w:rPr>
              <w:t>2020</w:t>
            </w:r>
          </w:p>
        </w:tc>
        <w:tc>
          <w:tcPr>
            <w:tcW w:w="3293" w:type="dxa"/>
            <w:shd w:val="clear" w:color="auto" w:fill="D9D9D9" w:themeFill="background1" w:themeFillShade="D9"/>
            <w:vAlign w:val="center"/>
          </w:tcPr>
          <w:p w14:paraId="4C142611" w14:textId="52A60F41" w:rsidR="00083A82" w:rsidRPr="000E13C8" w:rsidRDefault="00083A82" w:rsidP="00083A82">
            <w:pPr>
              <w:suppressAutoHyphens w:val="0"/>
              <w:autoSpaceDE w:val="0"/>
              <w:autoSpaceDN w:val="0"/>
              <w:adjustRightInd w:val="0"/>
              <w:jc w:val="both"/>
              <w:rPr>
                <w:rFonts w:cs="Arial"/>
                <w:sz w:val="20"/>
                <w:szCs w:val="20"/>
                <w:lang w:val="en-US"/>
              </w:rPr>
            </w:pPr>
            <w:r w:rsidRPr="000E13C8">
              <w:rPr>
                <w:rFonts w:cs="Arial"/>
                <w:sz w:val="20"/>
                <w:szCs w:val="20"/>
                <w:lang w:val="en-US"/>
              </w:rPr>
              <w:t xml:space="preserve"> Validation of the analytical method for the</w:t>
            </w:r>
            <w:r>
              <w:rPr>
                <w:rFonts w:cs="Arial"/>
                <w:sz w:val="20"/>
                <w:szCs w:val="20"/>
                <w:lang w:val="en-US"/>
              </w:rPr>
              <w:t xml:space="preserve"> </w:t>
            </w:r>
            <w:r w:rsidRPr="000E13C8">
              <w:rPr>
                <w:rFonts w:cs="Arial"/>
                <w:sz w:val="20"/>
                <w:szCs w:val="20"/>
                <w:lang w:val="en-US"/>
              </w:rPr>
              <w:t xml:space="preserve">determination of </w:t>
            </w:r>
            <w:r>
              <w:rPr>
                <w:rFonts w:cs="Arial"/>
                <w:sz w:val="20"/>
                <w:szCs w:val="20"/>
                <w:lang w:val="en-US"/>
              </w:rPr>
              <w:t>diiod</w:t>
            </w:r>
            <w:r w:rsidRPr="000E13C8">
              <w:rPr>
                <w:rFonts w:cs="Arial"/>
                <w:sz w:val="20"/>
                <w:szCs w:val="20"/>
                <w:lang w:val="en-US"/>
              </w:rPr>
              <w:t>e</w:t>
            </w:r>
            <w:r>
              <w:rPr>
                <w:rFonts w:cs="Arial"/>
                <w:sz w:val="20"/>
                <w:szCs w:val="20"/>
                <w:lang w:val="en-US"/>
              </w:rPr>
              <w:t xml:space="preserve"> </w:t>
            </w:r>
            <w:r w:rsidRPr="000E13C8">
              <w:rPr>
                <w:rFonts w:cs="Arial"/>
                <w:sz w:val="20"/>
                <w:szCs w:val="20"/>
                <w:lang w:val="en-US"/>
              </w:rPr>
              <w:t>in IODIGUARD</w:t>
            </w:r>
          </w:p>
          <w:p w14:paraId="0C83937A" w14:textId="1BFD9F95" w:rsidR="009A4C47" w:rsidRPr="00ED50F5" w:rsidRDefault="00083A82" w:rsidP="00DC29E4">
            <w:pPr>
              <w:suppressAutoHyphens w:val="0"/>
              <w:autoSpaceDE w:val="0"/>
              <w:autoSpaceDN w:val="0"/>
              <w:adjustRightInd w:val="0"/>
              <w:rPr>
                <w:rFonts w:cs="Arial"/>
                <w:lang w:val="en-US"/>
              </w:rPr>
            </w:pPr>
            <w:r w:rsidRPr="005813D3">
              <w:rPr>
                <w:rFonts w:cs="Arial"/>
                <w:sz w:val="20"/>
                <w:szCs w:val="20"/>
                <w:highlight w:val="yellow"/>
                <w:lang w:val="en-US"/>
              </w:rPr>
              <w:t>No. 20-912017-002</w:t>
            </w:r>
          </w:p>
        </w:tc>
        <w:tc>
          <w:tcPr>
            <w:tcW w:w="1427" w:type="dxa"/>
            <w:shd w:val="clear" w:color="auto" w:fill="D9D9D9" w:themeFill="background1" w:themeFillShade="D9"/>
            <w:vAlign w:val="center"/>
          </w:tcPr>
          <w:p w14:paraId="2EBD6738" w14:textId="45AAF8AB" w:rsidR="009A4C47" w:rsidRPr="00ED50F5" w:rsidRDefault="009A4C47" w:rsidP="009A4C47">
            <w:pPr>
              <w:jc w:val="center"/>
              <w:rPr>
                <w:rFonts w:cs="Arial"/>
                <w:lang w:val="en-US"/>
              </w:rPr>
            </w:pPr>
            <w:r w:rsidRPr="00903F7C">
              <w:rPr>
                <w:rFonts w:cs="Arial"/>
                <w:sz w:val="20"/>
                <w:szCs w:val="20"/>
                <w:lang w:val="fr-FR"/>
              </w:rPr>
              <w:t>Y</w:t>
            </w:r>
          </w:p>
        </w:tc>
        <w:tc>
          <w:tcPr>
            <w:tcW w:w="1892" w:type="dxa"/>
            <w:shd w:val="clear" w:color="auto" w:fill="D9D9D9" w:themeFill="background1" w:themeFillShade="D9"/>
            <w:vAlign w:val="center"/>
          </w:tcPr>
          <w:p w14:paraId="332D9627" w14:textId="1ECB7754" w:rsidR="009A4C47" w:rsidRPr="0072604A" w:rsidRDefault="009A4C47" w:rsidP="009A4C47">
            <w:pPr>
              <w:jc w:val="center"/>
              <w:rPr>
                <w:rFonts w:cs="Arial"/>
                <w:highlight w:val="yellow"/>
                <w:lang w:val="en-US"/>
              </w:rPr>
            </w:pPr>
            <w:r w:rsidRPr="0072604A">
              <w:rPr>
                <w:rFonts w:cs="Arial"/>
                <w:sz w:val="20"/>
                <w:szCs w:val="20"/>
                <w:highlight w:val="yellow"/>
                <w:lang w:val="fr-FR"/>
              </w:rPr>
              <w:t>LABORATOIRE SOLUTIO</w:t>
            </w:r>
          </w:p>
        </w:tc>
      </w:tr>
      <w:tr w:rsidR="00083A82" w:rsidRPr="00903F7C" w14:paraId="43BC59E3" w14:textId="77777777" w:rsidTr="00DC29E4">
        <w:trPr>
          <w:trHeight w:val="271"/>
        </w:trPr>
        <w:tc>
          <w:tcPr>
            <w:tcW w:w="1861" w:type="dxa"/>
            <w:shd w:val="clear" w:color="auto" w:fill="D9D9D9" w:themeFill="background1" w:themeFillShade="D9"/>
            <w:vAlign w:val="center"/>
          </w:tcPr>
          <w:p w14:paraId="35CD07D6" w14:textId="2E437F7E" w:rsidR="00083A82" w:rsidRPr="005813D3" w:rsidRDefault="00083A82" w:rsidP="00083A82">
            <w:pPr>
              <w:jc w:val="center"/>
              <w:rPr>
                <w:rFonts w:cs="Arial"/>
                <w:sz w:val="20"/>
                <w:szCs w:val="20"/>
                <w:highlight w:val="yellow"/>
                <w:lang w:val="en-US"/>
              </w:rPr>
            </w:pPr>
            <w:r w:rsidRPr="005813D3">
              <w:rPr>
                <w:rFonts w:cs="Arial"/>
                <w:highlight w:val="yellow"/>
                <w:lang w:val="en-US"/>
              </w:rPr>
              <w:t>Morel A.</w:t>
            </w:r>
          </w:p>
        </w:tc>
        <w:tc>
          <w:tcPr>
            <w:tcW w:w="730" w:type="dxa"/>
            <w:shd w:val="clear" w:color="auto" w:fill="D9D9D9" w:themeFill="background1" w:themeFillShade="D9"/>
            <w:vAlign w:val="center"/>
          </w:tcPr>
          <w:p w14:paraId="15B26B1F" w14:textId="6E7EDE9C" w:rsidR="00083A82" w:rsidRPr="00DC29E4" w:rsidRDefault="00083A82" w:rsidP="00083A82">
            <w:pPr>
              <w:jc w:val="center"/>
              <w:rPr>
                <w:rFonts w:cs="Arial"/>
                <w:sz w:val="20"/>
                <w:szCs w:val="20"/>
                <w:lang w:val="en-US"/>
              </w:rPr>
            </w:pPr>
            <w:r>
              <w:rPr>
                <w:rFonts w:cs="Arial"/>
                <w:sz w:val="20"/>
                <w:szCs w:val="20"/>
                <w:lang w:val="en-US"/>
              </w:rPr>
              <w:t>2020</w:t>
            </w:r>
          </w:p>
        </w:tc>
        <w:tc>
          <w:tcPr>
            <w:tcW w:w="3293" w:type="dxa"/>
            <w:shd w:val="clear" w:color="auto" w:fill="D9D9D9" w:themeFill="background1" w:themeFillShade="D9"/>
            <w:vAlign w:val="center"/>
          </w:tcPr>
          <w:p w14:paraId="25FBA016" w14:textId="55202A8B" w:rsidR="00083A82" w:rsidRPr="00DC29E4" w:rsidRDefault="00083A82" w:rsidP="00DC29E4">
            <w:pPr>
              <w:suppressAutoHyphens w:val="0"/>
              <w:autoSpaceDE w:val="0"/>
              <w:autoSpaceDN w:val="0"/>
              <w:adjustRightInd w:val="0"/>
              <w:jc w:val="both"/>
              <w:rPr>
                <w:rFonts w:cs="Arial"/>
                <w:sz w:val="20"/>
                <w:szCs w:val="20"/>
                <w:lang w:val="en-US"/>
              </w:rPr>
            </w:pPr>
            <w:r w:rsidRPr="00DC29E4">
              <w:rPr>
                <w:rFonts w:cs="Arial"/>
                <w:lang w:val="en-US"/>
              </w:rPr>
              <w:t>Validation of the analytical method for the</w:t>
            </w:r>
            <w:r>
              <w:rPr>
                <w:rFonts w:cs="Arial"/>
                <w:sz w:val="20"/>
                <w:szCs w:val="20"/>
                <w:lang w:val="en-US"/>
              </w:rPr>
              <w:t xml:space="preserve"> </w:t>
            </w:r>
            <w:r w:rsidRPr="00DC29E4">
              <w:rPr>
                <w:rFonts w:cs="Arial"/>
                <w:lang w:val="en-US"/>
              </w:rPr>
              <w:t>determination of iodide</w:t>
            </w:r>
            <w:r>
              <w:rPr>
                <w:rFonts w:cs="Arial"/>
                <w:sz w:val="20"/>
                <w:szCs w:val="20"/>
                <w:lang w:val="en-US"/>
              </w:rPr>
              <w:t xml:space="preserve"> </w:t>
            </w:r>
            <w:r w:rsidRPr="00DC29E4">
              <w:rPr>
                <w:rFonts w:cs="Arial"/>
                <w:lang w:val="en-US"/>
              </w:rPr>
              <w:t>in IODIGUARD</w:t>
            </w:r>
          </w:p>
          <w:p w14:paraId="78C43796" w14:textId="5A27180F" w:rsidR="00083A82" w:rsidRPr="00DC29E4" w:rsidRDefault="00083A82" w:rsidP="00083A82">
            <w:pPr>
              <w:suppressAutoHyphens w:val="0"/>
              <w:autoSpaceDE w:val="0"/>
              <w:autoSpaceDN w:val="0"/>
              <w:adjustRightInd w:val="0"/>
              <w:rPr>
                <w:rFonts w:cs="Arial"/>
                <w:sz w:val="20"/>
                <w:szCs w:val="20"/>
                <w:lang w:val="en-US"/>
              </w:rPr>
            </w:pPr>
            <w:r w:rsidRPr="005813D3">
              <w:rPr>
                <w:rFonts w:cs="Arial"/>
                <w:highlight w:val="yellow"/>
                <w:lang w:val="en-US"/>
              </w:rPr>
              <w:t>No. 20-912017-001</w:t>
            </w:r>
          </w:p>
        </w:tc>
        <w:tc>
          <w:tcPr>
            <w:tcW w:w="1427" w:type="dxa"/>
            <w:shd w:val="clear" w:color="auto" w:fill="D9D9D9" w:themeFill="background1" w:themeFillShade="D9"/>
            <w:vAlign w:val="center"/>
          </w:tcPr>
          <w:p w14:paraId="1A955F98" w14:textId="6E9C0363" w:rsidR="00083A82" w:rsidRPr="00903F7C" w:rsidRDefault="00083A82" w:rsidP="00083A82">
            <w:pPr>
              <w:jc w:val="center"/>
              <w:rPr>
                <w:rFonts w:cs="Arial"/>
                <w:lang w:val="fr-FR"/>
              </w:rPr>
            </w:pPr>
            <w:r w:rsidRPr="00903F7C">
              <w:rPr>
                <w:rFonts w:cs="Arial"/>
                <w:sz w:val="20"/>
                <w:szCs w:val="20"/>
                <w:lang w:val="fr-FR"/>
              </w:rPr>
              <w:t>Y</w:t>
            </w:r>
          </w:p>
        </w:tc>
        <w:tc>
          <w:tcPr>
            <w:tcW w:w="1892" w:type="dxa"/>
            <w:shd w:val="clear" w:color="auto" w:fill="D9D9D9" w:themeFill="background1" w:themeFillShade="D9"/>
            <w:vAlign w:val="center"/>
          </w:tcPr>
          <w:p w14:paraId="6F81057C" w14:textId="723AE9CB" w:rsidR="00083A82" w:rsidRPr="0072604A" w:rsidRDefault="00083A82" w:rsidP="00083A82">
            <w:pPr>
              <w:jc w:val="center"/>
              <w:rPr>
                <w:rFonts w:cs="Arial"/>
                <w:highlight w:val="yellow"/>
                <w:lang w:val="fr-FR"/>
              </w:rPr>
            </w:pPr>
            <w:r w:rsidRPr="0072604A">
              <w:rPr>
                <w:rFonts w:cs="Arial"/>
                <w:sz w:val="20"/>
                <w:szCs w:val="20"/>
                <w:highlight w:val="yellow"/>
                <w:lang w:val="fr-FR"/>
              </w:rPr>
              <w:t>LABORATOIRE SOLUTIO</w:t>
            </w:r>
          </w:p>
        </w:tc>
      </w:tr>
      <w:tr w:rsidR="00083A82" w:rsidRPr="00903F7C" w14:paraId="37F9B0D3" w14:textId="77777777" w:rsidTr="00DC29E4">
        <w:trPr>
          <w:trHeight w:val="271"/>
        </w:trPr>
        <w:tc>
          <w:tcPr>
            <w:tcW w:w="1861" w:type="dxa"/>
            <w:shd w:val="clear" w:color="auto" w:fill="D9D9D9" w:themeFill="background1" w:themeFillShade="D9"/>
            <w:vAlign w:val="center"/>
          </w:tcPr>
          <w:p w14:paraId="2BD12C69" w14:textId="142EFEB6" w:rsidR="00083A82" w:rsidRPr="005813D3" w:rsidRDefault="00083A82" w:rsidP="00083A82">
            <w:pPr>
              <w:jc w:val="center"/>
              <w:rPr>
                <w:rFonts w:cs="Arial"/>
                <w:sz w:val="20"/>
                <w:szCs w:val="20"/>
                <w:highlight w:val="yellow"/>
                <w:lang w:val="en-US"/>
              </w:rPr>
            </w:pPr>
            <w:r w:rsidRPr="005813D3">
              <w:rPr>
                <w:rFonts w:cs="Arial"/>
                <w:highlight w:val="yellow"/>
                <w:lang w:val="en-US"/>
              </w:rPr>
              <w:t>Morel A.</w:t>
            </w:r>
          </w:p>
        </w:tc>
        <w:tc>
          <w:tcPr>
            <w:tcW w:w="730" w:type="dxa"/>
            <w:shd w:val="clear" w:color="auto" w:fill="D9D9D9" w:themeFill="background1" w:themeFillShade="D9"/>
            <w:vAlign w:val="center"/>
          </w:tcPr>
          <w:p w14:paraId="12A194E9" w14:textId="69EE3F4A" w:rsidR="00083A82" w:rsidRPr="00DC29E4" w:rsidRDefault="00083A82" w:rsidP="00083A82">
            <w:pPr>
              <w:jc w:val="center"/>
              <w:rPr>
                <w:rFonts w:cs="Arial"/>
                <w:sz w:val="20"/>
                <w:szCs w:val="20"/>
                <w:lang w:val="en-US"/>
              </w:rPr>
            </w:pPr>
            <w:r>
              <w:rPr>
                <w:rFonts w:cs="Arial"/>
                <w:sz w:val="20"/>
                <w:szCs w:val="20"/>
                <w:lang w:val="en-US"/>
              </w:rPr>
              <w:t>2020</w:t>
            </w:r>
          </w:p>
        </w:tc>
        <w:tc>
          <w:tcPr>
            <w:tcW w:w="3293" w:type="dxa"/>
            <w:shd w:val="clear" w:color="auto" w:fill="D9D9D9" w:themeFill="background1" w:themeFillShade="D9"/>
            <w:vAlign w:val="center"/>
          </w:tcPr>
          <w:p w14:paraId="667C3A1F" w14:textId="52EDFED3" w:rsidR="00083A82" w:rsidRPr="000E13C8" w:rsidRDefault="00083A82" w:rsidP="00083A82">
            <w:pPr>
              <w:suppressAutoHyphens w:val="0"/>
              <w:autoSpaceDE w:val="0"/>
              <w:autoSpaceDN w:val="0"/>
              <w:adjustRightInd w:val="0"/>
              <w:jc w:val="both"/>
              <w:rPr>
                <w:rFonts w:cs="Arial"/>
                <w:sz w:val="20"/>
                <w:szCs w:val="20"/>
                <w:lang w:val="en-US"/>
              </w:rPr>
            </w:pPr>
            <w:r w:rsidRPr="000E13C8">
              <w:rPr>
                <w:rFonts w:cs="Arial"/>
                <w:sz w:val="20"/>
                <w:szCs w:val="20"/>
                <w:lang w:val="en-US"/>
              </w:rPr>
              <w:t>Validation of the analytical method for the</w:t>
            </w:r>
            <w:r>
              <w:rPr>
                <w:rFonts w:cs="Arial"/>
                <w:sz w:val="20"/>
                <w:szCs w:val="20"/>
                <w:lang w:val="en-US"/>
              </w:rPr>
              <w:t xml:space="preserve"> </w:t>
            </w:r>
            <w:r w:rsidRPr="000E13C8">
              <w:rPr>
                <w:rFonts w:cs="Arial"/>
                <w:sz w:val="20"/>
                <w:szCs w:val="20"/>
                <w:lang w:val="en-US"/>
              </w:rPr>
              <w:t xml:space="preserve">determination of </w:t>
            </w:r>
            <w:r>
              <w:rPr>
                <w:rFonts w:cs="Arial"/>
                <w:sz w:val="20"/>
                <w:szCs w:val="20"/>
                <w:lang w:val="en-US"/>
              </w:rPr>
              <w:t xml:space="preserve">iodate </w:t>
            </w:r>
            <w:r w:rsidRPr="000E13C8">
              <w:rPr>
                <w:rFonts w:cs="Arial"/>
                <w:sz w:val="20"/>
                <w:szCs w:val="20"/>
                <w:lang w:val="en-US"/>
              </w:rPr>
              <w:t>in IODIGUARD</w:t>
            </w:r>
          </w:p>
          <w:p w14:paraId="5BDA5D2C" w14:textId="2BA1836E" w:rsidR="00083A82" w:rsidRPr="00DC29E4" w:rsidRDefault="00083A82" w:rsidP="00083A82">
            <w:pPr>
              <w:suppressAutoHyphens w:val="0"/>
              <w:autoSpaceDE w:val="0"/>
              <w:autoSpaceDN w:val="0"/>
              <w:adjustRightInd w:val="0"/>
              <w:rPr>
                <w:rFonts w:cs="Arial"/>
                <w:sz w:val="20"/>
                <w:szCs w:val="20"/>
                <w:lang w:val="en-US"/>
              </w:rPr>
            </w:pPr>
            <w:r w:rsidRPr="005813D3">
              <w:rPr>
                <w:rFonts w:cs="Arial"/>
                <w:sz w:val="20"/>
                <w:szCs w:val="20"/>
                <w:highlight w:val="yellow"/>
                <w:lang w:val="en-US"/>
              </w:rPr>
              <w:t>No. 20-912017-003</w:t>
            </w:r>
          </w:p>
        </w:tc>
        <w:tc>
          <w:tcPr>
            <w:tcW w:w="1427" w:type="dxa"/>
            <w:shd w:val="clear" w:color="auto" w:fill="D9D9D9" w:themeFill="background1" w:themeFillShade="D9"/>
            <w:vAlign w:val="center"/>
          </w:tcPr>
          <w:p w14:paraId="63355978" w14:textId="59280243" w:rsidR="00083A82" w:rsidRPr="00903F7C" w:rsidRDefault="00083A82" w:rsidP="00083A82">
            <w:pPr>
              <w:jc w:val="center"/>
              <w:rPr>
                <w:rFonts w:cs="Arial"/>
                <w:lang w:val="fr-FR"/>
              </w:rPr>
            </w:pPr>
            <w:r w:rsidRPr="00903F7C">
              <w:rPr>
                <w:rFonts w:cs="Arial"/>
                <w:sz w:val="20"/>
                <w:szCs w:val="20"/>
                <w:lang w:val="fr-FR"/>
              </w:rPr>
              <w:t>Y</w:t>
            </w:r>
          </w:p>
        </w:tc>
        <w:tc>
          <w:tcPr>
            <w:tcW w:w="1892" w:type="dxa"/>
            <w:shd w:val="clear" w:color="auto" w:fill="D9D9D9" w:themeFill="background1" w:themeFillShade="D9"/>
            <w:vAlign w:val="center"/>
          </w:tcPr>
          <w:p w14:paraId="10B62D6F" w14:textId="6EEBA55F" w:rsidR="00083A82" w:rsidRPr="0072604A" w:rsidRDefault="00083A82" w:rsidP="00083A82">
            <w:pPr>
              <w:jc w:val="center"/>
              <w:rPr>
                <w:rFonts w:cs="Arial"/>
                <w:highlight w:val="yellow"/>
                <w:lang w:val="fr-FR"/>
              </w:rPr>
            </w:pPr>
            <w:r w:rsidRPr="0072604A">
              <w:rPr>
                <w:rFonts w:cs="Arial"/>
                <w:sz w:val="20"/>
                <w:szCs w:val="20"/>
                <w:highlight w:val="yellow"/>
                <w:lang w:val="fr-FR"/>
              </w:rPr>
              <w:t>LABORATOIRE SOLUTIO</w:t>
            </w:r>
          </w:p>
        </w:tc>
      </w:tr>
    </w:tbl>
    <w:p w14:paraId="78B8F5AA" w14:textId="77777777" w:rsidR="009D0C0B" w:rsidRDefault="009D0C0B">
      <w:pPr>
        <w:rPr>
          <w:rFonts w:eastAsia="Calibri"/>
          <w:b/>
          <w:caps/>
          <w:sz w:val="28"/>
          <w:szCs w:val="28"/>
          <w:lang w:eastAsia="en-US"/>
        </w:rPr>
      </w:pPr>
    </w:p>
    <w:p w14:paraId="6AB566E1" w14:textId="77777777" w:rsidR="009D0C0B" w:rsidRDefault="00FA480B">
      <w:pPr>
        <w:pStyle w:val="Titre2"/>
        <w:rPr>
          <w:caps/>
          <w:sz w:val="28"/>
          <w:szCs w:val="28"/>
          <w:lang w:eastAsia="en-US"/>
        </w:rPr>
      </w:pPr>
      <w:bookmarkStart w:id="138" w:name="_Toc516669800"/>
      <w:r>
        <w:t>Output tables from exposure assessment tools</w:t>
      </w:r>
      <w:bookmarkEnd w:id="138"/>
    </w:p>
    <w:p w14:paraId="0EED45F5" w14:textId="74B27643" w:rsidR="00ED50F5" w:rsidRDefault="00CC431C" w:rsidP="00CC431C">
      <w:pPr>
        <w:suppressAutoHyphens w:val="0"/>
        <w:spacing w:before="100" w:beforeAutospacing="1" w:after="120"/>
        <w:rPr>
          <w:rFonts w:cs="Times New Roman"/>
          <w:color w:val="000000" w:themeColor="text1"/>
          <w:lang w:val="en-US" w:eastAsia="fr-FR"/>
        </w:rPr>
      </w:pPr>
      <w:r w:rsidRPr="00CC431C">
        <w:rPr>
          <w:rFonts w:cs="Times New Roman"/>
          <w:bCs/>
          <w:color w:val="000000" w:themeColor="text1"/>
          <w:lang w:val="en-US" w:eastAsia="fr-FR"/>
        </w:rPr>
        <w:t>Exposure assessment calculation files are not presented in this version of the annex.For access to the files, please contact directly the eCA (</w:t>
      </w:r>
      <w:hyperlink r:id="rId25" w:tgtFrame="_blank" w:tooltip="mailto:helpdesk-biocides@anses.fr" w:history="1">
        <w:r w:rsidRPr="00CC431C">
          <w:rPr>
            <w:rFonts w:cs="Times New Roman"/>
            <w:bCs/>
            <w:color w:val="000000" w:themeColor="text1"/>
            <w:u w:val="single"/>
            <w:lang w:val="en-US" w:eastAsia="fr-FR"/>
          </w:rPr>
          <w:t>helpdesk-biocides@anses.fr</w:t>
        </w:r>
      </w:hyperlink>
      <w:r w:rsidRPr="00CC431C">
        <w:rPr>
          <w:rFonts w:cs="Times New Roman"/>
          <w:bCs/>
          <w:color w:val="000000" w:themeColor="text1"/>
          <w:lang w:val="en-US" w:eastAsia="fr-FR"/>
        </w:rPr>
        <w:t>).</w:t>
      </w:r>
    </w:p>
    <w:p w14:paraId="7D6FE4CB" w14:textId="77777777" w:rsidR="00CC431C" w:rsidRPr="00CC431C" w:rsidRDefault="00CC431C" w:rsidP="00CC431C">
      <w:pPr>
        <w:suppressAutoHyphens w:val="0"/>
        <w:spacing w:before="100" w:beforeAutospacing="1" w:after="120"/>
        <w:rPr>
          <w:rFonts w:cs="Times New Roman"/>
          <w:color w:val="000000" w:themeColor="text1"/>
          <w:lang w:val="en-US" w:eastAsia="fr-FR"/>
        </w:rPr>
      </w:pPr>
    </w:p>
    <w:p w14:paraId="3FA184D9" w14:textId="77777777" w:rsidR="009D0C0B" w:rsidRDefault="00FA480B">
      <w:pPr>
        <w:pStyle w:val="Titre2"/>
        <w:rPr>
          <w:lang w:val="de-DE"/>
        </w:rPr>
      </w:pPr>
      <w:bookmarkStart w:id="139" w:name="_Toc516669801"/>
      <w:r>
        <w:rPr>
          <w:lang w:val="de-DE"/>
        </w:rPr>
        <w:t>Residue behaviour</w:t>
      </w:r>
      <w:bookmarkEnd w:id="139"/>
    </w:p>
    <w:p w14:paraId="32723F31" w14:textId="77777777" w:rsidR="008A2ABE" w:rsidRDefault="008A2ABE" w:rsidP="008A2ABE">
      <w:pPr>
        <w:pStyle w:val="Absatz"/>
        <w:rPr>
          <w:lang w:val="de-DE"/>
        </w:rPr>
      </w:pPr>
    </w:p>
    <w:p w14:paraId="63EF03C7" w14:textId="77777777" w:rsidR="003D6A06" w:rsidRPr="00A800C9" w:rsidRDefault="003D6A06" w:rsidP="003D6A06">
      <w:pPr>
        <w:jc w:val="both"/>
        <w:rPr>
          <w:rFonts w:cs="Helvetica"/>
          <w:lang w:val="en-US"/>
        </w:rPr>
      </w:pPr>
      <w:r w:rsidRPr="00A800C9">
        <w:rPr>
          <w:rFonts w:cs="Calibri"/>
          <w:lang w:val="en-US"/>
        </w:rPr>
        <w:t>Following the same approach as for the other iodine UA, which has been discussed at WG and BPC, the following</w:t>
      </w:r>
      <w:r w:rsidR="006F1C90" w:rsidRPr="00A800C9">
        <w:rPr>
          <w:rFonts w:cs="Calibri"/>
          <w:lang w:val="en-US"/>
        </w:rPr>
        <w:t>s have</w:t>
      </w:r>
      <w:r w:rsidRPr="00A800C9">
        <w:rPr>
          <w:rFonts w:cs="Calibri"/>
          <w:lang w:val="en-US"/>
        </w:rPr>
        <w:t xml:space="preserve"> been taken into consideration for the proposed</w:t>
      </w:r>
      <w:r w:rsidRPr="00A800C9">
        <w:rPr>
          <w:rFonts w:cs="Helvetica"/>
          <w:lang w:val="en-US"/>
        </w:rPr>
        <w:t xml:space="preserve"> decision on the authorisation of iodine teat disinfection products:</w:t>
      </w:r>
    </w:p>
    <w:p w14:paraId="6370E659" w14:textId="77777777" w:rsidR="003D6A06" w:rsidRPr="00A800C9" w:rsidRDefault="003D6A06" w:rsidP="003D6A06">
      <w:pPr>
        <w:autoSpaceDE w:val="0"/>
        <w:autoSpaceDN w:val="0"/>
        <w:adjustRightInd w:val="0"/>
        <w:jc w:val="both"/>
        <w:rPr>
          <w:rFonts w:cs="Helvetica"/>
          <w:lang w:val="en-US"/>
        </w:rPr>
      </w:pPr>
      <w:r w:rsidRPr="00A800C9">
        <w:rPr>
          <w:rFonts w:cs="Helvetica"/>
          <w:lang w:val="en-US"/>
        </w:rPr>
        <w:t xml:space="preserve">- The reference values for iodine of 600 µg/d for adults and 200 µg/d for children are not toxicological reference values but upper intake levels. These values have been derived with the aim of setting recommendations for intake and do not represent toxicological cut-off values for risk assessment. For trace elements like iodine, generally no toxicologically cut-off values are set. Therefore, it was agreed at Human Health Working Group II-2017 to use the upper intake levels as reference values. </w:t>
      </w:r>
      <w:r w:rsidRPr="00A800C9">
        <w:rPr>
          <w:lang w:val="en-US"/>
        </w:rPr>
        <w:t>It is further noted that WHO derived a value of 1000 µg/d for adults but no value for children was set. The limit values used in this assessment as insecure, as opposed to conservative. The UL for children is set by extrapolation from adults, which is not optimal considering the different hormonal status between adults and children. At the moment, it is not possible to obtain a better setting of the UL due to data gaps.</w:t>
      </w:r>
    </w:p>
    <w:p w14:paraId="7D41C43D" w14:textId="77777777" w:rsidR="003D6A06" w:rsidRPr="00A800C9" w:rsidRDefault="003D6A06" w:rsidP="003D6A06">
      <w:pPr>
        <w:autoSpaceDE w:val="0"/>
        <w:autoSpaceDN w:val="0"/>
        <w:adjustRightInd w:val="0"/>
        <w:jc w:val="both"/>
        <w:rPr>
          <w:rFonts w:cs="Helvetica"/>
          <w:lang w:val="en-US"/>
        </w:rPr>
      </w:pPr>
    </w:p>
    <w:p w14:paraId="5F12452E" w14:textId="77777777" w:rsidR="003D6A06" w:rsidRPr="00A800C9" w:rsidRDefault="003D6A06" w:rsidP="003D6A06">
      <w:pPr>
        <w:jc w:val="both"/>
        <w:rPr>
          <w:rFonts w:cs="Helvetica"/>
          <w:lang w:val="en-US"/>
        </w:rPr>
      </w:pPr>
      <w:r w:rsidRPr="00A800C9">
        <w:rPr>
          <w:rFonts w:cs="Helvetica"/>
          <w:lang w:val="en-US"/>
        </w:rPr>
        <w:t xml:space="preserve">- The estimated intakes are based on theoretical worst case levels of iodine in milk and were calculated based on a chronic exposure, which was considered to be the most appropriate based on how the UL was derived. Furthermore, it is noted that the SCF (from which the UL for adult and toddler are included in the CAR for iodine) also reports adapted UL values for older children. The estimated residue levels of iodine in milk are based on a worst case assessment and the data are based on short term consumption studies. </w:t>
      </w:r>
    </w:p>
    <w:p w14:paraId="5AF4DAA3" w14:textId="77777777" w:rsidR="003D6A06" w:rsidRPr="00A800C9" w:rsidRDefault="003D6A06" w:rsidP="003D6A06">
      <w:pPr>
        <w:jc w:val="both"/>
        <w:rPr>
          <w:rFonts w:cs="Helvetica"/>
          <w:lang w:val="en-US"/>
        </w:rPr>
      </w:pPr>
    </w:p>
    <w:p w14:paraId="7E7492C0" w14:textId="77777777" w:rsidR="003D6A06" w:rsidRPr="00A800C9" w:rsidRDefault="003D6A06" w:rsidP="003D6A06">
      <w:pPr>
        <w:autoSpaceDE w:val="0"/>
        <w:autoSpaceDN w:val="0"/>
        <w:adjustRightInd w:val="0"/>
        <w:jc w:val="both"/>
        <w:rPr>
          <w:rFonts w:cs="Helvetica"/>
          <w:lang w:val="en-US"/>
        </w:rPr>
      </w:pPr>
      <w:r w:rsidRPr="00A800C9">
        <w:rPr>
          <w:rFonts w:cs="Helvetica"/>
          <w:lang w:val="en-US"/>
        </w:rPr>
        <w:t>- Within Europe iodine deficiency is considered a major public health problem and iodine supplementation programs are ongoing nationally and internationally to improve the iodine intake and thereby to prevent consequences for public health, e.g. by the addition of iodine in food or salt (e.g. The Netherlands) or the advice to use iodine containing dietary supplements. Other EU countries (e.g. United Kingdom, Czech Republic) regulate adequate iodine intake through addition of iodine to cattle feed. It is recognised that both insufficient and excessive iodine intakes can cause diseases.</w:t>
      </w:r>
    </w:p>
    <w:p w14:paraId="592ED366" w14:textId="77777777" w:rsidR="003D6A06" w:rsidRPr="00A800C9" w:rsidRDefault="003D6A06" w:rsidP="003D6A06">
      <w:pPr>
        <w:autoSpaceDE w:val="0"/>
        <w:autoSpaceDN w:val="0"/>
        <w:adjustRightInd w:val="0"/>
        <w:jc w:val="both"/>
        <w:rPr>
          <w:rFonts w:cs="Helvetica"/>
          <w:lang w:val="en-US"/>
        </w:rPr>
      </w:pPr>
    </w:p>
    <w:p w14:paraId="7470CF6F" w14:textId="77777777" w:rsidR="003D6A06" w:rsidRPr="00A800C9" w:rsidRDefault="003D6A06" w:rsidP="003D6A06">
      <w:pPr>
        <w:autoSpaceDE w:val="0"/>
        <w:autoSpaceDN w:val="0"/>
        <w:adjustRightInd w:val="0"/>
        <w:jc w:val="both"/>
        <w:rPr>
          <w:rFonts w:cs="Helvetica"/>
          <w:lang w:val="en-US"/>
        </w:rPr>
      </w:pPr>
      <w:r w:rsidRPr="00A800C9">
        <w:rPr>
          <w:rFonts w:cs="Helvetica"/>
          <w:lang w:val="en-US"/>
        </w:rPr>
        <w:t>- The actual amount of iodine intake in the EU is highly variable and difficult to estimate, as levels of iodine intake depend on the geographical location, the soil, people’s diet, the season, farming practices, iodine fortification of feed for dairy animals, iodine supplementation programs and other factors. From iodine supplementation programs, monitoring data on iodine nutrition will become available and a clearer picture of the iodine status across Europe will emerge. It has been discussed in the CA-meeting whether the generation of additional data on residue levels from teat disinfection in milk should be requested from applicants for post-authorisation. However, in the September 2017 CA meeting it was agreed that such a requirement cannot be imposed to the applicants for product authorisation.</w:t>
      </w:r>
    </w:p>
    <w:p w14:paraId="26D2DE4C" w14:textId="77777777" w:rsidR="003D6A06" w:rsidRPr="00A800C9" w:rsidRDefault="003D6A06" w:rsidP="003D6A06">
      <w:pPr>
        <w:autoSpaceDE w:val="0"/>
        <w:autoSpaceDN w:val="0"/>
        <w:adjustRightInd w:val="0"/>
        <w:rPr>
          <w:rFonts w:cs="Helvetica"/>
          <w:lang w:val="en-US"/>
        </w:rPr>
      </w:pPr>
    </w:p>
    <w:p w14:paraId="02A6BE96" w14:textId="77777777" w:rsidR="003D6A06" w:rsidRPr="007374E9" w:rsidRDefault="003D6A06" w:rsidP="003D6A06">
      <w:pPr>
        <w:jc w:val="both"/>
        <w:rPr>
          <w:lang w:val="en-US"/>
        </w:rPr>
      </w:pPr>
      <w:r w:rsidRPr="00A800C9">
        <w:rPr>
          <w:lang w:val="en-US"/>
        </w:rPr>
        <w:t xml:space="preserve">It can be concluded that all available data have been provided to verify the outcome and conclusions, and permit authorisation of the biocidal product family. When using the products belonging to this biocidal product family according to the conditions as stated in the SPC, the products will be efficacious and will not present an unacceptable risk to human and animal health nor the environment. So it </w:t>
      </w:r>
      <w:r w:rsidR="006F1C90" w:rsidRPr="00A800C9">
        <w:rPr>
          <w:lang w:val="en-US"/>
        </w:rPr>
        <w:t xml:space="preserve">is </w:t>
      </w:r>
      <w:r w:rsidRPr="00A800C9">
        <w:rPr>
          <w:lang w:val="en-US"/>
        </w:rPr>
        <w:t xml:space="preserve">important to obtain more reliable information on iodine background levels in food items in the EU, and consequently to update the data supporting the current UL. Iodine exposure pathways that are not a consequence of biocidal use are outside the remit of the BPC. Where unacceptable risks are identified as a result of consideration of total dietary intake of iodine in addition to exposure arising from biocidal use, a risk management decision cannot be taken in isolation with respect to the biocides use only. It would be advisable that this issue is addressed at European level in order to ensure that all relevant regulatory bodies can be involved in agreeing a way forward. So for the background levels all sources of iodine, and not just those arising from teat treatments, would need to be taken into consideration. Therefore a wider approach </w:t>
      </w:r>
      <w:r w:rsidR="00D80A5F" w:rsidRPr="00A800C9">
        <w:rPr>
          <w:lang w:val="en-US"/>
        </w:rPr>
        <w:t>for</w:t>
      </w:r>
      <w:r w:rsidRPr="00A800C9">
        <w:rPr>
          <w:lang w:val="en-US"/>
        </w:rPr>
        <w:t xml:space="preserve"> the consumer risk assessments encompassing different regulatory areas would need to be considered.</w:t>
      </w:r>
    </w:p>
    <w:p w14:paraId="51EA4414" w14:textId="77777777" w:rsidR="003D6A06" w:rsidRPr="003D6A06" w:rsidRDefault="003D6A06" w:rsidP="008A2ABE">
      <w:pPr>
        <w:pStyle w:val="Absatz"/>
        <w:rPr>
          <w:lang w:val="en-US"/>
        </w:rPr>
      </w:pPr>
    </w:p>
    <w:p w14:paraId="234286F7" w14:textId="77777777" w:rsidR="003D6A06" w:rsidRPr="008A2ABE" w:rsidRDefault="003D6A06" w:rsidP="008A2ABE">
      <w:pPr>
        <w:pStyle w:val="Absatz"/>
        <w:rPr>
          <w:lang w:val="de-DE"/>
        </w:rPr>
      </w:pPr>
    </w:p>
    <w:p w14:paraId="4A407816" w14:textId="77777777" w:rsidR="008A2ABE" w:rsidRPr="008A2ABE" w:rsidRDefault="008A2ABE" w:rsidP="008A2ABE">
      <w:pPr>
        <w:pStyle w:val="Paragraphedeliste"/>
        <w:autoSpaceDE w:val="0"/>
        <w:autoSpaceDN w:val="0"/>
        <w:adjustRightInd w:val="0"/>
        <w:spacing w:after="120"/>
        <w:ind w:left="360"/>
        <w:jc w:val="both"/>
        <w:rPr>
          <w:b/>
        </w:rPr>
      </w:pPr>
      <w:r w:rsidRPr="008A2ABE">
        <w:rPr>
          <w:b/>
        </w:rPr>
        <w:t>References:</w:t>
      </w:r>
    </w:p>
    <w:p w14:paraId="264BD356" w14:textId="77777777" w:rsidR="008A2ABE" w:rsidRPr="00CD172B" w:rsidRDefault="008A2ABE" w:rsidP="008A2ABE">
      <w:pPr>
        <w:pStyle w:val="Paragraphedeliste"/>
        <w:numPr>
          <w:ilvl w:val="0"/>
          <w:numId w:val="19"/>
        </w:numPr>
        <w:suppressAutoHyphens w:val="0"/>
        <w:autoSpaceDE w:val="0"/>
        <w:autoSpaceDN w:val="0"/>
        <w:adjustRightInd w:val="0"/>
        <w:spacing w:after="120"/>
        <w:ind w:left="357" w:hanging="357"/>
        <w:jc w:val="both"/>
        <w:rPr>
          <w:lang w:eastAsia="en-GB"/>
        </w:rPr>
      </w:pPr>
      <w:r w:rsidRPr="00CD172B">
        <w:rPr>
          <w:lang w:eastAsia="en-GB"/>
        </w:rPr>
        <w:t>Sweden, Assessment report on Iodine (including PVP-iodine) under Regulation (EU) n°528/2012 concerning the making available on the market and use of biocidal products, product types 1, 3, 4, 22, SE, December 2013.</w:t>
      </w:r>
    </w:p>
    <w:p w14:paraId="45F760EF" w14:textId="77777777" w:rsidR="008A2ABE" w:rsidRPr="00CD172B" w:rsidRDefault="008A2ABE" w:rsidP="008A2ABE">
      <w:pPr>
        <w:pStyle w:val="Paragraphedeliste"/>
        <w:numPr>
          <w:ilvl w:val="0"/>
          <w:numId w:val="19"/>
        </w:numPr>
        <w:suppressAutoHyphens w:val="0"/>
        <w:spacing w:after="120"/>
        <w:ind w:left="357" w:hanging="357"/>
        <w:rPr>
          <w:lang w:val="fr-FR" w:eastAsia="en-GB"/>
        </w:rPr>
      </w:pPr>
      <w:r w:rsidRPr="00CD172B">
        <w:rPr>
          <w:lang w:val="fr-FR" w:eastAsia="en-GB"/>
        </w:rPr>
        <w:t>Etude Individuelle Nationale des Consommations Alimentaires - 2006-2007 : http://www.anses.fr/fr/glossaire/1205</w:t>
      </w:r>
      <w:r>
        <w:rPr>
          <w:lang w:val="fr-FR" w:eastAsia="en-GB"/>
        </w:rPr>
        <w:t>.</w:t>
      </w:r>
      <w:r w:rsidRPr="00CD172B">
        <w:rPr>
          <w:lang w:val="fr-FR" w:eastAsia="en-GB"/>
        </w:rPr>
        <w:t xml:space="preserve">  </w:t>
      </w:r>
    </w:p>
    <w:p w14:paraId="3E4E90BC" w14:textId="77777777" w:rsidR="008A2ABE" w:rsidRPr="00CD172B" w:rsidRDefault="008A2ABE" w:rsidP="008A2ABE">
      <w:pPr>
        <w:pStyle w:val="Paragraphedeliste"/>
        <w:numPr>
          <w:ilvl w:val="0"/>
          <w:numId w:val="19"/>
        </w:numPr>
        <w:suppressAutoHyphens w:val="0"/>
        <w:autoSpaceDE w:val="0"/>
        <w:autoSpaceDN w:val="0"/>
        <w:adjustRightInd w:val="0"/>
        <w:spacing w:after="120"/>
        <w:jc w:val="both"/>
        <w:rPr>
          <w:lang w:eastAsia="en-GB"/>
        </w:rPr>
      </w:pPr>
      <w:r w:rsidRPr="00CD172B">
        <w:rPr>
          <w:lang w:eastAsia="en-GB"/>
        </w:rPr>
        <w:t xml:space="preserve">ECHA Note, </w:t>
      </w:r>
      <w:proofErr w:type="gramStart"/>
      <w:r w:rsidRPr="00CD172B">
        <w:rPr>
          <w:lang w:eastAsia="en-GB"/>
        </w:rPr>
        <w:t>december</w:t>
      </w:r>
      <w:proofErr w:type="gramEnd"/>
      <w:r w:rsidRPr="00CD172B">
        <w:rPr>
          <w:lang w:eastAsia="en-GB"/>
        </w:rPr>
        <w:t xml:space="preserve"> 2016: Union authorisation applications for iodine/PVP iodine (PT3): follow-up of the proposal for assessing animal health and consumer exposure to iodine through milk</w:t>
      </w:r>
      <w:r>
        <w:rPr>
          <w:lang w:eastAsia="en-GB"/>
        </w:rPr>
        <w:t>.</w:t>
      </w:r>
      <w:r w:rsidRPr="00CD172B">
        <w:rPr>
          <w:lang w:eastAsia="en-GB"/>
        </w:rPr>
        <w:t xml:space="preserve"> </w:t>
      </w:r>
    </w:p>
    <w:p w14:paraId="671342F4" w14:textId="77777777" w:rsidR="008A2ABE" w:rsidRPr="00CD172B" w:rsidRDefault="008A2ABE" w:rsidP="008A2ABE">
      <w:pPr>
        <w:pStyle w:val="Paragraphedeliste"/>
        <w:numPr>
          <w:ilvl w:val="0"/>
          <w:numId w:val="19"/>
        </w:numPr>
        <w:suppressAutoHyphens w:val="0"/>
        <w:autoSpaceDE w:val="0"/>
        <w:autoSpaceDN w:val="0"/>
        <w:adjustRightInd w:val="0"/>
        <w:spacing w:after="120"/>
        <w:jc w:val="both"/>
        <w:rPr>
          <w:lang w:eastAsia="en-GB"/>
        </w:rPr>
      </w:pPr>
      <w:r w:rsidRPr="00CD172B">
        <w:rPr>
          <w:lang w:eastAsia="en-GB"/>
        </w:rPr>
        <w:t>Committee for Veterinary Medicinal Products – Iodine – Summary Report (1996).</w:t>
      </w:r>
    </w:p>
    <w:p w14:paraId="68FC6F7E" w14:textId="77777777" w:rsidR="008A2ABE" w:rsidRPr="00CD172B" w:rsidRDefault="008A2ABE" w:rsidP="008A2ABE">
      <w:pPr>
        <w:pStyle w:val="Paragraphedeliste"/>
        <w:widowControl w:val="0"/>
        <w:numPr>
          <w:ilvl w:val="0"/>
          <w:numId w:val="19"/>
        </w:numPr>
        <w:suppressAutoHyphens w:val="0"/>
        <w:spacing w:after="120"/>
        <w:ind w:left="357" w:hanging="357"/>
        <w:jc w:val="both"/>
      </w:pPr>
      <w:r w:rsidRPr="00CD172B">
        <w:t>EFSA (European Food Safety Authority), 2013. Scientific Opinion on the safety and efficacy of iodine compounds (E2) as feed additives for all species: calcium iodate anhydrous and potassium iodide, based on a dossier submitted by HELM AG, EFSA Panel on Additives and Products or Substances used in Animal Feed (FEEDAP). The EFSA Journal, 11(2), 3101.</w:t>
      </w:r>
    </w:p>
    <w:p w14:paraId="374E2158" w14:textId="77777777" w:rsidR="008A2ABE" w:rsidRPr="00CD172B" w:rsidRDefault="008A2ABE" w:rsidP="008A2ABE">
      <w:pPr>
        <w:pStyle w:val="Paragraphedeliste"/>
        <w:widowControl w:val="0"/>
        <w:numPr>
          <w:ilvl w:val="0"/>
          <w:numId w:val="19"/>
        </w:numPr>
        <w:suppressAutoHyphens w:val="0"/>
        <w:spacing w:after="120"/>
        <w:ind w:left="357" w:hanging="357"/>
        <w:jc w:val="both"/>
      </w:pPr>
      <w:r w:rsidRPr="00CD172B">
        <w:t xml:space="preserve">EFSA (European Food Safety Authority), 2013. Scientific opinion on the safety and efficacy of iodine compounds (E2) as feed additives for all animal species: calcium iodate anhydrous and potassium iodide, based on a dossier submitted by Ajay Europe SARL, EFSA Panel on Additives and Products or Substances used in Animal Feed (FEEDAP). EFSA </w:t>
      </w:r>
      <w:proofErr w:type="gramStart"/>
      <w:r w:rsidRPr="00CD172B">
        <w:t>Journal11(</w:t>
      </w:r>
      <w:proofErr w:type="gramEnd"/>
      <w:r w:rsidRPr="00CD172B">
        <w:t>2):3099.</w:t>
      </w:r>
    </w:p>
    <w:p w14:paraId="4B620E60" w14:textId="77777777" w:rsidR="008A2ABE" w:rsidRPr="00CD172B" w:rsidRDefault="008A2ABE" w:rsidP="008A2ABE">
      <w:pPr>
        <w:pStyle w:val="Paragraphedeliste"/>
        <w:widowControl w:val="0"/>
        <w:numPr>
          <w:ilvl w:val="0"/>
          <w:numId w:val="19"/>
        </w:numPr>
        <w:suppressAutoHyphens w:val="0"/>
        <w:spacing w:after="120"/>
        <w:ind w:left="357" w:hanging="357"/>
        <w:jc w:val="both"/>
      </w:pPr>
      <w:r w:rsidRPr="00CD172B">
        <w:t>European Commission, HEEG opinion, Default human factor values for use in exposure assessments for biocidal products, 2013.</w:t>
      </w:r>
    </w:p>
    <w:p w14:paraId="0BCE57D0" w14:textId="77777777" w:rsidR="008A2ABE" w:rsidRPr="006B6FCC" w:rsidRDefault="008A2ABE" w:rsidP="008A2ABE">
      <w:pPr>
        <w:pStyle w:val="Paragraphedeliste"/>
        <w:widowControl w:val="0"/>
        <w:numPr>
          <w:ilvl w:val="0"/>
          <w:numId w:val="19"/>
        </w:numPr>
        <w:suppressAutoHyphens w:val="0"/>
        <w:spacing w:after="120"/>
        <w:contextualSpacing/>
        <w:jc w:val="both"/>
        <w:rPr>
          <w:rStyle w:val="fc2"/>
        </w:rPr>
      </w:pPr>
      <w:r w:rsidRPr="00CD172B">
        <w:t xml:space="preserve">EFSA (European Food Safety Authority), use of the EFSA comprehensive European food consumption database in exposure assessment, March 2011. </w:t>
      </w:r>
      <w:r w:rsidRPr="00CD172B">
        <w:rPr>
          <w:rStyle w:val="current-selection"/>
        </w:rPr>
        <w:t>EFSA Journal 20</w:t>
      </w:r>
      <w:r w:rsidRPr="00CD172B">
        <w:rPr>
          <w:rStyle w:val="ls1"/>
        </w:rPr>
        <w:t>11</w:t>
      </w:r>
      <w:proofErr w:type="gramStart"/>
      <w:r w:rsidRPr="00CD172B">
        <w:rPr>
          <w:rStyle w:val="current-selection"/>
        </w:rPr>
        <w:t>;9</w:t>
      </w:r>
      <w:proofErr w:type="gramEnd"/>
      <w:r w:rsidRPr="00CD172B">
        <w:rPr>
          <w:rStyle w:val="current-selection"/>
        </w:rPr>
        <w:t>(3</w:t>
      </w:r>
      <w:r w:rsidRPr="00CD172B">
        <w:rPr>
          <w:rStyle w:val="ls2"/>
        </w:rPr>
        <w:t>):</w:t>
      </w:r>
      <w:r w:rsidRPr="00CD172B">
        <w:rPr>
          <w:rStyle w:val="current-selection"/>
        </w:rPr>
        <w:t>20</w:t>
      </w:r>
      <w:r w:rsidRPr="00CD172B">
        <w:rPr>
          <w:rStyle w:val="fc2"/>
        </w:rPr>
        <w:t>97.</w:t>
      </w:r>
    </w:p>
    <w:p w14:paraId="060B7F5D" w14:textId="77777777" w:rsidR="008A2ABE" w:rsidRPr="006B6FCC" w:rsidRDefault="008A2ABE" w:rsidP="008A2ABE">
      <w:pPr>
        <w:widowControl w:val="0"/>
        <w:numPr>
          <w:ilvl w:val="0"/>
          <w:numId w:val="19"/>
        </w:numPr>
        <w:suppressAutoHyphens w:val="0"/>
        <w:spacing w:after="120"/>
        <w:contextualSpacing/>
        <w:jc w:val="both"/>
      </w:pPr>
      <w:r w:rsidRPr="00CD172B">
        <w:t>EFSA ((European Food Safety Authority), Reasone</w:t>
      </w:r>
      <w:r>
        <w:t>d</w:t>
      </w:r>
      <w:r w:rsidRPr="00CD172B">
        <w:t xml:space="preserve"> opinion on the potential chronic and acute risk to consumers health arising from proposed temporary EU MRLs, March 2007.</w:t>
      </w:r>
    </w:p>
    <w:p w14:paraId="0221BA20" w14:textId="77777777" w:rsidR="008A2ABE" w:rsidRPr="00CD172B" w:rsidRDefault="008A2ABE" w:rsidP="008A2ABE">
      <w:pPr>
        <w:pStyle w:val="Paragraphedeliste"/>
        <w:widowControl w:val="0"/>
        <w:numPr>
          <w:ilvl w:val="0"/>
          <w:numId w:val="19"/>
        </w:numPr>
        <w:suppressAutoHyphens w:val="0"/>
        <w:spacing w:after="120"/>
        <w:ind w:left="357" w:hanging="357"/>
        <w:jc w:val="both"/>
      </w:pPr>
      <w:r w:rsidRPr="00CD172B">
        <w:t>EFSA (European Food Safety Authority), 2014. Scientific Opinion on Dietary Reference Values for iodine. Panel on Dietetic Products, Nutrition and Allergies (NDA). The EFSA Journal 2014</w:t>
      </w:r>
      <w:proofErr w:type="gramStart"/>
      <w:r w:rsidRPr="00CD172B">
        <w:t>;12</w:t>
      </w:r>
      <w:proofErr w:type="gramEnd"/>
      <w:r w:rsidRPr="00CD172B">
        <w:t>(5):3660.</w:t>
      </w:r>
    </w:p>
    <w:p w14:paraId="62EE1EF6" w14:textId="77777777" w:rsidR="008A2ABE" w:rsidRPr="00CD172B" w:rsidRDefault="008A2ABE" w:rsidP="008A2ABE">
      <w:pPr>
        <w:pStyle w:val="Corpsdetexte"/>
        <w:widowControl w:val="0"/>
        <w:numPr>
          <w:ilvl w:val="0"/>
          <w:numId w:val="19"/>
        </w:numPr>
        <w:suppressAutoHyphens w:val="0"/>
        <w:spacing w:after="120"/>
        <w:jc w:val="both"/>
      </w:pPr>
      <w:r w:rsidRPr="00CD172B">
        <w:t>Flachowsky G. 2007 iodine in animal nutrition and iodine transfer from feed into food of animal orifin. Lohmann information Vol 42(2), Oct 2007, page 47.</w:t>
      </w:r>
    </w:p>
    <w:p w14:paraId="6426AC31" w14:textId="77777777" w:rsidR="008A2ABE" w:rsidRPr="00CD172B" w:rsidRDefault="008A2ABE" w:rsidP="008A2ABE">
      <w:pPr>
        <w:pStyle w:val="Corpsdetexte"/>
        <w:widowControl w:val="0"/>
        <w:numPr>
          <w:ilvl w:val="0"/>
          <w:numId w:val="19"/>
        </w:numPr>
        <w:suppressAutoHyphens w:val="0"/>
        <w:spacing w:after="120"/>
        <w:jc w:val="both"/>
      </w:pPr>
      <w:r w:rsidRPr="00CD172B">
        <w:t xml:space="preserve">Hemling TC. 2002, Teat condition prevention and cure through teat dips. Proceedings of the British Mastitis Conference (2002) Brockworth, p 1-14 Institute for Animal Health/Milk Development Council. </w:t>
      </w:r>
      <w:r w:rsidRPr="00CD172B">
        <w:rPr>
          <w:lang w:eastAsia="en-GB"/>
        </w:rPr>
        <w:t xml:space="preserve">Iodine CAR, available on S-CIRCABC at </w:t>
      </w:r>
      <w:hyperlink r:id="rId26" w:history="1">
        <w:r w:rsidRPr="00CD172B">
          <w:rPr>
            <w:rStyle w:val="Lienhypertexte"/>
            <w:lang w:eastAsia="en-GB"/>
          </w:rPr>
          <w:t>https://webgate.ec.europa.eu/echa-scircabc/w/browse/4c8d9091-caf3-493d-9f81-0464337f8d4f</w:t>
        </w:r>
      </w:hyperlink>
      <w:r w:rsidRPr="00CD172B">
        <w:rPr>
          <w:lang w:eastAsia="en-GB"/>
        </w:rPr>
        <w:t>.</w:t>
      </w:r>
      <w:r w:rsidRPr="00CD172B">
        <w:t xml:space="preserve"> </w:t>
      </w:r>
    </w:p>
    <w:p w14:paraId="3AA8C910" w14:textId="77777777" w:rsidR="008A2ABE" w:rsidRPr="00CD172B" w:rsidRDefault="008A2ABE" w:rsidP="008A2ABE">
      <w:pPr>
        <w:pStyle w:val="Paragraphedeliste"/>
        <w:numPr>
          <w:ilvl w:val="0"/>
          <w:numId w:val="19"/>
        </w:numPr>
        <w:suppressAutoHyphens w:val="0"/>
        <w:autoSpaceDE w:val="0"/>
        <w:autoSpaceDN w:val="0"/>
        <w:adjustRightInd w:val="0"/>
        <w:spacing w:after="120"/>
        <w:jc w:val="both"/>
      </w:pPr>
      <w:r w:rsidRPr="00CD172B">
        <w:t>Opinion on the Scientific Committee on Food on the Tolerable Upper Intake Level of Iodine (2002), SCF/CS/NUT/UPPLEV/26 Final.</w:t>
      </w:r>
    </w:p>
    <w:p w14:paraId="78364EEA" w14:textId="77777777" w:rsidR="008A2ABE" w:rsidRPr="00CD172B" w:rsidRDefault="008A2ABE" w:rsidP="008A2ABE">
      <w:pPr>
        <w:pStyle w:val="Paragraphedeliste"/>
        <w:numPr>
          <w:ilvl w:val="0"/>
          <w:numId w:val="19"/>
        </w:numPr>
        <w:suppressAutoHyphens w:val="0"/>
        <w:autoSpaceDE w:val="0"/>
        <w:autoSpaceDN w:val="0"/>
        <w:adjustRightInd w:val="0"/>
        <w:spacing w:after="120"/>
        <w:jc w:val="both"/>
      </w:pPr>
      <w:r w:rsidRPr="00CD172B">
        <w:t>WHO/UNICEF (World Health Organization/United Nations Children's Fund), 2007. Iodine deficiency in Europe. A continuing public health problem.</w:t>
      </w:r>
    </w:p>
    <w:p w14:paraId="567E5A9F" w14:textId="77777777" w:rsidR="008A2ABE" w:rsidRPr="00EA386E" w:rsidRDefault="008A2ABE" w:rsidP="008A2ABE">
      <w:pPr>
        <w:pStyle w:val="Paragraphedeliste"/>
        <w:numPr>
          <w:ilvl w:val="0"/>
          <w:numId w:val="19"/>
        </w:numPr>
        <w:suppressAutoHyphens w:val="0"/>
        <w:autoSpaceDE w:val="0"/>
        <w:autoSpaceDN w:val="0"/>
        <w:adjustRightInd w:val="0"/>
        <w:spacing w:after="120"/>
        <w:jc w:val="both"/>
      </w:pPr>
      <w:r w:rsidRPr="00EA386E">
        <w:t xml:space="preserve">WHO/UNICEF (World Health Organization/United Nations Children's Fund), 2009. Iodine and inorganic iodides: Human health aspects, </w:t>
      </w:r>
      <w:proofErr w:type="gramStart"/>
      <w:r w:rsidRPr="00EA386E">
        <w:t>Concise</w:t>
      </w:r>
      <w:proofErr w:type="gramEnd"/>
      <w:r w:rsidRPr="00EA386E">
        <w:t xml:space="preserve"> international chemical assessment document 72.</w:t>
      </w:r>
    </w:p>
    <w:p w14:paraId="48676A17" w14:textId="77777777" w:rsidR="008A2ABE" w:rsidRPr="00EA386E" w:rsidRDefault="008A2ABE" w:rsidP="008A2ABE">
      <w:pPr>
        <w:pStyle w:val="Paragraphedeliste"/>
        <w:numPr>
          <w:ilvl w:val="0"/>
          <w:numId w:val="19"/>
        </w:numPr>
        <w:suppressAutoHyphens w:val="0"/>
        <w:autoSpaceDE w:val="0"/>
        <w:autoSpaceDN w:val="0"/>
        <w:adjustRightInd w:val="0"/>
        <w:spacing w:after="120"/>
        <w:jc w:val="both"/>
      </w:pPr>
      <w:r w:rsidRPr="00EA386E">
        <w:t>US Department of Health and Human Services (US HHS), 2014: Toxicological profile for Iodine, US Department of Health and Human Services (2004)</w:t>
      </w:r>
    </w:p>
    <w:p w14:paraId="425DD683" w14:textId="77777777" w:rsidR="008A2ABE" w:rsidRPr="00EA386E" w:rsidRDefault="008A2ABE" w:rsidP="008A2ABE">
      <w:pPr>
        <w:pStyle w:val="Paragraphedeliste"/>
        <w:autoSpaceDE w:val="0"/>
        <w:autoSpaceDN w:val="0"/>
        <w:adjustRightInd w:val="0"/>
        <w:spacing w:after="120"/>
        <w:ind w:left="360"/>
        <w:jc w:val="both"/>
      </w:pPr>
    </w:p>
    <w:p w14:paraId="24FB377C" w14:textId="77777777" w:rsidR="008A2ABE" w:rsidRPr="00C15F80" w:rsidRDefault="008A2ABE" w:rsidP="008A2ABE">
      <w:pPr>
        <w:pStyle w:val="Paragraphedeliste"/>
        <w:autoSpaceDE w:val="0"/>
        <w:autoSpaceDN w:val="0"/>
        <w:adjustRightInd w:val="0"/>
        <w:spacing w:after="120"/>
        <w:ind w:left="360"/>
        <w:jc w:val="both"/>
        <w:rPr>
          <w:b/>
        </w:rPr>
      </w:pPr>
      <w:r w:rsidRPr="00C15F80">
        <w:rPr>
          <w:b/>
        </w:rPr>
        <w:t>Regulation and Guidance documents:</w:t>
      </w:r>
    </w:p>
    <w:p w14:paraId="548C45FF" w14:textId="77777777" w:rsidR="008A2ABE" w:rsidRPr="00CD172B" w:rsidRDefault="008A2ABE" w:rsidP="008A2ABE">
      <w:pPr>
        <w:pStyle w:val="Paragraphedeliste"/>
        <w:numPr>
          <w:ilvl w:val="0"/>
          <w:numId w:val="19"/>
        </w:numPr>
        <w:suppressAutoHyphens w:val="0"/>
        <w:autoSpaceDE w:val="0"/>
        <w:autoSpaceDN w:val="0"/>
        <w:adjustRightInd w:val="0"/>
        <w:spacing w:after="120"/>
        <w:jc w:val="both"/>
        <w:rPr>
          <w:lang w:eastAsia="en-GB"/>
        </w:rPr>
      </w:pPr>
      <w:r w:rsidRPr="00CD172B">
        <w:rPr>
          <w:lang w:eastAsia="en-GB"/>
        </w:rPr>
        <w:t>Council Regulation (EEC) No. 2377/90 of 26 June 1990 laying down a Community procedure for the establishment of maximum residue limits of veterinary medicinal products in foodstuffs of animal origin. Official Journal of the European Communities, No L 224/1.</w:t>
      </w:r>
    </w:p>
    <w:p w14:paraId="24661916" w14:textId="77777777" w:rsidR="008A2ABE" w:rsidRPr="00CD172B" w:rsidRDefault="008A2ABE" w:rsidP="008A2ABE">
      <w:pPr>
        <w:pStyle w:val="Paragraphedeliste"/>
        <w:numPr>
          <w:ilvl w:val="0"/>
          <w:numId w:val="19"/>
        </w:numPr>
        <w:suppressAutoHyphens w:val="0"/>
        <w:autoSpaceDE w:val="0"/>
        <w:autoSpaceDN w:val="0"/>
        <w:adjustRightInd w:val="0"/>
        <w:spacing w:after="120"/>
        <w:jc w:val="both"/>
        <w:rPr>
          <w:lang w:eastAsia="en-GB"/>
        </w:rPr>
      </w:pPr>
      <w:r w:rsidRPr="00CD172B">
        <w:rPr>
          <w:lang w:eastAsia="en-GB"/>
        </w:rPr>
        <w:t>Commission Regulation (EU) No 37/2010 of 22 December 2009 on pharmacologically active substances and their classification regarding maximum residue limits in foodstuffs of animal origin. Official Journal of the European Union, L 15/1.</w:t>
      </w:r>
    </w:p>
    <w:p w14:paraId="7BDD2579" w14:textId="77777777" w:rsidR="008A2ABE" w:rsidRPr="00CD172B" w:rsidRDefault="008A2ABE" w:rsidP="008A2ABE">
      <w:pPr>
        <w:pStyle w:val="Paragraphedeliste"/>
        <w:widowControl w:val="0"/>
        <w:numPr>
          <w:ilvl w:val="0"/>
          <w:numId w:val="19"/>
        </w:numPr>
        <w:suppressAutoHyphens w:val="0"/>
        <w:spacing w:after="120"/>
        <w:ind w:left="357" w:hanging="357"/>
        <w:jc w:val="both"/>
      </w:pPr>
      <w:r w:rsidRPr="00CD172B">
        <w:t>EFSA (European Food Safety Authority), 2012. Guidance on Dermal Absorption. EFSA Panel on Plant Protection Products and their Residues (PPR)</w:t>
      </w:r>
      <w:r>
        <w:t>.</w:t>
      </w:r>
    </w:p>
    <w:p w14:paraId="6DF393E8" w14:textId="77777777" w:rsidR="008A2ABE" w:rsidRPr="00CD172B" w:rsidRDefault="008A2ABE" w:rsidP="008A2ABE">
      <w:pPr>
        <w:pStyle w:val="Paragraphedeliste"/>
        <w:numPr>
          <w:ilvl w:val="0"/>
          <w:numId w:val="19"/>
        </w:numPr>
        <w:suppressAutoHyphens w:val="0"/>
        <w:autoSpaceDE w:val="0"/>
        <w:autoSpaceDN w:val="0"/>
        <w:adjustRightInd w:val="0"/>
        <w:spacing w:after="120"/>
        <w:jc w:val="both"/>
      </w:pPr>
      <w:r w:rsidRPr="00CD172B">
        <w:rPr>
          <w:bCs/>
        </w:rPr>
        <w:t>ARTFood</w:t>
      </w:r>
      <w:r w:rsidRPr="00CD172B">
        <w:t>/DRAWG</w:t>
      </w:r>
      <w:r w:rsidRPr="00CD172B">
        <w:rPr>
          <w:bCs/>
        </w:rPr>
        <w:t xml:space="preserve"> (2016), draft Guidance on Estimating Livestock Exposure to Active Substances used in Biocidal Products – Teat dip scenario (ongoing guidance)</w:t>
      </w:r>
      <w:r>
        <w:rPr>
          <w:bCs/>
        </w:rPr>
        <w:t>.</w:t>
      </w:r>
    </w:p>
    <w:p w14:paraId="347E1C59" w14:textId="77777777" w:rsidR="008A2ABE" w:rsidRPr="000E3048" w:rsidRDefault="008A2ABE" w:rsidP="008A2ABE">
      <w:pPr>
        <w:pStyle w:val="Paragraphedeliste"/>
        <w:numPr>
          <w:ilvl w:val="0"/>
          <w:numId w:val="19"/>
        </w:numPr>
        <w:suppressAutoHyphens w:val="0"/>
        <w:autoSpaceDE w:val="0"/>
        <w:autoSpaceDN w:val="0"/>
        <w:adjustRightInd w:val="0"/>
        <w:spacing w:after="120"/>
        <w:jc w:val="both"/>
        <w:rPr>
          <w:bCs/>
        </w:rPr>
      </w:pPr>
      <w:r w:rsidRPr="000E3048">
        <w:rPr>
          <w:bCs/>
        </w:rPr>
        <w:t>EMEA/CVMP/187/00-FINAL, note for guidance on the risk analysis approach for residues of veterinary medicinal products in food of animal origin, 2001</w:t>
      </w:r>
      <w:r>
        <w:rPr>
          <w:bCs/>
        </w:rPr>
        <w:t>.</w:t>
      </w:r>
    </w:p>
    <w:p w14:paraId="65125FEA" w14:textId="77777777" w:rsidR="009D0C0B" w:rsidRPr="008A2ABE" w:rsidRDefault="009D0C0B">
      <w:pPr>
        <w:rPr>
          <w:rFonts w:eastAsia="Calibri"/>
          <w:b/>
          <w:caps/>
          <w:sz w:val="28"/>
          <w:szCs w:val="28"/>
          <w:lang w:val="en-US" w:eastAsia="en-US"/>
        </w:rPr>
      </w:pPr>
    </w:p>
    <w:p w14:paraId="0CF68F32" w14:textId="77777777" w:rsidR="009D0C0B" w:rsidRDefault="00FA480B">
      <w:pPr>
        <w:pStyle w:val="Titre2"/>
        <w:rPr>
          <w:caps/>
          <w:sz w:val="28"/>
          <w:szCs w:val="28"/>
          <w:lang w:eastAsia="en-US"/>
        </w:rPr>
      </w:pPr>
      <w:bookmarkStart w:id="140" w:name="_Toc516669802"/>
      <w:r>
        <w:t>Summaries of the efficacy studies</w:t>
      </w:r>
      <w:bookmarkEnd w:id="140"/>
      <w:r>
        <w:t xml:space="preserve"> </w:t>
      </w:r>
    </w:p>
    <w:p w14:paraId="69E015F4" w14:textId="77777777" w:rsidR="002A0438" w:rsidRPr="008A6721" w:rsidRDefault="002A0438" w:rsidP="00F96DFE">
      <w:pPr>
        <w:rPr>
          <w:b/>
          <w:lang w:val="en-US" w:eastAsia="sv-SE"/>
        </w:rPr>
      </w:pPr>
      <w:r w:rsidRPr="008A6721">
        <w:rPr>
          <w:lang w:val="en-US" w:eastAsia="sv-SE"/>
        </w:rPr>
        <w:t>See IUCLID files</w:t>
      </w:r>
    </w:p>
    <w:p w14:paraId="54B71299" w14:textId="77777777" w:rsidR="009D0C0B" w:rsidRDefault="009D0C0B">
      <w:pPr>
        <w:rPr>
          <w:lang w:val="de-DE"/>
        </w:rPr>
      </w:pPr>
    </w:p>
    <w:p w14:paraId="0E515313" w14:textId="77777777" w:rsidR="009D0C0B" w:rsidRDefault="009D0C0B" w:rsidP="008A2ABE">
      <w:pPr>
        <w:pStyle w:val="Default"/>
        <w:spacing w:before="360"/>
      </w:pPr>
    </w:p>
    <w:sectPr w:rsidR="009D0C0B" w:rsidSect="00170391">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55318" w14:textId="77777777" w:rsidR="00E60A35" w:rsidRDefault="00E60A35">
      <w:r>
        <w:separator/>
      </w:r>
    </w:p>
  </w:endnote>
  <w:endnote w:type="continuationSeparator" w:id="0">
    <w:p w14:paraId="72EE2A8C" w14:textId="77777777" w:rsidR="00E60A35" w:rsidRDefault="00E6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7574" w14:textId="0752B8C8" w:rsidR="00E60A35" w:rsidRPr="003104F3" w:rsidRDefault="00E60A35">
    <w:pPr>
      <w:pStyle w:val="Pieddepage"/>
      <w:jc w:val="right"/>
      <w:rPr>
        <w:rFonts w:ascii="Verdana" w:hAnsi="Verdana" w:cs="Verdana"/>
        <w:sz w:val="18"/>
      </w:rPr>
    </w:pPr>
    <w:r w:rsidRPr="00631D8F">
      <w:rPr>
        <w:rFonts w:ascii="Verdana" w:hAnsi="Verdana" w:cs="Verdana"/>
        <w:sz w:val="18"/>
      </w:rPr>
      <w:fldChar w:fldCharType="begin"/>
    </w:r>
    <w:r w:rsidRPr="00631D8F">
      <w:rPr>
        <w:rFonts w:ascii="Verdana" w:hAnsi="Verdana" w:cs="Verdana"/>
        <w:sz w:val="18"/>
      </w:rPr>
      <w:instrText xml:space="preserve"> PAGE </w:instrText>
    </w:r>
    <w:r w:rsidRPr="00631D8F">
      <w:rPr>
        <w:rFonts w:ascii="Verdana" w:hAnsi="Verdana" w:cs="Verdana"/>
        <w:sz w:val="18"/>
      </w:rPr>
      <w:fldChar w:fldCharType="separate"/>
    </w:r>
    <w:r w:rsidR="005E1E28">
      <w:rPr>
        <w:rFonts w:ascii="Verdana" w:hAnsi="Verdana" w:cs="Verdana"/>
        <w:noProof/>
        <w:sz w:val="18"/>
      </w:rPr>
      <w:t>9</w:t>
    </w:r>
    <w:r w:rsidRPr="00631D8F">
      <w:rPr>
        <w:rFonts w:ascii="Verdana" w:hAnsi="Verdana" w:cs="Verdana"/>
        <w:sz w:val="18"/>
      </w:rPr>
      <w:fldChar w:fldCharType="end"/>
    </w:r>
  </w:p>
  <w:p w14:paraId="2E62DF4C" w14:textId="77777777" w:rsidR="00E60A35" w:rsidRDefault="00E60A35">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1814" w14:textId="77777777" w:rsidR="00E60A35" w:rsidRDefault="00E60A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CFCD" w14:textId="20C3FE09" w:rsidR="00E60A35" w:rsidRPr="00E224C1" w:rsidRDefault="00E60A35">
    <w:pPr>
      <w:pStyle w:val="Pieddepage"/>
      <w:jc w:val="right"/>
      <w:rPr>
        <w:rFonts w:ascii="Verdana" w:hAnsi="Verdana" w:cs="Verdana"/>
        <w:sz w:val="18"/>
      </w:rPr>
    </w:pPr>
    <w:r w:rsidRPr="00E224C1">
      <w:rPr>
        <w:rFonts w:ascii="Verdana" w:hAnsi="Verdana" w:cs="Verdana"/>
        <w:sz w:val="18"/>
      </w:rPr>
      <w:fldChar w:fldCharType="begin"/>
    </w:r>
    <w:r w:rsidRPr="00E224C1">
      <w:rPr>
        <w:rFonts w:ascii="Verdana" w:hAnsi="Verdana" w:cs="Verdana"/>
        <w:sz w:val="18"/>
      </w:rPr>
      <w:instrText xml:space="preserve"> PAGE </w:instrText>
    </w:r>
    <w:r w:rsidRPr="00E224C1">
      <w:rPr>
        <w:rFonts w:ascii="Verdana" w:hAnsi="Verdana" w:cs="Verdana"/>
        <w:sz w:val="18"/>
      </w:rPr>
      <w:fldChar w:fldCharType="separate"/>
    </w:r>
    <w:r w:rsidR="005E1E28">
      <w:rPr>
        <w:rFonts w:ascii="Verdana" w:hAnsi="Verdana" w:cs="Verdana"/>
        <w:noProof/>
        <w:sz w:val="18"/>
      </w:rPr>
      <w:t>21</w:t>
    </w:r>
    <w:r w:rsidRPr="00E224C1">
      <w:rPr>
        <w:rFonts w:ascii="Verdana" w:hAnsi="Verdana" w:cs="Verdana"/>
        <w:sz w:val="18"/>
      </w:rPr>
      <w:fldChar w:fldCharType="end"/>
    </w:r>
  </w:p>
  <w:p w14:paraId="0764B4AE" w14:textId="77777777" w:rsidR="00E60A35" w:rsidRDefault="00E60A35">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D118" w14:textId="77777777" w:rsidR="00E60A35" w:rsidRDefault="00E60A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F4B8B" w14:textId="77777777" w:rsidR="00E60A35" w:rsidRDefault="00E60A35">
      <w:r>
        <w:separator/>
      </w:r>
    </w:p>
  </w:footnote>
  <w:footnote w:type="continuationSeparator" w:id="0">
    <w:p w14:paraId="48B68976" w14:textId="77777777" w:rsidR="00E60A35" w:rsidRDefault="00E60A35">
      <w:r>
        <w:continuationSeparator/>
      </w:r>
    </w:p>
  </w:footnote>
  <w:footnote w:id="1">
    <w:p w14:paraId="6E801809" w14:textId="77777777" w:rsidR="00E60A35" w:rsidRDefault="00E60A35">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2">
    <w:p w14:paraId="4327149E" w14:textId="77777777" w:rsidR="00E60A35" w:rsidRPr="006F13AB" w:rsidRDefault="00E60A35" w:rsidP="00EB440D">
      <w:pPr>
        <w:pStyle w:val="Notedebasdepage"/>
        <w:ind w:left="142" w:hanging="142"/>
        <w:jc w:val="both"/>
        <w:rPr>
          <w:sz w:val="18"/>
          <w:szCs w:val="18"/>
        </w:rPr>
      </w:pPr>
      <w:r w:rsidRPr="002A0DEF">
        <w:rPr>
          <w:rStyle w:val="Appelnotedebasdep"/>
          <w:sz w:val="18"/>
          <w:szCs w:val="18"/>
        </w:rPr>
        <w:footnoteRef/>
      </w:r>
      <w:r w:rsidRPr="002A0DEF">
        <w:rPr>
          <w:sz w:val="18"/>
          <w:szCs w:val="18"/>
        </w:rPr>
        <w:t xml:space="preserve"> </w:t>
      </w:r>
      <w:r>
        <w:rPr>
          <w:sz w:val="18"/>
          <w:szCs w:val="18"/>
        </w:rPr>
        <w:tab/>
      </w:r>
      <w:r w:rsidRPr="002A0DEF">
        <w:rPr>
          <w:rFonts w:cs="Arial"/>
          <w:color w:val="333333"/>
          <w:sz w:val="18"/>
          <w:szCs w:val="18"/>
        </w:rPr>
        <w:t>Pankey, J.W., Eberhardt, R.J., et al. Our Industry Today. Uptake on Post</w:t>
      </w:r>
      <w:r>
        <w:rPr>
          <w:rFonts w:cs="Arial"/>
          <w:color w:val="333333"/>
          <w:sz w:val="18"/>
          <w:szCs w:val="18"/>
        </w:rPr>
        <w:t>-</w:t>
      </w:r>
      <w:r w:rsidRPr="002A0DEF">
        <w:rPr>
          <w:rFonts w:cs="Arial"/>
          <w:color w:val="333333"/>
          <w:sz w:val="18"/>
          <w:szCs w:val="18"/>
        </w:rPr>
        <w:t xml:space="preserve">milking Teat Antisepsis. Journal of Dairy Science, Vol. 67, No. 6, 1984. pp. 1336-1353. See Table 2. </w:t>
      </w:r>
      <w:hyperlink r:id="rId1" w:history="1">
        <w:r w:rsidRPr="006F13AB">
          <w:rPr>
            <w:rStyle w:val="Lienhypertexte"/>
            <w:rFonts w:cs="Arial"/>
            <w:sz w:val="18"/>
            <w:szCs w:val="18"/>
          </w:rPr>
          <w:t>http://cytalabs.com/wp-content/uploads/2015/01/our-industry-today-deeping-products.pdf</w:t>
        </w:r>
      </w:hyperlink>
      <w:r w:rsidRPr="006F13AB">
        <w:rPr>
          <w:rFonts w:cs="Arial"/>
          <w:color w:val="333333"/>
          <w:sz w:val="18"/>
          <w:szCs w:val="18"/>
        </w:rPr>
        <w:t xml:space="preserve">. </w:t>
      </w:r>
    </w:p>
  </w:footnote>
  <w:footnote w:id="3">
    <w:p w14:paraId="4D4EDB46" w14:textId="77777777" w:rsidR="00E60A35" w:rsidRPr="00E75423" w:rsidRDefault="00E60A35" w:rsidP="00536B1C">
      <w:pPr>
        <w:autoSpaceDE w:val="0"/>
        <w:autoSpaceDN w:val="0"/>
        <w:adjustRightInd w:val="0"/>
        <w:ind w:left="142" w:hanging="142"/>
        <w:rPr>
          <w:rFonts w:cs="Arial"/>
          <w:color w:val="333333"/>
          <w:sz w:val="18"/>
          <w:szCs w:val="18"/>
          <w:lang w:val="en-US"/>
        </w:rPr>
      </w:pPr>
      <w:r w:rsidRPr="002A0DEF">
        <w:rPr>
          <w:rFonts w:cs="Arial"/>
          <w:color w:val="333333"/>
          <w:sz w:val="18"/>
          <w:szCs w:val="18"/>
        </w:rPr>
        <w:footnoteRef/>
      </w:r>
      <w:r w:rsidRPr="002A0DEF">
        <w:rPr>
          <w:rFonts w:cs="Arial"/>
          <w:color w:val="333333"/>
          <w:sz w:val="18"/>
          <w:szCs w:val="18"/>
        </w:rPr>
        <w:t xml:space="preserve"> National Mastitis Council (NMC). Summary of Peer-Reviewed Publica</w:t>
      </w:r>
      <w:r>
        <w:rPr>
          <w:rFonts w:cs="Arial"/>
          <w:color w:val="333333"/>
          <w:sz w:val="18"/>
          <w:szCs w:val="18"/>
        </w:rPr>
        <w:t xml:space="preserve">tions on Efficacy of Pre-milking </w:t>
      </w:r>
      <w:r w:rsidRPr="002A0DEF">
        <w:rPr>
          <w:rFonts w:cs="Arial"/>
          <w:color w:val="333333"/>
          <w:sz w:val="18"/>
          <w:szCs w:val="18"/>
        </w:rPr>
        <w:t>and Post</w:t>
      </w:r>
      <w:r>
        <w:rPr>
          <w:rFonts w:cs="Arial"/>
          <w:color w:val="333333"/>
          <w:sz w:val="18"/>
          <w:szCs w:val="18"/>
        </w:rPr>
        <w:t>-</w:t>
      </w:r>
      <w:r w:rsidRPr="002A0DEF">
        <w:rPr>
          <w:rFonts w:cs="Arial"/>
          <w:color w:val="333333"/>
          <w:sz w:val="18"/>
          <w:szCs w:val="18"/>
        </w:rPr>
        <w:t xml:space="preserve">milking Teat Disinfectants. Published Since 1980 (revised 2014). </w:t>
      </w:r>
      <w:r w:rsidRPr="00E75423">
        <w:rPr>
          <w:rFonts w:cs="Arial"/>
          <w:color w:val="333333"/>
          <w:sz w:val="18"/>
          <w:szCs w:val="18"/>
          <w:lang w:val="en-US"/>
        </w:rPr>
        <w:t xml:space="preserve">14 pages. </w:t>
      </w:r>
      <w:hyperlink r:id="rId2" w:history="1">
        <w:r w:rsidRPr="007D1FEF">
          <w:rPr>
            <w:rStyle w:val="Lienhypertexte"/>
            <w:rFonts w:cs="Arial"/>
            <w:sz w:val="18"/>
            <w:szCs w:val="18"/>
          </w:rPr>
          <w:t>http://www.cfsph.iastate.edu/Infection_Control/Species/Teatbibliography.pdf</w:t>
        </w:r>
      </w:hyperlink>
      <w:r w:rsidRPr="004C58F5">
        <w:rPr>
          <w:rFonts w:cs="Arial"/>
          <w:color w:val="333333"/>
          <w:sz w:val="18"/>
          <w:szCs w:val="18"/>
        </w:rPr>
        <w:t>.</w:t>
      </w:r>
    </w:p>
    <w:p w14:paraId="653ED928" w14:textId="77777777" w:rsidR="00E60A35" w:rsidRPr="00E75423" w:rsidRDefault="00E60A35" w:rsidP="00536B1C">
      <w:pPr>
        <w:pStyle w:val="Notedebasdepage"/>
        <w:ind w:left="142" w:hanging="142"/>
        <w:rPr>
          <w:sz w:val="18"/>
          <w:szCs w:val="18"/>
          <w:lang w:val="en-US"/>
        </w:rPr>
      </w:pPr>
    </w:p>
  </w:footnote>
  <w:footnote w:id="4">
    <w:p w14:paraId="371DAD5F" w14:textId="77777777" w:rsidR="00E60A35" w:rsidRPr="0090663E" w:rsidRDefault="00E60A35" w:rsidP="00747F06">
      <w:pPr>
        <w:pStyle w:val="Notedebasdepage"/>
        <w:jc w:val="both"/>
        <w:rPr>
          <w:sz w:val="18"/>
        </w:rPr>
      </w:pPr>
      <w:r w:rsidRPr="00747F06">
        <w:rPr>
          <w:rStyle w:val="Appelnotedebasdep"/>
          <w:sz w:val="18"/>
        </w:rPr>
        <w:footnoteRef/>
      </w:r>
      <w:r w:rsidRPr="00747F06">
        <w:rPr>
          <w:sz w:val="18"/>
        </w:rPr>
        <w:t xml:space="preserve"> </w:t>
      </w:r>
      <w:r>
        <w:rPr>
          <w:sz w:val="18"/>
        </w:rPr>
        <w:t xml:space="preserve"> </w:t>
      </w:r>
      <w:r w:rsidRPr="00747F06">
        <w:rPr>
          <w:sz w:val="16"/>
        </w:rPr>
        <w:t xml:space="preserve">The value of 17% of total iodine is not given in the CAR because it is not part of specifications of PVPI. However, FR CA considers it is a worst case compared to using the 12% of free iodine value for risk assessment and takes into account the presence of non available iodine in PVPi. </w:t>
      </w:r>
    </w:p>
    <w:p w14:paraId="0890E730" w14:textId="77777777" w:rsidR="00E60A35" w:rsidRPr="00D60850" w:rsidRDefault="00E60A35" w:rsidP="00747F06">
      <w:pPr>
        <w:pStyle w:val="Notedebasdepage"/>
      </w:pPr>
    </w:p>
  </w:footnote>
  <w:footnote w:id="5">
    <w:p w14:paraId="3A01CF77" w14:textId="77777777" w:rsidR="00E60A35" w:rsidRPr="00705A8C" w:rsidRDefault="00E60A35" w:rsidP="00705A8C">
      <w:pPr>
        <w:pStyle w:val="Notedebasdepage"/>
        <w:ind w:left="0" w:firstLine="0"/>
        <w:jc w:val="both"/>
        <w:rPr>
          <w:sz w:val="16"/>
          <w:szCs w:val="16"/>
        </w:rPr>
      </w:pPr>
      <w:r w:rsidRPr="00705A8C">
        <w:rPr>
          <w:rStyle w:val="Appelnotedebasdep"/>
          <w:sz w:val="16"/>
          <w:szCs w:val="16"/>
        </w:rPr>
        <w:footnoteRef/>
      </w:r>
      <w:r w:rsidRPr="00705A8C">
        <w:rPr>
          <w:sz w:val="16"/>
          <w:szCs w:val="16"/>
        </w:rPr>
        <w:t xml:space="preserve"> Recommendation no. 13 of the BPC Ad hoc Working Group on Human Exposure, Exposure Assessment of Teat Disinfection Products for Veterinary Hygiene (PT3) (Agreed at the Human Health Working Group I on 19 January 2017)</w:t>
      </w:r>
    </w:p>
  </w:footnote>
  <w:footnote w:id="6">
    <w:p w14:paraId="7280D674" w14:textId="77777777" w:rsidR="00E60A35" w:rsidRPr="00CC1ECF" w:rsidRDefault="00E60A35" w:rsidP="00411C91">
      <w:pPr>
        <w:autoSpaceDE w:val="0"/>
        <w:autoSpaceDN w:val="0"/>
        <w:adjustRightInd w:val="0"/>
        <w:jc w:val="both"/>
        <w:rPr>
          <w:lang w:val="en-US"/>
        </w:rPr>
      </w:pPr>
      <w:r w:rsidRPr="00CC1ECF">
        <w:rPr>
          <w:rStyle w:val="Appelnotedebasdep"/>
        </w:rPr>
        <w:footnoteRef/>
      </w:r>
      <w:r>
        <w:rPr>
          <w:rFonts w:eastAsiaTheme="minorHAnsi" w:cs="Arial"/>
          <w:sz w:val="16"/>
          <w:szCs w:val="18"/>
          <w:lang w:val="en-US" w:eastAsia="en-US"/>
        </w:rPr>
        <w:t xml:space="preserve"> </w:t>
      </w:r>
      <w:r w:rsidRPr="00CC1ECF">
        <w:rPr>
          <w:rFonts w:eastAsiaTheme="minorHAnsi" w:cs="Arial"/>
          <w:sz w:val="16"/>
          <w:szCs w:val="18"/>
          <w:lang w:val="en-US" w:eastAsia="en-US"/>
        </w:rPr>
        <w:t>EFSA Journal 2013 ; 11(2) :3099 : Scientific opinion on the safety and efficacy of iodine compounds (E2) as feed additives for all animal species : calcium iodate anhydrous and potassium iodide, based on a dossier submitted by Ajay Europe SARL</w:t>
      </w:r>
    </w:p>
  </w:footnote>
  <w:footnote w:id="7">
    <w:p w14:paraId="53B01241" w14:textId="77777777" w:rsidR="00E60A35" w:rsidRPr="00CC1ECF" w:rsidRDefault="00E60A35" w:rsidP="00411C91">
      <w:pPr>
        <w:autoSpaceDE w:val="0"/>
        <w:autoSpaceDN w:val="0"/>
        <w:adjustRightInd w:val="0"/>
        <w:jc w:val="both"/>
        <w:rPr>
          <w:lang w:val="en-US"/>
        </w:rPr>
      </w:pPr>
      <w:r w:rsidRPr="00CC1ECF">
        <w:rPr>
          <w:rStyle w:val="Appelnotedebasdep"/>
        </w:rPr>
        <w:footnoteRef/>
      </w:r>
      <w:r w:rsidRPr="00CC1ECF">
        <w:t xml:space="preserve"> </w:t>
      </w:r>
      <w:r w:rsidRPr="00CC1ECF">
        <w:rPr>
          <w:rFonts w:eastAsiaTheme="minorHAnsi" w:cs="Arial"/>
          <w:sz w:val="16"/>
          <w:szCs w:val="18"/>
          <w:lang w:val="en-US" w:eastAsia="en-US"/>
        </w:rPr>
        <w:t>Council Regulation (EEC) No. 2377/90 of 26 June 1990 laying down a Community procedure for the establishment of maximum residue limits of veterinary medicinal products in foodstuffs of animal origin. Official Journal of the European Communities, No L 224/1.</w:t>
      </w:r>
    </w:p>
  </w:footnote>
  <w:footnote w:id="8">
    <w:p w14:paraId="24B93A08" w14:textId="77777777" w:rsidR="00E60A35" w:rsidRPr="00A82C9D" w:rsidRDefault="00E60A35" w:rsidP="00411C91">
      <w:pPr>
        <w:autoSpaceDE w:val="0"/>
        <w:autoSpaceDN w:val="0"/>
        <w:adjustRightInd w:val="0"/>
        <w:jc w:val="both"/>
      </w:pPr>
      <w:r w:rsidRPr="00CC1ECF">
        <w:rPr>
          <w:rStyle w:val="Appelnotedebasdep"/>
        </w:rPr>
        <w:footnoteRef/>
      </w:r>
      <w:r w:rsidRPr="00CC1ECF">
        <w:t xml:space="preserve"> </w:t>
      </w:r>
      <w:r w:rsidRPr="00CC1ECF">
        <w:rPr>
          <w:rFonts w:eastAsiaTheme="minorHAnsi" w:cs="Arial"/>
          <w:sz w:val="16"/>
          <w:szCs w:val="18"/>
          <w:lang w:val="en-US" w:eastAsia="en-US"/>
        </w:rPr>
        <w:t>Commission Regulation (EU) No 37/2010 of 22 December 2009 on pharmacologically active substances and their classification regarding maximum residue limits in foodstuffs of animal origin. Official Journal of the European Union, L 15/1.</w:t>
      </w:r>
    </w:p>
  </w:footnote>
  <w:footnote w:id="9">
    <w:p w14:paraId="70F40664" w14:textId="77777777" w:rsidR="00E60A35" w:rsidRPr="00705A8C" w:rsidRDefault="00E60A35" w:rsidP="00411C91">
      <w:pPr>
        <w:rPr>
          <w:sz w:val="16"/>
          <w:lang w:val="en-US" w:eastAsia="fr-FR"/>
        </w:rPr>
      </w:pPr>
      <w:r w:rsidRPr="00705A8C">
        <w:rPr>
          <w:rStyle w:val="Appelnotedebasdep"/>
          <w:sz w:val="16"/>
        </w:rPr>
        <w:footnoteRef/>
      </w:r>
      <w:r w:rsidRPr="00705A8C">
        <w:rPr>
          <w:sz w:val="16"/>
        </w:rPr>
        <w:t xml:space="preserve"> </w:t>
      </w:r>
      <w:r w:rsidRPr="00705A8C">
        <w:rPr>
          <w:sz w:val="16"/>
          <w:lang w:val="en-US" w:eastAsia="fr-FR"/>
        </w:rPr>
        <w:t xml:space="preserve">SCF (Scientific Committee on Food), 2002. Opinion of the Scientific Committee on Food on </w:t>
      </w:r>
      <w:proofErr w:type="gramStart"/>
      <w:r w:rsidRPr="00705A8C">
        <w:rPr>
          <w:sz w:val="16"/>
          <w:lang w:val="en-US" w:eastAsia="fr-FR"/>
        </w:rPr>
        <w:t>the  Tolerable</w:t>
      </w:r>
      <w:proofErr w:type="gramEnd"/>
      <w:r w:rsidRPr="00705A8C">
        <w:rPr>
          <w:sz w:val="16"/>
          <w:lang w:val="en-US" w:eastAsia="fr-FR"/>
        </w:rPr>
        <w:t xml:space="preserve"> Upper Intake Level of Iodine. 15 pp. </w:t>
      </w:r>
    </w:p>
    <w:p w14:paraId="5CA62117" w14:textId="77777777" w:rsidR="00E60A35" w:rsidRPr="00E574A2" w:rsidRDefault="00E60A35" w:rsidP="00411C91">
      <w:pPr>
        <w:pStyle w:val="Notedebasdepage"/>
        <w:rPr>
          <w:lang w:val="en-US"/>
        </w:rPr>
      </w:pPr>
    </w:p>
  </w:footnote>
  <w:footnote w:id="10">
    <w:p w14:paraId="6C504572" w14:textId="77777777" w:rsidR="00E60A35" w:rsidRPr="00586221" w:rsidRDefault="00E60A35" w:rsidP="00DC4AD8">
      <w:pPr>
        <w:pStyle w:val="MSGENFONTSTYLENAMETEMPLATEROLEMSGENFONTSTYLENAMEBYROLEFOOTNOTE0"/>
        <w:shd w:val="clear" w:color="auto" w:fill="auto"/>
        <w:tabs>
          <w:tab w:val="left" w:pos="149"/>
        </w:tabs>
        <w:jc w:val="both"/>
        <w:rPr>
          <w:lang w:val="en-GB"/>
        </w:rPr>
      </w:pPr>
      <w:r>
        <w:rPr>
          <w:color w:val="000000"/>
          <w:vertAlign w:val="superscript"/>
          <w:lang w:val="en-GB" w:eastAsia="en-GB" w:bidi="en-GB"/>
        </w:rPr>
        <w:footnoteRef/>
      </w:r>
      <w:r>
        <w:rPr>
          <w:color w:val="000000"/>
          <w:lang w:val="en-GB" w:eastAsia="en-GB" w:bidi="en-GB"/>
        </w:rPr>
        <w:tab/>
        <w:t>JRC Scientific and Technical Reports (2011</w:t>
      </w:r>
      <w:proofErr w:type="gramStart"/>
      <w:r>
        <w:rPr>
          <w:color w:val="000000"/>
          <w:lang w:val="en-GB" w:eastAsia="en-GB" w:bidi="en-GB"/>
        </w:rPr>
        <w:t>) :</w:t>
      </w:r>
      <w:proofErr w:type="gramEnd"/>
      <w:r>
        <w:rPr>
          <w:color w:val="000000"/>
          <w:lang w:val="en-GB" w:eastAsia="en-GB" w:bidi="en-GB"/>
        </w:rPr>
        <w:t xml:space="preserve"> Emission Scenario Document for Product Type 3 - Veterinary hygiene biocidal products. EUR 25116 </w:t>
      </w:r>
      <w:r w:rsidRPr="00651FFB">
        <w:rPr>
          <w:color w:val="000000"/>
          <w:lang w:val="en-GB" w:bidi="fr-FR"/>
        </w:rPr>
        <w:t xml:space="preserve">EN </w:t>
      </w:r>
      <w:r>
        <w:rPr>
          <w:color w:val="000000"/>
          <w:lang w:val="en-GB" w:eastAsia="en-GB" w:bidi="en-GB"/>
        </w:rPr>
        <w:t>- 2011</w:t>
      </w:r>
    </w:p>
  </w:footnote>
  <w:footnote w:id="11">
    <w:p w14:paraId="5E851B4D" w14:textId="77777777" w:rsidR="00E60A35" w:rsidRPr="00586221" w:rsidRDefault="00E60A35" w:rsidP="00DC4AD8">
      <w:pPr>
        <w:pStyle w:val="MSGENFONTSTYLENAMETEMPLATEROLEMSGENFONTSTYLENAMEBYROLEFOOTNOTE0"/>
        <w:shd w:val="clear" w:color="auto" w:fill="auto"/>
        <w:tabs>
          <w:tab w:val="left" w:pos="168"/>
        </w:tabs>
        <w:jc w:val="both"/>
        <w:rPr>
          <w:lang w:val="en-GB"/>
        </w:rPr>
      </w:pPr>
      <w:r>
        <w:rPr>
          <w:color w:val="000000"/>
          <w:vertAlign w:val="superscript"/>
          <w:lang w:val="en-GB" w:eastAsia="en-GB" w:bidi="en-GB"/>
        </w:rPr>
        <w:footnoteRef/>
      </w:r>
      <w:r>
        <w:rPr>
          <w:color w:val="000000"/>
          <w:lang w:val="en-GB" w:eastAsia="en-GB" w:bidi="en-GB"/>
        </w:rPr>
        <w:tab/>
        <w:t>ECHA (2015): Guidance on the biocidal Products Regulation - Volume IV Environment - Part B Risk Assessment (active substances) Version 1.0; April 2015</w:t>
      </w:r>
    </w:p>
  </w:footnote>
  <w:footnote w:id="12">
    <w:p w14:paraId="33754099" w14:textId="77777777" w:rsidR="00E60A35" w:rsidRPr="006A5EC0" w:rsidRDefault="00E60A35" w:rsidP="00DC4AD8">
      <w:pPr>
        <w:pStyle w:val="Notedebasdepage"/>
        <w:rPr>
          <w:lang w:val="en-US"/>
        </w:rPr>
      </w:pPr>
      <w:r>
        <w:rPr>
          <w:rStyle w:val="Appelnotedebasdep"/>
        </w:rPr>
        <w:footnoteRef/>
      </w:r>
      <w:r>
        <w:t xml:space="preserve"> </w:t>
      </w:r>
      <w:r>
        <w:rPr>
          <w:color w:val="000000"/>
          <w:lang w:eastAsia="en-GB" w:bidi="en-GB"/>
        </w:rPr>
        <w:t>JRC Scientific and Technical Reports (2011</w:t>
      </w:r>
      <w:proofErr w:type="gramStart"/>
      <w:r>
        <w:rPr>
          <w:color w:val="000000"/>
          <w:lang w:eastAsia="en-GB" w:bidi="en-GB"/>
        </w:rPr>
        <w:t>) :</w:t>
      </w:r>
      <w:proofErr w:type="gramEnd"/>
      <w:r>
        <w:rPr>
          <w:color w:val="000000"/>
          <w:lang w:eastAsia="en-GB" w:bidi="en-GB"/>
        </w:rPr>
        <w:t xml:space="preserve"> Emission Scenario Document for Product Type 3 - Veterinary hygiene biocidal products. </w:t>
      </w:r>
      <w:r w:rsidRPr="006A5EC0">
        <w:rPr>
          <w:color w:val="000000"/>
          <w:lang w:val="en-US" w:eastAsia="en-GB" w:bidi="en-GB"/>
        </w:rPr>
        <w:t xml:space="preserve">EUR 25116 </w:t>
      </w:r>
      <w:r w:rsidRPr="006A5EC0">
        <w:rPr>
          <w:color w:val="000000"/>
          <w:lang w:val="en-US" w:eastAsia="fr-FR" w:bidi="fr-FR"/>
        </w:rPr>
        <w:t xml:space="preserve">EN </w:t>
      </w:r>
      <w:r w:rsidRPr="006A5EC0">
        <w:rPr>
          <w:color w:val="000000"/>
          <w:lang w:val="en-US" w:eastAsia="en-GB" w:bidi="en-GB"/>
        </w:rPr>
        <w: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E60A35" w14:paraId="56AD36E0" w14:textId="77777777">
      <w:tc>
        <w:tcPr>
          <w:tcW w:w="1276" w:type="dxa"/>
          <w:tcBorders>
            <w:bottom w:val="single" w:sz="4" w:space="0" w:color="000000"/>
          </w:tcBorders>
          <w:shd w:val="clear" w:color="auto" w:fill="auto"/>
          <w:vAlign w:val="center"/>
        </w:tcPr>
        <w:p w14:paraId="686B4ED6" w14:textId="77777777" w:rsidR="00E60A35" w:rsidRDefault="00E60A35" w:rsidP="00BD437B">
          <w:pPr>
            <w:widowControl w:val="0"/>
            <w:autoSpaceDE w:val="0"/>
            <w:jc w:val="center"/>
            <w:rPr>
              <w:rFonts w:cs="Times"/>
              <w:color w:val="000000"/>
              <w:sz w:val="18"/>
              <w:szCs w:val="18"/>
            </w:rPr>
          </w:pPr>
          <w:r>
            <w:rPr>
              <w:rFonts w:cs="Times"/>
              <w:color w:val="000000"/>
              <w:sz w:val="18"/>
              <w:szCs w:val="18"/>
            </w:rPr>
            <w:t>&lt;FR&gt;</w:t>
          </w:r>
        </w:p>
      </w:tc>
      <w:tc>
        <w:tcPr>
          <w:tcW w:w="5528" w:type="dxa"/>
          <w:tcBorders>
            <w:bottom w:val="single" w:sz="4" w:space="0" w:color="000000"/>
          </w:tcBorders>
          <w:shd w:val="clear" w:color="auto" w:fill="auto"/>
          <w:vAlign w:val="center"/>
        </w:tcPr>
        <w:p w14:paraId="77BC6492" w14:textId="77777777" w:rsidR="00E60A35" w:rsidRDefault="00E60A35" w:rsidP="00BD437B">
          <w:pPr>
            <w:widowControl w:val="0"/>
            <w:autoSpaceDE w:val="0"/>
            <w:jc w:val="center"/>
            <w:rPr>
              <w:rFonts w:cs="Times"/>
              <w:color w:val="000000"/>
              <w:sz w:val="18"/>
              <w:szCs w:val="18"/>
            </w:rPr>
          </w:pPr>
          <w:r>
            <w:rPr>
              <w:rFonts w:cs="Times"/>
              <w:color w:val="000000"/>
              <w:sz w:val="18"/>
              <w:szCs w:val="18"/>
            </w:rPr>
            <w:t>&lt;IODIGUARD&gt;</w:t>
          </w:r>
        </w:p>
      </w:tc>
      <w:tc>
        <w:tcPr>
          <w:tcW w:w="2552" w:type="dxa"/>
          <w:tcBorders>
            <w:bottom w:val="single" w:sz="4" w:space="0" w:color="000000"/>
          </w:tcBorders>
          <w:shd w:val="clear" w:color="auto" w:fill="auto"/>
          <w:vAlign w:val="center"/>
        </w:tcPr>
        <w:p w14:paraId="116B2669" w14:textId="77777777" w:rsidR="00E60A35" w:rsidRDefault="00E60A35">
          <w:pPr>
            <w:widowControl w:val="0"/>
            <w:autoSpaceDE w:val="0"/>
            <w:jc w:val="center"/>
          </w:pPr>
          <w:r>
            <w:rPr>
              <w:rFonts w:cs="Times"/>
              <w:color w:val="000000"/>
              <w:sz w:val="18"/>
              <w:szCs w:val="18"/>
            </w:rPr>
            <w:t>&lt;PT3&gt;</w:t>
          </w:r>
        </w:p>
      </w:tc>
    </w:tr>
  </w:tbl>
  <w:p w14:paraId="4E1F1A13" w14:textId="77777777" w:rsidR="00E60A35" w:rsidRDefault="00E60A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18EBE" w14:textId="77777777" w:rsidR="00E60A35" w:rsidRDefault="00E60A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E60A35" w14:paraId="15FB41EF" w14:textId="77777777">
      <w:tc>
        <w:tcPr>
          <w:tcW w:w="1276" w:type="dxa"/>
          <w:tcBorders>
            <w:bottom w:val="single" w:sz="4" w:space="0" w:color="000000"/>
          </w:tcBorders>
          <w:shd w:val="clear" w:color="auto" w:fill="auto"/>
          <w:vAlign w:val="center"/>
        </w:tcPr>
        <w:p w14:paraId="3CE733D2" w14:textId="77777777" w:rsidR="00E60A35" w:rsidRDefault="00E60A35" w:rsidP="00D749ED">
          <w:pPr>
            <w:widowControl w:val="0"/>
            <w:autoSpaceDE w:val="0"/>
            <w:jc w:val="center"/>
            <w:rPr>
              <w:rFonts w:cs="Times"/>
              <w:color w:val="000000"/>
              <w:sz w:val="18"/>
              <w:szCs w:val="18"/>
            </w:rPr>
          </w:pPr>
          <w:r>
            <w:rPr>
              <w:rFonts w:cs="Times"/>
              <w:color w:val="000000"/>
              <w:sz w:val="18"/>
              <w:szCs w:val="18"/>
            </w:rPr>
            <w:t>&lt;FR&gt;</w:t>
          </w:r>
        </w:p>
      </w:tc>
      <w:tc>
        <w:tcPr>
          <w:tcW w:w="5528" w:type="dxa"/>
          <w:tcBorders>
            <w:bottom w:val="single" w:sz="4" w:space="0" w:color="000000"/>
          </w:tcBorders>
          <w:shd w:val="clear" w:color="auto" w:fill="auto"/>
          <w:vAlign w:val="center"/>
        </w:tcPr>
        <w:p w14:paraId="0CBBC7E6" w14:textId="77777777" w:rsidR="00E60A35" w:rsidRDefault="00E60A35" w:rsidP="00D749ED">
          <w:pPr>
            <w:widowControl w:val="0"/>
            <w:autoSpaceDE w:val="0"/>
            <w:jc w:val="center"/>
            <w:rPr>
              <w:rFonts w:cs="Times"/>
              <w:color w:val="000000"/>
              <w:sz w:val="18"/>
              <w:szCs w:val="18"/>
            </w:rPr>
          </w:pPr>
          <w:r>
            <w:rPr>
              <w:rFonts w:cs="Times"/>
              <w:color w:val="000000"/>
              <w:sz w:val="18"/>
              <w:szCs w:val="18"/>
            </w:rPr>
            <w:t>&lt;IODIGUARD&gt;</w:t>
          </w:r>
        </w:p>
      </w:tc>
      <w:tc>
        <w:tcPr>
          <w:tcW w:w="2552" w:type="dxa"/>
          <w:tcBorders>
            <w:bottom w:val="single" w:sz="4" w:space="0" w:color="000000"/>
          </w:tcBorders>
          <w:shd w:val="clear" w:color="auto" w:fill="auto"/>
          <w:vAlign w:val="center"/>
        </w:tcPr>
        <w:p w14:paraId="1AF07668" w14:textId="77777777" w:rsidR="00E60A35" w:rsidRDefault="00E60A35">
          <w:pPr>
            <w:widowControl w:val="0"/>
            <w:autoSpaceDE w:val="0"/>
            <w:jc w:val="center"/>
          </w:pPr>
          <w:r>
            <w:rPr>
              <w:rFonts w:cs="Times"/>
              <w:color w:val="000000"/>
              <w:sz w:val="18"/>
              <w:szCs w:val="18"/>
            </w:rPr>
            <w:t>&lt;PT3&gt;</w:t>
          </w:r>
        </w:p>
      </w:tc>
    </w:tr>
  </w:tbl>
  <w:p w14:paraId="631D329B" w14:textId="77777777" w:rsidR="00E60A35" w:rsidRDefault="00E60A3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B4F6" w14:textId="77777777" w:rsidR="00E60A35" w:rsidRDefault="00E60A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D5E856A"/>
    <w:lvl w:ilvl="0">
      <w:start w:val="1"/>
      <w:numFmt w:val="decimal"/>
      <w:pStyle w:val="Titre1"/>
      <w:lvlText w:val="%1"/>
      <w:lvlJc w:val="left"/>
      <w:pPr>
        <w:tabs>
          <w:tab w:val="num" w:pos="0"/>
        </w:tabs>
        <w:ind w:left="432" w:hanging="432"/>
      </w:pPr>
      <w:rPr>
        <w:rFonts w:cs="Times New Roman"/>
        <w:b/>
        <w:bCs w:val="0"/>
        <w:i w:val="0"/>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Verdana" w:hAnsi="Verdana" w:hint="default"/>
        <w:i w:val="0"/>
        <w:sz w:val="22"/>
      </w:rPr>
    </w:lvl>
    <w:lvl w:ilvl="3">
      <w:start w:val="1"/>
      <w:numFmt w:val="decimal"/>
      <w:pStyle w:val="Titre4"/>
      <w:lvlText w:val="%1.%2.%3.%4"/>
      <w:lvlJc w:val="left"/>
      <w:pPr>
        <w:tabs>
          <w:tab w:val="num" w:pos="0"/>
        </w:tabs>
        <w:ind w:left="864" w:hanging="864"/>
      </w:pPr>
      <w:rPr>
        <w:rFonts w:ascii="Verdana" w:hAnsi="Verdana" w:hint="default"/>
        <w:b w:val="0"/>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8C652CF"/>
    <w:multiLevelType w:val="hybridMultilevel"/>
    <w:tmpl w:val="89E6D46E"/>
    <w:lvl w:ilvl="0" w:tplc="813EB3EA">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4F50B6"/>
    <w:multiLevelType w:val="hybridMultilevel"/>
    <w:tmpl w:val="2DFA3AC2"/>
    <w:lvl w:ilvl="0" w:tplc="77044014">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5232C2"/>
    <w:multiLevelType w:val="hybridMultilevel"/>
    <w:tmpl w:val="6F7A1F28"/>
    <w:lvl w:ilvl="0" w:tplc="DEAE397A">
      <w:start w:val="12"/>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E664BB"/>
    <w:multiLevelType w:val="hybridMultilevel"/>
    <w:tmpl w:val="81CC09C6"/>
    <w:lvl w:ilvl="0" w:tplc="D4B00D52">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BC4CE2"/>
    <w:multiLevelType w:val="hybridMultilevel"/>
    <w:tmpl w:val="2F36729A"/>
    <w:lvl w:ilvl="0" w:tplc="788AE636">
      <w:start w:val="3"/>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220167"/>
    <w:multiLevelType w:val="hybridMultilevel"/>
    <w:tmpl w:val="91643ECA"/>
    <w:lvl w:ilvl="0" w:tplc="AB6E4996">
      <w:start w:val="8020"/>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056392"/>
    <w:multiLevelType w:val="hybridMultilevel"/>
    <w:tmpl w:val="56603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1C6197"/>
    <w:multiLevelType w:val="hybridMultilevel"/>
    <w:tmpl w:val="CF1AA176"/>
    <w:lvl w:ilvl="0" w:tplc="A47E0F5E">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7249F"/>
    <w:multiLevelType w:val="hybridMultilevel"/>
    <w:tmpl w:val="1E587842"/>
    <w:lvl w:ilvl="0" w:tplc="5626663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F039D8"/>
    <w:multiLevelType w:val="hybridMultilevel"/>
    <w:tmpl w:val="8B66425C"/>
    <w:lvl w:ilvl="0" w:tplc="040C0001">
      <w:start w:val="1"/>
      <w:numFmt w:val="bullet"/>
      <w:lvlText w:val=""/>
      <w:lvlJc w:val="left"/>
      <w:pPr>
        <w:ind w:left="795" w:hanging="360"/>
      </w:pPr>
      <w:rPr>
        <w:rFonts w:ascii="Symbol" w:hAnsi="Symbol"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23497179"/>
    <w:multiLevelType w:val="hybridMultilevel"/>
    <w:tmpl w:val="D83C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C4F01"/>
    <w:multiLevelType w:val="hybridMultilevel"/>
    <w:tmpl w:val="583C78E4"/>
    <w:lvl w:ilvl="0" w:tplc="7A741764">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75560C"/>
    <w:multiLevelType w:val="hybridMultilevel"/>
    <w:tmpl w:val="7AE64048"/>
    <w:lvl w:ilvl="0" w:tplc="1FE861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67D7C"/>
    <w:multiLevelType w:val="hybridMultilevel"/>
    <w:tmpl w:val="1F8A3214"/>
    <w:lvl w:ilvl="0" w:tplc="2B9C8DCA">
      <w:start w:val="8020"/>
      <w:numFmt w:val="bullet"/>
      <w:lvlText w:val="-"/>
      <w:lvlJc w:val="left"/>
      <w:pPr>
        <w:ind w:left="720" w:hanging="360"/>
      </w:pPr>
      <w:rPr>
        <w:rFonts w:ascii="Verdana" w:eastAsia="Times New Roman" w:hAnsi="Verdana" w:cs="Verdana"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FD052C"/>
    <w:multiLevelType w:val="multilevel"/>
    <w:tmpl w:val="E3FE0FB6"/>
    <w:lvl w:ilvl="0">
      <w:start w:val="1"/>
      <w:numFmt w:val="decimal"/>
      <w:lvlText w:val="%1"/>
      <w:lvlJc w:val="left"/>
      <w:pPr>
        <w:ind w:left="1304" w:hanging="1304"/>
      </w:pPr>
      <w:rPr>
        <w:rFonts w:ascii="Verdana" w:hAnsi="Verdana"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304" w:hanging="1304"/>
      </w:pPr>
      <w:rPr>
        <w:rFonts w:cs="Times New Roman" w:hint="default"/>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21" w15:restartNumberingAfterBreak="0">
    <w:nsid w:val="3DEB148E"/>
    <w:multiLevelType w:val="hybridMultilevel"/>
    <w:tmpl w:val="694E4FC4"/>
    <w:lvl w:ilvl="0" w:tplc="EEC6BC9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096AC0"/>
    <w:multiLevelType w:val="hybridMultilevel"/>
    <w:tmpl w:val="2EF026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21F86"/>
    <w:multiLevelType w:val="multilevel"/>
    <w:tmpl w:val="CAE2C9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7921E8"/>
    <w:multiLevelType w:val="hybridMultilevel"/>
    <w:tmpl w:val="D24EB1DA"/>
    <w:lvl w:ilvl="0" w:tplc="77044014">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1D61F5"/>
    <w:multiLevelType w:val="hybridMultilevel"/>
    <w:tmpl w:val="BA283B5A"/>
    <w:lvl w:ilvl="0" w:tplc="77044014">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4F5477"/>
    <w:multiLevelType w:val="hybridMultilevel"/>
    <w:tmpl w:val="374CC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5F5D3B"/>
    <w:multiLevelType w:val="hybridMultilevel"/>
    <w:tmpl w:val="F05EFA5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1A42344"/>
    <w:multiLevelType w:val="hybridMultilevel"/>
    <w:tmpl w:val="13FC32A0"/>
    <w:lvl w:ilvl="0" w:tplc="793ED428">
      <w:start w:val="1"/>
      <w:numFmt w:val="decimal"/>
      <w:lvlText w:val="%1"/>
      <w:lvlJc w:val="left"/>
      <w:pPr>
        <w:ind w:left="720" w:hanging="360"/>
      </w:pPr>
      <w:rPr>
        <w:rFonts w:hint="default"/>
      </w:rPr>
    </w:lvl>
    <w:lvl w:ilvl="1" w:tplc="855EC568">
      <w:numFmt w:val="bullet"/>
      <w:lvlText w:val="-"/>
      <w:lvlJc w:val="left"/>
      <w:pPr>
        <w:ind w:left="1440" w:hanging="360"/>
      </w:pPr>
      <w:rPr>
        <w:rFonts w:ascii="Verdana" w:eastAsia="Calibri" w:hAnsi="Verdana"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8A5901"/>
    <w:multiLevelType w:val="hybridMultilevel"/>
    <w:tmpl w:val="B99E57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3F7624"/>
    <w:multiLevelType w:val="hybridMultilevel"/>
    <w:tmpl w:val="35F8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5"/>
  </w:num>
  <w:num w:numId="7">
    <w:abstractNumId w:val="26"/>
  </w:num>
  <w:num w:numId="8">
    <w:abstractNumId w:val="21"/>
  </w:num>
  <w:num w:numId="9">
    <w:abstractNumId w:val="8"/>
  </w:num>
  <w:num w:numId="10">
    <w:abstractNumId w:val="18"/>
  </w:num>
  <w:num w:numId="11">
    <w:abstractNumId w:val="29"/>
  </w:num>
  <w:num w:numId="12">
    <w:abstractNumId w:val="13"/>
  </w:num>
  <w:num w:numId="13">
    <w:abstractNumId w:val="17"/>
  </w:num>
  <w:num w:numId="14">
    <w:abstractNumId w:val="23"/>
  </w:num>
  <w:num w:numId="15">
    <w:abstractNumId w:val="28"/>
  </w:num>
  <w:num w:numId="16">
    <w:abstractNumId w:val="14"/>
  </w:num>
  <w:num w:numId="17">
    <w:abstractNumId w:val="12"/>
  </w:num>
  <w:num w:numId="18">
    <w:abstractNumId w:val="20"/>
  </w:num>
  <w:num w:numId="19">
    <w:abstractNumId w:val="16"/>
  </w:num>
  <w:num w:numId="20">
    <w:abstractNumId w:val="7"/>
  </w:num>
  <w:num w:numId="21">
    <w:abstractNumId w:val="6"/>
  </w:num>
  <w:num w:numId="22">
    <w:abstractNumId w:val="24"/>
  </w:num>
  <w:num w:numId="23">
    <w:abstractNumId w:val="22"/>
  </w:num>
  <w:num w:numId="24">
    <w:abstractNumId w:val="11"/>
  </w:num>
  <w:num w:numId="25">
    <w:abstractNumId w:val="27"/>
  </w:num>
  <w:num w:numId="26">
    <w:abstractNumId w:val="19"/>
  </w:num>
  <w:num w:numId="27">
    <w:abstractNumId w:val="10"/>
  </w:num>
  <w:num w:numId="28">
    <w:abstractNumId w:val="9"/>
  </w:num>
  <w:num w:numId="29">
    <w:abstractNumId w:val="15"/>
  </w:num>
  <w:num w:numId="30">
    <w:abstractNumId w:val="3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fr-BE" w:vendorID="64" w:dllVersion="131078"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1138E"/>
    <w:rsid w:val="00012219"/>
    <w:rsid w:val="00016FBB"/>
    <w:rsid w:val="00024FE2"/>
    <w:rsid w:val="000303E1"/>
    <w:rsid w:val="00032DFA"/>
    <w:rsid w:val="00032ECD"/>
    <w:rsid w:val="00037937"/>
    <w:rsid w:val="00040CBD"/>
    <w:rsid w:val="00044078"/>
    <w:rsid w:val="00050343"/>
    <w:rsid w:val="00055F06"/>
    <w:rsid w:val="00063D06"/>
    <w:rsid w:val="00070355"/>
    <w:rsid w:val="0008280F"/>
    <w:rsid w:val="000839A2"/>
    <w:rsid w:val="00083A82"/>
    <w:rsid w:val="00086308"/>
    <w:rsid w:val="000A1359"/>
    <w:rsid w:val="000A3235"/>
    <w:rsid w:val="000A3D3D"/>
    <w:rsid w:val="000A47D3"/>
    <w:rsid w:val="000B2183"/>
    <w:rsid w:val="000B4683"/>
    <w:rsid w:val="000B55E6"/>
    <w:rsid w:val="000B64C7"/>
    <w:rsid w:val="000C55A9"/>
    <w:rsid w:val="000C7814"/>
    <w:rsid w:val="000D254E"/>
    <w:rsid w:val="000D64BB"/>
    <w:rsid w:val="000E2B2F"/>
    <w:rsid w:val="000E7568"/>
    <w:rsid w:val="000F4EB4"/>
    <w:rsid w:val="000F5C4B"/>
    <w:rsid w:val="00100CBD"/>
    <w:rsid w:val="00107716"/>
    <w:rsid w:val="0011017B"/>
    <w:rsid w:val="00115E75"/>
    <w:rsid w:val="00132807"/>
    <w:rsid w:val="00151990"/>
    <w:rsid w:val="001606B8"/>
    <w:rsid w:val="00165402"/>
    <w:rsid w:val="00170391"/>
    <w:rsid w:val="001728DA"/>
    <w:rsid w:val="00174AD5"/>
    <w:rsid w:val="0019006A"/>
    <w:rsid w:val="001901EF"/>
    <w:rsid w:val="00191251"/>
    <w:rsid w:val="001913AC"/>
    <w:rsid w:val="0019327C"/>
    <w:rsid w:val="001B3B87"/>
    <w:rsid w:val="001C136A"/>
    <w:rsid w:val="001C279E"/>
    <w:rsid w:val="001C53C7"/>
    <w:rsid w:val="001D3030"/>
    <w:rsid w:val="001E6067"/>
    <w:rsid w:val="001E7DCC"/>
    <w:rsid w:val="002033E4"/>
    <w:rsid w:val="002140C2"/>
    <w:rsid w:val="00220570"/>
    <w:rsid w:val="00233FEE"/>
    <w:rsid w:val="002419FE"/>
    <w:rsid w:val="002530A0"/>
    <w:rsid w:val="00254294"/>
    <w:rsid w:val="00262A65"/>
    <w:rsid w:val="00282267"/>
    <w:rsid w:val="00285821"/>
    <w:rsid w:val="002864A9"/>
    <w:rsid w:val="0029228D"/>
    <w:rsid w:val="002929F9"/>
    <w:rsid w:val="002946B6"/>
    <w:rsid w:val="00295F6E"/>
    <w:rsid w:val="002970E9"/>
    <w:rsid w:val="002978E5"/>
    <w:rsid w:val="002A0438"/>
    <w:rsid w:val="002A17C7"/>
    <w:rsid w:val="002A7269"/>
    <w:rsid w:val="002B56D8"/>
    <w:rsid w:val="002C4B11"/>
    <w:rsid w:val="002C4DD4"/>
    <w:rsid w:val="002D2AE1"/>
    <w:rsid w:val="002E1313"/>
    <w:rsid w:val="002E1600"/>
    <w:rsid w:val="002E6581"/>
    <w:rsid w:val="002E67C0"/>
    <w:rsid w:val="002F6B76"/>
    <w:rsid w:val="003044A1"/>
    <w:rsid w:val="003104F3"/>
    <w:rsid w:val="003131D6"/>
    <w:rsid w:val="0032159E"/>
    <w:rsid w:val="00340025"/>
    <w:rsid w:val="003402E7"/>
    <w:rsid w:val="00362154"/>
    <w:rsid w:val="00367D48"/>
    <w:rsid w:val="003852AC"/>
    <w:rsid w:val="003872E0"/>
    <w:rsid w:val="00395AF3"/>
    <w:rsid w:val="00397C2A"/>
    <w:rsid w:val="00397E29"/>
    <w:rsid w:val="003A11AB"/>
    <w:rsid w:val="003A1364"/>
    <w:rsid w:val="003A1E46"/>
    <w:rsid w:val="003A24B9"/>
    <w:rsid w:val="003A55D5"/>
    <w:rsid w:val="003B1DC2"/>
    <w:rsid w:val="003D6A06"/>
    <w:rsid w:val="003D7A09"/>
    <w:rsid w:val="003F0D24"/>
    <w:rsid w:val="003F1AAE"/>
    <w:rsid w:val="003F5BEF"/>
    <w:rsid w:val="00400CB5"/>
    <w:rsid w:val="00400EF3"/>
    <w:rsid w:val="00405068"/>
    <w:rsid w:val="00410FC9"/>
    <w:rsid w:val="00411C91"/>
    <w:rsid w:val="00423720"/>
    <w:rsid w:val="00424E1B"/>
    <w:rsid w:val="0042555D"/>
    <w:rsid w:val="00444E55"/>
    <w:rsid w:val="00451300"/>
    <w:rsid w:val="0045455A"/>
    <w:rsid w:val="00457981"/>
    <w:rsid w:val="00483663"/>
    <w:rsid w:val="004B63DB"/>
    <w:rsid w:val="004C223C"/>
    <w:rsid w:val="004C58F5"/>
    <w:rsid w:val="004E1D0A"/>
    <w:rsid w:val="004E27D2"/>
    <w:rsid w:val="004F242D"/>
    <w:rsid w:val="0050289C"/>
    <w:rsid w:val="00502A62"/>
    <w:rsid w:val="00506C18"/>
    <w:rsid w:val="005105CA"/>
    <w:rsid w:val="005233B5"/>
    <w:rsid w:val="005247EB"/>
    <w:rsid w:val="00525375"/>
    <w:rsid w:val="00533CC9"/>
    <w:rsid w:val="00536B1C"/>
    <w:rsid w:val="00540F11"/>
    <w:rsid w:val="00541467"/>
    <w:rsid w:val="0054586B"/>
    <w:rsid w:val="00551E50"/>
    <w:rsid w:val="005547CC"/>
    <w:rsid w:val="00567190"/>
    <w:rsid w:val="005813D3"/>
    <w:rsid w:val="005955A5"/>
    <w:rsid w:val="005A3B7C"/>
    <w:rsid w:val="005A5189"/>
    <w:rsid w:val="005A5E1F"/>
    <w:rsid w:val="005B142E"/>
    <w:rsid w:val="005C218E"/>
    <w:rsid w:val="005C7089"/>
    <w:rsid w:val="005E1E28"/>
    <w:rsid w:val="005E3CDD"/>
    <w:rsid w:val="005E5194"/>
    <w:rsid w:val="005F32D5"/>
    <w:rsid w:val="005F4C56"/>
    <w:rsid w:val="006002F4"/>
    <w:rsid w:val="00601C90"/>
    <w:rsid w:val="00604760"/>
    <w:rsid w:val="00610746"/>
    <w:rsid w:val="0062271D"/>
    <w:rsid w:val="00622F79"/>
    <w:rsid w:val="00623C0C"/>
    <w:rsid w:val="006250F5"/>
    <w:rsid w:val="00630448"/>
    <w:rsid w:val="00631D8F"/>
    <w:rsid w:val="006357A4"/>
    <w:rsid w:val="0065661A"/>
    <w:rsid w:val="00660FFE"/>
    <w:rsid w:val="00666FA7"/>
    <w:rsid w:val="0067034F"/>
    <w:rsid w:val="00670B70"/>
    <w:rsid w:val="00675836"/>
    <w:rsid w:val="0069123B"/>
    <w:rsid w:val="006919AD"/>
    <w:rsid w:val="0069320E"/>
    <w:rsid w:val="006A0345"/>
    <w:rsid w:val="006B0ED8"/>
    <w:rsid w:val="006C2968"/>
    <w:rsid w:val="006D5801"/>
    <w:rsid w:val="006D632C"/>
    <w:rsid w:val="006D64A0"/>
    <w:rsid w:val="006E0C8F"/>
    <w:rsid w:val="006E3789"/>
    <w:rsid w:val="006F13AB"/>
    <w:rsid w:val="006F1C90"/>
    <w:rsid w:val="006F2AAA"/>
    <w:rsid w:val="006F33CF"/>
    <w:rsid w:val="006F4499"/>
    <w:rsid w:val="00705A8C"/>
    <w:rsid w:val="00710A01"/>
    <w:rsid w:val="007204A2"/>
    <w:rsid w:val="0072604A"/>
    <w:rsid w:val="00730670"/>
    <w:rsid w:val="00735969"/>
    <w:rsid w:val="00745215"/>
    <w:rsid w:val="00747F06"/>
    <w:rsid w:val="0077154F"/>
    <w:rsid w:val="00771BC9"/>
    <w:rsid w:val="007724F5"/>
    <w:rsid w:val="00774738"/>
    <w:rsid w:val="0078354E"/>
    <w:rsid w:val="007961F3"/>
    <w:rsid w:val="00797C8F"/>
    <w:rsid w:val="007A0215"/>
    <w:rsid w:val="007A17A1"/>
    <w:rsid w:val="007A1BBD"/>
    <w:rsid w:val="007B07F3"/>
    <w:rsid w:val="007B36CA"/>
    <w:rsid w:val="007B3916"/>
    <w:rsid w:val="007B3DBA"/>
    <w:rsid w:val="007B44E3"/>
    <w:rsid w:val="007C448F"/>
    <w:rsid w:val="007F547C"/>
    <w:rsid w:val="007F6E46"/>
    <w:rsid w:val="00802685"/>
    <w:rsid w:val="008028B7"/>
    <w:rsid w:val="008036C5"/>
    <w:rsid w:val="00806286"/>
    <w:rsid w:val="008149EF"/>
    <w:rsid w:val="00832037"/>
    <w:rsid w:val="00841FF5"/>
    <w:rsid w:val="0084752A"/>
    <w:rsid w:val="0085055F"/>
    <w:rsid w:val="00875E69"/>
    <w:rsid w:val="008777A0"/>
    <w:rsid w:val="00891703"/>
    <w:rsid w:val="0089199B"/>
    <w:rsid w:val="008927B4"/>
    <w:rsid w:val="008A11C2"/>
    <w:rsid w:val="008A2ABE"/>
    <w:rsid w:val="008B4D23"/>
    <w:rsid w:val="008C18D2"/>
    <w:rsid w:val="008C1D70"/>
    <w:rsid w:val="008C3B45"/>
    <w:rsid w:val="008C4DE8"/>
    <w:rsid w:val="008C604E"/>
    <w:rsid w:val="008F2C95"/>
    <w:rsid w:val="00903F7C"/>
    <w:rsid w:val="00907FFD"/>
    <w:rsid w:val="009109EB"/>
    <w:rsid w:val="009155D1"/>
    <w:rsid w:val="009166DB"/>
    <w:rsid w:val="009218A7"/>
    <w:rsid w:val="00922C89"/>
    <w:rsid w:val="00930D87"/>
    <w:rsid w:val="00941FA8"/>
    <w:rsid w:val="009453FB"/>
    <w:rsid w:val="00945860"/>
    <w:rsid w:val="00964E18"/>
    <w:rsid w:val="00971744"/>
    <w:rsid w:val="00975130"/>
    <w:rsid w:val="00985AFA"/>
    <w:rsid w:val="0098643E"/>
    <w:rsid w:val="00986D2C"/>
    <w:rsid w:val="00995235"/>
    <w:rsid w:val="00996485"/>
    <w:rsid w:val="0099781E"/>
    <w:rsid w:val="009A1572"/>
    <w:rsid w:val="009A4C47"/>
    <w:rsid w:val="009B11E6"/>
    <w:rsid w:val="009B28F1"/>
    <w:rsid w:val="009B3D3D"/>
    <w:rsid w:val="009D0C0B"/>
    <w:rsid w:val="009E3878"/>
    <w:rsid w:val="009E44BC"/>
    <w:rsid w:val="009E5004"/>
    <w:rsid w:val="009F2911"/>
    <w:rsid w:val="009F73D4"/>
    <w:rsid w:val="00A023E2"/>
    <w:rsid w:val="00A106C1"/>
    <w:rsid w:val="00A11AE3"/>
    <w:rsid w:val="00A12F45"/>
    <w:rsid w:val="00A24F4B"/>
    <w:rsid w:val="00A32CCF"/>
    <w:rsid w:val="00A41B49"/>
    <w:rsid w:val="00A441FF"/>
    <w:rsid w:val="00A47143"/>
    <w:rsid w:val="00A57ECF"/>
    <w:rsid w:val="00A600D6"/>
    <w:rsid w:val="00A665B7"/>
    <w:rsid w:val="00A725AC"/>
    <w:rsid w:val="00A738D4"/>
    <w:rsid w:val="00A7414C"/>
    <w:rsid w:val="00A74749"/>
    <w:rsid w:val="00A76CC4"/>
    <w:rsid w:val="00A800C9"/>
    <w:rsid w:val="00A9337A"/>
    <w:rsid w:val="00AA3D31"/>
    <w:rsid w:val="00AB090C"/>
    <w:rsid w:val="00AB1B2D"/>
    <w:rsid w:val="00AB21D9"/>
    <w:rsid w:val="00AD2B0B"/>
    <w:rsid w:val="00AE1FFC"/>
    <w:rsid w:val="00AE5162"/>
    <w:rsid w:val="00AE7BC8"/>
    <w:rsid w:val="00AF143B"/>
    <w:rsid w:val="00AF2EB1"/>
    <w:rsid w:val="00B150C4"/>
    <w:rsid w:val="00B24C45"/>
    <w:rsid w:val="00B2582A"/>
    <w:rsid w:val="00B32BD8"/>
    <w:rsid w:val="00B41BC3"/>
    <w:rsid w:val="00B45A75"/>
    <w:rsid w:val="00B60E55"/>
    <w:rsid w:val="00B71EA0"/>
    <w:rsid w:val="00B77498"/>
    <w:rsid w:val="00B825AC"/>
    <w:rsid w:val="00B838CC"/>
    <w:rsid w:val="00B91F70"/>
    <w:rsid w:val="00BC4342"/>
    <w:rsid w:val="00BD3709"/>
    <w:rsid w:val="00BD437B"/>
    <w:rsid w:val="00BD63DB"/>
    <w:rsid w:val="00BE17BE"/>
    <w:rsid w:val="00BE300F"/>
    <w:rsid w:val="00BF577B"/>
    <w:rsid w:val="00C1061D"/>
    <w:rsid w:val="00C16CAE"/>
    <w:rsid w:val="00C17903"/>
    <w:rsid w:val="00C17B17"/>
    <w:rsid w:val="00C21524"/>
    <w:rsid w:val="00C229A2"/>
    <w:rsid w:val="00C369EA"/>
    <w:rsid w:val="00C4045F"/>
    <w:rsid w:val="00C609A1"/>
    <w:rsid w:val="00C61F6A"/>
    <w:rsid w:val="00C66AE5"/>
    <w:rsid w:val="00C80B7A"/>
    <w:rsid w:val="00C84F5C"/>
    <w:rsid w:val="00CA784C"/>
    <w:rsid w:val="00CC2A82"/>
    <w:rsid w:val="00CC431C"/>
    <w:rsid w:val="00CD42D5"/>
    <w:rsid w:val="00D03557"/>
    <w:rsid w:val="00D124A3"/>
    <w:rsid w:val="00D16994"/>
    <w:rsid w:val="00D20232"/>
    <w:rsid w:val="00D230B0"/>
    <w:rsid w:val="00D32879"/>
    <w:rsid w:val="00D348C0"/>
    <w:rsid w:val="00D355B7"/>
    <w:rsid w:val="00D3764E"/>
    <w:rsid w:val="00D44618"/>
    <w:rsid w:val="00D476BE"/>
    <w:rsid w:val="00D521A9"/>
    <w:rsid w:val="00D55C29"/>
    <w:rsid w:val="00D56625"/>
    <w:rsid w:val="00D6244F"/>
    <w:rsid w:val="00D641F2"/>
    <w:rsid w:val="00D664EB"/>
    <w:rsid w:val="00D71C9F"/>
    <w:rsid w:val="00D749ED"/>
    <w:rsid w:val="00D76654"/>
    <w:rsid w:val="00D76EFE"/>
    <w:rsid w:val="00D80A5F"/>
    <w:rsid w:val="00D84518"/>
    <w:rsid w:val="00D856B0"/>
    <w:rsid w:val="00D97212"/>
    <w:rsid w:val="00DB3175"/>
    <w:rsid w:val="00DB732F"/>
    <w:rsid w:val="00DC29E4"/>
    <w:rsid w:val="00DC4AD8"/>
    <w:rsid w:val="00DD2563"/>
    <w:rsid w:val="00DE0FDF"/>
    <w:rsid w:val="00DE17FC"/>
    <w:rsid w:val="00DE6479"/>
    <w:rsid w:val="00E04D5E"/>
    <w:rsid w:val="00E17CA4"/>
    <w:rsid w:val="00E224C1"/>
    <w:rsid w:val="00E24E7C"/>
    <w:rsid w:val="00E40E29"/>
    <w:rsid w:val="00E554D4"/>
    <w:rsid w:val="00E5583B"/>
    <w:rsid w:val="00E600AE"/>
    <w:rsid w:val="00E60A35"/>
    <w:rsid w:val="00E6336B"/>
    <w:rsid w:val="00E678AA"/>
    <w:rsid w:val="00E67B36"/>
    <w:rsid w:val="00E75423"/>
    <w:rsid w:val="00E76E52"/>
    <w:rsid w:val="00E82FD7"/>
    <w:rsid w:val="00E95F4B"/>
    <w:rsid w:val="00EA0F6D"/>
    <w:rsid w:val="00EA3266"/>
    <w:rsid w:val="00EA78B3"/>
    <w:rsid w:val="00EB0257"/>
    <w:rsid w:val="00EB2D69"/>
    <w:rsid w:val="00EB440D"/>
    <w:rsid w:val="00EB57F5"/>
    <w:rsid w:val="00ED50F5"/>
    <w:rsid w:val="00EF343E"/>
    <w:rsid w:val="00F04750"/>
    <w:rsid w:val="00F15139"/>
    <w:rsid w:val="00F17D9D"/>
    <w:rsid w:val="00F241B5"/>
    <w:rsid w:val="00F33B28"/>
    <w:rsid w:val="00F57BA4"/>
    <w:rsid w:val="00F81B26"/>
    <w:rsid w:val="00F81CB4"/>
    <w:rsid w:val="00F82437"/>
    <w:rsid w:val="00F91CE1"/>
    <w:rsid w:val="00F96066"/>
    <w:rsid w:val="00F96DFE"/>
    <w:rsid w:val="00FA0E40"/>
    <w:rsid w:val="00FA101C"/>
    <w:rsid w:val="00FA47AF"/>
    <w:rsid w:val="00FA480B"/>
    <w:rsid w:val="00FC0BF3"/>
    <w:rsid w:val="00FC2BF0"/>
    <w:rsid w:val="00FC3D1A"/>
    <w:rsid w:val="00FE4752"/>
    <w:rsid w:val="00FE4CCD"/>
    <w:rsid w:val="00FF0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776B34C5"/>
  <w15:docId w15:val="{C9E75AD9-53EA-40D5-8C9D-1585015A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557"/>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basedOn w:val="Titre1"/>
    <w:next w:val="Absatz"/>
    <w:qFormat/>
    <w:pPr>
      <w:numPr>
        <w:ilvl w:val="2"/>
      </w:numPr>
      <w:spacing w:after="24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rPr>
      <w:rFonts w:ascii="Verdana" w:hAnsi="Verdana" w:cs="Verdana"/>
      <w:b/>
      <w:sz w:val="22"/>
      <w:lang w:val="de-DE"/>
    </w:rPr>
  </w:style>
  <w:style w:type="character" w:customStyle="1" w:styleId="En-tteCar">
    <w:name w:val="En-tête Car"/>
    <w:aliases w:val="header protocols Car,test Car,LandscapeHeader Car,Header 1 Car"/>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uiPriority w:val="22"/>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rPr>
      <w:rFonts w:ascii="Verdana" w:hAnsi="Verdana" w:cs="Verdana"/>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header protocols,test,LandscapeHeader,Header 1"/>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pPr>
      <w:ind w:left="800"/>
    </w:pPr>
    <w:rPr>
      <w:smallCaps w:val="0"/>
      <w:sz w:val="18"/>
      <w:szCs w:val="18"/>
    </w:rPr>
  </w:style>
  <w:style w:type="paragraph" w:styleId="TM6">
    <w:name w:val="toc 6"/>
    <w:basedOn w:val="TM2"/>
    <w:next w:val="Normal"/>
    <w:pPr>
      <w:ind w:left="1000"/>
    </w:pPr>
    <w:rPr>
      <w:smallCaps w:val="0"/>
      <w:sz w:val="18"/>
      <w:szCs w:val="18"/>
    </w:rPr>
  </w:style>
  <w:style w:type="paragraph" w:styleId="TM7">
    <w:name w:val="toc 7"/>
    <w:basedOn w:val="TM2"/>
    <w:next w:val="Normal"/>
    <w:pPr>
      <w:ind w:left="1200"/>
    </w:pPr>
    <w:rPr>
      <w:smallCaps w:val="0"/>
      <w:sz w:val="18"/>
      <w:szCs w:val="18"/>
    </w:rPr>
  </w:style>
  <w:style w:type="paragraph" w:styleId="TM8">
    <w:name w:val="toc 8"/>
    <w:basedOn w:val="TM2"/>
    <w:next w:val="Normal"/>
    <w:pPr>
      <w:ind w:left="1400"/>
    </w:pPr>
    <w:rPr>
      <w:smallCaps w:val="0"/>
      <w:sz w:val="18"/>
      <w:szCs w:val="18"/>
    </w:rPr>
  </w:style>
  <w:style w:type="paragraph" w:styleId="TM9">
    <w:name w:val="toc 9"/>
    <w:basedOn w:val="TM2"/>
    <w:next w:val="Normal"/>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rPr>
      <w:rFonts w:ascii="EUAlbertina" w:hAnsi="EUAlbertina" w:cs="EUAlbertina"/>
    </w:rPr>
  </w:style>
  <w:style w:type="paragraph" w:customStyle="1" w:styleId="CM3">
    <w:name w:val="CM3"/>
    <w:basedOn w:val="Default"/>
    <w:next w:val="Default"/>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uiPriority w:val="99"/>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table" w:styleId="Grilledutableau">
    <w:name w:val="Table Grid"/>
    <w:basedOn w:val="TableauNormal"/>
    <w:uiPriority w:val="59"/>
    <w:rsid w:val="00D74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CD-table">
    <w:name w:val="OECD-table"/>
    <w:basedOn w:val="Normal"/>
    <w:rsid w:val="00D749ED"/>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D749ED"/>
    <w:rPr>
      <w:lang w:val="de-DE" w:eastAsia="de-DE"/>
    </w:rPr>
    <w:tblPr>
      <w:tblCellMar>
        <w:top w:w="0" w:type="dxa"/>
        <w:left w:w="108" w:type="dxa"/>
        <w:bottom w:w="0" w:type="dxa"/>
        <w:right w:w="108" w:type="dxa"/>
      </w:tblCellMar>
    </w:tblPr>
  </w:style>
  <w:style w:type="paragraph" w:customStyle="1" w:styleId="TableHeading">
    <w:name w:val="TableHeading"/>
    <w:basedOn w:val="Normal"/>
    <w:link w:val="TableHeadingChar"/>
    <w:rsid w:val="00903F7C"/>
    <w:pPr>
      <w:keepNext/>
      <w:suppressAutoHyphens w:val="0"/>
      <w:spacing w:before="120" w:after="120"/>
      <w:jc w:val="center"/>
    </w:pPr>
    <w:rPr>
      <w:rFonts w:ascii="Times New Roman" w:hAnsi="Times New Roman" w:cs="Times New Roman"/>
      <w:b/>
      <w:lang w:eastAsia="en-US"/>
    </w:rPr>
  </w:style>
  <w:style w:type="character" w:customStyle="1" w:styleId="TableHeadingChar">
    <w:name w:val="TableHeading Char"/>
    <w:link w:val="TableHeading"/>
    <w:rsid w:val="00903F7C"/>
    <w:rPr>
      <w:b/>
      <w:lang w:val="en-GB" w:eastAsia="en-US"/>
    </w:rPr>
  </w:style>
  <w:style w:type="character" w:styleId="Marquedecommentaire">
    <w:name w:val="annotation reference"/>
    <w:basedOn w:val="Policepardfaut"/>
    <w:uiPriority w:val="99"/>
    <w:unhideWhenUsed/>
    <w:rsid w:val="00660FFE"/>
    <w:rPr>
      <w:sz w:val="16"/>
      <w:szCs w:val="16"/>
    </w:rPr>
  </w:style>
  <w:style w:type="paragraph" w:styleId="Commentaire">
    <w:name w:val="annotation text"/>
    <w:basedOn w:val="Normal"/>
    <w:link w:val="CommentaireCar1"/>
    <w:uiPriority w:val="99"/>
    <w:unhideWhenUsed/>
    <w:rsid w:val="00660FFE"/>
  </w:style>
  <w:style w:type="character" w:customStyle="1" w:styleId="CommentaireCar1">
    <w:name w:val="Commentaire Car1"/>
    <w:basedOn w:val="Policepardfaut"/>
    <w:link w:val="Commentaire"/>
    <w:uiPriority w:val="99"/>
    <w:rsid w:val="00660FFE"/>
    <w:rPr>
      <w:rFonts w:ascii="Verdana" w:hAnsi="Verdana" w:cs="Verdana"/>
      <w:lang w:val="en-GB" w:eastAsia="zh-CN"/>
    </w:rPr>
  </w:style>
  <w:style w:type="table" w:customStyle="1" w:styleId="Grilledutableau4">
    <w:name w:val="Grille du tableau4"/>
    <w:basedOn w:val="TableauNormal"/>
    <w:next w:val="Grilledutableau"/>
    <w:uiPriority w:val="59"/>
    <w:rsid w:val="00660F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660FFE"/>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60FFE"/>
    <w:pPr>
      <w:widowControl w:val="0"/>
      <w:shd w:val="clear" w:color="auto" w:fill="FFFFFF"/>
      <w:suppressAutoHyphens w:val="0"/>
      <w:spacing w:before="280" w:after="280" w:line="259" w:lineRule="exact"/>
      <w:jc w:val="both"/>
    </w:pPr>
    <w:rPr>
      <w:rFonts w:ascii="Arial" w:eastAsia="Arial" w:hAnsi="Arial" w:cs="Arial"/>
      <w:lang w:val="fr-FR" w:eastAsia="fr-FR"/>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MSGENFONTSTYLENAMETEMPLATEROLENUMBERMSGENFONTSTYLENAMEBYROLETEXT2"/>
    <w:rsid w:val="00660FFE"/>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LEVELMSGENFONTSTYLENAMEBYROLEHEADING3">
    <w:name w:val="MSG_EN_FONT_STYLE_NAME_TEMPLATE_ROLE_LEVEL MSG_EN_FONT_STYLE_NAME_BY_ROLE_HEADING 3_"/>
    <w:basedOn w:val="Policepardfaut"/>
    <w:link w:val="MSGENFONTSTYLENAMETEMPLATEROLELEVELMSGENFONTSTYLENAMEBYROLEHEADING30"/>
    <w:rsid w:val="00660FFE"/>
    <w:rPr>
      <w:rFonts w:ascii="Arial" w:eastAsia="Arial" w:hAnsi="Arial" w:cs="Arial"/>
      <w:b/>
      <w:bCs/>
      <w:i/>
      <w:i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660FFE"/>
    <w:pPr>
      <w:widowControl w:val="0"/>
      <w:shd w:val="clear" w:color="auto" w:fill="FFFFFF"/>
      <w:suppressAutoHyphens w:val="0"/>
      <w:spacing w:line="268" w:lineRule="exact"/>
      <w:outlineLvl w:val="2"/>
    </w:pPr>
    <w:rPr>
      <w:rFonts w:ascii="Arial" w:eastAsia="Arial" w:hAnsi="Arial" w:cs="Arial"/>
      <w:b/>
      <w:bCs/>
      <w:i/>
      <w:iCs/>
      <w:lang w:val="fr-FR" w:eastAsia="fr-FR"/>
    </w:rPr>
  </w:style>
  <w:style w:type="character" w:customStyle="1" w:styleId="MSGENFONTSTYLENAMETEMPLATEROLENUMBERMSGENFONTSTYLENAMEBYROLETEXT2MSGENFONTSTYLEMODIFERSIZE55">
    <w:name w:val="MSG_EN_FONT_STYLE_NAME_TEMPLATE_ROLE_NUMBER MSG_EN_FONT_STYLE_NAME_BY_ROLE_TEXT 2 + MSG_EN_FONT_STYLE_MODIFER_SIZE 5.5"/>
    <w:aliases w:val="MSG_EN_FONT_STYLE_MODIFER_SPACING 0,MSG_EN_FONT_STYLE_MODIFER_SMALL_CAPS,MSG_EN_FONT_STYLE_MODIFER_NOT_ITALIC"/>
    <w:basedOn w:val="MSGENFONTSTYLENAMETEMPLATEROLENUMBERMSGENFONTSTYLENAMEBYROLETEXT2"/>
    <w:rsid w:val="00660FFE"/>
    <w:rPr>
      <w:rFonts w:ascii="Arial" w:eastAsia="Arial" w:hAnsi="Arial" w:cs="Arial"/>
      <w:b w:val="0"/>
      <w:bCs w:val="0"/>
      <w:i w:val="0"/>
      <w:iCs w:val="0"/>
      <w:smallCaps w:val="0"/>
      <w:strike w:val="0"/>
      <w:color w:val="000000"/>
      <w:spacing w:val="0"/>
      <w:w w:val="100"/>
      <w:position w:val="0"/>
      <w:sz w:val="11"/>
      <w:szCs w:val="11"/>
      <w:u w:val="none"/>
      <w:shd w:val="clear" w:color="auto" w:fill="FFFFFF"/>
      <w:lang w:val="en-GB" w:eastAsia="en-GB" w:bidi="en-GB"/>
    </w:rPr>
  </w:style>
  <w:style w:type="character" w:customStyle="1" w:styleId="hps">
    <w:name w:val="hps"/>
    <w:rsid w:val="00660FFE"/>
  </w:style>
  <w:style w:type="character" w:customStyle="1" w:styleId="MSGENFONTSTYLENAMETEMPLATEROLEMSGENFONTSTYLENAMEBYROLEFOOTNOTE">
    <w:name w:val="MSG_EN_FONT_STYLE_NAME_TEMPLATE_ROLE MSG_EN_FONT_STYLE_NAME_BY_ROLE_FOOTNOTE_"/>
    <w:basedOn w:val="Policepardfaut"/>
    <w:link w:val="MSGENFONTSTYLENAMETEMPLATEROLEMSGENFONTSTYLENAMEBYROLEFOOTNOTE0"/>
    <w:rsid w:val="00DC4AD8"/>
    <w:rPr>
      <w:rFonts w:ascii="Arial" w:eastAsia="Arial" w:hAnsi="Arial" w:cs="Arial"/>
      <w:sz w:val="18"/>
      <w:szCs w:val="18"/>
      <w:shd w:val="clear" w:color="auto" w:fill="FFFFFF"/>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rsid w:val="00DC4AD8"/>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NUMBERMSGENFONTSTYLENAMEBYROLETEXT8">
    <w:name w:val="MSG_EN_FONT_STYLE_NAME_TEMPLATE_ROLE_NUMBER MSG_EN_FONT_STYLE_NAME_BY_ROLE_TEXT 8_"/>
    <w:basedOn w:val="Policepardfaut"/>
    <w:link w:val="MSGENFONTSTYLENAMETEMPLATEROLENUMBERMSGENFONTSTYLENAMEBYROLETEXT80"/>
    <w:rsid w:val="00DC4AD8"/>
    <w:rPr>
      <w:rFonts w:ascii="Arial" w:eastAsia="Arial" w:hAnsi="Arial" w:cs="Arial"/>
      <w:sz w:val="18"/>
      <w:szCs w:val="18"/>
      <w:shd w:val="clear" w:color="auto" w:fill="FFFFFF"/>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DC4AD8"/>
    <w:pPr>
      <w:widowControl w:val="0"/>
      <w:shd w:val="clear" w:color="auto" w:fill="FFFFFF"/>
      <w:suppressAutoHyphens w:val="0"/>
      <w:spacing w:before="1780" w:line="200" w:lineRule="exact"/>
      <w:jc w:val="center"/>
    </w:pPr>
    <w:rPr>
      <w:rFonts w:ascii="Arial" w:eastAsia="Arial" w:hAnsi="Arial" w:cs="Arial"/>
      <w:sz w:val="18"/>
      <w:szCs w:val="18"/>
      <w:lang w:val="fr-FR" w:eastAsia="fr-FR"/>
    </w:rPr>
  </w:style>
  <w:style w:type="character" w:customStyle="1" w:styleId="MSGENFONTSTYLENAMETEMPLATEROLENUMBERMSGENFONTSTYLENAMEBYROLETEXT11MSGENFONTSTYLEMODIFERSIZE65">
    <w:name w:val="MSG_EN_FONT_STYLE_NAME_TEMPLATE_ROLE_NUMBER MSG_EN_FONT_STYLE_NAME_BY_ROLE_TEXT 11 + MSG_EN_FONT_STYLE_MODIFER_SIZE 6.5"/>
    <w:basedOn w:val="Policepardfaut"/>
    <w:rsid w:val="00DC4AD8"/>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MSGENFONTSTYLENAMETEMPLATEROLENUMBERMSGENFONTSTYLENAMEBYROLETEXT13">
    <w:name w:val="MSG_EN_FONT_STYLE_NAME_TEMPLATE_ROLE_NUMBER MSG_EN_FONT_STYLE_NAME_BY_ROLE_TEXT 13_"/>
    <w:basedOn w:val="Policepardfaut"/>
    <w:link w:val="MSGENFONTSTYLENAMETEMPLATEROLENUMBERMSGENFONTSTYLENAMEBYROLETEXT130"/>
    <w:rsid w:val="00DC4AD8"/>
    <w:rPr>
      <w:rFonts w:ascii="Arial" w:eastAsia="Arial" w:hAnsi="Arial" w:cs="Arial"/>
      <w:sz w:val="12"/>
      <w:szCs w:val="12"/>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C4AD8"/>
    <w:pPr>
      <w:widowControl w:val="0"/>
      <w:shd w:val="clear" w:color="auto" w:fill="FFFFFF"/>
      <w:suppressAutoHyphens w:val="0"/>
      <w:spacing w:line="168" w:lineRule="exact"/>
      <w:jc w:val="both"/>
    </w:pPr>
    <w:rPr>
      <w:rFonts w:ascii="Arial" w:eastAsia="Arial" w:hAnsi="Arial" w:cs="Arial"/>
      <w:sz w:val="12"/>
      <w:szCs w:val="12"/>
      <w:lang w:val="fr-FR" w:eastAsia="fr-FR"/>
    </w:rPr>
  </w:style>
  <w:style w:type="character" w:customStyle="1" w:styleId="MSGENFONTSTYLENAMETEMPLATEROLELEVELMSGENFONTSTYLENAMEBYROLEHEADING2">
    <w:name w:val="MSG_EN_FONT_STYLE_NAME_TEMPLATE_ROLE_LEVEL MSG_EN_FONT_STYLE_NAME_BY_ROLE_HEADING 2"/>
    <w:basedOn w:val="Policepardfaut"/>
    <w:rsid w:val="00DC4AD8"/>
    <w:rPr>
      <w:rFonts w:ascii="Arial" w:eastAsia="Arial" w:hAnsi="Arial" w:cs="Arial"/>
      <w:b/>
      <w:bCs/>
      <w:i w:val="0"/>
      <w:iCs w:val="0"/>
      <w:smallCaps w:val="0"/>
      <w:strike w:val="0"/>
      <w:color w:val="000000"/>
      <w:spacing w:val="0"/>
      <w:w w:val="100"/>
      <w:position w:val="0"/>
      <w:sz w:val="22"/>
      <w:szCs w:val="22"/>
      <w:u w:val="single"/>
      <w:lang w:val="en-GB" w:eastAsia="en-GB" w:bidi="en-GB"/>
    </w:rPr>
  </w:style>
  <w:style w:type="table" w:customStyle="1" w:styleId="Grilledutableau1">
    <w:name w:val="Grille du tableau1"/>
    <w:basedOn w:val="TableauNormal"/>
    <w:next w:val="Grilledutableau"/>
    <w:uiPriority w:val="59"/>
    <w:rsid w:val="00691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0">
    <w:name w:val="titre 4"/>
    <w:basedOn w:val="Titre4"/>
    <w:link w:val="titre4Car0"/>
    <w:qFormat/>
    <w:rsid w:val="002A0438"/>
    <w:pPr>
      <w:tabs>
        <w:tab w:val="clear" w:pos="0"/>
        <w:tab w:val="left" w:pos="993"/>
      </w:tabs>
      <w:suppressAutoHyphens w:val="0"/>
    </w:pPr>
    <w:rPr>
      <w:i/>
      <w:lang w:eastAsia="en-US"/>
    </w:rPr>
  </w:style>
  <w:style w:type="character" w:customStyle="1" w:styleId="titre4Car0">
    <w:name w:val="titre 4 Car"/>
    <w:basedOn w:val="Titre4Car"/>
    <w:link w:val="titre40"/>
    <w:rsid w:val="002A0438"/>
    <w:rPr>
      <w:rFonts w:ascii="Verdana" w:eastAsia="Calibri" w:hAnsi="Verdana" w:cs="Verdana"/>
      <w:i/>
      <w:sz w:val="22"/>
      <w:szCs w:val="24"/>
      <w:lang w:val="de-DE" w:eastAsia="en-US"/>
    </w:rPr>
  </w:style>
  <w:style w:type="paragraph" w:customStyle="1" w:styleId="TITRE30">
    <w:name w:val="_TITRE3"/>
    <w:basedOn w:val="Normal"/>
    <w:next w:val="Normal"/>
    <w:qFormat/>
    <w:rsid w:val="002A0438"/>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character" w:customStyle="1" w:styleId="current-selection">
    <w:name w:val="current-selection"/>
    <w:basedOn w:val="Policepardfaut"/>
    <w:rsid w:val="008A2ABE"/>
  </w:style>
  <w:style w:type="character" w:customStyle="1" w:styleId="ls1">
    <w:name w:val="ls1"/>
    <w:basedOn w:val="Policepardfaut"/>
    <w:rsid w:val="008A2ABE"/>
  </w:style>
  <w:style w:type="character" w:customStyle="1" w:styleId="ls2">
    <w:name w:val="ls2"/>
    <w:basedOn w:val="Policepardfaut"/>
    <w:rsid w:val="008A2ABE"/>
  </w:style>
  <w:style w:type="character" w:customStyle="1" w:styleId="fc2">
    <w:name w:val="fc2"/>
    <w:basedOn w:val="Policepardfaut"/>
    <w:rsid w:val="008A2ABE"/>
  </w:style>
  <w:style w:type="table" w:customStyle="1" w:styleId="TableGrid5">
    <w:name w:val="Table Grid5"/>
    <w:basedOn w:val="TableauNormal"/>
    <w:next w:val="Grilledutableau"/>
    <w:uiPriority w:val="59"/>
    <w:rsid w:val="003D6A06"/>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Corpsdetexte"/>
    <w:rsid w:val="003D6A06"/>
    <w:pPr>
      <w:widowControl w:val="0"/>
      <w:suppressAutoHyphens w:val="0"/>
    </w:pPr>
    <w:rPr>
      <w:rFonts w:cs="Times New Roman"/>
      <w:snapToGrid w:val="0"/>
      <w:sz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02113">
      <w:bodyDiv w:val="1"/>
      <w:marLeft w:val="0"/>
      <w:marRight w:val="0"/>
      <w:marTop w:val="0"/>
      <w:marBottom w:val="0"/>
      <w:divBdr>
        <w:top w:val="none" w:sz="0" w:space="0" w:color="auto"/>
        <w:left w:val="none" w:sz="0" w:space="0" w:color="auto"/>
        <w:bottom w:val="none" w:sz="0" w:space="0" w:color="auto"/>
        <w:right w:val="none" w:sz="0" w:space="0" w:color="auto"/>
      </w:divBdr>
    </w:div>
    <w:div w:id="488329186">
      <w:bodyDiv w:val="1"/>
      <w:marLeft w:val="0"/>
      <w:marRight w:val="0"/>
      <w:marTop w:val="0"/>
      <w:marBottom w:val="0"/>
      <w:divBdr>
        <w:top w:val="none" w:sz="0" w:space="0" w:color="auto"/>
        <w:left w:val="none" w:sz="0" w:space="0" w:color="auto"/>
        <w:bottom w:val="none" w:sz="0" w:space="0" w:color="auto"/>
        <w:right w:val="none" w:sz="0" w:space="0" w:color="auto"/>
      </w:divBdr>
    </w:div>
    <w:div w:id="1165701691">
      <w:bodyDiv w:val="1"/>
      <w:marLeft w:val="0"/>
      <w:marRight w:val="0"/>
      <w:marTop w:val="0"/>
      <w:marBottom w:val="0"/>
      <w:divBdr>
        <w:top w:val="none" w:sz="0" w:space="0" w:color="auto"/>
        <w:left w:val="none" w:sz="0" w:space="0" w:color="auto"/>
        <w:bottom w:val="none" w:sz="0" w:space="0" w:color="auto"/>
        <w:right w:val="none" w:sz="0" w:space="0" w:color="auto"/>
      </w:divBdr>
    </w:div>
    <w:div w:id="15992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s://webgate.ec.europa.eu/echa-scircabc/w/browse/4c8d9091-caf3-493d-9f81-0464337f8d4f"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helpdesk-biocides@anses.f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cfsph.iastate.edu/Infection_Control/Species/Teatbibliography.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fsph.iastate.edu/Infection_Control/Species/Teatbibliography.pdf" TargetMode="External"/><Relationship Id="rId1" Type="http://schemas.openxmlformats.org/officeDocument/2006/relationships/hyperlink" Target="http://cytalabs.com/wp-content/uploads/2015/01/our-industry-today-deeping-product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2C25-DCF2-49A9-B934-E4CE4ED8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23457</Words>
  <Characters>129019</Characters>
  <Application>Microsoft Office Word</Application>
  <DocSecurity>0</DocSecurity>
  <Lines>1075</Lines>
  <Paragraphs>304</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152172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GOURLAY-FRANCE Catherine</dc:creator>
  <cp:lastModifiedBy>GAUTHERON Christelle</cp:lastModifiedBy>
  <cp:revision>3</cp:revision>
  <cp:lastPrinted>2018-05-04T09:38:00Z</cp:lastPrinted>
  <dcterms:created xsi:type="dcterms:W3CDTF">2024-01-05T08:11:00Z</dcterms:created>
  <dcterms:modified xsi:type="dcterms:W3CDTF">2024-01-05T08:12:00Z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