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319299507"/>
        <w:docPartObj>
          <w:docPartGallery w:val="Cover Pages"/>
          <w:docPartUnique/>
        </w:docPartObj>
      </w:sdtPr>
      <w:sdtEndPr>
        <w:rPr>
          <w:rFonts w:ascii="Verdana" w:hAnsi="Verdana"/>
        </w:rPr>
      </w:sdtEndPr>
      <w:sdtContent>
        <w:p w14:paraId="7CD6BD57" w14:textId="064E9623" w:rsidR="00637EA9" w:rsidRPr="00806584" w:rsidRDefault="00637EA9">
          <w:r>
            <w:rPr>
              <w:noProof/>
              <w:lang w:eastAsia="en-GB"/>
            </w:rPr>
            <mc:AlternateContent>
              <mc:Choice Requires="wps">
                <w:drawing>
                  <wp:anchor distT="0" distB="0" distL="182880" distR="182880" simplePos="0" relativeHeight="251645440" behindDoc="0" locked="0" layoutInCell="1" allowOverlap="1" wp14:anchorId="61FB0B32" wp14:editId="456343FF">
                    <wp:simplePos x="0" y="0"/>
                    <wp:positionH relativeFrom="margin">
                      <wp:posOffset>86360</wp:posOffset>
                    </wp:positionH>
                    <wp:positionV relativeFrom="page">
                      <wp:posOffset>2478405</wp:posOffset>
                    </wp:positionV>
                    <wp:extent cx="6192520"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619252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AA1B9" w14:textId="3B8C9D4D" w:rsidR="00FE7D9E" w:rsidRPr="00806584" w:rsidRDefault="00482573" w:rsidP="00806584">
                                <w:pPr>
                                  <w:spacing w:before="120" w:after="240" w:line="276" w:lineRule="auto"/>
                                  <w:jc w:val="center"/>
                                  <w:rPr>
                                    <w:rFonts w:ascii="Verdana" w:eastAsia="Times New Roman" w:hAnsi="Verdana" w:cs="Times New Roman"/>
                                    <w:b/>
                                    <w:bCs/>
                                    <w:color w:val="0046AD"/>
                                    <w:sz w:val="28"/>
                                    <w:szCs w:val="28"/>
                                    <w:lang w:eastAsia="en-GB"/>
                                  </w:rPr>
                                </w:pPr>
                                <w:sdt>
                                  <w:sdtPr>
                                    <w:rPr>
                                      <w:rFonts w:ascii="Verdana" w:eastAsia="Times New Roman" w:hAnsi="Verdana" w:cs="Times New Roman"/>
                                      <w:b/>
                                      <w:bCs/>
                                      <w:color w:val="0046AD"/>
                                      <w:sz w:val="28"/>
                                      <w:szCs w:val="28"/>
                                      <w:lang w:eastAsia="en-GB"/>
                                    </w:rPr>
                                    <w:alias w:val="Title"/>
                                    <w:tag w:val=""/>
                                    <w:id w:val="-2122054140"/>
                                    <w:dataBinding w:prefixMappings="xmlns:ns0='http://purl.org/dc/elements/1.1/' xmlns:ns1='http://schemas.openxmlformats.org/package/2006/metadata/core-properties' " w:xpath="/ns1:coreProperties[1]/ns0:title[1]" w:storeItemID="{6C3C8BC8-F283-45AE-878A-BAB7291924A1}"/>
                                    <w:text/>
                                  </w:sdtPr>
                                  <w:sdtEndPr/>
                                  <w:sdtContent>
                                    <w:r w:rsidR="00FE7D9E" w:rsidRPr="00806584">
                                      <w:rPr>
                                        <w:rFonts w:ascii="Verdana" w:eastAsia="Times New Roman" w:hAnsi="Verdana" w:cs="Times New Roman"/>
                                        <w:b/>
                                        <w:bCs/>
                                        <w:color w:val="0046AD"/>
                                        <w:sz w:val="28"/>
                                        <w:szCs w:val="28"/>
                                        <w:lang w:eastAsia="en-GB"/>
                                      </w:rPr>
                                      <w:t xml:space="preserve">WEIGHT OF EVIDENCE/UNCERTAINTY </w:t>
                                    </w:r>
                                    <w:r w:rsidR="00FE7D9E">
                                      <w:rPr>
                                        <w:rFonts w:ascii="Verdana" w:eastAsia="Times New Roman" w:hAnsi="Verdana" w:cs="Times New Roman"/>
                                        <w:b/>
                                        <w:bCs/>
                                        <w:color w:val="0046AD"/>
                                        <w:sz w:val="28"/>
                                        <w:szCs w:val="28"/>
                                        <w:lang w:eastAsia="en-GB"/>
                                      </w:rPr>
                                      <w:t xml:space="preserve">                                    </w:t>
                                    </w:r>
                                    <w:r w:rsidR="00FE7D9E" w:rsidRPr="00806584">
                                      <w:rPr>
                                        <w:rFonts w:ascii="Verdana" w:eastAsia="Times New Roman" w:hAnsi="Verdana" w:cs="Times New Roman"/>
                                        <w:b/>
                                        <w:bCs/>
                                        <w:color w:val="0046AD"/>
                                        <w:sz w:val="28"/>
                                        <w:szCs w:val="28"/>
                                        <w:lang w:eastAsia="en-GB"/>
                                      </w:rPr>
                                      <w:t>IN HAZARD ASSESSMENT</w:t>
                                    </w:r>
                                  </w:sdtContent>
                                </w:sdt>
                              </w:p>
                              <w:p w14:paraId="0A961ABE" w14:textId="77777777" w:rsidR="00FE7D9E" w:rsidRDefault="00FE7D9E" w:rsidP="00806584">
                                <w:pPr>
                                  <w:spacing w:before="120" w:after="240" w:line="276" w:lineRule="auto"/>
                                  <w:jc w:val="both"/>
                                  <w:rPr>
                                    <w:rFonts w:ascii="Verdana" w:eastAsia="Times New Roman" w:hAnsi="Verdana" w:cs="Times New Roman"/>
                                    <w:b/>
                                    <w:bCs/>
                                    <w:color w:val="0046AD"/>
                                    <w:sz w:val="28"/>
                                    <w:szCs w:val="28"/>
                                    <w:lang w:eastAsia="en-GB"/>
                                  </w:rPr>
                                </w:pPr>
                              </w:p>
                              <w:p w14:paraId="79CF75AE" w14:textId="1DC430F0" w:rsidR="00FE7D9E" w:rsidRPr="00806584" w:rsidRDefault="00FE7D9E" w:rsidP="00806584">
                                <w:pPr>
                                  <w:spacing w:before="120" w:after="240" w:line="276" w:lineRule="auto"/>
                                  <w:jc w:val="center"/>
                                  <w:rPr>
                                    <w:rFonts w:ascii="Verdana" w:eastAsia="Times New Roman" w:hAnsi="Verdana" w:cs="Times New Roman"/>
                                    <w:b/>
                                    <w:bCs/>
                                    <w:color w:val="0046AD"/>
                                    <w:sz w:val="28"/>
                                    <w:szCs w:val="28"/>
                                    <w:lang w:eastAsia="en-GB"/>
                                  </w:rPr>
                                </w:pPr>
                                <w:r w:rsidRPr="00806584">
                                  <w:rPr>
                                    <w:rFonts w:ascii="Verdana" w:eastAsia="Times New Roman" w:hAnsi="Verdana" w:cs="Times New Roman"/>
                                    <w:b/>
                                    <w:bCs/>
                                    <w:color w:val="0046AD"/>
                                    <w:sz w:val="28"/>
                                    <w:szCs w:val="28"/>
                                    <w:lang w:eastAsia="en-GB"/>
                                  </w:rPr>
                                  <w:t>Background Document</w:t>
                                </w:r>
                                <w:r>
                                  <w:rPr>
                                    <w:rFonts w:ascii="Verdana" w:eastAsia="Times New Roman" w:hAnsi="Verdana" w:cs="Times New Roman"/>
                                    <w:b/>
                                    <w:bCs/>
                                    <w:color w:val="0046AD"/>
                                    <w:sz w:val="28"/>
                                    <w:szCs w:val="28"/>
                                    <w:lang w:eastAsia="en-GB"/>
                                  </w:rPr>
                                  <w:t xml:space="preserve"> &amp; Examples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1FB0B32" id="_x0000_t202" coordsize="21600,21600" o:spt="202" path="m,l,21600r21600,l21600,xe">
                    <v:stroke joinstyle="miter"/>
                    <v:path gradientshapeok="t" o:connecttype="rect"/>
                  </v:shapetype>
                  <v:shape id="Text Box 131" o:spid="_x0000_s1026" type="#_x0000_t202" style="position:absolute;margin-left:6.8pt;margin-top:195.15pt;width:487.6pt;height:529.2pt;z-index:25164544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" filled="f" stroked="f" strokeweight=".5pt">
                    <v:textbox style="mso-fit-shape-to-text:t" inset="0,0,0,0">
                      <w:txbxContent>
                        <w:p w14:paraId="552AA1B9" w14:textId="3B8C9D4D" w:rsidR="00FE7D9E" w:rsidRPr="00806584" w:rsidRDefault="00FE7D9E" w:rsidP="00806584">
                          <w:pPr>
                            <w:spacing w:before="120" w:after="240" w:line="276" w:lineRule="auto"/>
                            <w:jc w:val="center"/>
                            <w:rPr>
                              <w:rFonts w:ascii="Verdana" w:eastAsia="Times New Roman" w:hAnsi="Verdana" w:cs="Times New Roman"/>
                              <w:b/>
                              <w:bCs/>
                              <w:color w:val="0046AD"/>
                              <w:sz w:val="28"/>
                              <w:szCs w:val="28"/>
                              <w:lang w:eastAsia="en-GB"/>
                            </w:rPr>
                          </w:pPr>
                          <w:sdt>
                            <w:sdtPr>
                              <w:rPr>
                                <w:rFonts w:ascii="Verdana" w:eastAsia="Times New Roman" w:hAnsi="Verdana" w:cs="Times New Roman"/>
                                <w:b/>
                                <w:bCs/>
                                <w:color w:val="0046AD"/>
                                <w:sz w:val="28"/>
                                <w:szCs w:val="28"/>
                                <w:lang w:eastAsia="en-GB"/>
                              </w:rPr>
                              <w:alias w:val="Title"/>
                              <w:tag w:val=""/>
                              <w:id w:val="-2122054140"/>
                              <w:dataBinding w:prefixMappings="xmlns:ns0='http://purl.org/dc/elements/1.1/' xmlns:ns1='http://schemas.openxmlformats.org/package/2006/metadata/core-properties' " w:xpath="/ns1:coreProperties[1]/ns0:title[1]" w:storeItemID="{6C3C8BC8-F283-45AE-878A-BAB7291924A1}"/>
                              <w:text/>
                            </w:sdtPr>
                            <w:sdtContent>
                              <w:r w:rsidRPr="00806584">
                                <w:rPr>
                                  <w:rFonts w:ascii="Verdana" w:eastAsia="Times New Roman" w:hAnsi="Verdana" w:cs="Times New Roman"/>
                                  <w:b/>
                                  <w:bCs/>
                                  <w:color w:val="0046AD"/>
                                  <w:sz w:val="28"/>
                                  <w:szCs w:val="28"/>
                                  <w:lang w:eastAsia="en-GB"/>
                                </w:rPr>
                                <w:t xml:space="preserve">WEIGHT OF EVIDENCE/UNCERTAINTY </w:t>
                              </w:r>
                              <w:r>
                                <w:rPr>
                                  <w:rFonts w:ascii="Verdana" w:eastAsia="Times New Roman" w:hAnsi="Verdana" w:cs="Times New Roman"/>
                                  <w:b/>
                                  <w:bCs/>
                                  <w:color w:val="0046AD"/>
                                  <w:sz w:val="28"/>
                                  <w:szCs w:val="28"/>
                                  <w:lang w:eastAsia="en-GB"/>
                                </w:rPr>
                                <w:t xml:space="preserve">                                    </w:t>
                              </w:r>
                              <w:r w:rsidRPr="00806584">
                                <w:rPr>
                                  <w:rFonts w:ascii="Verdana" w:eastAsia="Times New Roman" w:hAnsi="Verdana" w:cs="Times New Roman"/>
                                  <w:b/>
                                  <w:bCs/>
                                  <w:color w:val="0046AD"/>
                                  <w:sz w:val="28"/>
                                  <w:szCs w:val="28"/>
                                  <w:lang w:eastAsia="en-GB"/>
                                </w:rPr>
                                <w:t>IN HAZARD ASSESSMENT</w:t>
                              </w:r>
                            </w:sdtContent>
                          </w:sdt>
                        </w:p>
                        <w:p w14:paraId="0A961ABE" w14:textId="77777777" w:rsidR="00FE7D9E" w:rsidRDefault="00FE7D9E" w:rsidP="00806584">
                          <w:pPr>
                            <w:spacing w:before="120" w:after="240" w:line="276" w:lineRule="auto"/>
                            <w:jc w:val="both"/>
                            <w:rPr>
                              <w:rFonts w:ascii="Verdana" w:eastAsia="Times New Roman" w:hAnsi="Verdana" w:cs="Times New Roman"/>
                              <w:b/>
                              <w:bCs/>
                              <w:color w:val="0046AD"/>
                              <w:sz w:val="28"/>
                              <w:szCs w:val="28"/>
                              <w:lang w:eastAsia="en-GB"/>
                            </w:rPr>
                          </w:pPr>
                        </w:p>
                        <w:p w14:paraId="79CF75AE" w14:textId="1DC430F0" w:rsidR="00FE7D9E" w:rsidRPr="00806584" w:rsidRDefault="00FE7D9E" w:rsidP="00806584">
                          <w:pPr>
                            <w:spacing w:before="120" w:after="240" w:line="276" w:lineRule="auto"/>
                            <w:jc w:val="center"/>
                            <w:rPr>
                              <w:rFonts w:ascii="Verdana" w:eastAsia="Times New Roman" w:hAnsi="Verdana" w:cs="Times New Roman"/>
                              <w:b/>
                              <w:bCs/>
                              <w:color w:val="0046AD"/>
                              <w:sz w:val="28"/>
                              <w:szCs w:val="28"/>
                              <w:lang w:eastAsia="en-GB"/>
                            </w:rPr>
                          </w:pPr>
                          <w:r w:rsidRPr="00806584">
                            <w:rPr>
                              <w:rFonts w:ascii="Verdana" w:eastAsia="Times New Roman" w:hAnsi="Verdana" w:cs="Times New Roman"/>
                              <w:b/>
                              <w:bCs/>
                              <w:color w:val="0046AD"/>
                              <w:sz w:val="28"/>
                              <w:szCs w:val="28"/>
                              <w:lang w:eastAsia="en-GB"/>
                            </w:rPr>
                            <w:t>Background Document</w:t>
                          </w:r>
                          <w:r>
                            <w:rPr>
                              <w:rFonts w:ascii="Verdana" w:eastAsia="Times New Roman" w:hAnsi="Verdana" w:cs="Times New Roman"/>
                              <w:b/>
                              <w:bCs/>
                              <w:color w:val="0046AD"/>
                              <w:sz w:val="28"/>
                              <w:szCs w:val="28"/>
                              <w:lang w:eastAsia="en-GB"/>
                            </w:rPr>
                            <w:t xml:space="preserve"> &amp; Examples</w:t>
                          </w:r>
                        </w:p>
                      </w:txbxContent>
                    </v:textbox>
                    <w10:wrap type="square" anchorx="margin" anchory="page"/>
                  </v:shape>
                </w:pict>
              </mc:Fallback>
            </mc:AlternateContent>
          </w:r>
          <w:r>
            <w:rPr>
              <w:rFonts w:ascii="Verdana" w:hAnsi="Verdana"/>
            </w:rPr>
            <w:br w:type="page"/>
          </w:r>
        </w:p>
      </w:sdtContent>
    </w:sdt>
    <w:sdt>
      <w:sdtPr>
        <w:rPr>
          <w:rFonts w:ascii="Verdana" w:eastAsiaTheme="minorHAnsi" w:hAnsi="Verdana" w:cstheme="minorBidi"/>
          <w:color w:val="auto"/>
          <w:sz w:val="22"/>
          <w:szCs w:val="22"/>
          <w:lang w:val="en-GB"/>
        </w:rPr>
        <w:id w:val="797190385"/>
        <w:docPartObj>
          <w:docPartGallery w:val="Table of Contents"/>
          <w:docPartUnique/>
        </w:docPartObj>
      </w:sdtPr>
      <w:sdtEndPr>
        <w:rPr>
          <w:b/>
          <w:bCs/>
          <w:noProof/>
        </w:rPr>
      </w:sdtEndPr>
      <w:sdtContent>
        <w:p w14:paraId="718CD6AD" w14:textId="4E7F185E" w:rsidR="00676CF9" w:rsidRPr="001C20B1" w:rsidRDefault="00676CF9">
          <w:pPr>
            <w:pStyle w:val="TOCHeading"/>
            <w:rPr>
              <w:rFonts w:ascii="Verdana" w:eastAsia="Times New Roman" w:hAnsi="Verdana" w:cs="Times New Roman"/>
              <w:b/>
              <w:snapToGrid w:val="0"/>
              <w:color w:val="0046AD"/>
              <w:sz w:val="28"/>
              <w:szCs w:val="24"/>
              <w:lang w:val="en-GB" w:eastAsia="fi-FI"/>
            </w:rPr>
          </w:pPr>
          <w:r w:rsidRPr="001C20B1">
            <w:rPr>
              <w:rFonts w:ascii="Verdana" w:eastAsia="Times New Roman" w:hAnsi="Verdana" w:cs="Times New Roman"/>
              <w:b/>
              <w:snapToGrid w:val="0"/>
              <w:color w:val="0046AD"/>
              <w:sz w:val="28"/>
              <w:szCs w:val="24"/>
              <w:lang w:val="en-GB" w:eastAsia="fi-FI"/>
            </w:rPr>
            <w:t>Contents</w:t>
          </w:r>
        </w:p>
        <w:p w14:paraId="478C54C0" w14:textId="77777777" w:rsidR="00637EA9" w:rsidRDefault="00637EA9">
          <w:pPr>
            <w:pStyle w:val="TOC1"/>
            <w:tabs>
              <w:tab w:val="right" w:leader="dot" w:pos="9016"/>
            </w:tabs>
            <w:rPr>
              <w:rFonts w:ascii="Verdana" w:hAnsi="Verdana"/>
            </w:rPr>
          </w:pPr>
        </w:p>
        <w:p w14:paraId="1B469ED1" w14:textId="77777777" w:rsidR="001C20B1" w:rsidRDefault="00676CF9">
          <w:pPr>
            <w:pStyle w:val="TOC1"/>
            <w:tabs>
              <w:tab w:val="right" w:leader="dot" w:pos="9016"/>
            </w:tabs>
            <w:rPr>
              <w:rFonts w:eastAsiaTheme="minorEastAsia"/>
              <w:noProof/>
              <w:lang w:eastAsia="en-GB"/>
            </w:rPr>
          </w:pPr>
          <w:r w:rsidRPr="00B7365A">
            <w:rPr>
              <w:rFonts w:ascii="Verdana" w:hAnsi="Verdana"/>
            </w:rPr>
            <w:fldChar w:fldCharType="begin"/>
          </w:r>
          <w:r w:rsidRPr="00B7365A">
            <w:rPr>
              <w:rFonts w:ascii="Verdana" w:hAnsi="Verdana"/>
            </w:rPr>
            <w:instrText xml:space="preserve"> TOC \o "1-3" \h \z \u </w:instrText>
          </w:r>
          <w:r w:rsidRPr="00B7365A">
            <w:rPr>
              <w:rFonts w:ascii="Verdana" w:hAnsi="Verdana"/>
            </w:rPr>
            <w:fldChar w:fldCharType="separate"/>
          </w:r>
          <w:hyperlink w:anchor="_Toc499654079" w:history="1">
            <w:r w:rsidR="001C20B1" w:rsidRPr="00F67C3E">
              <w:rPr>
                <w:rStyle w:val="Hyperlink"/>
                <w:rFonts w:eastAsia="Times New Roman" w:cs="Times New Roman"/>
                <w:b/>
                <w:noProof/>
                <w:snapToGrid w:val="0"/>
                <w:lang w:eastAsia="fi-FI"/>
              </w:rPr>
              <w:t>Foreword</w:t>
            </w:r>
            <w:r w:rsidR="001C20B1">
              <w:rPr>
                <w:noProof/>
                <w:webHidden/>
              </w:rPr>
              <w:tab/>
            </w:r>
            <w:r w:rsidR="001C20B1">
              <w:rPr>
                <w:noProof/>
                <w:webHidden/>
              </w:rPr>
              <w:fldChar w:fldCharType="begin"/>
            </w:r>
            <w:r w:rsidR="001C20B1">
              <w:rPr>
                <w:noProof/>
                <w:webHidden/>
              </w:rPr>
              <w:instrText xml:space="preserve"> PAGEREF _Toc499654079 \h </w:instrText>
            </w:r>
            <w:r w:rsidR="001C20B1">
              <w:rPr>
                <w:noProof/>
                <w:webHidden/>
              </w:rPr>
            </w:r>
            <w:r w:rsidR="001C20B1">
              <w:rPr>
                <w:noProof/>
                <w:webHidden/>
              </w:rPr>
              <w:fldChar w:fldCharType="separate"/>
            </w:r>
            <w:r w:rsidR="001C20B1">
              <w:rPr>
                <w:noProof/>
                <w:webHidden/>
              </w:rPr>
              <w:t>2</w:t>
            </w:r>
            <w:r w:rsidR="001C20B1">
              <w:rPr>
                <w:noProof/>
                <w:webHidden/>
              </w:rPr>
              <w:fldChar w:fldCharType="end"/>
            </w:r>
          </w:hyperlink>
        </w:p>
        <w:p w14:paraId="7F477B95" w14:textId="77777777" w:rsidR="001C20B1" w:rsidRDefault="00482573">
          <w:pPr>
            <w:pStyle w:val="TOC1"/>
            <w:tabs>
              <w:tab w:val="left" w:pos="660"/>
              <w:tab w:val="right" w:leader="dot" w:pos="9016"/>
            </w:tabs>
            <w:rPr>
              <w:rFonts w:eastAsiaTheme="minorEastAsia"/>
              <w:noProof/>
              <w:lang w:eastAsia="en-GB"/>
            </w:rPr>
          </w:pPr>
          <w:hyperlink w:anchor="_Toc499654080" w:history="1">
            <w:r w:rsidR="001C20B1" w:rsidRPr="00F67C3E">
              <w:rPr>
                <w:rStyle w:val="Hyperlink"/>
                <w:rFonts w:eastAsia="Times New Roman" w:cs="Times New Roman"/>
                <w:b/>
                <w:noProof/>
                <w:snapToGrid w:val="0"/>
                <w:lang w:eastAsia="fi-FI"/>
              </w:rPr>
              <w:t>1.</w:t>
            </w:r>
            <w:r w:rsidR="001C20B1">
              <w:rPr>
                <w:rFonts w:eastAsiaTheme="minorEastAsia"/>
                <w:noProof/>
                <w:lang w:eastAsia="en-GB"/>
              </w:rPr>
              <w:tab/>
            </w:r>
            <w:r w:rsidR="001C20B1" w:rsidRPr="00F67C3E">
              <w:rPr>
                <w:rStyle w:val="Hyperlink"/>
                <w:rFonts w:eastAsia="Times New Roman" w:cs="Times New Roman"/>
                <w:b/>
                <w:noProof/>
                <w:snapToGrid w:val="0"/>
                <w:lang w:eastAsia="fi-FI"/>
              </w:rPr>
              <w:t>Introduction</w:t>
            </w:r>
            <w:r w:rsidR="001C20B1">
              <w:rPr>
                <w:noProof/>
                <w:webHidden/>
              </w:rPr>
              <w:tab/>
            </w:r>
            <w:r w:rsidR="001C20B1">
              <w:rPr>
                <w:noProof/>
                <w:webHidden/>
              </w:rPr>
              <w:fldChar w:fldCharType="begin"/>
            </w:r>
            <w:r w:rsidR="001C20B1">
              <w:rPr>
                <w:noProof/>
                <w:webHidden/>
              </w:rPr>
              <w:instrText xml:space="preserve"> PAGEREF _Toc499654080 \h </w:instrText>
            </w:r>
            <w:r w:rsidR="001C20B1">
              <w:rPr>
                <w:noProof/>
                <w:webHidden/>
              </w:rPr>
            </w:r>
            <w:r w:rsidR="001C20B1">
              <w:rPr>
                <w:noProof/>
                <w:webHidden/>
              </w:rPr>
              <w:fldChar w:fldCharType="separate"/>
            </w:r>
            <w:r w:rsidR="001C20B1">
              <w:rPr>
                <w:noProof/>
                <w:webHidden/>
              </w:rPr>
              <w:t>3</w:t>
            </w:r>
            <w:r w:rsidR="001C20B1">
              <w:rPr>
                <w:noProof/>
                <w:webHidden/>
              </w:rPr>
              <w:fldChar w:fldCharType="end"/>
            </w:r>
          </w:hyperlink>
        </w:p>
        <w:p w14:paraId="745D0427" w14:textId="77777777" w:rsidR="001C20B1" w:rsidRDefault="00482573">
          <w:pPr>
            <w:pStyle w:val="TOC2"/>
            <w:tabs>
              <w:tab w:val="left" w:pos="1100"/>
              <w:tab w:val="right" w:leader="dot" w:pos="9016"/>
            </w:tabs>
            <w:rPr>
              <w:rFonts w:eastAsiaTheme="minorEastAsia"/>
              <w:noProof/>
              <w:lang w:eastAsia="en-GB"/>
            </w:rPr>
          </w:pPr>
          <w:hyperlink w:anchor="_Toc499654081" w:history="1">
            <w:r w:rsidR="001C20B1" w:rsidRPr="00F67C3E">
              <w:rPr>
                <w:rStyle w:val="Hyperlink"/>
                <w:rFonts w:eastAsia="Times New Roman" w:cs="Arial"/>
                <w:b/>
                <w:noProof/>
                <w:snapToGrid w:val="0"/>
                <w:lang w:eastAsia="fi-FI"/>
              </w:rPr>
              <w:t>1.1.</w:t>
            </w:r>
            <w:r w:rsidR="001C20B1">
              <w:rPr>
                <w:rFonts w:eastAsiaTheme="minorEastAsia"/>
                <w:noProof/>
                <w:lang w:eastAsia="en-GB"/>
              </w:rPr>
              <w:tab/>
            </w:r>
            <w:r w:rsidR="001C20B1" w:rsidRPr="00F67C3E">
              <w:rPr>
                <w:rStyle w:val="Hyperlink"/>
                <w:rFonts w:eastAsia="Times New Roman" w:cs="Arial"/>
                <w:b/>
                <w:noProof/>
                <w:snapToGrid w:val="0"/>
                <w:lang w:eastAsia="fi-FI"/>
              </w:rPr>
              <w:t>Weight of Evidence Approach</w:t>
            </w:r>
            <w:r w:rsidR="001C20B1">
              <w:rPr>
                <w:noProof/>
                <w:webHidden/>
              </w:rPr>
              <w:tab/>
            </w:r>
            <w:r w:rsidR="001C20B1">
              <w:rPr>
                <w:noProof/>
                <w:webHidden/>
              </w:rPr>
              <w:fldChar w:fldCharType="begin"/>
            </w:r>
            <w:r w:rsidR="001C20B1">
              <w:rPr>
                <w:noProof/>
                <w:webHidden/>
              </w:rPr>
              <w:instrText xml:space="preserve"> PAGEREF _Toc499654081 \h </w:instrText>
            </w:r>
            <w:r w:rsidR="001C20B1">
              <w:rPr>
                <w:noProof/>
                <w:webHidden/>
              </w:rPr>
            </w:r>
            <w:r w:rsidR="001C20B1">
              <w:rPr>
                <w:noProof/>
                <w:webHidden/>
              </w:rPr>
              <w:fldChar w:fldCharType="separate"/>
            </w:r>
            <w:r w:rsidR="001C20B1">
              <w:rPr>
                <w:noProof/>
                <w:webHidden/>
              </w:rPr>
              <w:t>3</w:t>
            </w:r>
            <w:r w:rsidR="001C20B1">
              <w:rPr>
                <w:noProof/>
                <w:webHidden/>
              </w:rPr>
              <w:fldChar w:fldCharType="end"/>
            </w:r>
          </w:hyperlink>
        </w:p>
        <w:p w14:paraId="2F754448" w14:textId="77777777" w:rsidR="001C20B1" w:rsidRDefault="00482573">
          <w:pPr>
            <w:pStyle w:val="TOC2"/>
            <w:tabs>
              <w:tab w:val="left" w:pos="1100"/>
              <w:tab w:val="right" w:leader="dot" w:pos="9016"/>
            </w:tabs>
            <w:rPr>
              <w:rFonts w:eastAsiaTheme="minorEastAsia"/>
              <w:noProof/>
              <w:lang w:eastAsia="en-GB"/>
            </w:rPr>
          </w:pPr>
          <w:hyperlink w:anchor="_Toc499654082" w:history="1">
            <w:r w:rsidR="001C20B1" w:rsidRPr="00F67C3E">
              <w:rPr>
                <w:rStyle w:val="Hyperlink"/>
                <w:rFonts w:eastAsia="Times New Roman" w:cs="Arial"/>
                <w:b/>
                <w:noProof/>
                <w:snapToGrid w:val="0"/>
                <w:lang w:eastAsia="fi-FI"/>
              </w:rPr>
              <w:t>1.2.</w:t>
            </w:r>
            <w:r w:rsidR="001C20B1">
              <w:rPr>
                <w:rFonts w:eastAsiaTheme="minorEastAsia"/>
                <w:noProof/>
                <w:lang w:eastAsia="en-GB"/>
              </w:rPr>
              <w:tab/>
            </w:r>
            <w:r w:rsidR="001C20B1" w:rsidRPr="00F67C3E">
              <w:rPr>
                <w:rStyle w:val="Hyperlink"/>
                <w:rFonts w:eastAsia="Times New Roman" w:cs="Arial"/>
                <w:b/>
                <w:noProof/>
                <w:snapToGrid w:val="0"/>
                <w:lang w:eastAsia="fi-FI"/>
              </w:rPr>
              <w:t>Terms used in the Weight of Evidence area</w:t>
            </w:r>
            <w:r w:rsidR="001C20B1">
              <w:rPr>
                <w:noProof/>
                <w:webHidden/>
              </w:rPr>
              <w:tab/>
            </w:r>
            <w:r w:rsidR="001C20B1">
              <w:rPr>
                <w:noProof/>
                <w:webHidden/>
              </w:rPr>
              <w:fldChar w:fldCharType="begin"/>
            </w:r>
            <w:r w:rsidR="001C20B1">
              <w:rPr>
                <w:noProof/>
                <w:webHidden/>
              </w:rPr>
              <w:instrText xml:space="preserve"> PAGEREF _Toc499654082 \h </w:instrText>
            </w:r>
            <w:r w:rsidR="001C20B1">
              <w:rPr>
                <w:noProof/>
                <w:webHidden/>
              </w:rPr>
            </w:r>
            <w:r w:rsidR="001C20B1">
              <w:rPr>
                <w:noProof/>
                <w:webHidden/>
              </w:rPr>
              <w:fldChar w:fldCharType="separate"/>
            </w:r>
            <w:r w:rsidR="001C20B1">
              <w:rPr>
                <w:noProof/>
                <w:webHidden/>
              </w:rPr>
              <w:t>6</w:t>
            </w:r>
            <w:r w:rsidR="001C20B1">
              <w:rPr>
                <w:noProof/>
                <w:webHidden/>
              </w:rPr>
              <w:fldChar w:fldCharType="end"/>
            </w:r>
          </w:hyperlink>
        </w:p>
        <w:p w14:paraId="40C9383A" w14:textId="77777777" w:rsidR="001C20B1" w:rsidRDefault="00482573">
          <w:pPr>
            <w:pStyle w:val="TOC2"/>
            <w:tabs>
              <w:tab w:val="left" w:pos="1100"/>
              <w:tab w:val="right" w:leader="dot" w:pos="9016"/>
            </w:tabs>
            <w:rPr>
              <w:rFonts w:eastAsiaTheme="minorEastAsia"/>
              <w:noProof/>
              <w:lang w:eastAsia="en-GB"/>
            </w:rPr>
          </w:pPr>
          <w:hyperlink w:anchor="_Toc499654083" w:history="1">
            <w:r w:rsidR="001C20B1" w:rsidRPr="00F67C3E">
              <w:rPr>
                <w:rStyle w:val="Hyperlink"/>
                <w:rFonts w:eastAsia="Times New Roman" w:cs="Arial"/>
                <w:b/>
                <w:noProof/>
                <w:snapToGrid w:val="0"/>
                <w:lang w:eastAsia="fi-FI"/>
              </w:rPr>
              <w:t>1.3.</w:t>
            </w:r>
            <w:r w:rsidR="001C20B1">
              <w:rPr>
                <w:rFonts w:eastAsiaTheme="minorEastAsia"/>
                <w:noProof/>
                <w:lang w:eastAsia="en-GB"/>
              </w:rPr>
              <w:tab/>
            </w:r>
            <w:r w:rsidR="001C20B1" w:rsidRPr="00F67C3E">
              <w:rPr>
                <w:rStyle w:val="Hyperlink"/>
                <w:rFonts w:eastAsia="Times New Roman" w:cs="Arial"/>
                <w:b/>
                <w:noProof/>
                <w:snapToGrid w:val="0"/>
                <w:lang w:eastAsia="fi-FI"/>
              </w:rPr>
              <w:t>Uncertainty Definitions</w:t>
            </w:r>
            <w:r w:rsidR="001C20B1">
              <w:rPr>
                <w:noProof/>
                <w:webHidden/>
              </w:rPr>
              <w:tab/>
            </w:r>
            <w:r w:rsidR="001C20B1">
              <w:rPr>
                <w:noProof/>
                <w:webHidden/>
              </w:rPr>
              <w:fldChar w:fldCharType="begin"/>
            </w:r>
            <w:r w:rsidR="001C20B1">
              <w:rPr>
                <w:noProof/>
                <w:webHidden/>
              </w:rPr>
              <w:instrText xml:space="preserve"> PAGEREF _Toc499654083 \h </w:instrText>
            </w:r>
            <w:r w:rsidR="001C20B1">
              <w:rPr>
                <w:noProof/>
                <w:webHidden/>
              </w:rPr>
            </w:r>
            <w:r w:rsidR="001C20B1">
              <w:rPr>
                <w:noProof/>
                <w:webHidden/>
              </w:rPr>
              <w:fldChar w:fldCharType="separate"/>
            </w:r>
            <w:r w:rsidR="001C20B1">
              <w:rPr>
                <w:noProof/>
                <w:webHidden/>
              </w:rPr>
              <w:t>8</w:t>
            </w:r>
            <w:r w:rsidR="001C20B1">
              <w:rPr>
                <w:noProof/>
                <w:webHidden/>
              </w:rPr>
              <w:fldChar w:fldCharType="end"/>
            </w:r>
          </w:hyperlink>
        </w:p>
        <w:p w14:paraId="027EDA26" w14:textId="77777777" w:rsidR="001C20B1" w:rsidRDefault="00482573">
          <w:pPr>
            <w:pStyle w:val="TOC2"/>
            <w:tabs>
              <w:tab w:val="left" w:pos="1100"/>
              <w:tab w:val="right" w:leader="dot" w:pos="9016"/>
            </w:tabs>
            <w:rPr>
              <w:rFonts w:eastAsiaTheme="minorEastAsia"/>
              <w:noProof/>
              <w:lang w:eastAsia="en-GB"/>
            </w:rPr>
          </w:pPr>
          <w:hyperlink w:anchor="_Toc499654084" w:history="1">
            <w:r w:rsidR="001C20B1" w:rsidRPr="00F67C3E">
              <w:rPr>
                <w:rStyle w:val="Hyperlink"/>
                <w:rFonts w:eastAsia="Times New Roman" w:cs="Arial"/>
                <w:b/>
                <w:noProof/>
                <w:snapToGrid w:val="0"/>
                <w:lang w:eastAsia="fi-FI"/>
              </w:rPr>
              <w:t>1.4.</w:t>
            </w:r>
            <w:r w:rsidR="001C20B1">
              <w:rPr>
                <w:rFonts w:eastAsiaTheme="minorEastAsia"/>
                <w:noProof/>
                <w:lang w:eastAsia="en-GB"/>
              </w:rPr>
              <w:tab/>
            </w:r>
            <w:r w:rsidR="001C20B1" w:rsidRPr="00F67C3E">
              <w:rPr>
                <w:rStyle w:val="Hyperlink"/>
                <w:rFonts w:eastAsia="Times New Roman" w:cs="Arial"/>
                <w:b/>
                <w:noProof/>
                <w:snapToGrid w:val="0"/>
                <w:lang w:eastAsia="fi-FI"/>
              </w:rPr>
              <w:t>Relationship of WoE approach and uncertainty analysis</w:t>
            </w:r>
            <w:r w:rsidR="001C20B1">
              <w:rPr>
                <w:noProof/>
                <w:webHidden/>
              </w:rPr>
              <w:tab/>
            </w:r>
            <w:r w:rsidR="001C20B1">
              <w:rPr>
                <w:noProof/>
                <w:webHidden/>
              </w:rPr>
              <w:fldChar w:fldCharType="begin"/>
            </w:r>
            <w:r w:rsidR="001C20B1">
              <w:rPr>
                <w:noProof/>
                <w:webHidden/>
              </w:rPr>
              <w:instrText xml:space="preserve"> PAGEREF _Toc499654084 \h </w:instrText>
            </w:r>
            <w:r w:rsidR="001C20B1">
              <w:rPr>
                <w:noProof/>
                <w:webHidden/>
              </w:rPr>
            </w:r>
            <w:r w:rsidR="001C20B1">
              <w:rPr>
                <w:noProof/>
                <w:webHidden/>
              </w:rPr>
              <w:fldChar w:fldCharType="separate"/>
            </w:r>
            <w:r w:rsidR="001C20B1">
              <w:rPr>
                <w:noProof/>
                <w:webHidden/>
              </w:rPr>
              <w:t>8</w:t>
            </w:r>
            <w:r w:rsidR="001C20B1">
              <w:rPr>
                <w:noProof/>
                <w:webHidden/>
              </w:rPr>
              <w:fldChar w:fldCharType="end"/>
            </w:r>
          </w:hyperlink>
        </w:p>
        <w:p w14:paraId="57838572" w14:textId="77777777" w:rsidR="001C20B1" w:rsidRDefault="00482573">
          <w:pPr>
            <w:pStyle w:val="TOC2"/>
            <w:tabs>
              <w:tab w:val="left" w:pos="1100"/>
              <w:tab w:val="right" w:leader="dot" w:pos="9016"/>
            </w:tabs>
            <w:rPr>
              <w:rFonts w:eastAsiaTheme="minorEastAsia"/>
              <w:noProof/>
              <w:lang w:eastAsia="en-GB"/>
            </w:rPr>
          </w:pPr>
          <w:hyperlink w:anchor="_Toc499654085" w:history="1">
            <w:r w:rsidR="001C20B1" w:rsidRPr="00F67C3E">
              <w:rPr>
                <w:rStyle w:val="Hyperlink"/>
                <w:rFonts w:eastAsia="Times New Roman" w:cs="Arial"/>
                <w:b/>
                <w:noProof/>
                <w:snapToGrid w:val="0"/>
                <w:lang w:eastAsia="fi-FI"/>
              </w:rPr>
              <w:t>1.5.</w:t>
            </w:r>
            <w:r w:rsidR="001C20B1">
              <w:rPr>
                <w:rFonts w:eastAsiaTheme="minorEastAsia"/>
                <w:noProof/>
                <w:lang w:eastAsia="en-GB"/>
              </w:rPr>
              <w:tab/>
            </w:r>
            <w:r w:rsidR="001C20B1" w:rsidRPr="00F67C3E">
              <w:rPr>
                <w:rStyle w:val="Hyperlink"/>
                <w:rFonts w:eastAsia="Times New Roman" w:cs="Arial"/>
                <w:b/>
                <w:noProof/>
                <w:snapToGrid w:val="0"/>
                <w:lang w:eastAsia="fi-FI"/>
              </w:rPr>
              <w:t>Application of Weight of Evidence/uncertainty analysis for ECHA processes</w:t>
            </w:r>
            <w:r w:rsidR="001C20B1">
              <w:rPr>
                <w:noProof/>
                <w:webHidden/>
              </w:rPr>
              <w:tab/>
            </w:r>
            <w:r w:rsidR="001C20B1">
              <w:rPr>
                <w:noProof/>
                <w:webHidden/>
              </w:rPr>
              <w:fldChar w:fldCharType="begin"/>
            </w:r>
            <w:r w:rsidR="001C20B1">
              <w:rPr>
                <w:noProof/>
                <w:webHidden/>
              </w:rPr>
              <w:instrText xml:space="preserve"> PAGEREF _Toc499654085 \h </w:instrText>
            </w:r>
            <w:r w:rsidR="001C20B1">
              <w:rPr>
                <w:noProof/>
                <w:webHidden/>
              </w:rPr>
            </w:r>
            <w:r w:rsidR="001C20B1">
              <w:rPr>
                <w:noProof/>
                <w:webHidden/>
              </w:rPr>
              <w:fldChar w:fldCharType="separate"/>
            </w:r>
            <w:r w:rsidR="001C20B1">
              <w:rPr>
                <w:noProof/>
                <w:webHidden/>
              </w:rPr>
              <w:t>10</w:t>
            </w:r>
            <w:r w:rsidR="001C20B1">
              <w:rPr>
                <w:noProof/>
                <w:webHidden/>
              </w:rPr>
              <w:fldChar w:fldCharType="end"/>
            </w:r>
          </w:hyperlink>
        </w:p>
        <w:p w14:paraId="6BA3559C" w14:textId="77777777" w:rsidR="001C20B1" w:rsidRDefault="00482573">
          <w:pPr>
            <w:pStyle w:val="TOC2"/>
            <w:tabs>
              <w:tab w:val="left" w:pos="1100"/>
              <w:tab w:val="right" w:leader="dot" w:pos="9016"/>
            </w:tabs>
            <w:rPr>
              <w:rFonts w:eastAsiaTheme="minorEastAsia"/>
              <w:noProof/>
              <w:lang w:eastAsia="en-GB"/>
            </w:rPr>
          </w:pPr>
          <w:hyperlink w:anchor="_Toc499654086" w:history="1">
            <w:r w:rsidR="001C20B1" w:rsidRPr="00F67C3E">
              <w:rPr>
                <w:rStyle w:val="Hyperlink"/>
                <w:rFonts w:eastAsia="Times New Roman" w:cs="Arial"/>
                <w:b/>
                <w:noProof/>
                <w:snapToGrid w:val="0"/>
                <w:lang w:eastAsia="fi-FI"/>
              </w:rPr>
              <w:t>1.6.</w:t>
            </w:r>
            <w:r w:rsidR="001C20B1">
              <w:rPr>
                <w:rFonts w:eastAsiaTheme="minorEastAsia"/>
                <w:noProof/>
                <w:lang w:eastAsia="en-GB"/>
              </w:rPr>
              <w:tab/>
            </w:r>
            <w:r w:rsidR="001C20B1" w:rsidRPr="00F67C3E">
              <w:rPr>
                <w:rStyle w:val="Hyperlink"/>
                <w:rFonts w:eastAsia="Times New Roman" w:cs="Arial"/>
                <w:b/>
                <w:noProof/>
                <w:snapToGrid w:val="0"/>
                <w:lang w:eastAsia="fi-FI"/>
              </w:rPr>
              <w:t>Current approaches of Weight of Evidence/uncertainty in ECHA processes</w:t>
            </w:r>
            <w:r w:rsidR="001C20B1">
              <w:rPr>
                <w:noProof/>
                <w:webHidden/>
              </w:rPr>
              <w:tab/>
            </w:r>
            <w:r w:rsidR="001C20B1">
              <w:rPr>
                <w:noProof/>
                <w:webHidden/>
              </w:rPr>
              <w:fldChar w:fldCharType="begin"/>
            </w:r>
            <w:r w:rsidR="001C20B1">
              <w:rPr>
                <w:noProof/>
                <w:webHidden/>
              </w:rPr>
              <w:instrText xml:space="preserve"> PAGEREF _Toc499654086 \h </w:instrText>
            </w:r>
            <w:r w:rsidR="001C20B1">
              <w:rPr>
                <w:noProof/>
                <w:webHidden/>
              </w:rPr>
            </w:r>
            <w:r w:rsidR="001C20B1">
              <w:rPr>
                <w:noProof/>
                <w:webHidden/>
              </w:rPr>
              <w:fldChar w:fldCharType="separate"/>
            </w:r>
            <w:r w:rsidR="001C20B1">
              <w:rPr>
                <w:noProof/>
                <w:webHidden/>
              </w:rPr>
              <w:t>12</w:t>
            </w:r>
            <w:r w:rsidR="001C20B1">
              <w:rPr>
                <w:noProof/>
                <w:webHidden/>
              </w:rPr>
              <w:fldChar w:fldCharType="end"/>
            </w:r>
          </w:hyperlink>
        </w:p>
        <w:p w14:paraId="7418216D" w14:textId="77777777" w:rsidR="001C20B1" w:rsidRDefault="00482573">
          <w:pPr>
            <w:pStyle w:val="TOC1"/>
            <w:tabs>
              <w:tab w:val="left" w:pos="660"/>
              <w:tab w:val="right" w:leader="dot" w:pos="9016"/>
            </w:tabs>
            <w:rPr>
              <w:rFonts w:eastAsiaTheme="minorEastAsia"/>
              <w:noProof/>
              <w:lang w:eastAsia="en-GB"/>
            </w:rPr>
          </w:pPr>
          <w:hyperlink w:anchor="_Toc499654087" w:history="1">
            <w:r w:rsidR="001C20B1" w:rsidRPr="00F67C3E">
              <w:rPr>
                <w:rStyle w:val="Hyperlink"/>
                <w:rFonts w:eastAsia="Times New Roman" w:cs="Times New Roman"/>
                <w:b/>
                <w:noProof/>
                <w:snapToGrid w:val="0"/>
                <w:lang w:eastAsia="fi-FI"/>
              </w:rPr>
              <w:t>2.</w:t>
            </w:r>
            <w:r w:rsidR="001C20B1">
              <w:rPr>
                <w:rFonts w:eastAsiaTheme="minorEastAsia"/>
                <w:noProof/>
                <w:lang w:eastAsia="en-GB"/>
              </w:rPr>
              <w:tab/>
            </w:r>
            <w:r w:rsidR="001C20B1" w:rsidRPr="00F67C3E">
              <w:rPr>
                <w:rStyle w:val="Hyperlink"/>
                <w:rFonts w:eastAsia="Times New Roman" w:cs="Times New Roman"/>
                <w:b/>
                <w:noProof/>
                <w:snapToGrid w:val="0"/>
                <w:lang w:eastAsia="fi-FI"/>
              </w:rPr>
              <w:t>Methodologies for Weight of Evidence approach/uncertainty</w:t>
            </w:r>
            <w:r w:rsidR="001C20B1">
              <w:rPr>
                <w:noProof/>
                <w:webHidden/>
              </w:rPr>
              <w:tab/>
            </w:r>
            <w:r w:rsidR="001C20B1">
              <w:rPr>
                <w:noProof/>
                <w:webHidden/>
              </w:rPr>
              <w:fldChar w:fldCharType="begin"/>
            </w:r>
            <w:r w:rsidR="001C20B1">
              <w:rPr>
                <w:noProof/>
                <w:webHidden/>
              </w:rPr>
              <w:instrText xml:space="preserve"> PAGEREF _Toc499654087 \h </w:instrText>
            </w:r>
            <w:r w:rsidR="001C20B1">
              <w:rPr>
                <w:noProof/>
                <w:webHidden/>
              </w:rPr>
            </w:r>
            <w:r w:rsidR="001C20B1">
              <w:rPr>
                <w:noProof/>
                <w:webHidden/>
              </w:rPr>
              <w:fldChar w:fldCharType="separate"/>
            </w:r>
            <w:r w:rsidR="001C20B1">
              <w:rPr>
                <w:noProof/>
                <w:webHidden/>
              </w:rPr>
              <w:t>14</w:t>
            </w:r>
            <w:r w:rsidR="001C20B1">
              <w:rPr>
                <w:noProof/>
                <w:webHidden/>
              </w:rPr>
              <w:fldChar w:fldCharType="end"/>
            </w:r>
          </w:hyperlink>
        </w:p>
        <w:p w14:paraId="5CC75832" w14:textId="77777777" w:rsidR="001C20B1" w:rsidRDefault="00482573">
          <w:pPr>
            <w:pStyle w:val="TOC2"/>
            <w:tabs>
              <w:tab w:val="right" w:leader="dot" w:pos="9016"/>
            </w:tabs>
            <w:rPr>
              <w:rFonts w:eastAsiaTheme="minorEastAsia"/>
              <w:noProof/>
              <w:lang w:eastAsia="en-GB"/>
            </w:rPr>
          </w:pPr>
          <w:hyperlink w:anchor="_Toc499654088" w:history="1">
            <w:r w:rsidR="001C20B1" w:rsidRPr="00F67C3E">
              <w:rPr>
                <w:rStyle w:val="Hyperlink"/>
                <w:rFonts w:eastAsia="Times New Roman" w:cs="Arial"/>
                <w:b/>
                <w:noProof/>
                <w:snapToGrid w:val="0"/>
                <w:lang w:eastAsia="fi-FI"/>
              </w:rPr>
              <w:t>2.1 Problem Formulation</w:t>
            </w:r>
            <w:r w:rsidR="001C20B1">
              <w:rPr>
                <w:noProof/>
                <w:webHidden/>
              </w:rPr>
              <w:tab/>
            </w:r>
            <w:r w:rsidR="001C20B1">
              <w:rPr>
                <w:noProof/>
                <w:webHidden/>
              </w:rPr>
              <w:fldChar w:fldCharType="begin"/>
            </w:r>
            <w:r w:rsidR="001C20B1">
              <w:rPr>
                <w:noProof/>
                <w:webHidden/>
              </w:rPr>
              <w:instrText xml:space="preserve"> PAGEREF _Toc499654088 \h </w:instrText>
            </w:r>
            <w:r w:rsidR="001C20B1">
              <w:rPr>
                <w:noProof/>
                <w:webHidden/>
              </w:rPr>
            </w:r>
            <w:r w:rsidR="001C20B1">
              <w:rPr>
                <w:noProof/>
                <w:webHidden/>
              </w:rPr>
              <w:fldChar w:fldCharType="separate"/>
            </w:r>
            <w:r w:rsidR="001C20B1">
              <w:rPr>
                <w:noProof/>
                <w:webHidden/>
              </w:rPr>
              <w:t>15</w:t>
            </w:r>
            <w:r w:rsidR="001C20B1">
              <w:rPr>
                <w:noProof/>
                <w:webHidden/>
              </w:rPr>
              <w:fldChar w:fldCharType="end"/>
            </w:r>
          </w:hyperlink>
        </w:p>
        <w:p w14:paraId="668F4AE8" w14:textId="77777777" w:rsidR="001C20B1" w:rsidRDefault="00482573">
          <w:pPr>
            <w:pStyle w:val="TOC2"/>
            <w:tabs>
              <w:tab w:val="right" w:leader="dot" w:pos="9016"/>
            </w:tabs>
            <w:rPr>
              <w:rFonts w:eastAsiaTheme="minorEastAsia"/>
              <w:noProof/>
              <w:lang w:eastAsia="en-GB"/>
            </w:rPr>
          </w:pPr>
          <w:hyperlink w:anchor="_Toc499654089" w:history="1">
            <w:r w:rsidR="001C20B1" w:rsidRPr="00F67C3E">
              <w:rPr>
                <w:rStyle w:val="Hyperlink"/>
                <w:rFonts w:eastAsia="Times New Roman" w:cs="Arial"/>
                <w:b/>
                <w:noProof/>
                <w:snapToGrid w:val="0"/>
                <w:lang w:eastAsia="fi-FI"/>
              </w:rPr>
              <w:t>2.2 Collection and documentation of all information</w:t>
            </w:r>
            <w:r w:rsidR="001C20B1">
              <w:rPr>
                <w:noProof/>
                <w:webHidden/>
              </w:rPr>
              <w:tab/>
            </w:r>
            <w:r w:rsidR="001C20B1">
              <w:rPr>
                <w:noProof/>
                <w:webHidden/>
              </w:rPr>
              <w:fldChar w:fldCharType="begin"/>
            </w:r>
            <w:r w:rsidR="001C20B1">
              <w:rPr>
                <w:noProof/>
                <w:webHidden/>
              </w:rPr>
              <w:instrText xml:space="preserve"> PAGEREF _Toc499654089 \h </w:instrText>
            </w:r>
            <w:r w:rsidR="001C20B1">
              <w:rPr>
                <w:noProof/>
                <w:webHidden/>
              </w:rPr>
            </w:r>
            <w:r w:rsidR="001C20B1">
              <w:rPr>
                <w:noProof/>
                <w:webHidden/>
              </w:rPr>
              <w:fldChar w:fldCharType="separate"/>
            </w:r>
            <w:r w:rsidR="001C20B1">
              <w:rPr>
                <w:noProof/>
                <w:webHidden/>
              </w:rPr>
              <w:t>16</w:t>
            </w:r>
            <w:r w:rsidR="001C20B1">
              <w:rPr>
                <w:noProof/>
                <w:webHidden/>
              </w:rPr>
              <w:fldChar w:fldCharType="end"/>
            </w:r>
          </w:hyperlink>
        </w:p>
        <w:p w14:paraId="223990D5" w14:textId="77777777" w:rsidR="001C20B1" w:rsidRDefault="00482573">
          <w:pPr>
            <w:pStyle w:val="TOC2"/>
            <w:tabs>
              <w:tab w:val="right" w:leader="dot" w:pos="9016"/>
            </w:tabs>
            <w:rPr>
              <w:rFonts w:eastAsiaTheme="minorEastAsia"/>
              <w:noProof/>
              <w:lang w:eastAsia="en-GB"/>
            </w:rPr>
          </w:pPr>
          <w:hyperlink w:anchor="_Toc499654090" w:history="1">
            <w:r w:rsidR="001C20B1" w:rsidRPr="00F67C3E">
              <w:rPr>
                <w:rStyle w:val="Hyperlink"/>
                <w:rFonts w:eastAsia="Times New Roman" w:cs="Arial"/>
                <w:b/>
                <w:noProof/>
                <w:snapToGrid w:val="0"/>
                <w:lang w:eastAsia="fi-FI"/>
              </w:rPr>
              <w:t>2.3 Assessment of quality of individual evidence</w:t>
            </w:r>
            <w:r w:rsidR="001C20B1">
              <w:rPr>
                <w:noProof/>
                <w:webHidden/>
              </w:rPr>
              <w:tab/>
            </w:r>
            <w:r w:rsidR="001C20B1">
              <w:rPr>
                <w:noProof/>
                <w:webHidden/>
              </w:rPr>
              <w:fldChar w:fldCharType="begin"/>
            </w:r>
            <w:r w:rsidR="001C20B1">
              <w:rPr>
                <w:noProof/>
                <w:webHidden/>
              </w:rPr>
              <w:instrText xml:space="preserve"> PAGEREF _Toc499654090 \h </w:instrText>
            </w:r>
            <w:r w:rsidR="001C20B1">
              <w:rPr>
                <w:noProof/>
                <w:webHidden/>
              </w:rPr>
            </w:r>
            <w:r w:rsidR="001C20B1">
              <w:rPr>
                <w:noProof/>
                <w:webHidden/>
              </w:rPr>
              <w:fldChar w:fldCharType="separate"/>
            </w:r>
            <w:r w:rsidR="001C20B1">
              <w:rPr>
                <w:noProof/>
                <w:webHidden/>
              </w:rPr>
              <w:t>16</w:t>
            </w:r>
            <w:r w:rsidR="001C20B1">
              <w:rPr>
                <w:noProof/>
                <w:webHidden/>
              </w:rPr>
              <w:fldChar w:fldCharType="end"/>
            </w:r>
          </w:hyperlink>
        </w:p>
        <w:p w14:paraId="1575FA19" w14:textId="77777777" w:rsidR="001C20B1" w:rsidRDefault="00482573">
          <w:pPr>
            <w:pStyle w:val="TOC2"/>
            <w:tabs>
              <w:tab w:val="right" w:leader="dot" w:pos="9016"/>
            </w:tabs>
            <w:rPr>
              <w:rFonts w:eastAsiaTheme="minorEastAsia"/>
              <w:noProof/>
              <w:lang w:eastAsia="en-GB"/>
            </w:rPr>
          </w:pPr>
          <w:hyperlink w:anchor="_Toc499654091" w:history="1">
            <w:r w:rsidR="001C20B1" w:rsidRPr="00F67C3E">
              <w:rPr>
                <w:rStyle w:val="Hyperlink"/>
                <w:rFonts w:eastAsia="Times New Roman" w:cs="Arial"/>
                <w:b/>
                <w:noProof/>
                <w:snapToGrid w:val="0"/>
                <w:lang w:eastAsia="fi-FI"/>
              </w:rPr>
              <w:t>2.4 Integration and weighing of evidence (WoE analysis)</w:t>
            </w:r>
            <w:r w:rsidR="001C20B1">
              <w:rPr>
                <w:noProof/>
                <w:webHidden/>
              </w:rPr>
              <w:tab/>
            </w:r>
            <w:r w:rsidR="001C20B1">
              <w:rPr>
                <w:noProof/>
                <w:webHidden/>
              </w:rPr>
              <w:fldChar w:fldCharType="begin"/>
            </w:r>
            <w:r w:rsidR="001C20B1">
              <w:rPr>
                <w:noProof/>
                <w:webHidden/>
              </w:rPr>
              <w:instrText xml:space="preserve"> PAGEREF _Toc499654091 \h </w:instrText>
            </w:r>
            <w:r w:rsidR="001C20B1">
              <w:rPr>
                <w:noProof/>
                <w:webHidden/>
              </w:rPr>
            </w:r>
            <w:r w:rsidR="001C20B1">
              <w:rPr>
                <w:noProof/>
                <w:webHidden/>
              </w:rPr>
              <w:fldChar w:fldCharType="separate"/>
            </w:r>
            <w:r w:rsidR="001C20B1">
              <w:rPr>
                <w:noProof/>
                <w:webHidden/>
              </w:rPr>
              <w:t>17</w:t>
            </w:r>
            <w:r w:rsidR="001C20B1">
              <w:rPr>
                <w:noProof/>
                <w:webHidden/>
              </w:rPr>
              <w:fldChar w:fldCharType="end"/>
            </w:r>
          </w:hyperlink>
        </w:p>
        <w:p w14:paraId="6A0845D4" w14:textId="77777777" w:rsidR="001C20B1" w:rsidRDefault="00482573">
          <w:pPr>
            <w:pStyle w:val="TOC2"/>
            <w:tabs>
              <w:tab w:val="right" w:leader="dot" w:pos="9016"/>
            </w:tabs>
            <w:rPr>
              <w:rFonts w:eastAsiaTheme="minorEastAsia"/>
              <w:noProof/>
              <w:lang w:eastAsia="en-GB"/>
            </w:rPr>
          </w:pPr>
          <w:hyperlink w:anchor="_Toc499654092" w:history="1">
            <w:r w:rsidR="001C20B1" w:rsidRPr="00F67C3E">
              <w:rPr>
                <w:rStyle w:val="Hyperlink"/>
                <w:rFonts w:eastAsia="Times New Roman" w:cs="Arial"/>
                <w:b/>
                <w:noProof/>
                <w:snapToGrid w:val="0"/>
                <w:lang w:eastAsia="fi-FI"/>
              </w:rPr>
              <w:t>2.5 Application of levels of confidence</w:t>
            </w:r>
            <w:r w:rsidR="001C20B1">
              <w:rPr>
                <w:noProof/>
                <w:webHidden/>
              </w:rPr>
              <w:tab/>
            </w:r>
            <w:r w:rsidR="001C20B1">
              <w:rPr>
                <w:noProof/>
                <w:webHidden/>
              </w:rPr>
              <w:fldChar w:fldCharType="begin"/>
            </w:r>
            <w:r w:rsidR="001C20B1">
              <w:rPr>
                <w:noProof/>
                <w:webHidden/>
              </w:rPr>
              <w:instrText xml:space="preserve"> PAGEREF _Toc499654092 \h </w:instrText>
            </w:r>
            <w:r w:rsidR="001C20B1">
              <w:rPr>
                <w:noProof/>
                <w:webHidden/>
              </w:rPr>
            </w:r>
            <w:r w:rsidR="001C20B1">
              <w:rPr>
                <w:noProof/>
                <w:webHidden/>
              </w:rPr>
              <w:fldChar w:fldCharType="separate"/>
            </w:r>
            <w:r w:rsidR="001C20B1">
              <w:rPr>
                <w:noProof/>
                <w:webHidden/>
              </w:rPr>
              <w:t>22</w:t>
            </w:r>
            <w:r w:rsidR="001C20B1">
              <w:rPr>
                <w:noProof/>
                <w:webHidden/>
              </w:rPr>
              <w:fldChar w:fldCharType="end"/>
            </w:r>
          </w:hyperlink>
        </w:p>
        <w:p w14:paraId="5A6BD16C" w14:textId="77777777" w:rsidR="001C20B1" w:rsidRDefault="00482573">
          <w:pPr>
            <w:pStyle w:val="TOC2"/>
            <w:tabs>
              <w:tab w:val="right" w:leader="dot" w:pos="9016"/>
            </w:tabs>
            <w:rPr>
              <w:rFonts w:eastAsiaTheme="minorEastAsia"/>
              <w:noProof/>
              <w:lang w:eastAsia="en-GB"/>
            </w:rPr>
          </w:pPr>
          <w:hyperlink w:anchor="_Toc499654093" w:history="1">
            <w:r w:rsidR="001C20B1" w:rsidRPr="00F67C3E">
              <w:rPr>
                <w:rStyle w:val="Hyperlink"/>
                <w:rFonts w:eastAsia="Times New Roman" w:cs="Arial"/>
                <w:b/>
                <w:noProof/>
                <w:snapToGrid w:val="0"/>
                <w:lang w:eastAsia="fi-FI"/>
              </w:rPr>
              <w:t>2.6 Uncertainty Analysis</w:t>
            </w:r>
            <w:r w:rsidR="001C20B1">
              <w:rPr>
                <w:noProof/>
                <w:webHidden/>
              </w:rPr>
              <w:tab/>
            </w:r>
            <w:r w:rsidR="001C20B1">
              <w:rPr>
                <w:noProof/>
                <w:webHidden/>
              </w:rPr>
              <w:fldChar w:fldCharType="begin"/>
            </w:r>
            <w:r w:rsidR="001C20B1">
              <w:rPr>
                <w:noProof/>
                <w:webHidden/>
              </w:rPr>
              <w:instrText xml:space="preserve"> PAGEREF _Toc499654093 \h </w:instrText>
            </w:r>
            <w:r w:rsidR="001C20B1">
              <w:rPr>
                <w:noProof/>
                <w:webHidden/>
              </w:rPr>
            </w:r>
            <w:r w:rsidR="001C20B1">
              <w:rPr>
                <w:noProof/>
                <w:webHidden/>
              </w:rPr>
              <w:fldChar w:fldCharType="separate"/>
            </w:r>
            <w:r w:rsidR="001C20B1">
              <w:rPr>
                <w:noProof/>
                <w:webHidden/>
              </w:rPr>
              <w:t>23</w:t>
            </w:r>
            <w:r w:rsidR="001C20B1">
              <w:rPr>
                <w:noProof/>
                <w:webHidden/>
              </w:rPr>
              <w:fldChar w:fldCharType="end"/>
            </w:r>
          </w:hyperlink>
        </w:p>
        <w:p w14:paraId="754DFC4A" w14:textId="77777777" w:rsidR="001C20B1" w:rsidRDefault="00482573">
          <w:pPr>
            <w:pStyle w:val="TOC2"/>
            <w:tabs>
              <w:tab w:val="right" w:leader="dot" w:pos="9016"/>
            </w:tabs>
            <w:rPr>
              <w:rFonts w:eastAsiaTheme="minorEastAsia"/>
              <w:noProof/>
              <w:lang w:eastAsia="en-GB"/>
            </w:rPr>
          </w:pPr>
          <w:hyperlink w:anchor="_Toc499654094" w:history="1">
            <w:r w:rsidR="001C20B1" w:rsidRPr="00F67C3E">
              <w:rPr>
                <w:rStyle w:val="Hyperlink"/>
                <w:rFonts w:eastAsia="Times New Roman" w:cs="Arial"/>
                <w:b/>
                <w:noProof/>
                <w:snapToGrid w:val="0"/>
                <w:lang w:eastAsia="fi-FI"/>
              </w:rPr>
              <w:t>2.6 Conclusions</w:t>
            </w:r>
            <w:r w:rsidR="001C20B1">
              <w:rPr>
                <w:noProof/>
                <w:webHidden/>
              </w:rPr>
              <w:tab/>
            </w:r>
            <w:r w:rsidR="001C20B1">
              <w:rPr>
                <w:noProof/>
                <w:webHidden/>
              </w:rPr>
              <w:fldChar w:fldCharType="begin"/>
            </w:r>
            <w:r w:rsidR="001C20B1">
              <w:rPr>
                <w:noProof/>
                <w:webHidden/>
              </w:rPr>
              <w:instrText xml:space="preserve"> PAGEREF _Toc499654094 \h </w:instrText>
            </w:r>
            <w:r w:rsidR="001C20B1">
              <w:rPr>
                <w:noProof/>
                <w:webHidden/>
              </w:rPr>
            </w:r>
            <w:r w:rsidR="001C20B1">
              <w:rPr>
                <w:noProof/>
                <w:webHidden/>
              </w:rPr>
              <w:fldChar w:fldCharType="separate"/>
            </w:r>
            <w:r w:rsidR="001C20B1">
              <w:rPr>
                <w:noProof/>
                <w:webHidden/>
              </w:rPr>
              <w:t>23</w:t>
            </w:r>
            <w:r w:rsidR="001C20B1">
              <w:rPr>
                <w:noProof/>
                <w:webHidden/>
              </w:rPr>
              <w:fldChar w:fldCharType="end"/>
            </w:r>
          </w:hyperlink>
        </w:p>
        <w:p w14:paraId="4BD49DD7" w14:textId="77777777" w:rsidR="001C20B1" w:rsidRDefault="00482573">
          <w:pPr>
            <w:pStyle w:val="TOC1"/>
            <w:tabs>
              <w:tab w:val="left" w:pos="660"/>
              <w:tab w:val="right" w:leader="dot" w:pos="9016"/>
            </w:tabs>
            <w:rPr>
              <w:rFonts w:eastAsiaTheme="minorEastAsia"/>
              <w:noProof/>
              <w:lang w:eastAsia="en-GB"/>
            </w:rPr>
          </w:pPr>
          <w:hyperlink w:anchor="_Toc499654095" w:history="1">
            <w:r w:rsidR="001C20B1" w:rsidRPr="00F67C3E">
              <w:rPr>
                <w:rStyle w:val="Hyperlink"/>
                <w:rFonts w:eastAsia="Times New Roman" w:cs="Times New Roman"/>
                <w:b/>
                <w:noProof/>
                <w:snapToGrid w:val="0"/>
                <w:lang w:eastAsia="fr-FR"/>
              </w:rPr>
              <w:t>3.</w:t>
            </w:r>
            <w:r w:rsidR="001C20B1">
              <w:rPr>
                <w:rFonts w:eastAsiaTheme="minorEastAsia"/>
                <w:noProof/>
                <w:lang w:eastAsia="en-GB"/>
              </w:rPr>
              <w:tab/>
            </w:r>
            <w:r w:rsidR="001C20B1" w:rsidRPr="00F67C3E">
              <w:rPr>
                <w:rStyle w:val="Hyperlink"/>
                <w:rFonts w:eastAsia="Times New Roman" w:cs="Times New Roman"/>
                <w:b/>
                <w:noProof/>
                <w:snapToGrid w:val="0"/>
                <w:lang w:eastAsia="fr-FR"/>
              </w:rPr>
              <w:t>References</w:t>
            </w:r>
            <w:r w:rsidR="001C20B1">
              <w:rPr>
                <w:noProof/>
                <w:webHidden/>
              </w:rPr>
              <w:tab/>
            </w:r>
            <w:r w:rsidR="001C20B1">
              <w:rPr>
                <w:noProof/>
                <w:webHidden/>
              </w:rPr>
              <w:fldChar w:fldCharType="begin"/>
            </w:r>
            <w:r w:rsidR="001C20B1">
              <w:rPr>
                <w:noProof/>
                <w:webHidden/>
              </w:rPr>
              <w:instrText xml:space="preserve"> PAGEREF _Toc499654095 \h </w:instrText>
            </w:r>
            <w:r w:rsidR="001C20B1">
              <w:rPr>
                <w:noProof/>
                <w:webHidden/>
              </w:rPr>
            </w:r>
            <w:r w:rsidR="001C20B1">
              <w:rPr>
                <w:noProof/>
                <w:webHidden/>
              </w:rPr>
              <w:fldChar w:fldCharType="separate"/>
            </w:r>
            <w:r w:rsidR="001C20B1">
              <w:rPr>
                <w:noProof/>
                <w:webHidden/>
              </w:rPr>
              <w:t>24</w:t>
            </w:r>
            <w:r w:rsidR="001C20B1">
              <w:rPr>
                <w:noProof/>
                <w:webHidden/>
              </w:rPr>
              <w:fldChar w:fldCharType="end"/>
            </w:r>
          </w:hyperlink>
        </w:p>
        <w:p w14:paraId="36B81DCB" w14:textId="77777777" w:rsidR="001C20B1" w:rsidRDefault="00482573">
          <w:pPr>
            <w:pStyle w:val="TOC1"/>
            <w:tabs>
              <w:tab w:val="left" w:pos="660"/>
              <w:tab w:val="right" w:leader="dot" w:pos="9016"/>
            </w:tabs>
            <w:rPr>
              <w:rFonts w:eastAsiaTheme="minorEastAsia"/>
              <w:noProof/>
              <w:lang w:eastAsia="en-GB"/>
            </w:rPr>
          </w:pPr>
          <w:hyperlink w:anchor="_Toc499654096" w:history="1">
            <w:r w:rsidR="001C20B1" w:rsidRPr="00F67C3E">
              <w:rPr>
                <w:rStyle w:val="Hyperlink"/>
                <w:rFonts w:eastAsia="Times New Roman" w:cs="Times New Roman"/>
                <w:b/>
                <w:noProof/>
                <w:snapToGrid w:val="0"/>
                <w:lang w:eastAsia="fr-FR"/>
              </w:rPr>
              <w:t>4.</w:t>
            </w:r>
            <w:r w:rsidR="001C20B1">
              <w:rPr>
                <w:rFonts w:eastAsiaTheme="minorEastAsia"/>
                <w:noProof/>
                <w:lang w:eastAsia="en-GB"/>
              </w:rPr>
              <w:tab/>
            </w:r>
            <w:r w:rsidR="001C20B1" w:rsidRPr="00F67C3E">
              <w:rPr>
                <w:rStyle w:val="Hyperlink"/>
                <w:rFonts w:eastAsia="Times New Roman" w:cs="Times New Roman"/>
                <w:b/>
                <w:noProof/>
                <w:snapToGrid w:val="0"/>
                <w:lang w:eastAsia="fr-FR"/>
              </w:rPr>
              <w:t>Appendix</w:t>
            </w:r>
            <w:r w:rsidR="001C20B1">
              <w:rPr>
                <w:noProof/>
                <w:webHidden/>
              </w:rPr>
              <w:tab/>
            </w:r>
            <w:r w:rsidR="001C20B1">
              <w:rPr>
                <w:noProof/>
                <w:webHidden/>
              </w:rPr>
              <w:fldChar w:fldCharType="begin"/>
            </w:r>
            <w:r w:rsidR="001C20B1">
              <w:rPr>
                <w:noProof/>
                <w:webHidden/>
              </w:rPr>
              <w:instrText xml:space="preserve"> PAGEREF _Toc499654096 \h </w:instrText>
            </w:r>
            <w:r w:rsidR="001C20B1">
              <w:rPr>
                <w:noProof/>
                <w:webHidden/>
              </w:rPr>
            </w:r>
            <w:r w:rsidR="001C20B1">
              <w:rPr>
                <w:noProof/>
                <w:webHidden/>
              </w:rPr>
              <w:fldChar w:fldCharType="separate"/>
            </w:r>
            <w:r w:rsidR="001C20B1">
              <w:rPr>
                <w:noProof/>
                <w:webHidden/>
              </w:rPr>
              <w:t>27</w:t>
            </w:r>
            <w:r w:rsidR="001C20B1">
              <w:rPr>
                <w:noProof/>
                <w:webHidden/>
              </w:rPr>
              <w:fldChar w:fldCharType="end"/>
            </w:r>
          </w:hyperlink>
        </w:p>
        <w:p w14:paraId="505BC2AC" w14:textId="77777777" w:rsidR="001C20B1" w:rsidRDefault="00482573">
          <w:pPr>
            <w:pStyle w:val="TOC2"/>
            <w:tabs>
              <w:tab w:val="right" w:leader="dot" w:pos="9016"/>
            </w:tabs>
            <w:rPr>
              <w:rFonts w:eastAsiaTheme="minorEastAsia"/>
              <w:noProof/>
              <w:lang w:eastAsia="en-GB"/>
            </w:rPr>
          </w:pPr>
          <w:hyperlink w:anchor="_Toc499654097" w:history="1">
            <w:r w:rsidR="001C20B1" w:rsidRPr="00F67C3E">
              <w:rPr>
                <w:rStyle w:val="Hyperlink"/>
                <w:rFonts w:eastAsia="Times New Roman" w:cs="Arial"/>
                <w:b/>
                <w:noProof/>
                <w:snapToGrid w:val="0"/>
                <w:lang w:eastAsia="fr-FR"/>
              </w:rPr>
              <w:t>Example of use of the Weight of Evidence/Uncertainty Template for environmental hazard assessment</w:t>
            </w:r>
            <w:r w:rsidR="001C20B1">
              <w:rPr>
                <w:noProof/>
                <w:webHidden/>
              </w:rPr>
              <w:tab/>
            </w:r>
            <w:r w:rsidR="001C20B1">
              <w:rPr>
                <w:noProof/>
                <w:webHidden/>
              </w:rPr>
              <w:fldChar w:fldCharType="begin"/>
            </w:r>
            <w:r w:rsidR="001C20B1">
              <w:rPr>
                <w:noProof/>
                <w:webHidden/>
              </w:rPr>
              <w:instrText xml:space="preserve"> PAGEREF _Toc499654097 \h </w:instrText>
            </w:r>
            <w:r w:rsidR="001C20B1">
              <w:rPr>
                <w:noProof/>
                <w:webHidden/>
              </w:rPr>
            </w:r>
            <w:r w:rsidR="001C20B1">
              <w:rPr>
                <w:noProof/>
                <w:webHidden/>
              </w:rPr>
              <w:fldChar w:fldCharType="separate"/>
            </w:r>
            <w:r w:rsidR="001C20B1">
              <w:rPr>
                <w:noProof/>
                <w:webHidden/>
              </w:rPr>
              <w:t>27</w:t>
            </w:r>
            <w:r w:rsidR="001C20B1">
              <w:rPr>
                <w:noProof/>
                <w:webHidden/>
              </w:rPr>
              <w:fldChar w:fldCharType="end"/>
            </w:r>
          </w:hyperlink>
        </w:p>
        <w:p w14:paraId="6B4816B9" w14:textId="77777777" w:rsidR="001C20B1" w:rsidRDefault="00482573">
          <w:pPr>
            <w:pStyle w:val="TOC2"/>
            <w:tabs>
              <w:tab w:val="right" w:leader="dot" w:pos="9016"/>
            </w:tabs>
            <w:rPr>
              <w:rFonts w:eastAsiaTheme="minorEastAsia"/>
              <w:noProof/>
              <w:lang w:eastAsia="en-GB"/>
            </w:rPr>
          </w:pPr>
          <w:hyperlink w:anchor="_Toc499654098" w:history="1">
            <w:r w:rsidR="001C20B1" w:rsidRPr="00F67C3E">
              <w:rPr>
                <w:rStyle w:val="Hyperlink"/>
                <w:rFonts w:eastAsia="Times New Roman" w:cs="Arial"/>
                <w:b/>
                <w:noProof/>
                <w:snapToGrid w:val="0"/>
                <w:lang w:eastAsia="fr-FR"/>
              </w:rPr>
              <w:t>Example of use of the Weight of Evidence/Uncertainty Template for human health hazard assessment</w:t>
            </w:r>
            <w:r w:rsidR="001C20B1">
              <w:rPr>
                <w:noProof/>
                <w:webHidden/>
              </w:rPr>
              <w:tab/>
            </w:r>
            <w:r w:rsidR="001C20B1">
              <w:rPr>
                <w:noProof/>
                <w:webHidden/>
              </w:rPr>
              <w:fldChar w:fldCharType="begin"/>
            </w:r>
            <w:r w:rsidR="001C20B1">
              <w:rPr>
                <w:noProof/>
                <w:webHidden/>
              </w:rPr>
              <w:instrText xml:space="preserve"> PAGEREF _Toc499654098 \h </w:instrText>
            </w:r>
            <w:r w:rsidR="001C20B1">
              <w:rPr>
                <w:noProof/>
                <w:webHidden/>
              </w:rPr>
            </w:r>
            <w:r w:rsidR="001C20B1">
              <w:rPr>
                <w:noProof/>
                <w:webHidden/>
              </w:rPr>
              <w:fldChar w:fldCharType="separate"/>
            </w:r>
            <w:r w:rsidR="001C20B1">
              <w:rPr>
                <w:noProof/>
                <w:webHidden/>
              </w:rPr>
              <w:t>50</w:t>
            </w:r>
            <w:r w:rsidR="001C20B1">
              <w:rPr>
                <w:noProof/>
                <w:webHidden/>
              </w:rPr>
              <w:fldChar w:fldCharType="end"/>
            </w:r>
          </w:hyperlink>
        </w:p>
        <w:p w14:paraId="718CD6BD" w14:textId="0D475CBF" w:rsidR="00676CF9" w:rsidRPr="00B7365A" w:rsidRDefault="00676CF9">
          <w:pPr>
            <w:rPr>
              <w:rFonts w:ascii="Verdana" w:hAnsi="Verdana"/>
            </w:rPr>
          </w:pPr>
          <w:r w:rsidRPr="00B7365A">
            <w:rPr>
              <w:rFonts w:ascii="Verdana" w:hAnsi="Verdana"/>
              <w:b/>
              <w:bCs/>
              <w:noProof/>
            </w:rPr>
            <w:fldChar w:fldCharType="end"/>
          </w:r>
        </w:p>
      </w:sdtContent>
    </w:sdt>
    <w:p w14:paraId="718CD6BE" w14:textId="77777777" w:rsidR="00676CF9" w:rsidRPr="00B7365A" w:rsidRDefault="00676CF9">
      <w:pPr>
        <w:rPr>
          <w:rFonts w:ascii="Verdana" w:eastAsiaTheme="majorEastAsia" w:hAnsi="Verdana" w:cstheme="majorBidi"/>
          <w:spacing w:val="-10"/>
          <w:kern w:val="28"/>
          <w:sz w:val="56"/>
          <w:szCs w:val="56"/>
        </w:rPr>
      </w:pPr>
      <w:r w:rsidRPr="00B7365A">
        <w:rPr>
          <w:rFonts w:ascii="Verdana" w:hAnsi="Verdana"/>
        </w:rPr>
        <w:br w:type="page"/>
      </w:r>
    </w:p>
    <w:p w14:paraId="718CD6BF" w14:textId="77777777" w:rsidR="00811DF6" w:rsidRPr="00C03369" w:rsidRDefault="00885876" w:rsidP="00C03369">
      <w:pPr>
        <w:pStyle w:val="Heading1"/>
        <w:widowControl w:val="0"/>
        <w:spacing w:before="360" w:after="240" w:line="240" w:lineRule="auto"/>
        <w:rPr>
          <w:rFonts w:ascii="Verdana" w:eastAsia="Times New Roman" w:hAnsi="Verdana" w:cs="Times New Roman"/>
          <w:b/>
          <w:snapToGrid w:val="0"/>
          <w:color w:val="0046AD"/>
          <w:sz w:val="28"/>
          <w:szCs w:val="24"/>
          <w:lang w:eastAsia="fi-FI"/>
        </w:rPr>
      </w:pPr>
      <w:bookmarkStart w:id="1" w:name="_Toc499654079"/>
      <w:r w:rsidRPr="00C03369">
        <w:rPr>
          <w:rFonts w:ascii="Verdana" w:eastAsia="Times New Roman" w:hAnsi="Verdana" w:cs="Times New Roman"/>
          <w:b/>
          <w:snapToGrid w:val="0"/>
          <w:color w:val="0046AD"/>
          <w:sz w:val="28"/>
          <w:szCs w:val="24"/>
          <w:lang w:eastAsia="fi-FI"/>
        </w:rPr>
        <w:lastRenderedPageBreak/>
        <w:t>Foreword</w:t>
      </w:r>
      <w:bookmarkEnd w:id="1"/>
    </w:p>
    <w:p w14:paraId="718CD6C0" w14:textId="77777777" w:rsidR="00CF2A68" w:rsidRDefault="00CF2A68" w:rsidP="00CD41C6">
      <w:pPr>
        <w:rPr>
          <w:rFonts w:ascii="Verdana" w:hAnsi="Verdana"/>
          <w:sz w:val="20"/>
          <w:szCs w:val="20"/>
        </w:rPr>
      </w:pPr>
    </w:p>
    <w:p w14:paraId="46558C7F" w14:textId="0ECBEB9C" w:rsidR="003B7837" w:rsidRDefault="00CD41C6" w:rsidP="00CD41C6">
      <w:pPr>
        <w:rPr>
          <w:rFonts w:ascii="Verdana" w:hAnsi="Verdana"/>
          <w:sz w:val="20"/>
          <w:szCs w:val="20"/>
        </w:rPr>
      </w:pPr>
      <w:r w:rsidRPr="00885876">
        <w:rPr>
          <w:rFonts w:ascii="Verdana" w:hAnsi="Verdana"/>
          <w:sz w:val="20"/>
          <w:szCs w:val="20"/>
        </w:rPr>
        <w:t xml:space="preserve">The aim of </w:t>
      </w:r>
      <w:r w:rsidR="00885876" w:rsidRPr="00885876">
        <w:rPr>
          <w:rFonts w:ascii="Verdana" w:hAnsi="Verdana"/>
          <w:sz w:val="20"/>
          <w:szCs w:val="20"/>
        </w:rPr>
        <w:t xml:space="preserve">this </w:t>
      </w:r>
      <w:r w:rsidR="006A4E3F">
        <w:rPr>
          <w:rFonts w:ascii="Verdana" w:hAnsi="Verdana"/>
          <w:sz w:val="20"/>
          <w:szCs w:val="20"/>
        </w:rPr>
        <w:t xml:space="preserve">background </w:t>
      </w:r>
      <w:r w:rsidR="00885876" w:rsidRPr="00885876">
        <w:rPr>
          <w:rFonts w:ascii="Verdana" w:hAnsi="Verdana"/>
          <w:sz w:val="20"/>
          <w:szCs w:val="20"/>
        </w:rPr>
        <w:t>document and the accompanying</w:t>
      </w:r>
      <w:r w:rsidR="00CF2A68">
        <w:rPr>
          <w:rFonts w:ascii="Verdana" w:hAnsi="Verdana"/>
          <w:sz w:val="20"/>
          <w:szCs w:val="20"/>
        </w:rPr>
        <w:t xml:space="preserve"> </w:t>
      </w:r>
      <w:r w:rsidR="00885876" w:rsidRPr="00885876">
        <w:rPr>
          <w:rFonts w:ascii="Verdana" w:hAnsi="Verdana"/>
          <w:sz w:val="20"/>
          <w:szCs w:val="20"/>
        </w:rPr>
        <w:t>template</w:t>
      </w:r>
      <w:r w:rsidRPr="00885876">
        <w:rPr>
          <w:rFonts w:ascii="Verdana" w:hAnsi="Verdana"/>
          <w:sz w:val="20"/>
          <w:szCs w:val="20"/>
        </w:rPr>
        <w:t xml:space="preserve"> is to</w:t>
      </w:r>
      <w:r w:rsidR="00FE7D9E">
        <w:rPr>
          <w:rFonts w:ascii="Verdana" w:hAnsi="Verdana"/>
          <w:sz w:val="20"/>
          <w:szCs w:val="20"/>
        </w:rPr>
        <w:t xml:space="preserve"> assist to</w:t>
      </w:r>
      <w:r w:rsidR="003B7837">
        <w:rPr>
          <w:rFonts w:ascii="Verdana" w:hAnsi="Verdana"/>
          <w:sz w:val="20"/>
          <w:szCs w:val="20"/>
        </w:rPr>
        <w:t>:</w:t>
      </w:r>
    </w:p>
    <w:p w14:paraId="23708C78" w14:textId="201A37C5" w:rsidR="003B7837" w:rsidRDefault="00CD41C6" w:rsidP="00233E2A">
      <w:pPr>
        <w:pStyle w:val="ListParagraph"/>
        <w:numPr>
          <w:ilvl w:val="0"/>
          <w:numId w:val="21"/>
        </w:numPr>
      </w:pPr>
      <w:r w:rsidRPr="003B7837">
        <w:t xml:space="preserve">harmonise the use of </w:t>
      </w:r>
      <w:r w:rsidR="00885876" w:rsidRPr="003B7837">
        <w:t>Weight of Evidence (</w:t>
      </w:r>
      <w:r w:rsidRPr="003B7837">
        <w:t>WoE</w:t>
      </w:r>
      <w:r w:rsidR="00885876" w:rsidRPr="003B7837">
        <w:t>)</w:t>
      </w:r>
      <w:r w:rsidRPr="003B7837">
        <w:t xml:space="preserve"> and </w:t>
      </w:r>
      <w:r w:rsidR="00E000D1">
        <w:t>u</w:t>
      </w:r>
      <w:r w:rsidRPr="003B7837">
        <w:t>ncertainty</w:t>
      </w:r>
      <w:r w:rsidR="00296D48" w:rsidRPr="003B7837">
        <w:t xml:space="preserve"> assessment</w:t>
      </w:r>
      <w:r w:rsidR="003B7837">
        <w:t xml:space="preserve"> within ECHA processes</w:t>
      </w:r>
    </w:p>
    <w:p w14:paraId="679E7602" w14:textId="5F7CFE5B" w:rsidR="003B7837" w:rsidRDefault="0037489F" w:rsidP="00233E2A">
      <w:pPr>
        <w:pStyle w:val="ListParagraph"/>
        <w:numPr>
          <w:ilvl w:val="0"/>
          <w:numId w:val="21"/>
        </w:numPr>
      </w:pPr>
      <w:r>
        <w:t>improve</w:t>
      </w:r>
      <w:r w:rsidR="00CD41C6" w:rsidRPr="003B7837">
        <w:t xml:space="preserve"> transparency in regulatory decision making relevant </w:t>
      </w:r>
      <w:r w:rsidR="003B7837">
        <w:t>for REACH, CLP and BPR purposes</w:t>
      </w:r>
    </w:p>
    <w:p w14:paraId="718CD6C1" w14:textId="1F6662B4" w:rsidR="00CD41C6" w:rsidRPr="003B7837" w:rsidRDefault="003B7837" w:rsidP="00233E2A">
      <w:pPr>
        <w:pStyle w:val="ListParagraph"/>
        <w:numPr>
          <w:ilvl w:val="0"/>
          <w:numId w:val="21"/>
        </w:numPr>
      </w:pPr>
      <w:r>
        <w:t>facilitate the use and integration of alternative methods and all available information in hazard assessment</w:t>
      </w:r>
      <w:r w:rsidR="00CD41C6" w:rsidRPr="003B7837">
        <w:t xml:space="preserve"> </w:t>
      </w:r>
    </w:p>
    <w:p w14:paraId="5AE0F6DC" w14:textId="77777777" w:rsidR="003B7837" w:rsidRPr="00885876" w:rsidRDefault="003B7837" w:rsidP="00CD41C6">
      <w:pPr>
        <w:rPr>
          <w:rFonts w:ascii="Verdana" w:hAnsi="Verdana"/>
          <w:sz w:val="20"/>
          <w:szCs w:val="20"/>
        </w:rPr>
      </w:pPr>
    </w:p>
    <w:p w14:paraId="718CD6C2" w14:textId="77777777" w:rsidR="00CD41C6" w:rsidRPr="00885876" w:rsidRDefault="00CD41C6" w:rsidP="00CD41C6">
      <w:pPr>
        <w:rPr>
          <w:rFonts w:ascii="Verdana" w:hAnsi="Verdana"/>
          <w:sz w:val="20"/>
          <w:szCs w:val="20"/>
        </w:rPr>
      </w:pPr>
      <w:r w:rsidRPr="00885876">
        <w:rPr>
          <w:rFonts w:ascii="Verdana" w:hAnsi="Verdana"/>
          <w:sz w:val="20"/>
          <w:szCs w:val="20"/>
        </w:rPr>
        <w:t>It contains:</w:t>
      </w:r>
    </w:p>
    <w:p w14:paraId="718CD6C3" w14:textId="0E8D0EDC" w:rsidR="00CD41C6" w:rsidRPr="00885876" w:rsidRDefault="00E000D1" w:rsidP="00CD41C6">
      <w:pPr>
        <w:pStyle w:val="ListParagraph"/>
        <w:numPr>
          <w:ilvl w:val="0"/>
          <w:numId w:val="1"/>
        </w:numPr>
      </w:pPr>
      <w:r>
        <w:t>An i</w:t>
      </w:r>
      <w:r w:rsidR="00885876" w:rsidRPr="00885876">
        <w:t>ntroduction and definitions in the field of WoE</w:t>
      </w:r>
      <w:r w:rsidR="00CD41C6" w:rsidRPr="00885876">
        <w:t xml:space="preserve"> and uncertainty approaches</w:t>
      </w:r>
    </w:p>
    <w:p w14:paraId="718CD6C4" w14:textId="59990E3A" w:rsidR="00CD41C6" w:rsidRPr="00885876" w:rsidRDefault="00E000D1" w:rsidP="00CD41C6">
      <w:pPr>
        <w:pStyle w:val="ListParagraph"/>
        <w:numPr>
          <w:ilvl w:val="0"/>
          <w:numId w:val="1"/>
        </w:numPr>
      </w:pPr>
      <w:r>
        <w:t>An explanation of the r</w:t>
      </w:r>
      <w:r w:rsidR="00CD41C6" w:rsidRPr="00885876">
        <w:t xml:space="preserve">elevance </w:t>
      </w:r>
      <w:r w:rsidR="0010403B">
        <w:t>of use of WoE and u</w:t>
      </w:r>
      <w:r w:rsidR="009A2C97">
        <w:t xml:space="preserve">ncertainty assessment </w:t>
      </w:r>
      <w:r w:rsidR="00CD41C6" w:rsidRPr="00885876">
        <w:t xml:space="preserve">for </w:t>
      </w:r>
      <w:r w:rsidR="00171CBD">
        <w:t>ECHA</w:t>
      </w:r>
      <w:r w:rsidR="00CD41C6" w:rsidRPr="00885876">
        <w:t xml:space="preserve"> processes</w:t>
      </w:r>
    </w:p>
    <w:p w14:paraId="718CD6C5" w14:textId="0DA7D104" w:rsidR="00CD41C6" w:rsidRDefault="00E000D1" w:rsidP="00CD41C6">
      <w:pPr>
        <w:pStyle w:val="ListParagraph"/>
        <w:numPr>
          <w:ilvl w:val="0"/>
          <w:numId w:val="1"/>
        </w:numPr>
      </w:pPr>
      <w:r>
        <w:t>The b</w:t>
      </w:r>
      <w:r w:rsidR="00CD41C6" w:rsidRPr="00885876">
        <w:t xml:space="preserve">asics of the methodologies </w:t>
      </w:r>
      <w:r w:rsidR="009F1AFE">
        <w:t>for</w:t>
      </w:r>
      <w:r w:rsidR="00CD41C6" w:rsidRPr="00885876">
        <w:t xml:space="preserve"> WoE and </w:t>
      </w:r>
      <w:r>
        <w:t>u</w:t>
      </w:r>
      <w:r w:rsidR="00CD41C6" w:rsidRPr="00885876">
        <w:t>ncertainty a</w:t>
      </w:r>
      <w:r w:rsidR="00C5600B">
        <w:t>ssessment</w:t>
      </w:r>
    </w:p>
    <w:p w14:paraId="12BB4A79" w14:textId="52822701" w:rsidR="001C20B1" w:rsidRPr="00885876" w:rsidRDefault="001C20B1" w:rsidP="00CD41C6">
      <w:pPr>
        <w:pStyle w:val="ListParagraph"/>
        <w:numPr>
          <w:ilvl w:val="0"/>
          <w:numId w:val="1"/>
        </w:numPr>
      </w:pPr>
      <w:r>
        <w:t>Two examples using the template for WoE/Uncertainty</w:t>
      </w:r>
    </w:p>
    <w:p w14:paraId="718CD6C6" w14:textId="77777777" w:rsidR="00CD41C6" w:rsidRPr="00885876" w:rsidRDefault="00CD41C6" w:rsidP="00CD41C6">
      <w:pPr>
        <w:rPr>
          <w:rFonts w:ascii="Verdana" w:hAnsi="Verdana"/>
          <w:sz w:val="20"/>
          <w:szCs w:val="20"/>
        </w:rPr>
      </w:pPr>
    </w:p>
    <w:p w14:paraId="718CD6C7" w14:textId="0156F63E" w:rsidR="00CD41C6" w:rsidRDefault="00CD41C6" w:rsidP="00CD41C6">
      <w:pPr>
        <w:rPr>
          <w:rFonts w:ascii="Verdana" w:hAnsi="Verdana"/>
          <w:sz w:val="20"/>
          <w:szCs w:val="20"/>
        </w:rPr>
      </w:pPr>
      <w:r w:rsidRPr="00885876">
        <w:rPr>
          <w:rFonts w:ascii="Verdana" w:hAnsi="Verdana"/>
          <w:sz w:val="20"/>
          <w:szCs w:val="20"/>
        </w:rPr>
        <w:t xml:space="preserve">The document does not deal explicitly with how to assess the WoE analysis but rather what elements need to be considered within the building </w:t>
      </w:r>
      <w:r w:rsidR="00CF2A68">
        <w:rPr>
          <w:rFonts w:ascii="Verdana" w:hAnsi="Verdana"/>
          <w:sz w:val="20"/>
          <w:szCs w:val="20"/>
        </w:rPr>
        <w:t>of WoE approach</w:t>
      </w:r>
      <w:r w:rsidR="00C5600B">
        <w:rPr>
          <w:rFonts w:ascii="Verdana" w:hAnsi="Verdana"/>
          <w:sz w:val="20"/>
          <w:szCs w:val="20"/>
        </w:rPr>
        <w:t xml:space="preserve">es and </w:t>
      </w:r>
      <w:r w:rsidR="009F1AFE">
        <w:rPr>
          <w:rFonts w:ascii="Verdana" w:hAnsi="Verdana"/>
          <w:sz w:val="20"/>
          <w:szCs w:val="20"/>
        </w:rPr>
        <w:t xml:space="preserve">the </w:t>
      </w:r>
      <w:r w:rsidR="00C5600B">
        <w:rPr>
          <w:rFonts w:ascii="Verdana" w:hAnsi="Verdana"/>
          <w:sz w:val="20"/>
          <w:szCs w:val="20"/>
        </w:rPr>
        <w:t>assessment of uncertainty</w:t>
      </w:r>
      <w:r w:rsidR="00CF2A68">
        <w:rPr>
          <w:rFonts w:ascii="Verdana" w:hAnsi="Verdana"/>
          <w:sz w:val="20"/>
          <w:szCs w:val="20"/>
        </w:rPr>
        <w:t xml:space="preserve">. </w:t>
      </w:r>
    </w:p>
    <w:p w14:paraId="578E9D40" w14:textId="53FEE601" w:rsidR="0091368C" w:rsidRPr="00885876" w:rsidRDefault="0091368C" w:rsidP="00CD41C6">
      <w:pPr>
        <w:rPr>
          <w:rFonts w:ascii="Verdana" w:hAnsi="Verdana"/>
          <w:sz w:val="20"/>
          <w:szCs w:val="20"/>
        </w:rPr>
      </w:pPr>
      <w:r>
        <w:rPr>
          <w:rFonts w:ascii="Verdana" w:hAnsi="Verdana"/>
          <w:sz w:val="20"/>
          <w:szCs w:val="20"/>
        </w:rPr>
        <w:t>The background document and the accompanying templat</w:t>
      </w:r>
      <w:r w:rsidR="00572F37">
        <w:rPr>
          <w:rFonts w:ascii="Verdana" w:hAnsi="Verdana"/>
          <w:sz w:val="20"/>
          <w:szCs w:val="20"/>
        </w:rPr>
        <w:t>e are not formal ECHA Guidance D</w:t>
      </w:r>
      <w:r>
        <w:rPr>
          <w:rFonts w:ascii="Verdana" w:hAnsi="Verdana"/>
          <w:sz w:val="20"/>
          <w:szCs w:val="20"/>
        </w:rPr>
        <w:t>ocuments.</w:t>
      </w:r>
    </w:p>
    <w:p w14:paraId="718CD6C8" w14:textId="77777777" w:rsidR="00CD41C6" w:rsidRPr="00885876" w:rsidRDefault="00CD41C6" w:rsidP="00CD41C6">
      <w:pPr>
        <w:rPr>
          <w:rFonts w:ascii="Verdana" w:hAnsi="Verdana"/>
          <w:sz w:val="20"/>
          <w:szCs w:val="20"/>
        </w:rPr>
      </w:pPr>
      <w:r w:rsidRPr="00885876">
        <w:rPr>
          <w:rFonts w:ascii="Verdana" w:hAnsi="Verdana"/>
          <w:sz w:val="20"/>
          <w:szCs w:val="20"/>
        </w:rPr>
        <w:t xml:space="preserve">The document focuses on hazard assessment, although the principles described would be applicable for exposure and risk assessment where weighing of evidence applies. </w:t>
      </w:r>
    </w:p>
    <w:p w14:paraId="718CD6C9" w14:textId="77777777" w:rsidR="00CD41C6" w:rsidRPr="00885876" w:rsidRDefault="00CD41C6">
      <w:pPr>
        <w:rPr>
          <w:rFonts w:ascii="Verdana" w:hAnsi="Verdana"/>
          <w:sz w:val="20"/>
          <w:szCs w:val="20"/>
        </w:rPr>
      </w:pPr>
    </w:p>
    <w:p w14:paraId="718CD6CA" w14:textId="77777777" w:rsidR="00885876" w:rsidRDefault="00885876">
      <w:pPr>
        <w:rPr>
          <w:rFonts w:ascii="Verdana" w:hAnsi="Verdana"/>
          <w:sz w:val="20"/>
          <w:szCs w:val="20"/>
        </w:rPr>
      </w:pPr>
      <w:r>
        <w:rPr>
          <w:rFonts w:ascii="Verdana" w:hAnsi="Verdana"/>
          <w:sz w:val="20"/>
          <w:szCs w:val="20"/>
        </w:rPr>
        <w:br w:type="page"/>
      </w:r>
    </w:p>
    <w:p w14:paraId="718CD6CB" w14:textId="7F6F3B44" w:rsidR="00CD41C6" w:rsidRPr="0010403B" w:rsidRDefault="00885876" w:rsidP="0010403B">
      <w:pPr>
        <w:pStyle w:val="Heading1"/>
        <w:widowControl w:val="0"/>
        <w:numPr>
          <w:ilvl w:val="0"/>
          <w:numId w:val="9"/>
        </w:numPr>
        <w:spacing w:before="360" w:after="240" w:line="240" w:lineRule="auto"/>
        <w:ind w:left="0" w:firstLine="0"/>
        <w:rPr>
          <w:rFonts w:ascii="Verdana" w:eastAsia="Times New Roman" w:hAnsi="Verdana" w:cs="Times New Roman"/>
          <w:b/>
          <w:snapToGrid w:val="0"/>
          <w:color w:val="0046AD"/>
          <w:sz w:val="28"/>
          <w:szCs w:val="24"/>
          <w:lang w:eastAsia="fi-FI"/>
        </w:rPr>
      </w:pPr>
      <w:bookmarkStart w:id="2" w:name="_Toc499654080"/>
      <w:r w:rsidRPr="0010403B">
        <w:rPr>
          <w:rFonts w:ascii="Verdana" w:eastAsia="Times New Roman" w:hAnsi="Verdana" w:cs="Times New Roman"/>
          <w:b/>
          <w:snapToGrid w:val="0"/>
          <w:color w:val="0046AD"/>
          <w:sz w:val="28"/>
          <w:szCs w:val="24"/>
          <w:lang w:eastAsia="fi-FI"/>
        </w:rPr>
        <w:lastRenderedPageBreak/>
        <w:t>Introduction</w:t>
      </w:r>
      <w:bookmarkEnd w:id="2"/>
      <w:r w:rsidRPr="0010403B">
        <w:rPr>
          <w:rFonts w:ascii="Verdana" w:eastAsia="Times New Roman" w:hAnsi="Verdana" w:cs="Times New Roman"/>
          <w:b/>
          <w:snapToGrid w:val="0"/>
          <w:color w:val="0046AD"/>
          <w:sz w:val="28"/>
          <w:szCs w:val="24"/>
          <w:lang w:eastAsia="fi-FI"/>
        </w:rPr>
        <w:t xml:space="preserve"> </w:t>
      </w:r>
    </w:p>
    <w:p w14:paraId="0CBDCE0F" w14:textId="77777777" w:rsidR="00020B16" w:rsidRDefault="00020B16">
      <w:pPr>
        <w:rPr>
          <w:rFonts w:ascii="Verdana" w:hAnsi="Verdana"/>
          <w:sz w:val="20"/>
          <w:szCs w:val="20"/>
        </w:rPr>
      </w:pPr>
    </w:p>
    <w:p w14:paraId="49D03D34" w14:textId="77777777" w:rsidR="00C03369" w:rsidRDefault="00020B16">
      <w:pPr>
        <w:rPr>
          <w:rFonts w:ascii="Verdana" w:hAnsi="Verdana"/>
          <w:sz w:val="20"/>
          <w:szCs w:val="20"/>
        </w:rPr>
      </w:pPr>
      <w:r>
        <w:rPr>
          <w:rFonts w:ascii="Verdana" w:hAnsi="Verdana"/>
          <w:sz w:val="20"/>
          <w:szCs w:val="20"/>
        </w:rPr>
        <w:t>For the purpose of this document a review of existing work</w:t>
      </w:r>
      <w:r w:rsidR="006F16D9">
        <w:rPr>
          <w:rFonts w:ascii="Verdana" w:hAnsi="Verdana"/>
          <w:sz w:val="20"/>
          <w:szCs w:val="20"/>
        </w:rPr>
        <w:t xml:space="preserve"> in the field of Weight of Evidence and </w:t>
      </w:r>
      <w:r w:rsidR="004A05DD">
        <w:rPr>
          <w:rFonts w:ascii="Verdana" w:hAnsi="Verdana"/>
          <w:sz w:val="20"/>
          <w:szCs w:val="20"/>
        </w:rPr>
        <w:t>u</w:t>
      </w:r>
      <w:r w:rsidR="006F16D9">
        <w:rPr>
          <w:rFonts w:ascii="Verdana" w:hAnsi="Verdana"/>
          <w:sz w:val="20"/>
          <w:szCs w:val="20"/>
        </w:rPr>
        <w:t>ncertainty</w:t>
      </w:r>
      <w:r>
        <w:rPr>
          <w:rFonts w:ascii="Verdana" w:hAnsi="Verdana"/>
          <w:sz w:val="20"/>
          <w:szCs w:val="20"/>
        </w:rPr>
        <w:t xml:space="preserve"> by other regulatory agencies, international organisations and recent publications has been performed. The material used is listed in the Reference Section of this document.</w:t>
      </w:r>
    </w:p>
    <w:p w14:paraId="718CD6CC" w14:textId="54C8D153" w:rsidR="00CD41C6" w:rsidRPr="00020B16" w:rsidRDefault="00020B16">
      <w:pPr>
        <w:rPr>
          <w:rFonts w:ascii="Verdana" w:hAnsi="Verdana"/>
          <w:sz w:val="20"/>
          <w:szCs w:val="20"/>
        </w:rPr>
      </w:pPr>
      <w:r>
        <w:rPr>
          <w:rFonts w:ascii="Verdana" w:hAnsi="Verdana"/>
          <w:sz w:val="20"/>
          <w:szCs w:val="20"/>
        </w:rPr>
        <w:t xml:space="preserve"> </w:t>
      </w:r>
    </w:p>
    <w:p w14:paraId="718CD6CD" w14:textId="7D9000A9" w:rsidR="00885876" w:rsidRPr="0010403B" w:rsidRDefault="00E96D64" w:rsidP="00233E2A">
      <w:pPr>
        <w:pStyle w:val="Heading2"/>
        <w:numPr>
          <w:ilvl w:val="1"/>
          <w:numId w:val="10"/>
        </w:numPr>
        <w:rPr>
          <w:rFonts w:ascii="Verdana" w:eastAsia="Times New Roman" w:hAnsi="Verdana" w:cs="Arial"/>
          <w:b/>
          <w:snapToGrid w:val="0"/>
          <w:color w:val="0046AD"/>
          <w:sz w:val="24"/>
          <w:szCs w:val="22"/>
          <w:lang w:eastAsia="fi-FI"/>
        </w:rPr>
      </w:pPr>
      <w:r w:rsidRPr="0010403B">
        <w:rPr>
          <w:rFonts w:ascii="Verdana" w:eastAsia="Times New Roman" w:hAnsi="Verdana" w:cs="Arial"/>
          <w:b/>
          <w:snapToGrid w:val="0"/>
          <w:color w:val="0046AD"/>
          <w:sz w:val="24"/>
          <w:szCs w:val="22"/>
          <w:lang w:eastAsia="fi-FI"/>
        </w:rPr>
        <w:t xml:space="preserve"> </w:t>
      </w:r>
      <w:bookmarkStart w:id="3" w:name="_Toc499654081"/>
      <w:r w:rsidR="00885876" w:rsidRPr="0010403B">
        <w:rPr>
          <w:rFonts w:ascii="Verdana" w:eastAsia="Times New Roman" w:hAnsi="Verdana" w:cs="Arial"/>
          <w:b/>
          <w:snapToGrid w:val="0"/>
          <w:color w:val="0046AD"/>
          <w:sz w:val="24"/>
          <w:szCs w:val="22"/>
          <w:lang w:eastAsia="fi-FI"/>
        </w:rPr>
        <w:t>Weight of Evidence Approach</w:t>
      </w:r>
      <w:bookmarkEnd w:id="3"/>
      <w:r w:rsidR="00885876" w:rsidRPr="0010403B">
        <w:rPr>
          <w:rFonts w:ascii="Verdana" w:eastAsia="Times New Roman" w:hAnsi="Verdana" w:cs="Arial"/>
          <w:b/>
          <w:snapToGrid w:val="0"/>
          <w:color w:val="0046AD"/>
          <w:sz w:val="24"/>
          <w:szCs w:val="22"/>
          <w:lang w:eastAsia="fi-FI"/>
        </w:rPr>
        <w:t xml:space="preserve"> </w:t>
      </w:r>
    </w:p>
    <w:p w14:paraId="718CD6CE" w14:textId="77777777" w:rsidR="00E96D64" w:rsidRDefault="00E96D64" w:rsidP="00CD41C6">
      <w:pPr>
        <w:rPr>
          <w:rFonts w:ascii="Verdana" w:hAnsi="Verdana"/>
          <w:sz w:val="20"/>
          <w:szCs w:val="20"/>
        </w:rPr>
      </w:pPr>
    </w:p>
    <w:p w14:paraId="718CD6CF" w14:textId="6DC96C25" w:rsidR="00CD41C6" w:rsidRPr="00885876" w:rsidRDefault="00CD41C6" w:rsidP="00CD41C6">
      <w:pPr>
        <w:rPr>
          <w:rFonts w:ascii="Verdana" w:hAnsi="Verdana"/>
          <w:sz w:val="20"/>
          <w:szCs w:val="20"/>
        </w:rPr>
      </w:pPr>
      <w:r w:rsidRPr="00885876">
        <w:rPr>
          <w:rFonts w:ascii="Verdana" w:hAnsi="Verdana"/>
          <w:sz w:val="20"/>
          <w:szCs w:val="20"/>
        </w:rPr>
        <w:t xml:space="preserve">There is no formal adopted definition of </w:t>
      </w:r>
      <w:r w:rsidR="003B7837">
        <w:rPr>
          <w:rFonts w:ascii="Verdana" w:hAnsi="Verdana"/>
          <w:sz w:val="20"/>
          <w:szCs w:val="20"/>
        </w:rPr>
        <w:t>the Weight of Evidence (</w:t>
      </w:r>
      <w:r w:rsidRPr="00885876">
        <w:rPr>
          <w:rFonts w:ascii="Verdana" w:hAnsi="Verdana"/>
          <w:sz w:val="20"/>
          <w:szCs w:val="20"/>
        </w:rPr>
        <w:t>WoE</w:t>
      </w:r>
      <w:r w:rsidR="003B7837">
        <w:rPr>
          <w:rFonts w:ascii="Verdana" w:hAnsi="Verdana"/>
          <w:sz w:val="20"/>
          <w:szCs w:val="20"/>
        </w:rPr>
        <w:t>)</w:t>
      </w:r>
      <w:r w:rsidRPr="00885876">
        <w:rPr>
          <w:rFonts w:ascii="Verdana" w:hAnsi="Verdana"/>
          <w:sz w:val="20"/>
          <w:szCs w:val="20"/>
        </w:rPr>
        <w:t xml:space="preserve"> approach. </w:t>
      </w:r>
    </w:p>
    <w:p w14:paraId="718CD6D0" w14:textId="7CA530B4" w:rsidR="00CD41C6" w:rsidRPr="00885876" w:rsidRDefault="00CD41C6" w:rsidP="00CD41C6">
      <w:pPr>
        <w:rPr>
          <w:rFonts w:ascii="Verdana" w:hAnsi="Verdana"/>
          <w:sz w:val="20"/>
          <w:szCs w:val="20"/>
        </w:rPr>
      </w:pPr>
      <w:r w:rsidRPr="00885876">
        <w:rPr>
          <w:rFonts w:ascii="Verdana" w:hAnsi="Verdana"/>
          <w:sz w:val="20"/>
          <w:szCs w:val="20"/>
        </w:rPr>
        <w:t>A number of available descriptions of WoE approach from ECHA</w:t>
      </w:r>
      <w:r w:rsidR="006A4E3F">
        <w:rPr>
          <w:rFonts w:ascii="Verdana" w:hAnsi="Verdana"/>
          <w:sz w:val="20"/>
          <w:szCs w:val="20"/>
        </w:rPr>
        <w:t xml:space="preserve"> Guidance Document</w:t>
      </w:r>
      <w:r w:rsidRPr="00885876">
        <w:rPr>
          <w:rFonts w:ascii="Verdana" w:hAnsi="Verdana"/>
          <w:sz w:val="20"/>
          <w:szCs w:val="20"/>
        </w:rPr>
        <w:t>, WHO/IPCS</w:t>
      </w:r>
      <w:r w:rsidR="006A4E3F">
        <w:rPr>
          <w:rFonts w:ascii="Verdana" w:hAnsi="Verdana"/>
          <w:sz w:val="20"/>
          <w:szCs w:val="20"/>
        </w:rPr>
        <w:t xml:space="preserve"> publications</w:t>
      </w:r>
      <w:r w:rsidRPr="00885876">
        <w:rPr>
          <w:rFonts w:ascii="Verdana" w:hAnsi="Verdana"/>
          <w:sz w:val="20"/>
          <w:szCs w:val="20"/>
        </w:rPr>
        <w:t xml:space="preserve">, SCENHIR, EFSA, US OSHA (see </w:t>
      </w:r>
      <w:r w:rsidR="00296D48" w:rsidRPr="004674F4">
        <w:rPr>
          <w:rFonts w:ascii="Verdana" w:hAnsi="Verdana"/>
          <w:sz w:val="20"/>
          <w:szCs w:val="20"/>
        </w:rPr>
        <w:t>Reference Section</w:t>
      </w:r>
      <w:r w:rsidRPr="00885876">
        <w:rPr>
          <w:rFonts w:ascii="Verdana" w:hAnsi="Verdana"/>
          <w:sz w:val="20"/>
          <w:szCs w:val="20"/>
        </w:rPr>
        <w:t xml:space="preserve"> of this document) have been considered</w:t>
      </w:r>
      <w:r w:rsidR="00E96D64">
        <w:rPr>
          <w:rFonts w:ascii="Verdana" w:hAnsi="Verdana"/>
          <w:sz w:val="20"/>
          <w:szCs w:val="20"/>
        </w:rPr>
        <w:t xml:space="preserve">. </w:t>
      </w:r>
    </w:p>
    <w:p w14:paraId="718CD6D1" w14:textId="04E7E125" w:rsidR="00CD41C6" w:rsidRPr="00885876" w:rsidRDefault="00CD41C6" w:rsidP="00CD41C6">
      <w:pPr>
        <w:rPr>
          <w:rFonts w:ascii="Verdana" w:hAnsi="Verdana"/>
          <w:sz w:val="20"/>
          <w:szCs w:val="20"/>
        </w:rPr>
      </w:pPr>
      <w:r w:rsidRPr="00885876">
        <w:rPr>
          <w:rFonts w:ascii="Verdana" w:hAnsi="Verdana"/>
          <w:sz w:val="20"/>
          <w:szCs w:val="20"/>
        </w:rPr>
        <w:t xml:space="preserve">In line with these descriptive definitions available it is recommended that </w:t>
      </w:r>
      <w:r w:rsidR="004A05DD">
        <w:rPr>
          <w:rFonts w:ascii="Verdana" w:hAnsi="Verdana"/>
          <w:sz w:val="20"/>
          <w:szCs w:val="20"/>
        </w:rPr>
        <w:t xml:space="preserve">the </w:t>
      </w:r>
      <w:r w:rsidRPr="00885876">
        <w:rPr>
          <w:rFonts w:ascii="Verdana" w:hAnsi="Verdana"/>
          <w:sz w:val="20"/>
          <w:szCs w:val="20"/>
        </w:rPr>
        <w:t xml:space="preserve">WoE approach can be described as follows: </w:t>
      </w:r>
    </w:p>
    <w:p w14:paraId="718CD6D2" w14:textId="16A03318" w:rsidR="00CD41C6" w:rsidRPr="00E96D64" w:rsidRDefault="00CD41C6" w:rsidP="00CD41C6">
      <w:pPr>
        <w:rPr>
          <w:rFonts w:ascii="Verdana" w:hAnsi="Verdana"/>
          <w:i/>
          <w:sz w:val="20"/>
          <w:szCs w:val="20"/>
          <w:u w:val="single"/>
        </w:rPr>
      </w:pPr>
      <w:r w:rsidRPr="00885876">
        <w:rPr>
          <w:rFonts w:ascii="Verdana" w:hAnsi="Verdana"/>
          <w:i/>
          <w:sz w:val="20"/>
          <w:szCs w:val="20"/>
          <w:u w:val="single"/>
        </w:rPr>
        <w:t>Weight of Evidence</w:t>
      </w:r>
      <w:r w:rsidR="00894566">
        <w:rPr>
          <w:rFonts w:ascii="Verdana" w:hAnsi="Verdana"/>
          <w:i/>
          <w:sz w:val="20"/>
          <w:szCs w:val="20"/>
          <w:u w:val="single"/>
        </w:rPr>
        <w:t xml:space="preserve"> approach</w:t>
      </w:r>
      <w:r w:rsidRPr="00885876">
        <w:rPr>
          <w:rFonts w:ascii="Verdana" w:hAnsi="Verdana"/>
          <w:i/>
          <w:sz w:val="20"/>
          <w:szCs w:val="20"/>
          <w:u w:val="single"/>
        </w:rPr>
        <w:t xml:space="preserve"> can be generally described as a stepwise process/approach of collecting evidence</w:t>
      </w:r>
      <w:r w:rsidR="0096129A">
        <w:rPr>
          <w:rFonts w:ascii="Verdana" w:hAnsi="Verdana"/>
          <w:i/>
          <w:sz w:val="20"/>
          <w:szCs w:val="20"/>
          <w:u w:val="single"/>
        </w:rPr>
        <w:t>, assessing, integrating</w:t>
      </w:r>
      <w:r w:rsidRPr="00885876">
        <w:rPr>
          <w:rFonts w:ascii="Verdana" w:hAnsi="Verdana"/>
          <w:i/>
          <w:sz w:val="20"/>
          <w:szCs w:val="20"/>
          <w:u w:val="single"/>
        </w:rPr>
        <w:t xml:space="preserve"> and weighing them to reach a conclusion on a particular problem formulation with (pre)defined degree of </w:t>
      </w:r>
      <w:r w:rsidR="0079707E" w:rsidRPr="00885876">
        <w:rPr>
          <w:rFonts w:ascii="Verdana" w:hAnsi="Verdana"/>
          <w:i/>
          <w:sz w:val="20"/>
          <w:szCs w:val="20"/>
          <w:u w:val="single"/>
        </w:rPr>
        <w:t>confidence.</w:t>
      </w:r>
    </w:p>
    <w:p w14:paraId="718CD6D3" w14:textId="77777777" w:rsidR="00CD41C6" w:rsidRPr="00E96D64" w:rsidRDefault="00CD41C6" w:rsidP="00CD41C6">
      <w:pPr>
        <w:rPr>
          <w:rFonts w:ascii="Verdana" w:hAnsi="Verdana"/>
          <w:sz w:val="20"/>
          <w:szCs w:val="20"/>
        </w:rPr>
      </w:pPr>
      <w:r w:rsidRPr="00885876">
        <w:rPr>
          <w:rFonts w:ascii="Verdana" w:hAnsi="Verdana"/>
          <w:sz w:val="20"/>
          <w:szCs w:val="20"/>
        </w:rPr>
        <w:t>The following proposed 6 steps are considered to constitute the backbone of the WoE approach:</w:t>
      </w:r>
    </w:p>
    <w:p w14:paraId="718CD6D4" w14:textId="77777777" w:rsidR="00CD41C6" w:rsidRPr="00885876" w:rsidRDefault="00CD41C6" w:rsidP="00CD41C6">
      <w:pPr>
        <w:widowControl w:val="0"/>
        <w:numPr>
          <w:ilvl w:val="0"/>
          <w:numId w:val="2"/>
        </w:numPr>
        <w:spacing w:after="0" w:line="240" w:lineRule="auto"/>
        <w:rPr>
          <w:rFonts w:ascii="Verdana" w:hAnsi="Verdana"/>
          <w:b/>
          <w:sz w:val="20"/>
          <w:szCs w:val="20"/>
        </w:rPr>
      </w:pPr>
      <w:r w:rsidRPr="00885876">
        <w:rPr>
          <w:rFonts w:ascii="Verdana" w:hAnsi="Verdana"/>
          <w:b/>
          <w:sz w:val="20"/>
          <w:szCs w:val="20"/>
        </w:rPr>
        <w:t>Problem formulation</w:t>
      </w:r>
    </w:p>
    <w:p w14:paraId="718CD6D5" w14:textId="075AB98F" w:rsidR="00CD41C6" w:rsidRPr="00885876" w:rsidRDefault="00CD41C6" w:rsidP="00CD41C6">
      <w:pPr>
        <w:widowControl w:val="0"/>
        <w:numPr>
          <w:ilvl w:val="0"/>
          <w:numId w:val="2"/>
        </w:numPr>
        <w:spacing w:after="0" w:line="240" w:lineRule="auto"/>
        <w:rPr>
          <w:rFonts w:ascii="Verdana" w:hAnsi="Verdana"/>
          <w:b/>
          <w:sz w:val="20"/>
          <w:szCs w:val="20"/>
        </w:rPr>
      </w:pPr>
      <w:r w:rsidRPr="00885876">
        <w:rPr>
          <w:rFonts w:ascii="Verdana" w:hAnsi="Verdana"/>
          <w:b/>
          <w:sz w:val="20"/>
          <w:szCs w:val="20"/>
        </w:rPr>
        <w:t xml:space="preserve">Collection </w:t>
      </w:r>
      <w:r w:rsidR="00906780">
        <w:rPr>
          <w:rFonts w:ascii="Verdana" w:hAnsi="Verdana"/>
          <w:b/>
          <w:sz w:val="20"/>
          <w:szCs w:val="20"/>
        </w:rPr>
        <w:t>&amp; Documentation of all information</w:t>
      </w:r>
    </w:p>
    <w:p w14:paraId="718CD6D6" w14:textId="3E8D4CC2" w:rsidR="00CD41C6" w:rsidRPr="00885876" w:rsidRDefault="00CD41C6" w:rsidP="00CD41C6">
      <w:pPr>
        <w:widowControl w:val="0"/>
        <w:numPr>
          <w:ilvl w:val="0"/>
          <w:numId w:val="2"/>
        </w:numPr>
        <w:spacing w:after="0" w:line="240" w:lineRule="auto"/>
        <w:rPr>
          <w:rFonts w:ascii="Verdana" w:hAnsi="Verdana"/>
          <w:b/>
          <w:sz w:val="20"/>
          <w:szCs w:val="20"/>
        </w:rPr>
      </w:pPr>
      <w:r w:rsidRPr="00885876">
        <w:rPr>
          <w:rFonts w:ascii="Verdana" w:hAnsi="Verdana"/>
          <w:b/>
          <w:sz w:val="20"/>
          <w:szCs w:val="20"/>
        </w:rPr>
        <w:t>Assessment of quality of individual evidence (reliability, relevance</w:t>
      </w:r>
      <w:r w:rsidR="00105FA4">
        <w:rPr>
          <w:rFonts w:ascii="Verdana" w:hAnsi="Verdana"/>
          <w:b/>
          <w:sz w:val="20"/>
          <w:szCs w:val="20"/>
        </w:rPr>
        <w:t xml:space="preserve">, </w:t>
      </w:r>
      <w:r w:rsidRPr="00885876">
        <w:rPr>
          <w:rFonts w:ascii="Verdana" w:hAnsi="Verdana"/>
          <w:b/>
          <w:sz w:val="20"/>
          <w:szCs w:val="20"/>
        </w:rPr>
        <w:t>adequacy)</w:t>
      </w:r>
    </w:p>
    <w:p w14:paraId="718CD6D7" w14:textId="4DC695F4" w:rsidR="00CD41C6" w:rsidRPr="00885876" w:rsidRDefault="00906780" w:rsidP="00CD41C6">
      <w:pPr>
        <w:widowControl w:val="0"/>
        <w:numPr>
          <w:ilvl w:val="0"/>
          <w:numId w:val="2"/>
        </w:numPr>
        <w:spacing w:after="0" w:line="240" w:lineRule="auto"/>
        <w:rPr>
          <w:rFonts w:ascii="Verdana" w:hAnsi="Verdana"/>
          <w:b/>
          <w:sz w:val="20"/>
          <w:szCs w:val="20"/>
        </w:rPr>
      </w:pPr>
      <w:r>
        <w:rPr>
          <w:rFonts w:ascii="Verdana" w:hAnsi="Verdana"/>
          <w:b/>
          <w:sz w:val="20"/>
          <w:szCs w:val="20"/>
        </w:rPr>
        <w:t>Integration &amp; Weighing of Evidence</w:t>
      </w:r>
    </w:p>
    <w:p w14:paraId="718CD6D8" w14:textId="74913215" w:rsidR="00CD41C6" w:rsidRDefault="00906780" w:rsidP="00CD41C6">
      <w:pPr>
        <w:widowControl w:val="0"/>
        <w:numPr>
          <w:ilvl w:val="0"/>
          <w:numId w:val="2"/>
        </w:numPr>
        <w:spacing w:after="0" w:line="240" w:lineRule="auto"/>
        <w:rPr>
          <w:rFonts w:ascii="Verdana" w:hAnsi="Verdana"/>
          <w:b/>
          <w:sz w:val="20"/>
          <w:szCs w:val="20"/>
        </w:rPr>
      </w:pPr>
      <w:r>
        <w:rPr>
          <w:rFonts w:ascii="Verdana" w:hAnsi="Verdana"/>
          <w:b/>
          <w:sz w:val="20"/>
          <w:szCs w:val="20"/>
        </w:rPr>
        <w:t>Application of levels of confidence</w:t>
      </w:r>
    </w:p>
    <w:p w14:paraId="7AA99644" w14:textId="735F0269" w:rsidR="00906780" w:rsidRPr="00885876" w:rsidRDefault="00906780" w:rsidP="00CD41C6">
      <w:pPr>
        <w:widowControl w:val="0"/>
        <w:numPr>
          <w:ilvl w:val="0"/>
          <w:numId w:val="2"/>
        </w:numPr>
        <w:spacing w:after="0" w:line="240" w:lineRule="auto"/>
        <w:rPr>
          <w:rFonts w:ascii="Verdana" w:hAnsi="Verdana"/>
          <w:b/>
          <w:sz w:val="20"/>
          <w:szCs w:val="20"/>
        </w:rPr>
      </w:pPr>
      <w:r>
        <w:rPr>
          <w:rFonts w:ascii="Verdana" w:hAnsi="Verdana"/>
          <w:b/>
          <w:sz w:val="20"/>
          <w:szCs w:val="20"/>
        </w:rPr>
        <w:t>Uncertainty Analysis</w:t>
      </w:r>
    </w:p>
    <w:p w14:paraId="718CD6DA" w14:textId="2925A289" w:rsidR="00CD41C6" w:rsidRPr="000655E6" w:rsidRDefault="00CD41C6" w:rsidP="000655E6">
      <w:pPr>
        <w:pStyle w:val="ListParagraph"/>
        <w:numPr>
          <w:ilvl w:val="0"/>
          <w:numId w:val="2"/>
        </w:numPr>
      </w:pPr>
      <w:r w:rsidRPr="000655E6">
        <w:rPr>
          <w:b/>
        </w:rPr>
        <w:t>Conclusion</w:t>
      </w:r>
    </w:p>
    <w:p w14:paraId="45EFA845" w14:textId="77777777" w:rsidR="000655E6" w:rsidRDefault="000655E6" w:rsidP="00CD41C6">
      <w:pPr>
        <w:rPr>
          <w:rFonts w:ascii="Verdana" w:hAnsi="Verdana"/>
          <w:sz w:val="20"/>
          <w:szCs w:val="20"/>
        </w:rPr>
      </w:pPr>
    </w:p>
    <w:p w14:paraId="718CD6DB" w14:textId="1519E082" w:rsidR="00CD41C6" w:rsidRPr="00885876" w:rsidRDefault="00CD41C6" w:rsidP="00CD41C6">
      <w:pPr>
        <w:rPr>
          <w:rFonts w:ascii="Verdana" w:hAnsi="Verdana"/>
          <w:sz w:val="20"/>
          <w:szCs w:val="20"/>
        </w:rPr>
      </w:pPr>
      <w:r w:rsidRPr="00885876">
        <w:rPr>
          <w:rFonts w:ascii="Verdana" w:hAnsi="Verdana"/>
          <w:sz w:val="20"/>
          <w:szCs w:val="20"/>
        </w:rPr>
        <w:t xml:space="preserve">The stepwise approach proposed above is in line </w:t>
      </w:r>
      <w:r w:rsidR="00C5600B">
        <w:rPr>
          <w:rFonts w:ascii="Verdana" w:hAnsi="Verdana"/>
          <w:sz w:val="20"/>
          <w:szCs w:val="20"/>
        </w:rPr>
        <w:t>with</w:t>
      </w:r>
      <w:r w:rsidRPr="00885876">
        <w:rPr>
          <w:rFonts w:ascii="Verdana" w:hAnsi="Verdana"/>
          <w:sz w:val="20"/>
          <w:szCs w:val="20"/>
        </w:rPr>
        <w:t xml:space="preserve"> </w:t>
      </w:r>
      <w:r w:rsidRPr="002A0F5D">
        <w:rPr>
          <w:rFonts w:ascii="Verdana" w:hAnsi="Verdana"/>
          <w:sz w:val="20"/>
          <w:szCs w:val="20"/>
        </w:rPr>
        <w:t>ECHA Guidance</w:t>
      </w:r>
      <w:r w:rsidR="002A0F5D">
        <w:rPr>
          <w:rFonts w:ascii="Verdana" w:hAnsi="Verdana"/>
          <w:sz w:val="20"/>
          <w:szCs w:val="20"/>
        </w:rPr>
        <w:t xml:space="preserve"> </w:t>
      </w:r>
      <w:r w:rsidRPr="00885876">
        <w:rPr>
          <w:rFonts w:ascii="Verdana" w:hAnsi="Verdana"/>
          <w:sz w:val="20"/>
          <w:szCs w:val="20"/>
        </w:rPr>
        <w:t xml:space="preserve">on IR/CSA </w:t>
      </w:r>
      <w:r w:rsidR="00EF0B29">
        <w:rPr>
          <w:rFonts w:ascii="Verdana" w:hAnsi="Verdana"/>
          <w:sz w:val="20"/>
          <w:szCs w:val="20"/>
        </w:rPr>
        <w:t>(</w:t>
      </w:r>
      <w:r w:rsidRPr="00885876">
        <w:rPr>
          <w:rFonts w:ascii="Verdana" w:hAnsi="Verdana"/>
          <w:sz w:val="20"/>
          <w:szCs w:val="20"/>
        </w:rPr>
        <w:t xml:space="preserve">R2, R3, R4, R5) where the following steps are described: </w:t>
      </w:r>
      <w:r w:rsidR="004A05DD">
        <w:rPr>
          <w:rFonts w:ascii="Verdana" w:hAnsi="Verdana"/>
          <w:sz w:val="20"/>
          <w:szCs w:val="20"/>
        </w:rPr>
        <w:t>c</w:t>
      </w:r>
      <w:r w:rsidRPr="00885876">
        <w:rPr>
          <w:rFonts w:ascii="Verdana" w:hAnsi="Verdana"/>
          <w:sz w:val="20"/>
          <w:szCs w:val="20"/>
        </w:rPr>
        <w:t>ollection, evaluation, adaptation and generation of information.</w:t>
      </w:r>
    </w:p>
    <w:p w14:paraId="718CD6DC" w14:textId="38E1B6E6" w:rsidR="00CD41C6" w:rsidRPr="00885876" w:rsidRDefault="00CD41C6" w:rsidP="00CD41C6">
      <w:pPr>
        <w:spacing w:after="200" w:line="276" w:lineRule="auto"/>
        <w:rPr>
          <w:rFonts w:ascii="Verdana" w:hAnsi="Verdana"/>
          <w:sz w:val="20"/>
          <w:szCs w:val="20"/>
        </w:rPr>
      </w:pPr>
      <w:r w:rsidRPr="00885876">
        <w:rPr>
          <w:rFonts w:ascii="Verdana" w:hAnsi="Verdana"/>
          <w:b/>
          <w:sz w:val="20"/>
          <w:szCs w:val="20"/>
        </w:rPr>
        <w:t>Figure 1</w:t>
      </w:r>
      <w:r w:rsidRPr="00885876">
        <w:rPr>
          <w:rFonts w:ascii="Verdana" w:hAnsi="Verdana"/>
          <w:sz w:val="20"/>
          <w:szCs w:val="20"/>
        </w:rPr>
        <w:t xml:space="preserve"> provides an overview of the proposed </w:t>
      </w:r>
      <w:r w:rsidR="000400F7">
        <w:rPr>
          <w:rFonts w:ascii="Verdana" w:hAnsi="Verdana"/>
          <w:sz w:val="20"/>
          <w:szCs w:val="20"/>
        </w:rPr>
        <w:t xml:space="preserve">iterative </w:t>
      </w:r>
      <w:r w:rsidRPr="00885876">
        <w:rPr>
          <w:rFonts w:ascii="Verdana" w:hAnsi="Verdana"/>
          <w:sz w:val="20"/>
          <w:szCs w:val="20"/>
        </w:rPr>
        <w:t>WoE approach indicating also the conceptual difference between “WoE approach” versus “WoE analysis” with the latter being only part of the WoE approach</w:t>
      </w:r>
      <w:r w:rsidR="00EF0B29">
        <w:rPr>
          <w:rFonts w:ascii="Verdana" w:hAnsi="Verdana"/>
          <w:sz w:val="20"/>
          <w:szCs w:val="20"/>
        </w:rPr>
        <w:t>,</w:t>
      </w:r>
      <w:r w:rsidR="004A05DD">
        <w:rPr>
          <w:rFonts w:ascii="Verdana" w:hAnsi="Verdana"/>
          <w:sz w:val="20"/>
          <w:szCs w:val="20"/>
        </w:rPr>
        <w:t xml:space="preserve"> i.e.</w:t>
      </w:r>
      <w:r w:rsidR="00EF0B29">
        <w:rPr>
          <w:rFonts w:ascii="Verdana" w:hAnsi="Verdana"/>
          <w:sz w:val="20"/>
          <w:szCs w:val="20"/>
        </w:rPr>
        <w:t xml:space="preserve"> </w:t>
      </w:r>
      <w:r w:rsidRPr="00885876">
        <w:rPr>
          <w:rFonts w:ascii="Verdana" w:hAnsi="Verdana"/>
          <w:sz w:val="20"/>
          <w:szCs w:val="20"/>
        </w:rPr>
        <w:t>not constitut</w:t>
      </w:r>
      <w:r w:rsidR="00EF0B29">
        <w:rPr>
          <w:rFonts w:ascii="Verdana" w:hAnsi="Verdana"/>
          <w:sz w:val="20"/>
          <w:szCs w:val="20"/>
        </w:rPr>
        <w:t>ing</w:t>
      </w:r>
      <w:r w:rsidRPr="00885876">
        <w:rPr>
          <w:rFonts w:ascii="Verdana" w:hAnsi="Verdana"/>
          <w:sz w:val="20"/>
          <w:szCs w:val="20"/>
        </w:rPr>
        <w:t xml:space="preserve"> the whole WoE approach (</w:t>
      </w:r>
      <w:r w:rsidR="00747923">
        <w:rPr>
          <w:rFonts w:ascii="Verdana" w:hAnsi="Verdana"/>
          <w:sz w:val="20"/>
          <w:szCs w:val="20"/>
        </w:rPr>
        <w:t xml:space="preserve">note that this distinction </w:t>
      </w:r>
      <w:r w:rsidRPr="00885876">
        <w:rPr>
          <w:rFonts w:ascii="Verdana" w:hAnsi="Verdana"/>
          <w:sz w:val="20"/>
          <w:szCs w:val="20"/>
        </w:rPr>
        <w:t>this is not always clear within the ECHA Guidance Documents).</w:t>
      </w:r>
    </w:p>
    <w:p w14:paraId="718CD6DD" w14:textId="17337B78" w:rsidR="00CD41C6" w:rsidRPr="00885876" w:rsidRDefault="00CD41C6" w:rsidP="00CD41C6">
      <w:pPr>
        <w:spacing w:after="200" w:line="276" w:lineRule="auto"/>
        <w:rPr>
          <w:rFonts w:ascii="Verdana" w:hAnsi="Verdana"/>
          <w:sz w:val="20"/>
          <w:szCs w:val="20"/>
        </w:rPr>
      </w:pPr>
      <w:r w:rsidRPr="00885876">
        <w:rPr>
          <w:rFonts w:ascii="Verdana" w:hAnsi="Verdana"/>
          <w:sz w:val="20"/>
          <w:szCs w:val="20"/>
        </w:rPr>
        <w:t>The principles of the WoE approach as recommended in this document</w:t>
      </w:r>
      <w:r w:rsidR="00C73FEB">
        <w:rPr>
          <w:rFonts w:ascii="Verdana" w:hAnsi="Verdana"/>
          <w:sz w:val="20"/>
          <w:szCs w:val="20"/>
        </w:rPr>
        <w:t xml:space="preserve"> intend to facilitate</w:t>
      </w:r>
      <w:r w:rsidRPr="00885876">
        <w:rPr>
          <w:rFonts w:ascii="Verdana" w:hAnsi="Verdana"/>
          <w:sz w:val="20"/>
          <w:szCs w:val="20"/>
        </w:rPr>
        <w:t xml:space="preserve"> structured and transparent way of performing and presenting hazard assessment (hazard identification, hazard characterisation). Following the steps of the WoE approach </w:t>
      </w:r>
      <w:r w:rsidR="00EF0B29">
        <w:rPr>
          <w:rFonts w:ascii="Verdana" w:hAnsi="Verdana"/>
          <w:sz w:val="20"/>
          <w:szCs w:val="20"/>
        </w:rPr>
        <w:t>prompts</w:t>
      </w:r>
      <w:r w:rsidR="00EF0B29" w:rsidRPr="00885876">
        <w:rPr>
          <w:rFonts w:ascii="Verdana" w:hAnsi="Verdana"/>
          <w:sz w:val="20"/>
          <w:szCs w:val="20"/>
        </w:rPr>
        <w:t xml:space="preserve"> </w:t>
      </w:r>
      <w:r w:rsidRPr="00885876">
        <w:rPr>
          <w:rFonts w:ascii="Verdana" w:hAnsi="Verdana"/>
          <w:sz w:val="20"/>
          <w:szCs w:val="20"/>
        </w:rPr>
        <w:t xml:space="preserve">the assessor to identify the needs and gaps in the hazard assessment and facilitates regulatory dialogue and decision making. </w:t>
      </w:r>
    </w:p>
    <w:p w14:paraId="718CD6DE" w14:textId="6EC5B070" w:rsidR="00CD41C6" w:rsidRPr="00885876" w:rsidRDefault="00CD41C6" w:rsidP="00CD41C6">
      <w:pPr>
        <w:spacing w:after="200" w:line="276" w:lineRule="auto"/>
        <w:rPr>
          <w:rFonts w:ascii="Verdana" w:hAnsi="Verdana"/>
          <w:sz w:val="20"/>
          <w:szCs w:val="20"/>
        </w:rPr>
      </w:pPr>
      <w:r w:rsidRPr="00885876">
        <w:rPr>
          <w:rFonts w:ascii="Verdana" w:hAnsi="Verdana"/>
          <w:sz w:val="20"/>
          <w:szCs w:val="20"/>
        </w:rPr>
        <w:t xml:space="preserve">The weighing of evidence occurs at the </w:t>
      </w:r>
      <w:r w:rsidRPr="00885876">
        <w:rPr>
          <w:rFonts w:ascii="Verdana" w:hAnsi="Verdana"/>
          <w:b/>
          <w:sz w:val="20"/>
          <w:szCs w:val="20"/>
        </w:rPr>
        <w:t xml:space="preserve">step of </w:t>
      </w:r>
      <w:r w:rsidR="0050627D">
        <w:rPr>
          <w:rFonts w:ascii="Verdana" w:hAnsi="Verdana"/>
          <w:b/>
          <w:sz w:val="20"/>
          <w:szCs w:val="20"/>
        </w:rPr>
        <w:t>Integration &amp; Weighing of Evidence</w:t>
      </w:r>
      <w:r w:rsidRPr="00885876">
        <w:rPr>
          <w:rFonts w:ascii="Verdana" w:hAnsi="Verdana"/>
          <w:sz w:val="20"/>
          <w:szCs w:val="20"/>
        </w:rPr>
        <w:t xml:space="preserve"> (Step 4)</w:t>
      </w:r>
      <w:r w:rsidR="000655E6">
        <w:rPr>
          <w:rFonts w:ascii="Verdana" w:hAnsi="Verdana"/>
          <w:sz w:val="20"/>
          <w:szCs w:val="20"/>
        </w:rPr>
        <w:t>.</w:t>
      </w:r>
      <w:r w:rsidR="00747923">
        <w:rPr>
          <w:rFonts w:ascii="Verdana" w:hAnsi="Verdana"/>
          <w:sz w:val="20"/>
          <w:szCs w:val="20"/>
        </w:rPr>
        <w:t xml:space="preserve">  H</w:t>
      </w:r>
      <w:r w:rsidRPr="00885876">
        <w:rPr>
          <w:rFonts w:ascii="Verdana" w:hAnsi="Verdana"/>
          <w:sz w:val="20"/>
          <w:szCs w:val="20"/>
        </w:rPr>
        <w:t>owever</w:t>
      </w:r>
      <w:r w:rsidR="000655E6">
        <w:rPr>
          <w:rFonts w:ascii="Verdana" w:hAnsi="Verdana"/>
          <w:sz w:val="20"/>
          <w:szCs w:val="20"/>
        </w:rPr>
        <w:t>,</w:t>
      </w:r>
      <w:r w:rsidRPr="00885876">
        <w:rPr>
          <w:rFonts w:ascii="Verdana" w:hAnsi="Verdana"/>
          <w:sz w:val="20"/>
          <w:szCs w:val="20"/>
        </w:rPr>
        <w:t xml:space="preserve"> it is noted that partial weighing of evidence occurs firstly at the </w:t>
      </w:r>
      <w:r w:rsidRPr="00885876">
        <w:rPr>
          <w:rFonts w:ascii="Verdana" w:hAnsi="Verdana"/>
          <w:b/>
          <w:sz w:val="20"/>
          <w:szCs w:val="20"/>
        </w:rPr>
        <w:t xml:space="preserve">step </w:t>
      </w:r>
      <w:r w:rsidRPr="00885876">
        <w:rPr>
          <w:rFonts w:ascii="Verdana" w:hAnsi="Verdana"/>
          <w:b/>
          <w:sz w:val="20"/>
          <w:szCs w:val="20"/>
        </w:rPr>
        <w:lastRenderedPageBreak/>
        <w:t xml:space="preserve">of assessment of quality of individual evidence </w:t>
      </w:r>
      <w:r w:rsidRPr="00885876">
        <w:rPr>
          <w:rFonts w:ascii="Verdana" w:hAnsi="Verdana"/>
          <w:sz w:val="20"/>
          <w:szCs w:val="20"/>
        </w:rPr>
        <w:t xml:space="preserve">(Step 3) since metrics/criteria such as quality, adequacy and relevance are used in weighing the evidence for the purpose of the assessment. These feed </w:t>
      </w:r>
      <w:r w:rsidR="00EF0B29">
        <w:rPr>
          <w:rFonts w:ascii="Verdana" w:hAnsi="Verdana"/>
          <w:sz w:val="20"/>
          <w:szCs w:val="20"/>
        </w:rPr>
        <w:t>in</w:t>
      </w:r>
      <w:r w:rsidRPr="00885876">
        <w:rPr>
          <w:rFonts w:ascii="Verdana" w:hAnsi="Verdana"/>
          <w:sz w:val="20"/>
          <w:szCs w:val="20"/>
        </w:rPr>
        <w:t xml:space="preserve">to the next step of </w:t>
      </w:r>
      <w:r w:rsidR="000400F7">
        <w:rPr>
          <w:rFonts w:ascii="Verdana" w:hAnsi="Verdana"/>
          <w:sz w:val="20"/>
          <w:szCs w:val="20"/>
        </w:rPr>
        <w:t xml:space="preserve">integration </w:t>
      </w:r>
      <w:r w:rsidR="00747923">
        <w:rPr>
          <w:rFonts w:ascii="Verdana" w:hAnsi="Verdana"/>
          <w:sz w:val="20"/>
          <w:szCs w:val="20"/>
        </w:rPr>
        <w:t>and</w:t>
      </w:r>
      <w:r w:rsidR="000400F7">
        <w:rPr>
          <w:rFonts w:ascii="Verdana" w:hAnsi="Verdana"/>
          <w:sz w:val="20"/>
          <w:szCs w:val="20"/>
        </w:rPr>
        <w:t xml:space="preserve"> weighing of evidence</w:t>
      </w:r>
      <w:r w:rsidRPr="00885876">
        <w:rPr>
          <w:rFonts w:ascii="Verdana" w:hAnsi="Verdana"/>
          <w:sz w:val="20"/>
          <w:szCs w:val="20"/>
        </w:rPr>
        <w:t xml:space="preserve"> (Step 4), where the evidence is weighed collectively using other types of metrics such as consistency and plausibility (see Section 9).  </w:t>
      </w:r>
    </w:p>
    <w:p w14:paraId="718CD6DF" w14:textId="2CC999D5" w:rsidR="00CD41C6" w:rsidRPr="00885876" w:rsidRDefault="00CD41C6" w:rsidP="00CD41C6">
      <w:pPr>
        <w:spacing w:after="200" w:line="276" w:lineRule="auto"/>
        <w:rPr>
          <w:rFonts w:ascii="Verdana" w:hAnsi="Verdana"/>
          <w:iCs/>
          <w:sz w:val="20"/>
          <w:szCs w:val="20"/>
        </w:rPr>
      </w:pPr>
      <w:r w:rsidRPr="00885876">
        <w:rPr>
          <w:rFonts w:ascii="Verdana" w:hAnsi="Verdana"/>
          <w:iCs/>
          <w:sz w:val="20"/>
          <w:szCs w:val="20"/>
        </w:rPr>
        <w:t xml:space="preserve">For the evaluation and integration of all available information, </w:t>
      </w:r>
      <w:r w:rsidRPr="002A0F5D">
        <w:rPr>
          <w:rFonts w:ascii="Verdana" w:hAnsi="Verdana"/>
          <w:iCs/>
          <w:sz w:val="20"/>
          <w:szCs w:val="20"/>
        </w:rPr>
        <w:t>ECHA Guidance</w:t>
      </w:r>
      <w:r w:rsidRPr="00885876">
        <w:rPr>
          <w:rFonts w:ascii="Verdana" w:hAnsi="Verdana"/>
          <w:iCs/>
          <w:sz w:val="20"/>
          <w:szCs w:val="20"/>
        </w:rPr>
        <w:t xml:space="preserve"> (IR/CSA R.4) describes it as case-dependent. “</w:t>
      </w:r>
      <w:r w:rsidRPr="00885876">
        <w:rPr>
          <w:rFonts w:ascii="Verdana" w:hAnsi="Verdana"/>
          <w:i/>
          <w:iCs/>
          <w:sz w:val="20"/>
          <w:szCs w:val="20"/>
        </w:rPr>
        <w:t>It is influenced by the relation between the amount of information needed and the importance of the decision to be taken and also by the likelihood of, and, consequences for, the decision based on that information being wrong. It is important to document and communicate how the evidence based approach was used in a reliable, robust and transparent manner.”</w:t>
      </w:r>
      <w:r w:rsidRPr="00885876">
        <w:rPr>
          <w:rFonts w:ascii="Verdana" w:hAnsi="Verdana"/>
          <w:iCs/>
          <w:sz w:val="20"/>
          <w:szCs w:val="20"/>
        </w:rPr>
        <w:t xml:space="preserve"> </w:t>
      </w:r>
    </w:p>
    <w:p w14:paraId="718CD6E2" w14:textId="39F8F3C6" w:rsidR="000400F7" w:rsidRDefault="00CD41C6" w:rsidP="00CD41C6">
      <w:pPr>
        <w:spacing w:after="200" w:line="276" w:lineRule="auto"/>
        <w:rPr>
          <w:rFonts w:ascii="Verdana" w:hAnsi="Verdana"/>
          <w:sz w:val="20"/>
          <w:szCs w:val="20"/>
        </w:rPr>
      </w:pPr>
      <w:r w:rsidRPr="00623F1E">
        <w:rPr>
          <w:rFonts w:ascii="Verdana" w:hAnsi="Verdana"/>
          <w:b/>
          <w:sz w:val="20"/>
          <w:szCs w:val="20"/>
        </w:rPr>
        <w:t>The WoE approach/process is iterative</w:t>
      </w:r>
      <w:r w:rsidRPr="00885876">
        <w:rPr>
          <w:rFonts w:ascii="Verdana" w:hAnsi="Verdana"/>
          <w:sz w:val="20"/>
          <w:szCs w:val="20"/>
        </w:rPr>
        <w:t>: all steps are interconnected and changes might be needed if for example it is recognised in a later stage that some evidence initially given less weight or even disregarded should be taken into account</w:t>
      </w:r>
      <w:r w:rsidR="00E116F6">
        <w:rPr>
          <w:rFonts w:ascii="Verdana" w:hAnsi="Verdana"/>
          <w:sz w:val="20"/>
          <w:szCs w:val="20"/>
        </w:rPr>
        <w:t xml:space="preserve"> more prominently</w:t>
      </w:r>
      <w:r w:rsidR="00710F59">
        <w:rPr>
          <w:rFonts w:ascii="Verdana" w:hAnsi="Verdana"/>
          <w:sz w:val="20"/>
          <w:szCs w:val="20"/>
        </w:rPr>
        <w:t xml:space="preserve"> or </w:t>
      </w:r>
      <w:r w:rsidR="00710F59" w:rsidRPr="000655E6">
        <w:rPr>
          <w:rFonts w:ascii="Verdana" w:hAnsi="Verdana"/>
          <w:i/>
          <w:sz w:val="20"/>
          <w:szCs w:val="20"/>
        </w:rPr>
        <w:t>vice versa</w:t>
      </w:r>
      <w:r w:rsidR="00710F59">
        <w:rPr>
          <w:rFonts w:ascii="Verdana" w:hAnsi="Verdana"/>
          <w:sz w:val="20"/>
          <w:szCs w:val="20"/>
        </w:rPr>
        <w:t>.</w:t>
      </w:r>
    </w:p>
    <w:p w14:paraId="1EACBFCF" w14:textId="77777777" w:rsidR="000400F7" w:rsidRDefault="000400F7">
      <w:pPr>
        <w:rPr>
          <w:rFonts w:ascii="Verdana" w:hAnsi="Verdana"/>
          <w:sz w:val="20"/>
          <w:szCs w:val="20"/>
        </w:rPr>
      </w:pPr>
      <w:r>
        <w:rPr>
          <w:rFonts w:ascii="Verdana" w:hAnsi="Verdana"/>
          <w:sz w:val="20"/>
          <w:szCs w:val="20"/>
        </w:rPr>
        <w:br w:type="page"/>
      </w:r>
    </w:p>
    <w:p w14:paraId="67EAE8FC" w14:textId="05EB1FBE" w:rsidR="00CD41C6" w:rsidRPr="00885876" w:rsidRDefault="00ED4B0C" w:rsidP="00CD41C6">
      <w:pPr>
        <w:spacing w:after="200" w:line="276" w:lineRule="auto"/>
        <w:rPr>
          <w:rFonts w:ascii="Verdana" w:hAnsi="Verdana"/>
          <w:sz w:val="20"/>
          <w:szCs w:val="20"/>
        </w:rPr>
      </w:pPr>
      <w:r>
        <w:rPr>
          <w:rFonts w:ascii="Verdana" w:hAnsi="Verdana"/>
          <w:noProof/>
          <w:sz w:val="20"/>
          <w:szCs w:val="20"/>
          <w:lang w:eastAsia="en-GB"/>
        </w:rPr>
        <w:lastRenderedPageBreak/>
        <mc:AlternateContent>
          <mc:Choice Requires="wpg">
            <w:drawing>
              <wp:anchor distT="0" distB="0" distL="114300" distR="114300" simplePos="0" relativeHeight="251679232" behindDoc="0" locked="0" layoutInCell="1" allowOverlap="1" wp14:anchorId="282D7B57" wp14:editId="24A8776E">
                <wp:simplePos x="0" y="0"/>
                <wp:positionH relativeFrom="column">
                  <wp:posOffset>276225</wp:posOffset>
                </wp:positionH>
                <wp:positionV relativeFrom="paragraph">
                  <wp:posOffset>0</wp:posOffset>
                </wp:positionV>
                <wp:extent cx="5167630" cy="5886449"/>
                <wp:effectExtent l="0" t="0" r="13970" b="19685"/>
                <wp:wrapNone/>
                <wp:docPr id="137" name="Group 137"/>
                <wp:cNvGraphicFramePr/>
                <a:graphic xmlns:a="http://schemas.openxmlformats.org/drawingml/2006/main">
                  <a:graphicData uri="http://schemas.microsoft.com/office/word/2010/wordprocessingGroup">
                    <wpg:wgp>
                      <wpg:cNvGrpSpPr/>
                      <wpg:grpSpPr>
                        <a:xfrm>
                          <a:off x="0" y="0"/>
                          <a:ext cx="5167630" cy="5886449"/>
                          <a:chOff x="0" y="0"/>
                          <a:chExt cx="5167630" cy="5886449"/>
                        </a:xfrm>
                      </wpg:grpSpPr>
                      <wps:wsp>
                        <wps:cNvPr id="15" name="Rectangle 20490"/>
                        <wps:cNvSpPr/>
                        <wps:spPr>
                          <a:xfrm>
                            <a:off x="19050" y="4572000"/>
                            <a:ext cx="5148580" cy="515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8C6426" w14:textId="30D80843" w:rsidR="00FE7D9E" w:rsidRPr="009668F5" w:rsidRDefault="00FE7D9E" w:rsidP="00233E2A">
                              <w:pPr>
                                <w:pStyle w:val="ListParagraph"/>
                                <w:numPr>
                                  <w:ilvl w:val="0"/>
                                  <w:numId w:val="28"/>
                                </w:numPr>
                                <w:rPr>
                                  <w:b/>
                                  <w:color w:val="000000" w:themeColor="text1"/>
                                </w:rPr>
                              </w:pPr>
                              <w:r w:rsidRPr="009668F5">
                                <w:rPr>
                                  <w:b/>
                                  <w:color w:val="000000" w:themeColor="text1"/>
                                </w:rPr>
                                <w:t>Uncertainty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 name="Group 136"/>
                        <wpg:cNvGrpSpPr/>
                        <wpg:grpSpPr>
                          <a:xfrm>
                            <a:off x="0" y="0"/>
                            <a:ext cx="5162162" cy="5886449"/>
                            <a:chOff x="0" y="0"/>
                            <a:chExt cx="5162162" cy="5886449"/>
                          </a:xfrm>
                        </wpg:grpSpPr>
                        <wpg:grpSp>
                          <wpg:cNvPr id="1" name="Group 17"/>
                          <wpg:cNvGrpSpPr/>
                          <wpg:grpSpPr>
                            <a:xfrm>
                              <a:off x="0" y="0"/>
                              <a:ext cx="5162162" cy="5886449"/>
                              <a:chOff x="-1693" y="1"/>
                              <a:chExt cx="3136033" cy="4190123"/>
                            </a:xfrm>
                          </wpg:grpSpPr>
                          <wps:wsp>
                            <wps:cNvPr id="3" name="Rectangle 20480"/>
                            <wps:cNvSpPr/>
                            <wps:spPr>
                              <a:xfrm>
                                <a:off x="0" y="684796"/>
                                <a:ext cx="3115285" cy="4124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3FB8D9" w14:textId="310EA94E" w:rsidR="00FE7D9E" w:rsidRPr="00586278" w:rsidRDefault="00FE7D9E" w:rsidP="00233E2A">
                                  <w:pPr>
                                    <w:pStyle w:val="ListParagraph"/>
                                    <w:numPr>
                                      <w:ilvl w:val="0"/>
                                      <w:numId w:val="23"/>
                                    </w:numPr>
                                    <w:rPr>
                                      <w:b/>
                                      <w:color w:val="000000" w:themeColor="text1"/>
                                    </w:rPr>
                                  </w:pPr>
                                  <w:r w:rsidRPr="00586278">
                                    <w:rPr>
                                      <w:b/>
                                      <w:color w:val="000000" w:themeColor="text1"/>
                                    </w:rPr>
                                    <w:t xml:space="preserve">Collection </w:t>
                                  </w:r>
                                  <w:r>
                                    <w:rPr>
                                      <w:b/>
                                      <w:color w:val="000000" w:themeColor="text1"/>
                                    </w:rPr>
                                    <w:t>and</w:t>
                                  </w:r>
                                  <w:r w:rsidRPr="00586278">
                                    <w:rPr>
                                      <w:b/>
                                      <w:color w:val="000000" w:themeColor="text1"/>
                                    </w:rPr>
                                    <w:t xml:space="preserve"> Documentation of all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0483"/>
                            <wps:cNvSpPr/>
                            <wps:spPr>
                              <a:xfrm>
                                <a:off x="1102" y="1362808"/>
                                <a:ext cx="3123710" cy="383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2DF16A" w14:textId="6B4BB757" w:rsidR="00FE7D9E" w:rsidRPr="00710F59" w:rsidRDefault="00FE7D9E" w:rsidP="00233E2A">
                                  <w:pPr>
                                    <w:pStyle w:val="ListParagraph"/>
                                    <w:numPr>
                                      <w:ilvl w:val="0"/>
                                      <w:numId w:val="24"/>
                                    </w:numPr>
                                    <w:rPr>
                                      <w:b/>
                                      <w:color w:val="000000" w:themeColor="text1"/>
                                    </w:rPr>
                                  </w:pPr>
                                  <w:r w:rsidRPr="00710F59">
                                    <w:rPr>
                                      <w:b/>
                                      <w:color w:val="000000" w:themeColor="text1"/>
                                    </w:rPr>
                                    <w:t>Assessment of quality of individual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20488"/>
                            <wps:cNvSpPr/>
                            <wps:spPr>
                              <a:xfrm>
                                <a:off x="1104" y="1986580"/>
                                <a:ext cx="3133236" cy="3914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D389A0" w14:textId="1A81EF7A" w:rsidR="00FE7D9E" w:rsidRPr="009668F5" w:rsidRDefault="00FE7D9E" w:rsidP="00233E2A">
                                  <w:pPr>
                                    <w:pStyle w:val="ListParagraph"/>
                                    <w:numPr>
                                      <w:ilvl w:val="0"/>
                                      <w:numId w:val="26"/>
                                    </w:numPr>
                                    <w:rPr>
                                      <w:color w:val="000000" w:themeColor="text1"/>
                                    </w:rPr>
                                  </w:pPr>
                                  <w:r w:rsidRPr="009668F5">
                                    <w:rPr>
                                      <w:b/>
                                      <w:color w:val="000000" w:themeColor="text1"/>
                                    </w:rPr>
                                    <w:t xml:space="preserve">Integration </w:t>
                                  </w:r>
                                  <w:r>
                                    <w:rPr>
                                      <w:b/>
                                      <w:color w:val="000000" w:themeColor="text1"/>
                                    </w:rPr>
                                    <w:t>and</w:t>
                                  </w:r>
                                  <w:r w:rsidRPr="009668F5">
                                    <w:rPr>
                                      <w:b/>
                                      <w:color w:val="000000" w:themeColor="text1"/>
                                    </w:rPr>
                                    <w:t xml:space="preserve"> Weighing of Evidence</w:t>
                                  </w:r>
                                  <w:r>
                                    <w:rPr>
                                      <w:b/>
                                      <w:color w:val="000000" w:themeColor="text1"/>
                                    </w:rPr>
                                    <w:t xml:space="preserve"> (WoE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20490"/>
                            <wps:cNvSpPr/>
                            <wps:spPr>
                              <a:xfrm>
                                <a:off x="1102" y="2623918"/>
                                <a:ext cx="3132770" cy="368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98CF04" w14:textId="511AF30A" w:rsidR="00FE7D9E" w:rsidRPr="009668F5" w:rsidRDefault="00FE7D9E" w:rsidP="00233E2A">
                                  <w:pPr>
                                    <w:pStyle w:val="ListParagraph"/>
                                    <w:numPr>
                                      <w:ilvl w:val="0"/>
                                      <w:numId w:val="27"/>
                                    </w:numPr>
                                    <w:rPr>
                                      <w:b/>
                                      <w:color w:val="000000" w:themeColor="text1"/>
                                    </w:rPr>
                                  </w:pPr>
                                  <w:r w:rsidRPr="009668F5">
                                    <w:rPr>
                                      <w:b/>
                                      <w:color w:val="000000" w:themeColor="text1"/>
                                    </w:rPr>
                                    <w:t>Application of levels of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20491"/>
                            <wps:cNvSpPr/>
                            <wps:spPr>
                              <a:xfrm>
                                <a:off x="-1693" y="3844337"/>
                                <a:ext cx="3123688" cy="345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95EDAE" w14:textId="7320D55C" w:rsidR="00FE7D9E" w:rsidRPr="009668F5" w:rsidRDefault="00FE7D9E" w:rsidP="00233E2A">
                                  <w:pPr>
                                    <w:pStyle w:val="ListParagraph"/>
                                    <w:numPr>
                                      <w:ilvl w:val="0"/>
                                      <w:numId w:val="29"/>
                                    </w:numPr>
                                    <w:rPr>
                                      <w:b/>
                                      <w:color w:val="000000" w:themeColor="text1"/>
                                    </w:rPr>
                                  </w:pPr>
                                  <w:r w:rsidRPr="009668F5">
                                    <w:rPr>
                                      <w:b/>
                                      <w:color w:val="000000" w:themeColor="text1"/>
                                    </w:rPr>
                                    <w:t xml:space="preserve">Conclusions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2"/>
                            <wps:cNvSpPr/>
                            <wps:spPr>
                              <a:xfrm>
                                <a:off x="10624" y="1"/>
                                <a:ext cx="3104031" cy="4339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75C59F" w14:textId="51DE2AE4" w:rsidR="00FE7D9E" w:rsidRPr="00671A3E" w:rsidRDefault="00FE7D9E" w:rsidP="00233E2A">
                                  <w:pPr>
                                    <w:pStyle w:val="ListParagraph"/>
                                    <w:numPr>
                                      <w:ilvl w:val="0"/>
                                      <w:numId w:val="22"/>
                                    </w:numPr>
                                    <w:rPr>
                                      <w:b/>
                                      <w:color w:val="000000" w:themeColor="text1"/>
                                    </w:rPr>
                                  </w:pPr>
                                  <w:r w:rsidRPr="00671A3E">
                                    <w:rPr>
                                      <w:b/>
                                      <w:color w:val="000000" w:themeColor="text1"/>
                                    </w:rPr>
                                    <w:t>Problem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88" name="Straight Arrow Connector 20488"/>
                          <wps:cNvCnPr/>
                          <wps:spPr>
                            <a:xfrm>
                              <a:off x="2552700" y="61912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89" name="Straight Arrow Connector 20489"/>
                          <wps:cNvCnPr/>
                          <wps:spPr>
                            <a:xfrm>
                              <a:off x="2571750" y="1562100"/>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90" name="Straight Arrow Connector 20490"/>
                          <wps:cNvCnPr/>
                          <wps:spPr>
                            <a:xfrm>
                              <a:off x="2571750" y="246697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91" name="Straight Arrow Connector 20491"/>
                          <wps:cNvCnPr/>
                          <wps:spPr>
                            <a:xfrm>
                              <a:off x="2571750" y="334327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97" name="Straight Arrow Connector 20497"/>
                          <wps:cNvCnPr/>
                          <wps:spPr>
                            <a:xfrm>
                              <a:off x="2571750" y="4210050"/>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98" name="Straight Arrow Connector 20498"/>
                          <wps:cNvCnPr/>
                          <wps:spPr>
                            <a:xfrm>
                              <a:off x="2571750" y="507682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82D7B57" id="Group 137" o:spid="_x0000_s1027" style="position:absolute;margin-left:21.75pt;margin-top:0;width:406.9pt;height:463.5pt;z-index:251679232" coordsize="51676,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">
                <v:rect id="Rectangle 20490" o:spid="_x0000_s1028" style="position:absolute;left:190;top:45720;width:51486;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w28EA&#10;AADbAAAADwAAAGRycy9kb3ducmV2LnhtbERPTYvCMBC9L/gfwgje1tQFZalGqcKCKAhWEb0NzdgW&#10;m0ltotZ/b4QFb/N4nzOZtaYSd2pcaVnBoB+BIM6sLjlXsN/9ff+CcB5ZY2WZFDzJwWza+ZpgrO2D&#10;t3RPfS5CCLsYFRTe17GULivIoOvbmjhwZ9sY9AE2udQNPkK4qeRPFI2kwZJDQ4E1LQrKLunNKDhs&#10;h2eaz0d7uTkl12SQLtv16qhUr9smYxCeWv8R/7uXOswfwvuXc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xcNvBAAAA2wAAAA8AAAAAAAAAAAAAAAAAmAIAAGRycy9kb3du&#10;cmV2LnhtbFBLBQYAAAAABAAEAPUAAACGAwAAAAA=&#10;" filled="f" strokecolor="#1f4d78 [1604]" strokeweight="1pt">
                  <v:textbox>
                    <w:txbxContent>
                      <w:p w14:paraId="228C6426" w14:textId="30D80843" w:rsidR="00FE7D9E" w:rsidRPr="009668F5" w:rsidRDefault="00FE7D9E" w:rsidP="00233E2A">
                        <w:pPr>
                          <w:pStyle w:val="ListParagraph"/>
                          <w:numPr>
                            <w:ilvl w:val="0"/>
                            <w:numId w:val="28"/>
                          </w:numPr>
                          <w:rPr>
                            <w:b/>
                            <w:color w:val="000000" w:themeColor="text1"/>
                          </w:rPr>
                        </w:pPr>
                        <w:r w:rsidRPr="009668F5">
                          <w:rPr>
                            <w:b/>
                            <w:color w:val="000000" w:themeColor="text1"/>
                          </w:rPr>
                          <w:t>Uncertainty Analysis</w:t>
                        </w:r>
                      </w:p>
                    </w:txbxContent>
                  </v:textbox>
                </v:rect>
                <v:group id="Group 136" o:spid="_x0000_s1029" style="position:absolute;width:51621;height:58864" coordsize="51621,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7" o:spid="_x0000_s1030" style="position:absolute;width:51621;height:58864" coordorigin="-16" coordsize="31360,4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0480" o:spid="_x0000_s1031" style="position:absolute;top:6847;width:31152;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4ZcMA&#10;AADaAAAADwAAAGRycy9kb3ducmV2LnhtbESPQYvCMBSE7wv+h/CEva2pK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4ZcMAAADaAAAADwAAAAAAAAAAAAAAAACYAgAAZHJzL2Rv&#10;d25yZXYueG1sUEsFBgAAAAAEAAQA9QAAAIgDAAAAAA==&#10;" filled="f" strokecolor="#1f4d78 [1604]" strokeweight="1pt">
                      <v:textbox>
                        <w:txbxContent>
                          <w:p w14:paraId="333FB8D9" w14:textId="310EA94E" w:rsidR="00FE7D9E" w:rsidRPr="00586278" w:rsidRDefault="00FE7D9E" w:rsidP="00233E2A">
                            <w:pPr>
                              <w:pStyle w:val="ListParagraph"/>
                              <w:numPr>
                                <w:ilvl w:val="0"/>
                                <w:numId w:val="23"/>
                              </w:numPr>
                              <w:rPr>
                                <w:b/>
                                <w:color w:val="000000" w:themeColor="text1"/>
                              </w:rPr>
                            </w:pPr>
                            <w:r w:rsidRPr="00586278">
                              <w:rPr>
                                <w:b/>
                                <w:color w:val="000000" w:themeColor="text1"/>
                              </w:rPr>
                              <w:t xml:space="preserve">Collection </w:t>
                            </w:r>
                            <w:r>
                              <w:rPr>
                                <w:b/>
                                <w:color w:val="000000" w:themeColor="text1"/>
                              </w:rPr>
                              <w:t>and</w:t>
                            </w:r>
                            <w:r w:rsidRPr="00586278">
                              <w:rPr>
                                <w:b/>
                                <w:color w:val="000000" w:themeColor="text1"/>
                              </w:rPr>
                              <w:t xml:space="preserve"> Documentation of all information</w:t>
                            </w:r>
                          </w:p>
                        </w:txbxContent>
                      </v:textbox>
                    </v:rect>
                    <v:rect id="_x0000_s1032" style="position:absolute;left:11;top:13628;width:31237;height:3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b/cQA&#10;AADaAAAADwAAAGRycy9kb3ducmV2LnhtbESPQWvCQBSE7wX/w/IKvdWNgqFEV4lCIVgoJJVSb4/s&#10;MwnNvk2za5L+e1co9DjMzDfMZjeZVgzUu8aygsU8AkFcWt1wpeD08fr8AsJ5ZI2tZVLwSw5229nD&#10;BhNtR85pKHwlAoRdggpq77tESlfWZNDNbUccvIvtDfog+0rqHscAN61cRlEsDTYcFmrs6FBT+V1c&#10;jYLPfHWh/T4+yfdz+pMuimx6O34p9fQ4pWsQnib/H/5rZ1pBDPcr4Qb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2/3EAAAA2gAAAA8AAAAAAAAAAAAAAAAAmAIAAGRycy9k&#10;b3ducmV2LnhtbFBLBQYAAAAABAAEAPUAAACJAwAAAAA=&#10;" filled="f" strokecolor="#1f4d78 [1604]" strokeweight="1pt">
                      <v:textbox>
                        <w:txbxContent>
                          <w:p w14:paraId="532DF16A" w14:textId="6B4BB757" w:rsidR="00FE7D9E" w:rsidRPr="00710F59" w:rsidRDefault="00FE7D9E" w:rsidP="00233E2A">
                            <w:pPr>
                              <w:pStyle w:val="ListParagraph"/>
                              <w:numPr>
                                <w:ilvl w:val="0"/>
                                <w:numId w:val="24"/>
                              </w:numPr>
                              <w:rPr>
                                <w:b/>
                                <w:color w:val="000000" w:themeColor="text1"/>
                              </w:rPr>
                            </w:pPr>
                            <w:r w:rsidRPr="00710F59">
                              <w:rPr>
                                <w:b/>
                                <w:color w:val="000000" w:themeColor="text1"/>
                              </w:rPr>
                              <w:t>Assessment of quality of individual evidence</w:t>
                            </w:r>
                          </w:p>
                        </w:txbxContent>
                      </v:textbox>
                    </v:rect>
                    <v:rect id="Rectangle 20488" o:spid="_x0000_s1033" style="position:absolute;left:11;top:19865;width:31332;height: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ZsMA&#10;AADaAAAADwAAAGRycy9kb3ducmV2LnhtbESPQYvCMBSE7wv+h/CEva2pgq5Uo1RBkF0QrCJ6ezTP&#10;tti81Car9d8bYcHjMDPfMNN5aypxo8aVlhX0exEI4szqknMF+93qawzCeWSNlWVS8CAH81nnY4qx&#10;tnfe0i31uQgQdjEqKLyvYyldVpBB17M1cfDOtjHog2xyqRu8B7ip5CCKRtJgyWGhwJqWBWWX9M8o&#10;OGyHZ1osRnu5OSXXpJ+u29+fo1Kf3TaZgPDU+nf4v73WCr7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h+ZsMAAADaAAAADwAAAAAAAAAAAAAAAACYAgAAZHJzL2Rv&#10;d25yZXYueG1sUEsFBgAAAAAEAAQA9QAAAIgDAAAAAA==&#10;" filled="f" strokecolor="#1f4d78 [1604]" strokeweight="1pt">
                      <v:textbox>
                        <w:txbxContent>
                          <w:p w14:paraId="4ED389A0" w14:textId="1A81EF7A" w:rsidR="00FE7D9E" w:rsidRPr="009668F5" w:rsidRDefault="00FE7D9E" w:rsidP="00233E2A">
                            <w:pPr>
                              <w:pStyle w:val="ListParagraph"/>
                              <w:numPr>
                                <w:ilvl w:val="0"/>
                                <w:numId w:val="26"/>
                              </w:numPr>
                              <w:rPr>
                                <w:color w:val="000000" w:themeColor="text1"/>
                              </w:rPr>
                            </w:pPr>
                            <w:r w:rsidRPr="009668F5">
                              <w:rPr>
                                <w:b/>
                                <w:color w:val="000000" w:themeColor="text1"/>
                              </w:rPr>
                              <w:t xml:space="preserve">Integration </w:t>
                            </w:r>
                            <w:r>
                              <w:rPr>
                                <w:b/>
                                <w:color w:val="000000" w:themeColor="text1"/>
                              </w:rPr>
                              <w:t>and</w:t>
                            </w:r>
                            <w:r w:rsidRPr="009668F5">
                              <w:rPr>
                                <w:b/>
                                <w:color w:val="000000" w:themeColor="text1"/>
                              </w:rPr>
                              <w:t xml:space="preserve"> Weighing of Evidence</w:t>
                            </w:r>
                            <w:r>
                              <w:rPr>
                                <w:b/>
                                <w:color w:val="000000" w:themeColor="text1"/>
                              </w:rPr>
                              <w:t xml:space="preserve"> (WoE analysis)</w:t>
                            </w:r>
                          </w:p>
                        </w:txbxContent>
                      </v:textbox>
                    </v:rect>
                    <v:rect id="Rectangle 20490" o:spid="_x0000_s1034" style="position:absolute;left:11;top:26239;width:31327;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Pj8MA&#10;AADaAAAADwAAAGRycy9kb3ducmV2LnhtbESPQYvCMBSE7wv+h/CEva2pgrJWo1RBkF0QrCJ6ezTP&#10;tti81Car9d8bYcHjMDPfMNN5aypxo8aVlhX0exEI4szqknMF+93q6xuE88gaK8uk4EEO5rPOxxRj&#10;be+8pVvqcxEg7GJUUHhfx1K6rCCDrmdr4uCdbWPQB9nkUjd4D3BTyUEUjaTBksNCgTUtC8ou6Z9R&#10;cNgOz7RYjPZyc0quST9dt78/R6U+u20yAeGp9e/wf3utFYz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Pj8MAAADaAAAADwAAAAAAAAAAAAAAAACYAgAAZHJzL2Rv&#10;d25yZXYueG1sUEsFBgAAAAAEAAQA9QAAAIgDAAAAAA==&#10;" filled="f" strokecolor="#1f4d78 [1604]" strokeweight="1pt">
                      <v:textbox>
                        <w:txbxContent>
                          <w:p w14:paraId="3898CF04" w14:textId="511AF30A" w:rsidR="00FE7D9E" w:rsidRPr="009668F5" w:rsidRDefault="00FE7D9E" w:rsidP="00233E2A">
                            <w:pPr>
                              <w:pStyle w:val="ListParagraph"/>
                              <w:numPr>
                                <w:ilvl w:val="0"/>
                                <w:numId w:val="27"/>
                              </w:numPr>
                              <w:rPr>
                                <w:b/>
                                <w:color w:val="000000" w:themeColor="text1"/>
                              </w:rPr>
                            </w:pPr>
                            <w:r w:rsidRPr="009668F5">
                              <w:rPr>
                                <w:b/>
                                <w:color w:val="000000" w:themeColor="text1"/>
                              </w:rPr>
                              <w:t>Application of levels of Confidence</w:t>
                            </w:r>
                          </w:p>
                        </w:txbxContent>
                      </v:textbox>
                    </v:rect>
                    <v:rect id="Rectangle 20491" o:spid="_x0000_s1035" style="position:absolute;left:-16;top:38443;width:31235;height:3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TQ8UA&#10;AADbAAAADwAAAGRycy9kb3ducmV2LnhtbESPQWvCQBCF7wX/wzJCb3VjoVKimxCFgrQgGKXU25Ad&#10;k2B2Ns1uNf77zqHQ2wzvzXvfrPLRdepKQ2g9G5jPElDElbct1waOh7enV1AhIlvsPJOBOwXIs8nD&#10;ClPrb7ynaxlrJSEcUjTQxNinWoeqIYdh5nti0c5+cBhlHWptB7xJuOv0c5IstMOWpaHBnjYNVZfy&#10;xxn43L+cab1eHPXuVHwX83I7frx/GfM4HYslqEhj/Df/XW+t4Au9/CID6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tNDxQAAANsAAAAPAAAAAAAAAAAAAAAAAJgCAABkcnMv&#10;ZG93bnJldi54bWxQSwUGAAAAAAQABAD1AAAAigMAAAAA&#10;" filled="f" strokecolor="#1f4d78 [1604]" strokeweight="1pt">
                      <v:textbox>
                        <w:txbxContent>
                          <w:p w14:paraId="1195EDAE" w14:textId="7320D55C" w:rsidR="00FE7D9E" w:rsidRPr="009668F5" w:rsidRDefault="00FE7D9E" w:rsidP="00233E2A">
                            <w:pPr>
                              <w:pStyle w:val="ListParagraph"/>
                              <w:numPr>
                                <w:ilvl w:val="0"/>
                                <w:numId w:val="29"/>
                              </w:numPr>
                              <w:rPr>
                                <w:b/>
                                <w:color w:val="000000" w:themeColor="text1"/>
                              </w:rPr>
                            </w:pPr>
                            <w:r w:rsidRPr="009668F5">
                              <w:rPr>
                                <w:b/>
                                <w:color w:val="000000" w:themeColor="text1"/>
                              </w:rPr>
                              <w:t xml:space="preserve">Conclusions </w:t>
                            </w:r>
                          </w:p>
                        </w:txbxContent>
                      </v:textbox>
                    </v:rect>
                    <v:rect id="_x0000_s1036" style="position:absolute;left:106;width:31040;height:4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22MMA&#10;AADbAAAADwAAAGRycy9kb3ducmV2LnhtbERPTWvCQBC9F/wPyxR6azYRlBJdJQqCWCiYhlJvQ3ZM&#10;QrOzMbsm6b/vFgq9zeN9zno7mVYM1LvGsoIkikEQl1Y3XCko3g/PLyCcR9bYWiYF3+Rgu5k9rDHV&#10;duQzDbmvRAhhl6KC2vsuldKVNRl0ke2IA3e1vUEfYF9J3eMYwk0r53G8lAYbDg01drSvqfzK70bB&#10;x3lxpd1uWci3S3bLkvw4vZ4+lXp6nLIVCE+T/xf/uY86zE/g95dw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22MMAAADbAAAADwAAAAAAAAAAAAAAAACYAgAAZHJzL2Rv&#10;d25yZXYueG1sUEsFBgAAAAAEAAQA9QAAAIgDAAAAAA==&#10;" filled="f" strokecolor="#1f4d78 [1604]" strokeweight="1pt">
                      <v:textbox>
                        <w:txbxContent>
                          <w:p w14:paraId="7E75C59F" w14:textId="51DE2AE4" w:rsidR="00FE7D9E" w:rsidRPr="00671A3E" w:rsidRDefault="00FE7D9E" w:rsidP="00233E2A">
                            <w:pPr>
                              <w:pStyle w:val="ListParagraph"/>
                              <w:numPr>
                                <w:ilvl w:val="0"/>
                                <w:numId w:val="22"/>
                              </w:numPr>
                              <w:rPr>
                                <w:b/>
                                <w:color w:val="000000" w:themeColor="text1"/>
                              </w:rPr>
                            </w:pPr>
                            <w:r w:rsidRPr="00671A3E">
                              <w:rPr>
                                <w:b/>
                                <w:color w:val="000000" w:themeColor="text1"/>
                              </w:rPr>
                              <w:t>Problem formulation</w:t>
                            </w:r>
                          </w:p>
                        </w:txbxContent>
                      </v:textbox>
                    </v:rect>
                  </v:group>
                  <v:shapetype id="_x0000_t32" coordsize="21600,21600" o:spt="32" o:oned="t" path="m,l21600,21600e" filled="f">
                    <v:path arrowok="t" fillok="f" o:connecttype="none"/>
                    <o:lock v:ext="edit" shapetype="t"/>
                  </v:shapetype>
                  <v:shape id="Straight Arrow Connector 20488" o:spid="_x0000_s1037" type="#_x0000_t32" style="position:absolute;left:25527;top:6191;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wRT8MAAADeAAAADwAAAGRycy9kb3ducmV2LnhtbERPTYvCMBC9C/sfwizsTdOVItI1Fl0Q&#10;ZSmC1YPHoZltS5tJbaLWf28OgsfH+16kg2nFjXpXW1bwPYlAEBdW11wqOB034zkI55E1tpZJwYMc&#10;pMuP0QITbe98oFvuSxFC2CWooPK+S6R0RUUG3cR2xIH7t71BH2BfSt3jPYSbVk6jaCYN1hwaKuzo&#10;t6Kiya9Gwa7L8nUcn7fN9WL+tnuX8fmQKfX1Oax+QHga/Fv8cu+0gmkUz8PecCdcAb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MEU/DAAAA3gAAAA8AAAAAAAAAAAAA&#10;AAAAoQIAAGRycy9kb3ducmV2LnhtbFBLBQYAAAAABAAEAPkAAACRAwAAAAA=&#10;" strokecolor="black [3213]" strokeweight=".5pt">
                    <v:stroke startarrow="block" endarrow="block" joinstyle="miter"/>
                  </v:shape>
                  <v:shape id="Straight Arrow Connector 20489" o:spid="_x0000_s1038" type="#_x0000_t32" style="position:absolute;left:25717;top:15621;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C01McAAADeAAAADwAAAGRycy9kb3ducmV2LnhtbESPQWvCQBSE70L/w/IKvZlNJRRNXaUV&#10;JFKCYNpDjo/saxLMvk2zG03/fbcgeBxm5htmvZ1MJy40uNaygucoBkFcWd1yreDrcz9fgnAeWWNn&#10;mRT8koPt5mG2xlTbK5/oUvhaBAi7FBU03veplK5qyKCLbE8cvG87GPRBDrXUA14D3HRyEccv0mDL&#10;YaHBnnYNVediNAoOfV68J0mZnccf85EdXc7lKVfq6XF6ewXhafL38K190AoWcbJcwf+dcAXk5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ALTUxwAAAN4AAAAPAAAAAAAA&#10;AAAAAAAAAKECAABkcnMvZG93bnJldi54bWxQSwUGAAAAAAQABAD5AAAAlQMAAAAA&#10;" strokecolor="black [3213]" strokeweight=".5pt">
                    <v:stroke startarrow="block" endarrow="block" joinstyle="miter"/>
                  </v:shape>
                  <v:shape id="Straight Arrow Connector 20490" o:spid="_x0000_s1039" type="#_x0000_t32" style="position:absolute;left:25717;top:2466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OLlMQAAADeAAAADwAAAGRycy9kb3ducmV2LnhtbESPzYrCMBSF9wO+Q7iCuzFViozVKCqI&#10;MpQBqwuXl+baFpub2kTtvL1ZCC4P549vvuxMLR7UusqygtEwAkGcW11xoeB03H7/gHAeWWNtmRT8&#10;k4Plovc1x0TbJx/okflChBF2CSoovW8SKV1ekkE3tA1x8C62NeiDbAupW3yGcVPLcRRNpMGKw0OJ&#10;DW1Kyq/Z3SjYN2m2juPz7nq/md/dn0v5fEiVGvS71QyEp85/wu/2XisYR/E0AAScg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44uUxAAAAN4AAAAPAAAAAAAAAAAA&#10;AAAAAKECAABkcnMvZG93bnJldi54bWxQSwUGAAAAAAQABAD5AAAAkgMAAAAA&#10;" strokecolor="black [3213]" strokeweight=".5pt">
                    <v:stroke startarrow="block" endarrow="block" joinstyle="miter"/>
                  </v:shape>
                  <v:shape id="Straight Arrow Connector 20491" o:spid="_x0000_s1040" type="#_x0000_t32" style="position:absolute;left:25717;top:3343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8uD8cAAADeAAAADwAAAGRycy9kb3ducmV2LnhtbESPQWvCQBSE74L/YXmF3nRXCaVNXaUK&#10;xVBCIdGDx0f2NQlm38bsqum/7xYKPQ4z8w2z2oy2EzcafOtYw2KuQBBXzrRcazge3mfPIHxANtg5&#10;Jg3f5GGznk5WmBp354JuZahFhLBPUUMTQp9K6auGLPq564mj9+UGiyHKoZZmwHuE204ulXqSFluO&#10;Cw32tGuoOpdXqyHr83KbJKf9+XqxH/tPn/OpyLV+fBjfXkEEGsN/+K+dGQ1Llbws4PdOvAJ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ry4PxwAAAN4AAAAPAAAAAAAA&#10;AAAAAAAAAKECAABkcnMvZG93bnJldi54bWxQSwUGAAAAAAQABAD5AAAAlQMAAAAA&#10;" strokecolor="black [3213]" strokeweight=".5pt">
                    <v:stroke startarrow="block" endarrow="block" joinstyle="miter"/>
                  </v:shape>
                  <v:shape id="Straight Arrow Connector 20497" o:spid="_x0000_s1041" type="#_x0000_t32" style="position:absolute;left:25717;top:42100;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T4McAAADeAAAADwAAAGRycy9kb3ducmV2LnhtbESPQWvCQBSE70L/w/IKvelGCdVGV2kL&#10;RZEgJPXg8ZF9JsHs2zS7avrvXUHwOMzMN8xi1ZtGXKhztWUF41EEgriwuuZSwf73ZzgD4TyyxsYy&#10;KfgnB6vly2CBibZXzuiS+1IECLsEFVTet4mUrqjIoBvZljh4R9sZ9EF2pdQdXgPcNHISRe/SYM1h&#10;ocKWvisqTvnZKNi0af4Vx4f16fxntuudS/mQpUq9vfafcxCeev8MP9obrWASxR9TuN8JV0A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ChPgxwAAAN4AAAAPAAAAAAAA&#10;AAAAAAAAAKECAABkcnMvZG93bnJldi54bWxQSwUGAAAAAAQABAD5AAAAlQMAAAAA&#10;" strokecolor="black [3213]" strokeweight=".5pt">
                    <v:stroke startarrow="block" endarrow="block" joinstyle="miter"/>
                  </v:shape>
                  <v:shape id="Straight Arrow Connector 20498" o:spid="_x0000_s1042" type="#_x0000_t32" style="position:absolute;left:25717;top:5076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WHksMAAADeAAAADwAAAGRycy9kb3ducmV2LnhtbERPTYvCMBC9L/gfwgje1lQpslajqCDK&#10;UhasHjwOzdgWm0ltonb/vTkIHh/ve77sTC0e1LrKsoLRMAJBnFtdcaHgdNx+/4BwHlljbZkU/JOD&#10;5aL3NcdE2ycf6JH5QoQQdgkqKL1vEildXpJBN7QNceAutjXoA2wLqVt8hnBTy3EUTaTBikNDiQ1t&#10;Ssqv2d0o2Ddpto7j8+56v5nf3Z9L+XxIlRr0u9UMhKfOf8Rv914rGEfxNOwNd8I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Vh5LDAAAA3gAAAA8AAAAAAAAAAAAA&#10;AAAAoQIAAGRycy9kb3ducmV2LnhtbFBLBQYAAAAABAAEAPkAAACRAwAAAAA=&#10;" strokecolor="black [3213]" strokeweight=".5pt">
                    <v:stroke startarrow="block" endarrow="block" joinstyle="miter"/>
                  </v:shape>
                </v:group>
              </v:group>
            </w:pict>
          </mc:Fallback>
        </mc:AlternateContent>
      </w:r>
    </w:p>
    <w:p w14:paraId="718CD6E4" w14:textId="472F7548" w:rsidR="00CD41C6" w:rsidRPr="00EA65A1" w:rsidRDefault="00CD41C6" w:rsidP="00CD41C6"/>
    <w:p w14:paraId="718CD6E5" w14:textId="344DD0CC" w:rsidR="00CD41C6" w:rsidRPr="004D620C" w:rsidRDefault="00CD41C6" w:rsidP="00CD41C6">
      <w:pPr>
        <w:rPr>
          <w:u w:val="single"/>
        </w:rPr>
      </w:pPr>
    </w:p>
    <w:p w14:paraId="718CD6E6" w14:textId="5247216B" w:rsidR="00CD41C6" w:rsidRDefault="00CD41C6" w:rsidP="00CD41C6"/>
    <w:p w14:paraId="6079D1C8" w14:textId="570ECF7A" w:rsidR="00710F59" w:rsidRDefault="00710F59" w:rsidP="00CD41C6"/>
    <w:p w14:paraId="0DE87656" w14:textId="37DC576B" w:rsidR="00710F59" w:rsidRDefault="00710F59" w:rsidP="00CD41C6"/>
    <w:p w14:paraId="709D1653" w14:textId="18D29F91" w:rsidR="00710F59" w:rsidRDefault="00710F59" w:rsidP="00CD41C6"/>
    <w:p w14:paraId="24D7DDCC" w14:textId="03F1ED2F" w:rsidR="00710F59" w:rsidRDefault="00710F59" w:rsidP="00CD41C6"/>
    <w:p w14:paraId="702AB965" w14:textId="32E49C1E" w:rsidR="00710F59" w:rsidRDefault="00710F59" w:rsidP="00CD41C6"/>
    <w:p w14:paraId="09A40A37" w14:textId="5691192A" w:rsidR="00710F59" w:rsidRDefault="00710F59" w:rsidP="00CD41C6"/>
    <w:p w14:paraId="6F597B12" w14:textId="6B886424" w:rsidR="00710F59" w:rsidRDefault="00710F59" w:rsidP="00CD41C6"/>
    <w:p w14:paraId="69767FDC" w14:textId="6FCCCBB3" w:rsidR="00710F59" w:rsidRDefault="00710F59" w:rsidP="00CD41C6"/>
    <w:p w14:paraId="180D960B" w14:textId="2E7BF2F8" w:rsidR="00710F59" w:rsidRDefault="00710F59" w:rsidP="00CD41C6"/>
    <w:p w14:paraId="0B8D6A97" w14:textId="5B2C81D5" w:rsidR="00710F59" w:rsidRDefault="00710F59" w:rsidP="00CD41C6"/>
    <w:p w14:paraId="01683D06" w14:textId="2B51C49D" w:rsidR="00710F59" w:rsidRDefault="00710F59" w:rsidP="00CD41C6"/>
    <w:p w14:paraId="7E9A70EE" w14:textId="7D2BD353" w:rsidR="00710F59" w:rsidRDefault="00710F59" w:rsidP="00CD41C6"/>
    <w:p w14:paraId="17B95EB2" w14:textId="73B04B4B" w:rsidR="00710F59" w:rsidRDefault="00710F59" w:rsidP="00CD41C6"/>
    <w:p w14:paraId="353F4B10" w14:textId="0A4D3C16" w:rsidR="00DC426D" w:rsidRDefault="00DC426D" w:rsidP="00710F59">
      <w:pPr>
        <w:rPr>
          <w:rFonts w:ascii="Verdana" w:hAnsi="Verdana"/>
          <w:b/>
          <w:sz w:val="20"/>
          <w:szCs w:val="20"/>
        </w:rPr>
      </w:pPr>
    </w:p>
    <w:p w14:paraId="2C176F07" w14:textId="41CEDEBB" w:rsidR="00DC426D" w:rsidRDefault="00DC426D" w:rsidP="00710F59">
      <w:pPr>
        <w:rPr>
          <w:rFonts w:ascii="Verdana" w:hAnsi="Verdana"/>
          <w:b/>
          <w:sz w:val="20"/>
          <w:szCs w:val="20"/>
        </w:rPr>
      </w:pPr>
    </w:p>
    <w:p w14:paraId="20DA369A" w14:textId="320E5592" w:rsidR="00DC426D" w:rsidRDefault="00DC426D" w:rsidP="00710F59">
      <w:pPr>
        <w:rPr>
          <w:rFonts w:ascii="Verdana" w:hAnsi="Verdana"/>
          <w:b/>
          <w:sz w:val="20"/>
          <w:szCs w:val="20"/>
        </w:rPr>
      </w:pPr>
    </w:p>
    <w:p w14:paraId="6125430D" w14:textId="77777777" w:rsidR="000400F7" w:rsidRDefault="000400F7" w:rsidP="00710F59">
      <w:pPr>
        <w:rPr>
          <w:rFonts w:ascii="Verdana" w:hAnsi="Verdana"/>
          <w:b/>
          <w:sz w:val="20"/>
          <w:szCs w:val="20"/>
        </w:rPr>
      </w:pPr>
    </w:p>
    <w:p w14:paraId="3A97D4F5" w14:textId="77777777" w:rsidR="000400F7" w:rsidRDefault="000400F7" w:rsidP="00710F59">
      <w:pPr>
        <w:rPr>
          <w:rFonts w:ascii="Verdana" w:hAnsi="Verdana"/>
          <w:b/>
          <w:sz w:val="20"/>
          <w:szCs w:val="20"/>
        </w:rPr>
      </w:pPr>
    </w:p>
    <w:p w14:paraId="125C4F7A" w14:textId="77777777" w:rsidR="000400F7" w:rsidRDefault="000400F7" w:rsidP="00710F59">
      <w:pPr>
        <w:rPr>
          <w:rFonts w:ascii="Verdana" w:hAnsi="Verdana"/>
          <w:b/>
          <w:sz w:val="20"/>
          <w:szCs w:val="20"/>
        </w:rPr>
      </w:pPr>
    </w:p>
    <w:p w14:paraId="2FF34EC5" w14:textId="28DA504B" w:rsidR="00710F59" w:rsidRPr="00885876" w:rsidRDefault="00710F59" w:rsidP="00710F59">
      <w:pPr>
        <w:rPr>
          <w:rFonts w:ascii="Verdana" w:hAnsi="Verdana"/>
          <w:sz w:val="20"/>
          <w:szCs w:val="20"/>
        </w:rPr>
      </w:pPr>
      <w:r w:rsidRPr="00885876">
        <w:rPr>
          <w:rFonts w:ascii="Verdana" w:hAnsi="Verdana"/>
          <w:b/>
          <w:sz w:val="20"/>
          <w:szCs w:val="20"/>
        </w:rPr>
        <w:t>Figure 1:</w:t>
      </w:r>
      <w:r w:rsidRPr="00885876">
        <w:rPr>
          <w:rFonts w:ascii="Verdana" w:hAnsi="Verdana"/>
          <w:sz w:val="20"/>
          <w:szCs w:val="20"/>
        </w:rPr>
        <w:t xml:space="preserve"> Overview of </w:t>
      </w:r>
      <w:r>
        <w:rPr>
          <w:rFonts w:ascii="Verdana" w:hAnsi="Verdana"/>
          <w:sz w:val="20"/>
          <w:szCs w:val="20"/>
        </w:rPr>
        <w:t xml:space="preserve">iterative </w:t>
      </w:r>
      <w:r w:rsidRPr="00885876">
        <w:rPr>
          <w:rFonts w:ascii="Verdana" w:hAnsi="Verdana"/>
          <w:sz w:val="20"/>
          <w:szCs w:val="20"/>
        </w:rPr>
        <w:t xml:space="preserve">Weight of Evidence </w:t>
      </w:r>
      <w:r w:rsidR="00F21AB8">
        <w:rPr>
          <w:rFonts w:ascii="Verdana" w:hAnsi="Verdana"/>
          <w:sz w:val="20"/>
          <w:szCs w:val="20"/>
        </w:rPr>
        <w:t>a</w:t>
      </w:r>
      <w:r w:rsidRPr="00885876">
        <w:rPr>
          <w:rFonts w:ascii="Verdana" w:hAnsi="Verdana"/>
          <w:sz w:val="20"/>
          <w:szCs w:val="20"/>
        </w:rPr>
        <w:t>pproach</w:t>
      </w:r>
    </w:p>
    <w:p w14:paraId="148D8D29" w14:textId="4FCDA399" w:rsidR="00710F59" w:rsidRDefault="00710F59" w:rsidP="00CD41C6"/>
    <w:p w14:paraId="19060F41" w14:textId="55AAA7C5" w:rsidR="00710F59" w:rsidRDefault="00710F59" w:rsidP="00CD41C6"/>
    <w:p w14:paraId="4F2DAAEF" w14:textId="77777777" w:rsidR="00710F59" w:rsidRDefault="00710F59" w:rsidP="00CD41C6"/>
    <w:p w14:paraId="718CD6E7" w14:textId="40A74555" w:rsidR="00CD41C6" w:rsidRPr="00816AA4" w:rsidRDefault="00CD41C6" w:rsidP="00CD41C6">
      <w:pPr>
        <w:spacing w:after="200" w:line="276" w:lineRule="auto"/>
      </w:pPr>
      <w:r>
        <w:br w:type="page"/>
      </w:r>
    </w:p>
    <w:p w14:paraId="718CD6E8" w14:textId="455C8D37" w:rsidR="00885876" w:rsidRPr="0010403B" w:rsidRDefault="00E96D64" w:rsidP="00233E2A">
      <w:pPr>
        <w:pStyle w:val="Heading2"/>
        <w:numPr>
          <w:ilvl w:val="1"/>
          <w:numId w:val="10"/>
        </w:numPr>
        <w:rPr>
          <w:rFonts w:ascii="Verdana" w:eastAsia="Times New Roman" w:hAnsi="Verdana" w:cs="Arial"/>
          <w:b/>
          <w:snapToGrid w:val="0"/>
          <w:color w:val="0046AD"/>
          <w:sz w:val="24"/>
          <w:szCs w:val="22"/>
          <w:lang w:eastAsia="fi-FI"/>
        </w:rPr>
      </w:pPr>
      <w:r w:rsidRPr="0010403B">
        <w:rPr>
          <w:rFonts w:ascii="Verdana" w:eastAsia="Times New Roman" w:hAnsi="Verdana" w:cs="Arial"/>
          <w:b/>
          <w:snapToGrid w:val="0"/>
          <w:color w:val="0046AD"/>
          <w:sz w:val="24"/>
          <w:szCs w:val="22"/>
          <w:lang w:eastAsia="fi-FI"/>
        </w:rPr>
        <w:lastRenderedPageBreak/>
        <w:t xml:space="preserve"> </w:t>
      </w:r>
      <w:bookmarkStart w:id="4" w:name="_Toc499654082"/>
      <w:r w:rsidRPr="0010403B">
        <w:rPr>
          <w:rFonts w:ascii="Verdana" w:eastAsia="Times New Roman" w:hAnsi="Verdana" w:cs="Arial"/>
          <w:b/>
          <w:snapToGrid w:val="0"/>
          <w:color w:val="0046AD"/>
          <w:sz w:val="24"/>
          <w:szCs w:val="22"/>
          <w:lang w:eastAsia="fi-FI"/>
        </w:rPr>
        <w:t xml:space="preserve">Terms used in </w:t>
      </w:r>
      <w:r w:rsidR="004C1412" w:rsidRPr="0010403B">
        <w:rPr>
          <w:rFonts w:ascii="Verdana" w:eastAsia="Times New Roman" w:hAnsi="Verdana" w:cs="Arial"/>
          <w:b/>
          <w:snapToGrid w:val="0"/>
          <w:color w:val="0046AD"/>
          <w:sz w:val="24"/>
          <w:szCs w:val="22"/>
          <w:lang w:eastAsia="fi-FI"/>
        </w:rPr>
        <w:t xml:space="preserve">the </w:t>
      </w:r>
      <w:r w:rsidRPr="0010403B">
        <w:rPr>
          <w:rFonts w:ascii="Verdana" w:eastAsia="Times New Roman" w:hAnsi="Verdana" w:cs="Arial"/>
          <w:b/>
          <w:snapToGrid w:val="0"/>
          <w:color w:val="0046AD"/>
          <w:sz w:val="24"/>
          <w:szCs w:val="22"/>
          <w:lang w:eastAsia="fi-FI"/>
        </w:rPr>
        <w:t>W</w:t>
      </w:r>
      <w:r w:rsidR="000655E6" w:rsidRPr="0010403B">
        <w:rPr>
          <w:rFonts w:ascii="Verdana" w:eastAsia="Times New Roman" w:hAnsi="Verdana" w:cs="Arial"/>
          <w:b/>
          <w:snapToGrid w:val="0"/>
          <w:color w:val="0046AD"/>
          <w:sz w:val="24"/>
          <w:szCs w:val="22"/>
          <w:lang w:eastAsia="fi-FI"/>
        </w:rPr>
        <w:t xml:space="preserve">eight </w:t>
      </w:r>
      <w:r w:rsidRPr="0010403B">
        <w:rPr>
          <w:rFonts w:ascii="Verdana" w:eastAsia="Times New Roman" w:hAnsi="Verdana" w:cs="Arial"/>
          <w:b/>
          <w:snapToGrid w:val="0"/>
          <w:color w:val="0046AD"/>
          <w:sz w:val="24"/>
          <w:szCs w:val="22"/>
          <w:lang w:eastAsia="fi-FI"/>
        </w:rPr>
        <w:t>o</w:t>
      </w:r>
      <w:r w:rsidR="000655E6" w:rsidRPr="0010403B">
        <w:rPr>
          <w:rFonts w:ascii="Verdana" w:eastAsia="Times New Roman" w:hAnsi="Verdana" w:cs="Arial"/>
          <w:b/>
          <w:snapToGrid w:val="0"/>
          <w:color w:val="0046AD"/>
          <w:sz w:val="24"/>
          <w:szCs w:val="22"/>
          <w:lang w:eastAsia="fi-FI"/>
        </w:rPr>
        <w:t xml:space="preserve">f </w:t>
      </w:r>
      <w:r w:rsidRPr="0010403B">
        <w:rPr>
          <w:rFonts w:ascii="Verdana" w:eastAsia="Times New Roman" w:hAnsi="Verdana" w:cs="Arial"/>
          <w:b/>
          <w:snapToGrid w:val="0"/>
          <w:color w:val="0046AD"/>
          <w:sz w:val="24"/>
          <w:szCs w:val="22"/>
          <w:lang w:eastAsia="fi-FI"/>
        </w:rPr>
        <w:t>E</w:t>
      </w:r>
      <w:r w:rsidR="000655E6" w:rsidRPr="0010403B">
        <w:rPr>
          <w:rFonts w:ascii="Verdana" w:eastAsia="Times New Roman" w:hAnsi="Verdana" w:cs="Arial"/>
          <w:b/>
          <w:snapToGrid w:val="0"/>
          <w:color w:val="0046AD"/>
          <w:sz w:val="24"/>
          <w:szCs w:val="22"/>
          <w:lang w:eastAsia="fi-FI"/>
        </w:rPr>
        <w:t>vidence</w:t>
      </w:r>
      <w:r w:rsidRPr="0010403B">
        <w:rPr>
          <w:rFonts w:ascii="Verdana" w:eastAsia="Times New Roman" w:hAnsi="Verdana" w:cs="Arial"/>
          <w:b/>
          <w:snapToGrid w:val="0"/>
          <w:color w:val="0046AD"/>
          <w:sz w:val="24"/>
          <w:szCs w:val="22"/>
          <w:lang w:eastAsia="fi-FI"/>
        </w:rPr>
        <w:t xml:space="preserve"> area</w:t>
      </w:r>
      <w:bookmarkEnd w:id="4"/>
    </w:p>
    <w:p w14:paraId="718CD6E9" w14:textId="77777777" w:rsidR="00E96D64" w:rsidRDefault="00E96D64" w:rsidP="00885876">
      <w:pPr>
        <w:rPr>
          <w:rFonts w:ascii="Verdana" w:hAnsi="Verdana"/>
          <w:sz w:val="20"/>
          <w:szCs w:val="20"/>
        </w:rPr>
      </w:pPr>
    </w:p>
    <w:p w14:paraId="718CD6EA" w14:textId="0AA24F1A" w:rsidR="00885876" w:rsidRDefault="00885876" w:rsidP="00885876">
      <w:pPr>
        <w:rPr>
          <w:rFonts w:ascii="Verdana" w:hAnsi="Verdana"/>
          <w:sz w:val="20"/>
          <w:szCs w:val="20"/>
        </w:rPr>
      </w:pPr>
      <w:r w:rsidRPr="00E96D64">
        <w:rPr>
          <w:rFonts w:ascii="Verdana" w:hAnsi="Verdana"/>
          <w:sz w:val="20"/>
          <w:szCs w:val="20"/>
        </w:rPr>
        <w:t xml:space="preserve">The following terms are </w:t>
      </w:r>
      <w:r w:rsidR="003E56E2">
        <w:rPr>
          <w:rFonts w:ascii="Verdana" w:hAnsi="Verdana"/>
          <w:sz w:val="20"/>
          <w:szCs w:val="20"/>
        </w:rPr>
        <w:t xml:space="preserve">often </w:t>
      </w:r>
      <w:r w:rsidRPr="00E96D64">
        <w:rPr>
          <w:rFonts w:ascii="Verdana" w:hAnsi="Verdana"/>
          <w:sz w:val="20"/>
          <w:szCs w:val="20"/>
        </w:rPr>
        <w:t xml:space="preserve">used in the </w:t>
      </w:r>
      <w:r w:rsidR="00C96DAC">
        <w:rPr>
          <w:rFonts w:ascii="Verdana" w:hAnsi="Verdana"/>
          <w:sz w:val="20"/>
          <w:szCs w:val="20"/>
        </w:rPr>
        <w:t xml:space="preserve">field </w:t>
      </w:r>
      <w:r w:rsidRPr="00E96D64">
        <w:rPr>
          <w:rFonts w:ascii="Verdana" w:hAnsi="Verdana"/>
          <w:sz w:val="20"/>
          <w:szCs w:val="20"/>
        </w:rPr>
        <w:t>of WoE and may be part of WoE approach but are not equivalent to</w:t>
      </w:r>
      <w:r w:rsidR="00BA4E58">
        <w:rPr>
          <w:rFonts w:ascii="Verdana" w:hAnsi="Verdana"/>
          <w:sz w:val="20"/>
          <w:szCs w:val="20"/>
        </w:rPr>
        <w:t xml:space="preserve"> the</w:t>
      </w:r>
      <w:r w:rsidRPr="00E96D64">
        <w:rPr>
          <w:rFonts w:ascii="Verdana" w:hAnsi="Verdana"/>
          <w:sz w:val="20"/>
          <w:szCs w:val="20"/>
        </w:rPr>
        <w:t xml:space="preserve"> </w:t>
      </w:r>
      <w:r w:rsidR="00C96DAC">
        <w:rPr>
          <w:rFonts w:ascii="Verdana" w:hAnsi="Verdana"/>
          <w:sz w:val="20"/>
          <w:szCs w:val="20"/>
        </w:rPr>
        <w:t>complete</w:t>
      </w:r>
      <w:r w:rsidR="00C96DAC" w:rsidRPr="00E96D64">
        <w:rPr>
          <w:rFonts w:ascii="Verdana" w:hAnsi="Verdana"/>
          <w:sz w:val="20"/>
          <w:szCs w:val="20"/>
        </w:rPr>
        <w:t xml:space="preserve"> </w:t>
      </w:r>
      <w:r w:rsidRPr="00E96D64">
        <w:rPr>
          <w:rFonts w:ascii="Verdana" w:hAnsi="Verdana"/>
          <w:sz w:val="20"/>
          <w:szCs w:val="20"/>
        </w:rPr>
        <w:t>WoE approach</w:t>
      </w:r>
      <w:r w:rsidR="00D31D28">
        <w:rPr>
          <w:rFonts w:ascii="Verdana" w:hAnsi="Verdana"/>
          <w:sz w:val="20"/>
          <w:szCs w:val="20"/>
        </w:rPr>
        <w:t xml:space="preserve"> </w:t>
      </w:r>
      <w:r w:rsidR="00C96DAC">
        <w:rPr>
          <w:rFonts w:ascii="Verdana" w:hAnsi="Verdana"/>
          <w:sz w:val="20"/>
          <w:szCs w:val="20"/>
        </w:rPr>
        <w:t xml:space="preserve">itself </w:t>
      </w:r>
      <w:r w:rsidR="00D31D28">
        <w:rPr>
          <w:rFonts w:ascii="Verdana" w:hAnsi="Verdana"/>
          <w:sz w:val="20"/>
          <w:szCs w:val="20"/>
        </w:rPr>
        <w:t>as described in this document and proposed in the corresponding template</w:t>
      </w:r>
      <w:r w:rsidRPr="00E96D64">
        <w:rPr>
          <w:rFonts w:ascii="Verdana" w:hAnsi="Verdana"/>
          <w:sz w:val="20"/>
          <w:szCs w:val="20"/>
        </w:rPr>
        <w:t xml:space="preserve">. </w:t>
      </w:r>
    </w:p>
    <w:p w14:paraId="68325140" w14:textId="626274B5" w:rsidR="00A66AEF" w:rsidRPr="00E96D64" w:rsidRDefault="00A66AEF" w:rsidP="00885876">
      <w:pPr>
        <w:rPr>
          <w:rFonts w:ascii="Verdana" w:hAnsi="Verdana"/>
          <w:sz w:val="20"/>
          <w:szCs w:val="20"/>
        </w:rPr>
      </w:pPr>
      <w:r>
        <w:rPr>
          <w:rFonts w:ascii="Verdana" w:hAnsi="Verdana"/>
          <w:sz w:val="20"/>
          <w:szCs w:val="20"/>
        </w:rPr>
        <w:t xml:space="preserve">The following list of terms </w:t>
      </w:r>
      <w:r w:rsidR="00906780">
        <w:rPr>
          <w:rFonts w:ascii="Verdana" w:hAnsi="Verdana"/>
          <w:sz w:val="20"/>
          <w:szCs w:val="20"/>
        </w:rPr>
        <w:t xml:space="preserve">aims to highlight the variety </w:t>
      </w:r>
      <w:r>
        <w:rPr>
          <w:rFonts w:ascii="Verdana" w:hAnsi="Verdana"/>
          <w:sz w:val="20"/>
          <w:szCs w:val="20"/>
        </w:rPr>
        <w:t xml:space="preserve">of terms </w:t>
      </w:r>
      <w:r w:rsidR="00906780">
        <w:rPr>
          <w:rFonts w:ascii="Verdana" w:hAnsi="Verdana"/>
          <w:sz w:val="20"/>
          <w:szCs w:val="20"/>
        </w:rPr>
        <w:t>enco</w:t>
      </w:r>
      <w:r w:rsidR="00DC426D">
        <w:rPr>
          <w:rFonts w:ascii="Verdana" w:hAnsi="Verdana"/>
          <w:sz w:val="20"/>
          <w:szCs w:val="20"/>
        </w:rPr>
        <w:t>untered within the WoE area</w:t>
      </w:r>
      <w:r w:rsidR="00C227E9">
        <w:rPr>
          <w:rFonts w:ascii="Verdana" w:hAnsi="Verdana"/>
          <w:sz w:val="20"/>
          <w:szCs w:val="20"/>
        </w:rPr>
        <w:t>.</w:t>
      </w:r>
      <w:r>
        <w:rPr>
          <w:rFonts w:ascii="Verdana" w:hAnsi="Verdana"/>
          <w:sz w:val="20"/>
          <w:szCs w:val="20"/>
        </w:rPr>
        <w:t xml:space="preserve"> </w:t>
      </w:r>
      <w:r w:rsidR="00DC426D">
        <w:rPr>
          <w:rFonts w:ascii="Verdana" w:hAnsi="Verdana"/>
          <w:sz w:val="20"/>
          <w:szCs w:val="20"/>
        </w:rPr>
        <w:t>The recommended terms are those indicat</w:t>
      </w:r>
      <w:r w:rsidR="0010403B">
        <w:rPr>
          <w:rFonts w:ascii="Verdana" w:hAnsi="Verdana"/>
          <w:sz w:val="20"/>
          <w:szCs w:val="20"/>
        </w:rPr>
        <w:t>ed within the Template for WoE/U</w:t>
      </w:r>
      <w:r w:rsidR="00DC426D">
        <w:rPr>
          <w:rFonts w:ascii="Verdana" w:hAnsi="Verdana"/>
          <w:sz w:val="20"/>
          <w:szCs w:val="20"/>
        </w:rPr>
        <w:t xml:space="preserve">ncertainty. </w:t>
      </w:r>
    </w:p>
    <w:p w14:paraId="7BA11D0C" w14:textId="6BB2F891" w:rsidR="00296D48" w:rsidRPr="00E96D64" w:rsidRDefault="009539DE" w:rsidP="00885876">
      <w:pPr>
        <w:rPr>
          <w:rFonts w:ascii="Verdana" w:hAnsi="Verdana"/>
          <w:sz w:val="20"/>
          <w:szCs w:val="20"/>
        </w:rPr>
      </w:pPr>
      <w:r w:rsidRPr="009539DE">
        <w:rPr>
          <w:rFonts w:ascii="Verdana" w:hAnsi="Verdana"/>
          <w:sz w:val="20"/>
          <w:szCs w:val="20"/>
        </w:rPr>
        <w:t xml:space="preserve">Some of these terms refer to </w:t>
      </w:r>
      <w:r w:rsidRPr="00623F1E">
        <w:rPr>
          <w:rFonts w:ascii="Verdana" w:hAnsi="Verdana"/>
          <w:b/>
          <w:sz w:val="20"/>
          <w:szCs w:val="20"/>
        </w:rPr>
        <w:t>criteria</w:t>
      </w:r>
      <w:r w:rsidRPr="009539DE">
        <w:rPr>
          <w:rFonts w:ascii="Verdana" w:hAnsi="Verdana"/>
          <w:sz w:val="20"/>
          <w:szCs w:val="20"/>
        </w:rPr>
        <w:t xml:space="preserve">, which are applied when constructing </w:t>
      </w:r>
      <w:r w:rsidR="00DC426D">
        <w:rPr>
          <w:rFonts w:ascii="Verdana" w:hAnsi="Verdana"/>
          <w:sz w:val="20"/>
          <w:szCs w:val="20"/>
        </w:rPr>
        <w:t xml:space="preserve">the </w:t>
      </w:r>
      <w:r w:rsidR="00DC426D" w:rsidRPr="009539DE">
        <w:rPr>
          <w:rFonts w:ascii="Verdana" w:hAnsi="Verdana"/>
          <w:sz w:val="20"/>
          <w:szCs w:val="20"/>
        </w:rPr>
        <w:t xml:space="preserve">WoE approach </w:t>
      </w:r>
      <w:r w:rsidRPr="009539DE">
        <w:rPr>
          <w:rFonts w:ascii="Verdana" w:hAnsi="Verdana"/>
          <w:sz w:val="20"/>
          <w:szCs w:val="20"/>
        </w:rPr>
        <w:t>and/or evaluating</w:t>
      </w:r>
      <w:r w:rsidR="00DC426D">
        <w:rPr>
          <w:rFonts w:ascii="Verdana" w:hAnsi="Verdana"/>
          <w:sz w:val="20"/>
          <w:szCs w:val="20"/>
        </w:rPr>
        <w:t xml:space="preserve"> certain of its elements</w:t>
      </w:r>
      <w:r w:rsidRPr="009539DE">
        <w:rPr>
          <w:rFonts w:ascii="Verdana" w:hAnsi="Verdana"/>
          <w:sz w:val="20"/>
          <w:szCs w:val="20"/>
        </w:rPr>
        <w:t xml:space="preserve"> whereas others refer to specific </w:t>
      </w:r>
      <w:r w:rsidRPr="00623F1E">
        <w:rPr>
          <w:rFonts w:ascii="Verdana" w:hAnsi="Verdana"/>
          <w:b/>
          <w:sz w:val="20"/>
          <w:szCs w:val="20"/>
        </w:rPr>
        <w:t>steps</w:t>
      </w:r>
      <w:r w:rsidRPr="009539DE">
        <w:rPr>
          <w:rFonts w:ascii="Verdana" w:hAnsi="Verdana"/>
          <w:sz w:val="20"/>
          <w:szCs w:val="20"/>
        </w:rPr>
        <w:t xml:space="preserve"> of the WoE approach.</w:t>
      </w:r>
      <w:r w:rsidR="00DC426D">
        <w:rPr>
          <w:rFonts w:ascii="Verdana" w:hAnsi="Verdana"/>
          <w:sz w:val="20"/>
          <w:szCs w:val="20"/>
        </w:rPr>
        <w:t xml:space="preserve"> </w:t>
      </w:r>
      <w:r w:rsidR="00BA4E58">
        <w:rPr>
          <w:rFonts w:ascii="Verdana" w:hAnsi="Verdana"/>
          <w:sz w:val="20"/>
          <w:szCs w:val="20"/>
        </w:rPr>
        <w:t>The terms mentioned in this section are encountered either in Guidance documents or within hazard assessments.</w:t>
      </w:r>
    </w:p>
    <w:p w14:paraId="5A0D1DBE" w14:textId="77777777" w:rsidR="0050627D" w:rsidRPr="0050627D" w:rsidRDefault="009539DE" w:rsidP="0050627D">
      <w:pPr>
        <w:rPr>
          <w:rFonts w:ascii="Verdana" w:hAnsi="Verdana"/>
          <w:sz w:val="20"/>
          <w:szCs w:val="20"/>
        </w:rPr>
      </w:pPr>
      <w:r w:rsidRPr="0050627D">
        <w:rPr>
          <w:rFonts w:ascii="Verdana" w:hAnsi="Verdana"/>
          <w:sz w:val="20"/>
          <w:szCs w:val="20"/>
        </w:rPr>
        <w:t>Some definitions of terms used as criteria for WoE construction/evaluation are available within ECHA Guidance R2-4 whereas some terms are general descriptive terms.</w:t>
      </w:r>
    </w:p>
    <w:p w14:paraId="718CD6EF" w14:textId="3A0751AF" w:rsidR="00885876" w:rsidRPr="00702283" w:rsidRDefault="00885876" w:rsidP="00233E2A">
      <w:pPr>
        <w:pStyle w:val="ListParagraph"/>
        <w:numPr>
          <w:ilvl w:val="0"/>
          <w:numId w:val="30"/>
        </w:numPr>
        <w:spacing w:before="240"/>
        <w:contextualSpacing w:val="0"/>
      </w:pPr>
      <w:r w:rsidRPr="00934391">
        <w:rPr>
          <w:b/>
        </w:rPr>
        <w:t>Quality of data</w:t>
      </w:r>
      <w:r w:rsidRPr="00AC2738">
        <w:t xml:space="preserve"> (assessment of adequacy, reliability, relevance)</w:t>
      </w:r>
      <w:r w:rsidR="009F21F3" w:rsidRPr="00AC2738">
        <w:t xml:space="preserve"> (according to ECHA Guidance IR/CSA R.4)</w:t>
      </w:r>
    </w:p>
    <w:p w14:paraId="0E444D8B" w14:textId="5154F936" w:rsidR="0050627D" w:rsidRPr="00135C62" w:rsidRDefault="00885876" w:rsidP="00233E2A">
      <w:pPr>
        <w:pStyle w:val="ListParagraph"/>
        <w:numPr>
          <w:ilvl w:val="0"/>
          <w:numId w:val="25"/>
        </w:numPr>
        <w:spacing w:before="240"/>
        <w:contextualSpacing w:val="0"/>
        <w:rPr>
          <w:rFonts w:cs="Arial"/>
          <w:lang w:eastAsia="en-GB"/>
        </w:rPr>
      </w:pPr>
      <w:r w:rsidRPr="0050627D">
        <w:rPr>
          <w:b/>
        </w:rPr>
        <w:t>Adequacy</w:t>
      </w:r>
      <w:r w:rsidR="009F21F3" w:rsidRPr="0050627D">
        <w:t xml:space="preserve">: </w:t>
      </w:r>
      <w:r w:rsidR="009F21F3" w:rsidRPr="0050627D">
        <w:rPr>
          <w:rFonts w:cs="Arial"/>
          <w:lang w:eastAsia="en-GB"/>
        </w:rPr>
        <w:t>defining the usefulness of data for hazard/risk assessment purposes. Where there is more than one study for each endpoint, the greatest weight is attached to the studies that are the most relevant and reliable. For each endpoint, robust summaries need to be prepared for the key studies.</w:t>
      </w:r>
    </w:p>
    <w:p w14:paraId="1E61D07E" w14:textId="3AAB68EB" w:rsidR="0050627D" w:rsidRPr="00135C62" w:rsidRDefault="00885876" w:rsidP="00233E2A">
      <w:pPr>
        <w:pStyle w:val="ListParagraph"/>
        <w:numPr>
          <w:ilvl w:val="0"/>
          <w:numId w:val="25"/>
        </w:numPr>
        <w:spacing w:before="240"/>
        <w:contextualSpacing w:val="0"/>
        <w:rPr>
          <w:rFonts w:cs="Arial"/>
          <w:lang w:eastAsia="en-GB"/>
        </w:rPr>
      </w:pPr>
      <w:r w:rsidRPr="0050627D">
        <w:rPr>
          <w:b/>
        </w:rPr>
        <w:t>Reliability</w:t>
      </w:r>
      <w:r w:rsidR="009F21F3" w:rsidRPr="0050627D">
        <w:t>:</w:t>
      </w:r>
      <w:r w:rsidR="009F21F3" w:rsidRPr="0050627D">
        <w:rPr>
          <w:rFonts w:cs="Arial"/>
        </w:rPr>
        <w:t xml:space="preserve"> </w:t>
      </w:r>
      <w:r w:rsidR="009F21F3" w:rsidRPr="0050627D">
        <w:rPr>
          <w:rFonts w:cs="Arial"/>
          <w:lang w:eastAsia="en-GB"/>
        </w:rPr>
        <w:t>evaluating the inherent quality of a test report or publication relating to preferably standardised methodology and the way the experimental procedure and results are described to give evidence of the clarity and plausibility of the findings. Reliability of data is closely linked to the reliability of the test m</w:t>
      </w:r>
      <w:r w:rsidR="0050627D">
        <w:rPr>
          <w:rFonts w:cs="Arial"/>
          <w:lang w:eastAsia="en-GB"/>
        </w:rPr>
        <w:t>ethod used to generate the data.</w:t>
      </w:r>
    </w:p>
    <w:p w14:paraId="718CD6F7" w14:textId="4844F0F5" w:rsidR="00885876" w:rsidRPr="00135C62" w:rsidRDefault="00885876" w:rsidP="00233E2A">
      <w:pPr>
        <w:pStyle w:val="ListParagraph"/>
        <w:numPr>
          <w:ilvl w:val="0"/>
          <w:numId w:val="25"/>
        </w:numPr>
        <w:spacing w:before="240"/>
        <w:contextualSpacing w:val="0"/>
        <w:rPr>
          <w:rFonts w:cs="Arial"/>
          <w:lang w:eastAsia="en-GB"/>
        </w:rPr>
      </w:pPr>
      <w:r w:rsidRPr="0050627D">
        <w:rPr>
          <w:b/>
        </w:rPr>
        <w:t>Relevance</w:t>
      </w:r>
      <w:r w:rsidR="009F21F3" w:rsidRPr="0050627D">
        <w:t xml:space="preserve">: </w:t>
      </w:r>
      <w:r w:rsidR="009F21F3" w:rsidRPr="0050627D">
        <w:rPr>
          <w:rFonts w:eastAsiaTheme="minorHAnsi"/>
        </w:rPr>
        <w:t>covering the extent to which data and tests a</w:t>
      </w:r>
      <w:r w:rsidR="009F21F3" w:rsidRPr="0050627D">
        <w:t xml:space="preserve">re appropriate for a particular </w:t>
      </w:r>
      <w:r w:rsidR="009F21F3" w:rsidRPr="0050627D">
        <w:rPr>
          <w:rFonts w:eastAsiaTheme="minorHAnsi"/>
        </w:rPr>
        <w:t xml:space="preserve">hazard identification or risk characterisation. </w:t>
      </w:r>
    </w:p>
    <w:p w14:paraId="718CD6F9" w14:textId="53A5134C" w:rsidR="00885876" w:rsidRPr="00135C62" w:rsidRDefault="00885876" w:rsidP="00233E2A">
      <w:pPr>
        <w:pStyle w:val="ListParagraph"/>
        <w:numPr>
          <w:ilvl w:val="0"/>
          <w:numId w:val="6"/>
        </w:numPr>
        <w:spacing w:before="240"/>
        <w:contextualSpacing w:val="0"/>
        <w:rPr>
          <w:i/>
        </w:rPr>
      </w:pPr>
      <w:r w:rsidRPr="0050627D">
        <w:rPr>
          <w:b/>
        </w:rPr>
        <w:t>Adequacy for purpose:</w:t>
      </w:r>
      <w:r w:rsidRPr="00E96D64">
        <w:t xml:space="preserve"> “</w:t>
      </w:r>
      <w:r w:rsidRPr="00E96D64">
        <w:rPr>
          <w:i/>
        </w:rPr>
        <w:t xml:space="preserve">available information should be evaluated in relation to the level of certainty and accuracy needed to meet the regulatory requirement…it should be considered whether generation of new data would impact such regulatory decision making.” </w:t>
      </w:r>
    </w:p>
    <w:p w14:paraId="36A04A00" w14:textId="40F494D9" w:rsidR="00890997" w:rsidRPr="00135C62" w:rsidRDefault="00890997" w:rsidP="00233E2A">
      <w:pPr>
        <w:pStyle w:val="ListParagraph"/>
        <w:numPr>
          <w:ilvl w:val="0"/>
          <w:numId w:val="3"/>
        </w:numPr>
        <w:spacing w:before="240"/>
        <w:contextualSpacing w:val="0"/>
        <w:rPr>
          <w:i/>
        </w:rPr>
      </w:pPr>
      <w:r w:rsidRPr="0050627D">
        <w:rPr>
          <w:b/>
        </w:rPr>
        <w:t>Completeness:</w:t>
      </w:r>
      <w:r w:rsidRPr="00E96D64">
        <w:t xml:space="preserve"> “</w:t>
      </w:r>
      <w:r w:rsidRPr="00E96D64">
        <w:rPr>
          <w:i/>
        </w:rPr>
        <w:t>conclusion on comparison between available evidence and evidence required for a specific purpose (e.g. information requirement under REACH)”</w:t>
      </w:r>
    </w:p>
    <w:p w14:paraId="718CD6FA" w14:textId="1065D580" w:rsidR="00885876" w:rsidRPr="00E96D64" w:rsidRDefault="00890997" w:rsidP="00233E2A">
      <w:pPr>
        <w:pStyle w:val="ListParagraph"/>
        <w:numPr>
          <w:ilvl w:val="0"/>
          <w:numId w:val="3"/>
        </w:numPr>
        <w:spacing w:before="240"/>
        <w:contextualSpacing w:val="0"/>
      </w:pPr>
      <w:r w:rsidRPr="0050627D">
        <w:rPr>
          <w:b/>
        </w:rPr>
        <w:t>Coverage of key parameters:</w:t>
      </w:r>
      <w:r w:rsidRPr="00E96D64">
        <w:t xml:space="preserve"> assessment of parameters examined within an experimental study and comparison with </w:t>
      </w:r>
      <w:r>
        <w:t xml:space="preserve">the parameter requirements of </w:t>
      </w:r>
      <w:r w:rsidRPr="00E96D64">
        <w:t xml:space="preserve">a standard </w:t>
      </w:r>
      <w:r>
        <w:t xml:space="preserve">(test) </w:t>
      </w:r>
      <w:r w:rsidRPr="00E96D64">
        <w:t>protocol or an information requirement under REACH. It can be seen as a measure of relevance, reliability and adequacy</w:t>
      </w:r>
      <w:r w:rsidR="00AC2738">
        <w:t xml:space="preserve"> (quality of data) but </w:t>
      </w:r>
      <w:r w:rsidR="000655E6">
        <w:t xml:space="preserve">is </w:t>
      </w:r>
      <w:r w:rsidR="00AC2738">
        <w:t>useful to be considered separately</w:t>
      </w:r>
      <w:r w:rsidRPr="00E96D64">
        <w:t>. No formal explanation is provided in ECHA Guidance IR/CSA R.4</w:t>
      </w:r>
    </w:p>
    <w:p w14:paraId="4BA10043" w14:textId="438F33A4" w:rsidR="00135C62" w:rsidRPr="00E96D64" w:rsidRDefault="00885876" w:rsidP="00233E2A">
      <w:pPr>
        <w:pStyle w:val="ListParagraph"/>
        <w:numPr>
          <w:ilvl w:val="0"/>
          <w:numId w:val="6"/>
        </w:numPr>
        <w:spacing w:before="240"/>
        <w:contextualSpacing w:val="0"/>
      </w:pPr>
      <w:r w:rsidRPr="0050627D">
        <w:rPr>
          <w:b/>
        </w:rPr>
        <w:t>Consistency</w:t>
      </w:r>
      <w:r w:rsidR="00FC34DE" w:rsidRPr="0050627D">
        <w:rPr>
          <w:b/>
        </w:rPr>
        <w:t>:</w:t>
      </w:r>
      <w:r w:rsidR="00FC34DE">
        <w:t xml:space="preserve"> (see Section 4 of the Template WoE/Uncertainty)</w:t>
      </w:r>
    </w:p>
    <w:p w14:paraId="52B3A053" w14:textId="06939ACC" w:rsidR="00135C62" w:rsidRPr="00E96D64" w:rsidRDefault="00885876" w:rsidP="00233E2A">
      <w:pPr>
        <w:pStyle w:val="ListParagraph"/>
        <w:numPr>
          <w:ilvl w:val="0"/>
          <w:numId w:val="6"/>
        </w:numPr>
        <w:spacing w:before="240"/>
        <w:contextualSpacing w:val="0"/>
      </w:pPr>
      <w:r w:rsidRPr="0050627D">
        <w:rPr>
          <w:b/>
        </w:rPr>
        <w:t>Specificity</w:t>
      </w:r>
      <w:r w:rsidR="00FC34DE" w:rsidRPr="0050627D">
        <w:rPr>
          <w:b/>
        </w:rPr>
        <w:t>:</w:t>
      </w:r>
      <w:r w:rsidR="00FC34DE">
        <w:t xml:space="preserve"> (see Section 4 </w:t>
      </w:r>
      <w:r w:rsidR="00135C62">
        <w:t>of the Template WoE/Uncertainty)</w:t>
      </w:r>
    </w:p>
    <w:p w14:paraId="0BF3B70A" w14:textId="38A1DD89" w:rsidR="009F21F3" w:rsidRPr="00E96D64" w:rsidRDefault="00885876" w:rsidP="00233E2A">
      <w:pPr>
        <w:pStyle w:val="ListParagraph"/>
        <w:numPr>
          <w:ilvl w:val="0"/>
          <w:numId w:val="6"/>
        </w:numPr>
        <w:spacing w:before="240"/>
        <w:contextualSpacing w:val="0"/>
      </w:pPr>
      <w:r w:rsidRPr="0050627D">
        <w:rPr>
          <w:b/>
        </w:rPr>
        <w:t>Plausibility/Likelihood</w:t>
      </w:r>
      <w:r w:rsidR="00FC34DE" w:rsidRPr="0050627D">
        <w:rPr>
          <w:b/>
        </w:rPr>
        <w:t>:</w:t>
      </w:r>
      <w:r w:rsidR="00FC34DE">
        <w:t xml:space="preserve"> (see Section 4 of the Template WoE/Uncertainty)</w:t>
      </w:r>
    </w:p>
    <w:p w14:paraId="387755ED" w14:textId="6E373C67" w:rsidR="00135C62" w:rsidRPr="00E96D64" w:rsidRDefault="00885876" w:rsidP="00233E2A">
      <w:pPr>
        <w:pStyle w:val="ListParagraph"/>
        <w:numPr>
          <w:ilvl w:val="0"/>
          <w:numId w:val="6"/>
        </w:numPr>
        <w:contextualSpacing w:val="0"/>
      </w:pPr>
      <w:r w:rsidRPr="0050627D">
        <w:rPr>
          <w:b/>
        </w:rPr>
        <w:lastRenderedPageBreak/>
        <w:t>Expert Judgment</w:t>
      </w:r>
      <w:r w:rsidR="009F21F3" w:rsidRPr="0050627D">
        <w:rPr>
          <w:b/>
        </w:rPr>
        <w:t>:</w:t>
      </w:r>
      <w:r w:rsidR="009F21F3">
        <w:t xml:space="preserve"> General descriptive term</w:t>
      </w:r>
      <w:r w:rsidR="00AC2738">
        <w:t xml:space="preserve"> for use of </w:t>
      </w:r>
      <w:r w:rsidR="00135C62">
        <w:t>expert scientific knowledge where precise evidence is not available</w:t>
      </w:r>
    </w:p>
    <w:p w14:paraId="55283D36" w14:textId="608ACB4C" w:rsidR="00135C62" w:rsidRPr="00E96D64" w:rsidRDefault="00885876" w:rsidP="00233E2A">
      <w:pPr>
        <w:pStyle w:val="ListParagraph"/>
        <w:numPr>
          <w:ilvl w:val="0"/>
          <w:numId w:val="3"/>
        </w:numPr>
        <w:spacing w:before="240"/>
        <w:contextualSpacing w:val="0"/>
      </w:pPr>
      <w:r w:rsidRPr="0050627D">
        <w:rPr>
          <w:b/>
        </w:rPr>
        <w:t>Expert judgment elicitation</w:t>
      </w:r>
      <w:r w:rsidR="009F21F3" w:rsidRPr="0050627D">
        <w:rPr>
          <w:b/>
        </w:rPr>
        <w:t xml:space="preserve">: </w:t>
      </w:r>
      <w:r w:rsidR="009F21F3">
        <w:t>General descriptive term</w:t>
      </w:r>
    </w:p>
    <w:p w14:paraId="58E3572C" w14:textId="0BCC6596" w:rsidR="00135C62" w:rsidRPr="00E96D64" w:rsidRDefault="00885876" w:rsidP="00233E2A">
      <w:pPr>
        <w:pStyle w:val="ListParagraph"/>
        <w:numPr>
          <w:ilvl w:val="0"/>
          <w:numId w:val="3"/>
        </w:numPr>
        <w:spacing w:before="240"/>
        <w:contextualSpacing w:val="0"/>
      </w:pPr>
      <w:r w:rsidRPr="0050627D">
        <w:rPr>
          <w:b/>
        </w:rPr>
        <w:t>Strength of Evidence</w:t>
      </w:r>
      <w:r w:rsidR="009F21F3">
        <w:t xml:space="preserve"> (see Section 2.5 of this document)</w:t>
      </w:r>
    </w:p>
    <w:p w14:paraId="718CD701" w14:textId="7692FC2B" w:rsidR="00885876" w:rsidRPr="00E96D64" w:rsidRDefault="00885876" w:rsidP="00233E2A">
      <w:pPr>
        <w:pStyle w:val="ListParagraph"/>
        <w:numPr>
          <w:ilvl w:val="0"/>
          <w:numId w:val="3"/>
        </w:numPr>
        <w:spacing w:before="240"/>
        <w:contextualSpacing w:val="0"/>
      </w:pPr>
      <w:r w:rsidRPr="0050627D">
        <w:rPr>
          <w:b/>
        </w:rPr>
        <w:t>Confidence</w:t>
      </w:r>
      <w:r w:rsidR="009F21F3">
        <w:t xml:space="preserve"> (see Section 2.5 of this document)</w:t>
      </w:r>
      <w:r w:rsidRPr="00E96D64">
        <w:t xml:space="preserve"> </w:t>
      </w:r>
    </w:p>
    <w:p w14:paraId="718CD702" w14:textId="77777777" w:rsidR="00885876" w:rsidRPr="00E96D64" w:rsidRDefault="00885876" w:rsidP="00885876">
      <w:pPr>
        <w:ind w:left="360"/>
        <w:rPr>
          <w:rFonts w:ascii="Verdana" w:hAnsi="Verdana"/>
          <w:sz w:val="20"/>
          <w:szCs w:val="20"/>
        </w:rPr>
      </w:pPr>
    </w:p>
    <w:p w14:paraId="718CD703" w14:textId="622E55C6" w:rsidR="00885876" w:rsidRPr="00E96D64" w:rsidRDefault="00885876" w:rsidP="00233E2A">
      <w:pPr>
        <w:pStyle w:val="ListParagraph"/>
        <w:numPr>
          <w:ilvl w:val="0"/>
          <w:numId w:val="5"/>
        </w:numPr>
        <w:ind w:left="0" w:hanging="284"/>
        <w:rPr>
          <w:i/>
          <w:u w:val="single"/>
        </w:rPr>
      </w:pPr>
      <w:r w:rsidRPr="00E96D64">
        <w:rPr>
          <w:i/>
          <w:u w:val="single"/>
        </w:rPr>
        <w:t xml:space="preserve">Terms that are part of the WoE approach </w:t>
      </w:r>
      <w:r w:rsidR="000D469E">
        <w:rPr>
          <w:i/>
          <w:u w:val="single"/>
        </w:rPr>
        <w:t>but not</w:t>
      </w:r>
      <w:r w:rsidR="000D469E" w:rsidRPr="00E96D64">
        <w:rPr>
          <w:i/>
          <w:u w:val="single"/>
        </w:rPr>
        <w:t xml:space="preserve"> </w:t>
      </w:r>
      <w:r w:rsidRPr="00E96D64">
        <w:rPr>
          <w:i/>
          <w:u w:val="single"/>
        </w:rPr>
        <w:t>the approach itself</w:t>
      </w:r>
    </w:p>
    <w:p w14:paraId="718CD704" w14:textId="77777777" w:rsidR="00885876" w:rsidRPr="00E96D64" w:rsidRDefault="00885876" w:rsidP="00885876">
      <w:pPr>
        <w:pStyle w:val="ListParagraph"/>
        <w:rPr>
          <w:u w:val="single"/>
        </w:rPr>
      </w:pPr>
    </w:p>
    <w:p w14:paraId="718CD705" w14:textId="77777777" w:rsidR="00885876" w:rsidRPr="00E96D64" w:rsidRDefault="00885876" w:rsidP="00233E2A">
      <w:pPr>
        <w:pStyle w:val="ListParagraph"/>
        <w:numPr>
          <w:ilvl w:val="0"/>
          <w:numId w:val="3"/>
        </w:numPr>
      </w:pPr>
      <w:r w:rsidRPr="00E96D64">
        <w:t>Weight of Evidence analysis</w:t>
      </w:r>
    </w:p>
    <w:p w14:paraId="718CD706" w14:textId="77777777" w:rsidR="00885876" w:rsidRPr="00E96D64" w:rsidRDefault="00885876" w:rsidP="00233E2A">
      <w:pPr>
        <w:pStyle w:val="ListParagraph"/>
        <w:numPr>
          <w:ilvl w:val="0"/>
          <w:numId w:val="3"/>
        </w:numPr>
      </w:pPr>
      <w:r w:rsidRPr="00E96D64">
        <w:t>Overall weight of evidence</w:t>
      </w:r>
    </w:p>
    <w:p w14:paraId="718CD707" w14:textId="77777777" w:rsidR="00885876" w:rsidRPr="00E96D64" w:rsidRDefault="00885876" w:rsidP="00885876">
      <w:pPr>
        <w:ind w:left="360"/>
        <w:rPr>
          <w:rFonts w:ascii="Verdana" w:hAnsi="Verdana"/>
          <w:sz w:val="20"/>
          <w:szCs w:val="20"/>
        </w:rPr>
      </w:pPr>
    </w:p>
    <w:p w14:paraId="718CD708" w14:textId="77777777" w:rsidR="00885876" w:rsidRPr="00E96D64" w:rsidRDefault="00885876" w:rsidP="00233E2A">
      <w:pPr>
        <w:pStyle w:val="ListParagraph"/>
        <w:numPr>
          <w:ilvl w:val="0"/>
          <w:numId w:val="5"/>
        </w:numPr>
        <w:ind w:left="-284" w:firstLine="0"/>
        <w:rPr>
          <w:i/>
          <w:u w:val="single"/>
        </w:rPr>
      </w:pPr>
      <w:r w:rsidRPr="00E96D64">
        <w:rPr>
          <w:i/>
          <w:u w:val="single"/>
        </w:rPr>
        <w:t xml:space="preserve"> Additional  terms:</w:t>
      </w:r>
    </w:p>
    <w:p w14:paraId="718CD709" w14:textId="77777777" w:rsidR="00885876" w:rsidRPr="00E96D64" w:rsidRDefault="00885876" w:rsidP="00885876">
      <w:pPr>
        <w:pStyle w:val="ListParagraph"/>
        <w:rPr>
          <w:u w:val="single"/>
        </w:rPr>
      </w:pPr>
    </w:p>
    <w:p w14:paraId="7A4CF18B" w14:textId="431C773B" w:rsidR="00890997" w:rsidRDefault="00885876" w:rsidP="00233E2A">
      <w:pPr>
        <w:pStyle w:val="ListParagraph"/>
        <w:numPr>
          <w:ilvl w:val="0"/>
          <w:numId w:val="3"/>
        </w:numPr>
      </w:pPr>
      <w:r w:rsidRPr="00E96D64">
        <w:t xml:space="preserve">Weight of Evidence flag (used in </w:t>
      </w:r>
      <w:r w:rsidR="000D469E">
        <w:t>OECH Harmonised Templates</w:t>
      </w:r>
      <w:r w:rsidRPr="00E96D64">
        <w:t>/IUCLID study records to indicate if evidence is used in a WoE approach)</w:t>
      </w:r>
    </w:p>
    <w:p w14:paraId="384B78B2" w14:textId="77777777" w:rsidR="0050627D" w:rsidRPr="0050627D" w:rsidRDefault="0050627D" w:rsidP="0050627D">
      <w:pPr>
        <w:rPr>
          <w:rFonts w:ascii="Verdana" w:hAnsi="Verdana"/>
          <w:sz w:val="20"/>
          <w:szCs w:val="20"/>
        </w:rPr>
      </w:pPr>
    </w:p>
    <w:p w14:paraId="061F2807" w14:textId="38296EA9" w:rsidR="0050627D" w:rsidRPr="0050627D" w:rsidRDefault="00885876" w:rsidP="00233E2A">
      <w:pPr>
        <w:pStyle w:val="ListParagraph"/>
        <w:numPr>
          <w:ilvl w:val="0"/>
          <w:numId w:val="3"/>
        </w:numPr>
        <w:rPr>
          <w:rFonts w:cs="Arial"/>
        </w:rPr>
      </w:pPr>
      <w:r w:rsidRPr="0050627D">
        <w:t xml:space="preserve">Evidence: </w:t>
      </w:r>
      <w:r w:rsidR="00890997" w:rsidRPr="0050627D">
        <w:rPr>
          <w:rStyle w:val="current-selection"/>
          <w:rFonts w:cs="Arial"/>
        </w:rPr>
        <w:t xml:space="preserve">Information that is relevant for assessing the answer to a specified question (according to EFSA Guidance on WoE). </w:t>
      </w:r>
      <w:r w:rsidR="00052314">
        <w:rPr>
          <w:rStyle w:val="current-selection"/>
          <w:rFonts w:cs="Arial"/>
        </w:rPr>
        <w:t>This is a</w:t>
      </w:r>
      <w:r w:rsidR="00890997" w:rsidRPr="0050627D">
        <w:rPr>
          <w:rStyle w:val="current-selection"/>
          <w:rFonts w:cs="Arial"/>
        </w:rPr>
        <w:t xml:space="preserve"> </w:t>
      </w:r>
      <w:r w:rsidRPr="0050627D">
        <w:t xml:space="preserve">general term that can be any type and piece of information that can be used in the WoE approach (experimental data from </w:t>
      </w:r>
      <w:r w:rsidRPr="0050627D">
        <w:rPr>
          <w:i/>
        </w:rPr>
        <w:t>in vivo</w:t>
      </w:r>
      <w:r w:rsidRPr="0050627D">
        <w:t xml:space="preserve"> or </w:t>
      </w:r>
      <w:r w:rsidRPr="0050627D">
        <w:rPr>
          <w:i/>
        </w:rPr>
        <w:t>in vitro</w:t>
      </w:r>
      <w:r w:rsidRPr="0050627D">
        <w:t xml:space="preserve"> assay</w:t>
      </w:r>
      <w:r w:rsidR="00E064E7" w:rsidRPr="0050627D">
        <w:t>s</w:t>
      </w:r>
      <w:r w:rsidRPr="0050627D">
        <w:t>, information from similar chemicals</w:t>
      </w:r>
      <w:r w:rsidR="002D7F12" w:rsidRPr="0050627D">
        <w:t>, QSARs, monitoring data</w:t>
      </w:r>
      <w:r w:rsidRPr="0050627D">
        <w:t>)</w:t>
      </w:r>
    </w:p>
    <w:p w14:paraId="140A413D" w14:textId="77777777" w:rsidR="0050627D" w:rsidRPr="0050627D" w:rsidRDefault="0050627D" w:rsidP="0050627D">
      <w:pPr>
        <w:rPr>
          <w:rFonts w:ascii="Verdana" w:hAnsi="Verdana" w:cs="Arial"/>
          <w:sz w:val="20"/>
          <w:szCs w:val="20"/>
        </w:rPr>
      </w:pPr>
    </w:p>
    <w:p w14:paraId="718CD70D" w14:textId="4E4CC526" w:rsidR="00885876" w:rsidRPr="009155B3" w:rsidRDefault="00885876" w:rsidP="00233E2A">
      <w:pPr>
        <w:pStyle w:val="ListParagraph"/>
        <w:numPr>
          <w:ilvl w:val="0"/>
          <w:numId w:val="3"/>
        </w:numPr>
        <w:tabs>
          <w:tab w:val="left" w:pos="255"/>
        </w:tabs>
      </w:pPr>
      <w:r w:rsidRPr="00E96D64">
        <w:t>Systematic Reviews: Systematic reviews as developed in the field of evidence based medicine include similar steps to the WoE approach (collection of information, assessment, and interpretation).</w:t>
      </w:r>
      <w:r w:rsidR="009155B3">
        <w:t xml:space="preserve"> </w:t>
      </w:r>
      <w:r w:rsidRPr="009155B3">
        <w:t xml:space="preserve">An overview of the </w:t>
      </w:r>
      <w:r w:rsidR="00E064E7" w:rsidRPr="009155B3">
        <w:t xml:space="preserve">Systematic Review </w:t>
      </w:r>
      <w:r w:rsidRPr="009155B3">
        <w:t xml:space="preserve">approach is provided </w:t>
      </w:r>
      <w:r w:rsidR="009155B3" w:rsidRPr="009155B3">
        <w:t>by OHAT (OHAT, 2015)</w:t>
      </w:r>
      <w:r w:rsidR="009155B3">
        <w:t xml:space="preserve"> and EFSA (EFSA, 2010., EFSA, 2015</w:t>
      </w:r>
      <w:r w:rsidR="006A4E3F">
        <w:t>a</w:t>
      </w:r>
      <w:r w:rsidR="009155B3">
        <w:t>)</w:t>
      </w:r>
    </w:p>
    <w:p w14:paraId="6E59FF7E" w14:textId="0A7EEB5F" w:rsidR="007C5A6F" w:rsidRDefault="00885876" w:rsidP="007C5A6F">
      <w:pPr>
        <w:tabs>
          <w:tab w:val="left" w:pos="255"/>
        </w:tabs>
        <w:rPr>
          <w:rFonts w:ascii="Verdana" w:hAnsi="Verdana"/>
          <w:sz w:val="20"/>
          <w:szCs w:val="20"/>
        </w:rPr>
      </w:pPr>
      <w:r w:rsidRPr="00E96D64">
        <w:rPr>
          <w:rFonts w:ascii="Verdana" w:hAnsi="Verdana"/>
          <w:sz w:val="20"/>
          <w:szCs w:val="20"/>
        </w:rPr>
        <w:tab/>
      </w:r>
      <w:r w:rsidRPr="00E96D64">
        <w:rPr>
          <w:rFonts w:ascii="Verdana" w:hAnsi="Verdana"/>
          <w:sz w:val="20"/>
          <w:szCs w:val="20"/>
        </w:rPr>
        <w:tab/>
      </w:r>
      <w:r w:rsidR="007C5A6F">
        <w:rPr>
          <w:rFonts w:ascii="Verdana" w:hAnsi="Verdana"/>
          <w:sz w:val="20"/>
          <w:szCs w:val="20"/>
        </w:rPr>
        <w:t xml:space="preserve"> </w:t>
      </w:r>
    </w:p>
    <w:p w14:paraId="718CD70F" w14:textId="7FF4A990" w:rsidR="00885876" w:rsidRPr="00E96D64" w:rsidRDefault="00885876" w:rsidP="00233E2A">
      <w:pPr>
        <w:pStyle w:val="ListParagraph"/>
        <w:numPr>
          <w:ilvl w:val="0"/>
          <w:numId w:val="4"/>
        </w:numPr>
      </w:pPr>
      <w:r w:rsidRPr="00E96D64">
        <w:t xml:space="preserve">WoE adaptations: General description of use of multiple lines of evidence </w:t>
      </w:r>
      <w:r w:rsidR="000655E6" w:rsidRPr="00E96D64">
        <w:t>for omitting</w:t>
      </w:r>
      <w:r w:rsidRPr="00E96D64">
        <w:t xml:space="preserve"> of testing</w:t>
      </w:r>
      <w:r w:rsidR="00E064E7">
        <w:t>,</w:t>
      </w:r>
      <w:r w:rsidRPr="00E96D64">
        <w:t xml:space="preserve"> which is further elaborated in </w:t>
      </w:r>
      <w:r w:rsidR="00993C54" w:rsidRPr="00A66AEF">
        <w:t>ECHA Guidance</w:t>
      </w:r>
      <w:r w:rsidRPr="00E96D64">
        <w:t xml:space="preserve"> (IR/CSA R.4)</w:t>
      </w:r>
      <w:r w:rsidR="0094196D">
        <w:t>.</w:t>
      </w:r>
      <w:r w:rsidRPr="00E96D64">
        <w:t xml:space="preserve"> According to ECHA Guidance IR/CSA: </w:t>
      </w:r>
      <w:r w:rsidRPr="00E96D64">
        <w:rPr>
          <w:i/>
        </w:rPr>
        <w:t>a Weight of evidence approach mentioned in Annex XI Section 1.2 of REACH, integrates available information from guideline tests, non-guideline tests and other types of information which may justify adaptation of the standard testing regime</w:t>
      </w:r>
      <w:r w:rsidRPr="00E96D64">
        <w:t xml:space="preserve">. </w:t>
      </w:r>
    </w:p>
    <w:p w14:paraId="718CD710" w14:textId="77777777" w:rsidR="00885876" w:rsidRPr="00E96D64" w:rsidRDefault="00885876" w:rsidP="00885876">
      <w:pPr>
        <w:rPr>
          <w:rFonts w:ascii="Verdana" w:hAnsi="Verdana"/>
          <w:sz w:val="20"/>
          <w:szCs w:val="20"/>
        </w:rPr>
      </w:pPr>
    </w:p>
    <w:p w14:paraId="718CD711" w14:textId="1D312420" w:rsidR="00E96D64" w:rsidRDefault="00885876" w:rsidP="00885876">
      <w:pPr>
        <w:rPr>
          <w:rFonts w:ascii="Verdana" w:hAnsi="Verdana"/>
          <w:sz w:val="20"/>
          <w:szCs w:val="20"/>
        </w:rPr>
      </w:pPr>
      <w:r w:rsidRPr="00E96D64">
        <w:rPr>
          <w:rFonts w:ascii="Verdana" w:hAnsi="Verdana"/>
          <w:sz w:val="20"/>
          <w:szCs w:val="20"/>
        </w:rPr>
        <w:t>Further elaboration of termi</w:t>
      </w:r>
      <w:r w:rsidR="0010403B">
        <w:rPr>
          <w:rFonts w:ascii="Verdana" w:hAnsi="Verdana"/>
          <w:sz w:val="20"/>
          <w:szCs w:val="20"/>
        </w:rPr>
        <w:t>nology in the field of WoE and u</w:t>
      </w:r>
      <w:r w:rsidRPr="00E96D64">
        <w:rPr>
          <w:rFonts w:ascii="Verdana" w:hAnsi="Verdana"/>
          <w:sz w:val="20"/>
          <w:szCs w:val="20"/>
        </w:rPr>
        <w:t xml:space="preserve">ncertainty is available within the </w:t>
      </w:r>
      <w:r w:rsidRPr="002A0F5D">
        <w:rPr>
          <w:rFonts w:ascii="Verdana" w:hAnsi="Verdana"/>
          <w:sz w:val="20"/>
          <w:szCs w:val="20"/>
        </w:rPr>
        <w:t>ECHA Guidance</w:t>
      </w:r>
      <w:r w:rsidRPr="00E96D64">
        <w:rPr>
          <w:rFonts w:ascii="Verdana" w:hAnsi="Verdana"/>
          <w:sz w:val="20"/>
          <w:szCs w:val="20"/>
        </w:rPr>
        <w:t xml:space="preserve"> (IR/CSA R.2-R.6, R.19), the CLP Guidance as well as within the </w:t>
      </w:r>
      <w:r w:rsidRPr="000655E6">
        <w:rPr>
          <w:rFonts w:ascii="Verdana" w:hAnsi="Verdana"/>
          <w:i/>
          <w:sz w:val="20"/>
          <w:szCs w:val="20"/>
        </w:rPr>
        <w:t>EFSA Guidance on Uncertainty in Scientific Assessments</w:t>
      </w:r>
      <w:r w:rsidR="009668F5">
        <w:rPr>
          <w:rFonts w:ascii="Verdana" w:hAnsi="Verdana"/>
          <w:sz w:val="20"/>
          <w:szCs w:val="20"/>
        </w:rPr>
        <w:t xml:space="preserve"> and the </w:t>
      </w:r>
      <w:r w:rsidR="009668F5" w:rsidRPr="000655E6">
        <w:rPr>
          <w:rFonts w:ascii="Verdana" w:hAnsi="Verdana"/>
          <w:i/>
          <w:sz w:val="20"/>
          <w:szCs w:val="20"/>
        </w:rPr>
        <w:t>EFSA Guidance on the use of Weight of Evidence Approach in Scientific Assessments</w:t>
      </w:r>
      <w:r w:rsidR="003B7FEF">
        <w:rPr>
          <w:rFonts w:ascii="Verdana" w:hAnsi="Verdana"/>
          <w:sz w:val="20"/>
          <w:szCs w:val="20"/>
        </w:rPr>
        <w:t xml:space="preserve"> (EFSA, 2017)</w:t>
      </w:r>
      <w:r w:rsidRPr="00E96D64">
        <w:rPr>
          <w:rFonts w:ascii="Verdana" w:hAnsi="Verdana"/>
          <w:sz w:val="20"/>
          <w:szCs w:val="20"/>
        </w:rPr>
        <w:t>.</w:t>
      </w:r>
    </w:p>
    <w:p w14:paraId="3716335F" w14:textId="69BD9089" w:rsidR="00416692" w:rsidRDefault="00135C62" w:rsidP="00885876">
      <w:pPr>
        <w:rPr>
          <w:rFonts w:ascii="Verdana" w:hAnsi="Verdana"/>
          <w:sz w:val="20"/>
          <w:szCs w:val="20"/>
        </w:rPr>
      </w:pPr>
      <w:r>
        <w:rPr>
          <w:rFonts w:ascii="Verdana" w:hAnsi="Verdana"/>
          <w:sz w:val="20"/>
          <w:szCs w:val="20"/>
        </w:rPr>
        <w:br w:type="page"/>
      </w:r>
    </w:p>
    <w:p w14:paraId="718CD713" w14:textId="77777777" w:rsidR="00E96D64" w:rsidRPr="0010403B" w:rsidRDefault="00E96D64" w:rsidP="00233E2A">
      <w:pPr>
        <w:pStyle w:val="Heading2"/>
        <w:numPr>
          <w:ilvl w:val="1"/>
          <w:numId w:val="10"/>
        </w:numPr>
        <w:rPr>
          <w:rFonts w:ascii="Verdana" w:eastAsia="Times New Roman" w:hAnsi="Verdana" w:cs="Arial"/>
          <w:b/>
          <w:snapToGrid w:val="0"/>
          <w:color w:val="0046AD"/>
          <w:sz w:val="24"/>
          <w:szCs w:val="22"/>
          <w:lang w:eastAsia="fi-FI"/>
        </w:rPr>
      </w:pPr>
      <w:bookmarkStart w:id="5" w:name="_Toc499654083"/>
      <w:r w:rsidRPr="0010403B">
        <w:rPr>
          <w:rFonts w:ascii="Verdana" w:eastAsia="Times New Roman" w:hAnsi="Verdana" w:cs="Arial"/>
          <w:b/>
          <w:snapToGrid w:val="0"/>
          <w:color w:val="0046AD"/>
          <w:sz w:val="24"/>
          <w:szCs w:val="22"/>
          <w:lang w:eastAsia="fi-FI"/>
        </w:rPr>
        <w:lastRenderedPageBreak/>
        <w:t>Uncertainty Definitions</w:t>
      </w:r>
      <w:bookmarkEnd w:id="5"/>
    </w:p>
    <w:p w14:paraId="718CD714" w14:textId="77777777" w:rsidR="00E96D64" w:rsidRPr="00E96D64" w:rsidRDefault="00E96D64" w:rsidP="00E96D64"/>
    <w:p w14:paraId="718CD715" w14:textId="6B928A98" w:rsidR="00E96D64" w:rsidRPr="00E96D64" w:rsidRDefault="00E96D64" w:rsidP="00E96D64">
      <w:pPr>
        <w:rPr>
          <w:rFonts w:ascii="Verdana" w:hAnsi="Verdana"/>
          <w:sz w:val="20"/>
          <w:szCs w:val="20"/>
        </w:rPr>
      </w:pPr>
      <w:r w:rsidRPr="00E96D64">
        <w:rPr>
          <w:rFonts w:ascii="Verdana" w:hAnsi="Verdana"/>
          <w:sz w:val="20"/>
          <w:szCs w:val="20"/>
        </w:rPr>
        <w:t xml:space="preserve">Definitions of uncertainty vary depending on the context </w:t>
      </w:r>
      <w:r w:rsidR="00052314">
        <w:rPr>
          <w:rFonts w:ascii="Verdana" w:hAnsi="Verdana"/>
          <w:sz w:val="20"/>
          <w:szCs w:val="20"/>
        </w:rPr>
        <w:t xml:space="preserve">and </w:t>
      </w:r>
      <w:r w:rsidR="00D205D2">
        <w:rPr>
          <w:rFonts w:ascii="Verdana" w:hAnsi="Verdana"/>
          <w:sz w:val="20"/>
          <w:szCs w:val="20"/>
        </w:rPr>
        <w:t xml:space="preserve">the </w:t>
      </w:r>
      <w:r w:rsidRPr="00E96D64">
        <w:rPr>
          <w:rFonts w:ascii="Verdana" w:hAnsi="Verdana"/>
          <w:sz w:val="20"/>
          <w:szCs w:val="20"/>
        </w:rPr>
        <w:t>regulatory framework</w:t>
      </w:r>
      <w:r w:rsidR="00D205D2">
        <w:rPr>
          <w:rFonts w:ascii="Verdana" w:hAnsi="Verdana"/>
          <w:sz w:val="20"/>
          <w:szCs w:val="20"/>
        </w:rPr>
        <w:t>.  I</w:t>
      </w:r>
      <w:r w:rsidRPr="00E96D64">
        <w:rPr>
          <w:rFonts w:ascii="Verdana" w:hAnsi="Verdana"/>
          <w:sz w:val="20"/>
          <w:szCs w:val="20"/>
        </w:rPr>
        <w:t xml:space="preserve">n general </w:t>
      </w:r>
      <w:r w:rsidR="00D205D2">
        <w:rPr>
          <w:rFonts w:ascii="Verdana" w:hAnsi="Verdana"/>
          <w:sz w:val="20"/>
          <w:szCs w:val="20"/>
        </w:rPr>
        <w:t xml:space="preserve">uncertainty </w:t>
      </w:r>
      <w:r w:rsidRPr="00E96D64">
        <w:rPr>
          <w:rFonts w:ascii="Verdana" w:hAnsi="Verdana"/>
          <w:sz w:val="20"/>
          <w:szCs w:val="20"/>
        </w:rPr>
        <w:t>is defined as “</w:t>
      </w:r>
      <w:r w:rsidRPr="00E96D64">
        <w:rPr>
          <w:rFonts w:ascii="Verdana" w:hAnsi="Verdana"/>
          <w:i/>
          <w:sz w:val="20"/>
          <w:szCs w:val="20"/>
        </w:rPr>
        <w:t>lack of knowledge</w:t>
      </w:r>
      <w:r w:rsidRPr="00E96D64">
        <w:rPr>
          <w:rFonts w:ascii="Verdana" w:hAnsi="Verdana"/>
          <w:sz w:val="20"/>
          <w:szCs w:val="20"/>
        </w:rPr>
        <w:t>” or “</w:t>
      </w:r>
      <w:r w:rsidRPr="00E96D64">
        <w:rPr>
          <w:rFonts w:ascii="Verdana" w:hAnsi="Verdana"/>
          <w:i/>
          <w:sz w:val="20"/>
          <w:szCs w:val="20"/>
        </w:rPr>
        <w:t>limitations in knowledge</w:t>
      </w:r>
      <w:r w:rsidR="00551DA4">
        <w:rPr>
          <w:rFonts w:ascii="Verdana" w:hAnsi="Verdana"/>
          <w:sz w:val="20"/>
          <w:szCs w:val="20"/>
        </w:rPr>
        <w:t xml:space="preserve">”. </w:t>
      </w:r>
    </w:p>
    <w:p w14:paraId="718CD716" w14:textId="30877AC2" w:rsidR="00E96D64" w:rsidRPr="00E96D64" w:rsidRDefault="00E96D64" w:rsidP="00233E2A">
      <w:pPr>
        <w:pStyle w:val="ListParagraph"/>
        <w:numPr>
          <w:ilvl w:val="0"/>
          <w:numId w:val="7"/>
        </w:numPr>
      </w:pPr>
      <w:r w:rsidRPr="00E96D64">
        <w:t>Uncertainty can be defined as “</w:t>
      </w:r>
      <w:r w:rsidRPr="00E96D64">
        <w:rPr>
          <w:i/>
        </w:rPr>
        <w:t>imperfect knowledge concerning the present or future state of an organism, system or (sub) population under consideration</w:t>
      </w:r>
      <w:r w:rsidRPr="00E96D64">
        <w:t>” (</w:t>
      </w:r>
      <w:r w:rsidRPr="002A0F5D">
        <w:t>WHO/IPCS</w:t>
      </w:r>
      <w:r w:rsidR="006A4E3F">
        <w:t xml:space="preserve"> 2014</w:t>
      </w:r>
      <w:r w:rsidRPr="00E96D64">
        <w:t>)</w:t>
      </w:r>
    </w:p>
    <w:p w14:paraId="718CD717" w14:textId="77777777" w:rsidR="00E96D64" w:rsidRPr="00E96D64" w:rsidRDefault="00E96D64" w:rsidP="00E96D64">
      <w:pPr>
        <w:rPr>
          <w:rFonts w:ascii="Verdana" w:hAnsi="Verdana"/>
          <w:sz w:val="20"/>
          <w:szCs w:val="20"/>
        </w:rPr>
      </w:pPr>
    </w:p>
    <w:p w14:paraId="718CD718" w14:textId="5797D8E3" w:rsidR="00E96D64" w:rsidRPr="00E96D64" w:rsidRDefault="00E96D64" w:rsidP="00233E2A">
      <w:pPr>
        <w:pStyle w:val="ListParagraph"/>
        <w:numPr>
          <w:ilvl w:val="0"/>
          <w:numId w:val="7"/>
        </w:numPr>
      </w:pPr>
      <w:r w:rsidRPr="00E96D64">
        <w:t xml:space="preserve">According to </w:t>
      </w:r>
      <w:r w:rsidRPr="0010403B">
        <w:rPr>
          <w:i/>
        </w:rPr>
        <w:t>EFSA Guidance on Uncertainty in Scientific Assessments</w:t>
      </w:r>
      <w:r w:rsidRPr="00E96D64">
        <w:t>: “</w:t>
      </w:r>
      <w:r w:rsidRPr="00E96D64">
        <w:rPr>
          <w:i/>
        </w:rPr>
        <w:t>uncertainty refers to all types of limitations in the knowledge available to assessors at the time an assessment is conducted and within the time and resources agreed for the assessmen</w:t>
      </w:r>
      <w:r w:rsidRPr="00E96D64">
        <w:t xml:space="preserve">t”. </w:t>
      </w:r>
    </w:p>
    <w:p w14:paraId="718CD719" w14:textId="77777777" w:rsidR="00E96D64" w:rsidRPr="00E96D64" w:rsidRDefault="00E96D64" w:rsidP="00E96D64">
      <w:pPr>
        <w:rPr>
          <w:rFonts w:ascii="Verdana" w:hAnsi="Verdana"/>
          <w:sz w:val="20"/>
          <w:szCs w:val="20"/>
        </w:rPr>
      </w:pPr>
    </w:p>
    <w:p w14:paraId="718CD71B" w14:textId="02C99C78" w:rsidR="00E96D64" w:rsidRPr="00E96D64" w:rsidRDefault="0060682D" w:rsidP="00E96D64">
      <w:pPr>
        <w:rPr>
          <w:rFonts w:ascii="Verdana" w:hAnsi="Verdana"/>
          <w:sz w:val="20"/>
          <w:szCs w:val="20"/>
        </w:rPr>
      </w:pPr>
      <w:r>
        <w:rPr>
          <w:rFonts w:ascii="Verdana" w:hAnsi="Verdana"/>
          <w:sz w:val="20"/>
          <w:szCs w:val="20"/>
        </w:rPr>
        <w:t>Uncertainty informs</w:t>
      </w:r>
      <w:r w:rsidR="00D65407">
        <w:rPr>
          <w:rFonts w:ascii="Verdana" w:hAnsi="Verdana"/>
          <w:sz w:val="20"/>
          <w:szCs w:val="20"/>
        </w:rPr>
        <w:t xml:space="preserve"> on</w:t>
      </w:r>
      <w:r w:rsidR="00E96D64" w:rsidRPr="00E96D64">
        <w:rPr>
          <w:rFonts w:ascii="Verdana" w:hAnsi="Verdana"/>
          <w:sz w:val="20"/>
          <w:szCs w:val="20"/>
        </w:rPr>
        <w:t xml:space="preserve"> confi</w:t>
      </w:r>
      <w:r w:rsidR="00416692">
        <w:rPr>
          <w:rFonts w:ascii="Verdana" w:hAnsi="Verdana"/>
          <w:sz w:val="20"/>
          <w:szCs w:val="20"/>
        </w:rPr>
        <w:t xml:space="preserve">dence during the WoE approach. </w:t>
      </w:r>
    </w:p>
    <w:p w14:paraId="718CD71C" w14:textId="77777777" w:rsidR="00E96D64" w:rsidRPr="00E96D64" w:rsidRDefault="00E96D64" w:rsidP="00E96D64">
      <w:pPr>
        <w:spacing w:after="200" w:line="276" w:lineRule="auto"/>
        <w:rPr>
          <w:rFonts w:ascii="Verdana" w:hAnsi="Verdana"/>
          <w:sz w:val="20"/>
          <w:szCs w:val="20"/>
        </w:rPr>
      </w:pPr>
      <w:r w:rsidRPr="00E96D64">
        <w:rPr>
          <w:rFonts w:ascii="Verdana" w:hAnsi="Verdana"/>
          <w:sz w:val="20"/>
          <w:szCs w:val="20"/>
        </w:rPr>
        <w:t xml:space="preserve">It should be noted that uncertainty analysis is a process that runs through any type of assessment (applicable for both hazard and exposure components) and can vary in terms of complexity depending on the type of problem formulation. </w:t>
      </w:r>
    </w:p>
    <w:p w14:paraId="718CD71D" w14:textId="1581E7AD" w:rsidR="00E96D64" w:rsidRDefault="00EA1DD6" w:rsidP="00E96D64">
      <w:pPr>
        <w:spacing w:after="200" w:line="276" w:lineRule="auto"/>
        <w:rPr>
          <w:rFonts w:ascii="Verdana" w:hAnsi="Verdana"/>
          <w:sz w:val="20"/>
          <w:szCs w:val="20"/>
        </w:rPr>
      </w:pPr>
      <w:r>
        <w:rPr>
          <w:rFonts w:ascii="Verdana" w:hAnsi="Verdana"/>
          <w:sz w:val="20"/>
          <w:szCs w:val="20"/>
        </w:rPr>
        <w:t>The</w:t>
      </w:r>
      <w:r w:rsidR="00E96D64" w:rsidRPr="00E96D64">
        <w:rPr>
          <w:rFonts w:ascii="Verdana" w:hAnsi="Verdana"/>
          <w:sz w:val="20"/>
          <w:szCs w:val="20"/>
        </w:rPr>
        <w:t xml:space="preserve"> process can be qualitative, semi-quantitative or quantitative depending on the methodology used to reach a conclusion on uncertainty. For </w:t>
      </w:r>
      <w:r w:rsidR="0060682D">
        <w:rPr>
          <w:rFonts w:ascii="Verdana" w:hAnsi="Verdana"/>
          <w:sz w:val="20"/>
          <w:szCs w:val="20"/>
        </w:rPr>
        <w:t>cases requiring detailed</w:t>
      </w:r>
      <w:r w:rsidR="00E96D64" w:rsidRPr="00E96D64">
        <w:rPr>
          <w:rFonts w:ascii="Verdana" w:hAnsi="Verdana"/>
          <w:sz w:val="20"/>
          <w:szCs w:val="20"/>
        </w:rPr>
        <w:t xml:space="preserve"> uncertainty analysis more complex statistical approaches are used to derive conclusions</w:t>
      </w:r>
      <w:r w:rsidR="00A66AEF">
        <w:rPr>
          <w:rFonts w:ascii="Verdana" w:hAnsi="Verdana"/>
          <w:sz w:val="20"/>
          <w:szCs w:val="20"/>
        </w:rPr>
        <w:t xml:space="preserve"> (ECHA Guidance IR</w:t>
      </w:r>
      <w:r w:rsidR="009F21F3">
        <w:rPr>
          <w:rFonts w:ascii="Verdana" w:hAnsi="Verdana"/>
          <w:sz w:val="20"/>
          <w:szCs w:val="20"/>
        </w:rPr>
        <w:t>/CSA</w:t>
      </w:r>
      <w:r w:rsidR="00A66AEF">
        <w:rPr>
          <w:rFonts w:ascii="Verdana" w:hAnsi="Verdana"/>
          <w:sz w:val="20"/>
          <w:szCs w:val="20"/>
        </w:rPr>
        <w:t>, R.19),</w:t>
      </w:r>
      <w:r w:rsidR="00E96D64" w:rsidRPr="00E96D64">
        <w:rPr>
          <w:rFonts w:ascii="Verdana" w:hAnsi="Verdana"/>
          <w:sz w:val="20"/>
          <w:szCs w:val="20"/>
        </w:rPr>
        <w:t xml:space="preserve"> </w:t>
      </w:r>
      <w:r w:rsidR="00C6235E">
        <w:rPr>
          <w:rFonts w:ascii="Verdana" w:hAnsi="Verdana"/>
          <w:sz w:val="20"/>
          <w:szCs w:val="20"/>
        </w:rPr>
        <w:t xml:space="preserve">in contrast </w:t>
      </w:r>
      <w:r w:rsidR="00E96D64" w:rsidRPr="00E96D64">
        <w:rPr>
          <w:rFonts w:ascii="Verdana" w:hAnsi="Verdana"/>
          <w:sz w:val="20"/>
          <w:szCs w:val="20"/>
        </w:rPr>
        <w:t>to simple qualitative conclusions such as “</w:t>
      </w:r>
      <w:r w:rsidR="00E96D64" w:rsidRPr="00E96D64">
        <w:rPr>
          <w:rFonts w:ascii="Verdana" w:hAnsi="Verdana"/>
          <w:i/>
          <w:sz w:val="20"/>
          <w:szCs w:val="20"/>
        </w:rPr>
        <w:t>high confidence</w:t>
      </w:r>
      <w:r w:rsidR="00E96D64" w:rsidRPr="00E96D64">
        <w:rPr>
          <w:rFonts w:ascii="Verdana" w:hAnsi="Verdana"/>
          <w:sz w:val="20"/>
          <w:szCs w:val="20"/>
        </w:rPr>
        <w:t>”, “</w:t>
      </w:r>
      <w:r w:rsidR="00E96D64" w:rsidRPr="00E96D64">
        <w:rPr>
          <w:rFonts w:ascii="Verdana" w:hAnsi="Verdana"/>
          <w:i/>
          <w:sz w:val="20"/>
          <w:szCs w:val="20"/>
        </w:rPr>
        <w:t>low uncertainty</w:t>
      </w:r>
      <w:r w:rsidR="00E96D64" w:rsidRPr="00E96D64">
        <w:rPr>
          <w:rFonts w:ascii="Verdana" w:hAnsi="Verdana"/>
          <w:sz w:val="20"/>
          <w:szCs w:val="20"/>
        </w:rPr>
        <w:t>”.</w:t>
      </w:r>
    </w:p>
    <w:p w14:paraId="718CD71E" w14:textId="77777777" w:rsidR="00E96D64" w:rsidRPr="00E96D64" w:rsidRDefault="00E96D64" w:rsidP="00E96D64">
      <w:pPr>
        <w:spacing w:after="200" w:line="276" w:lineRule="auto"/>
        <w:rPr>
          <w:rFonts w:ascii="Verdana" w:hAnsi="Verdana"/>
          <w:sz w:val="20"/>
          <w:szCs w:val="20"/>
        </w:rPr>
      </w:pPr>
    </w:p>
    <w:p w14:paraId="718CD71F" w14:textId="77777777" w:rsidR="00E96D64" w:rsidRPr="0010403B" w:rsidRDefault="00E96D64" w:rsidP="00233E2A">
      <w:pPr>
        <w:pStyle w:val="Heading2"/>
        <w:numPr>
          <w:ilvl w:val="1"/>
          <w:numId w:val="10"/>
        </w:numPr>
        <w:rPr>
          <w:rFonts w:ascii="Verdana" w:eastAsia="Times New Roman" w:hAnsi="Verdana" w:cs="Arial"/>
          <w:b/>
          <w:snapToGrid w:val="0"/>
          <w:color w:val="0046AD"/>
          <w:sz w:val="24"/>
          <w:szCs w:val="22"/>
          <w:lang w:eastAsia="fi-FI"/>
        </w:rPr>
      </w:pPr>
      <w:bookmarkStart w:id="6" w:name="_Toc445904317"/>
      <w:bookmarkStart w:id="7" w:name="_Toc499654084"/>
      <w:r w:rsidRPr="0010403B">
        <w:rPr>
          <w:rFonts w:ascii="Verdana" w:eastAsia="Times New Roman" w:hAnsi="Verdana" w:cs="Arial"/>
          <w:b/>
          <w:snapToGrid w:val="0"/>
          <w:color w:val="0046AD"/>
          <w:sz w:val="24"/>
          <w:szCs w:val="22"/>
          <w:lang w:eastAsia="fi-FI"/>
        </w:rPr>
        <w:t xml:space="preserve">Relationship of WoE </w:t>
      </w:r>
      <w:r w:rsidR="00551DA4" w:rsidRPr="0010403B">
        <w:rPr>
          <w:rFonts w:ascii="Verdana" w:eastAsia="Times New Roman" w:hAnsi="Verdana" w:cs="Arial"/>
          <w:b/>
          <w:snapToGrid w:val="0"/>
          <w:color w:val="0046AD"/>
          <w:sz w:val="24"/>
          <w:szCs w:val="22"/>
          <w:lang w:eastAsia="fi-FI"/>
        </w:rPr>
        <w:t xml:space="preserve">approach </w:t>
      </w:r>
      <w:r w:rsidRPr="0010403B">
        <w:rPr>
          <w:rFonts w:ascii="Verdana" w:eastAsia="Times New Roman" w:hAnsi="Verdana" w:cs="Arial"/>
          <w:b/>
          <w:snapToGrid w:val="0"/>
          <w:color w:val="0046AD"/>
          <w:sz w:val="24"/>
          <w:szCs w:val="22"/>
          <w:lang w:eastAsia="fi-FI"/>
        </w:rPr>
        <w:t>and uncertainty analysis</w:t>
      </w:r>
      <w:bookmarkEnd w:id="6"/>
      <w:bookmarkEnd w:id="7"/>
    </w:p>
    <w:p w14:paraId="28CD6A32" w14:textId="77777777" w:rsidR="004F6F8E" w:rsidRDefault="004F6F8E" w:rsidP="00E96D64">
      <w:pPr>
        <w:rPr>
          <w:rFonts w:ascii="Verdana" w:hAnsi="Verdana"/>
          <w:sz w:val="20"/>
          <w:szCs w:val="20"/>
        </w:rPr>
      </w:pPr>
    </w:p>
    <w:p w14:paraId="718CD722" w14:textId="78106A5D" w:rsidR="00E96D64" w:rsidRDefault="004F6F8E" w:rsidP="00E96D64">
      <w:pPr>
        <w:rPr>
          <w:rFonts w:ascii="Verdana" w:hAnsi="Verdana"/>
          <w:sz w:val="20"/>
          <w:szCs w:val="20"/>
        </w:rPr>
      </w:pPr>
      <w:r>
        <w:rPr>
          <w:rFonts w:ascii="Verdana" w:hAnsi="Verdana"/>
          <w:sz w:val="20"/>
          <w:szCs w:val="20"/>
        </w:rPr>
        <w:t>S</w:t>
      </w:r>
      <w:r w:rsidR="00570DE9">
        <w:rPr>
          <w:rFonts w:ascii="Verdana" w:hAnsi="Verdana"/>
          <w:sz w:val="20"/>
          <w:szCs w:val="20"/>
        </w:rPr>
        <w:t>imilar to</w:t>
      </w:r>
      <w:r w:rsidR="00E96D64" w:rsidRPr="00E96D64">
        <w:rPr>
          <w:rFonts w:ascii="Verdana" w:hAnsi="Verdana"/>
          <w:sz w:val="20"/>
          <w:szCs w:val="20"/>
        </w:rPr>
        <w:t xml:space="preserve"> the </w:t>
      </w:r>
      <w:r w:rsidR="00E96D64" w:rsidRPr="002A0F5D">
        <w:rPr>
          <w:rFonts w:ascii="Verdana" w:hAnsi="Verdana"/>
          <w:sz w:val="20"/>
          <w:szCs w:val="20"/>
        </w:rPr>
        <w:t>WHO/IPCS</w:t>
      </w:r>
      <w:r w:rsidR="00E96D64" w:rsidRPr="00E96D64">
        <w:rPr>
          <w:rFonts w:ascii="Verdana" w:hAnsi="Verdana"/>
          <w:sz w:val="20"/>
          <w:szCs w:val="20"/>
        </w:rPr>
        <w:t xml:space="preserve"> </w:t>
      </w:r>
      <w:r w:rsidR="00E96D64" w:rsidRPr="00572F37">
        <w:rPr>
          <w:rFonts w:ascii="Verdana" w:hAnsi="Verdana"/>
          <w:i/>
          <w:sz w:val="20"/>
          <w:szCs w:val="20"/>
        </w:rPr>
        <w:t>Guidance on Uncertainty in Hazard assessment</w:t>
      </w:r>
      <w:r w:rsidR="006A4E3F">
        <w:rPr>
          <w:rFonts w:ascii="Verdana" w:hAnsi="Verdana"/>
          <w:sz w:val="20"/>
          <w:szCs w:val="20"/>
        </w:rPr>
        <w:t xml:space="preserve"> (WHO/IPCS 2014)</w:t>
      </w:r>
      <w:r w:rsidR="00E96D64" w:rsidRPr="00E96D64">
        <w:rPr>
          <w:rFonts w:ascii="Verdana" w:hAnsi="Verdana"/>
          <w:sz w:val="20"/>
          <w:szCs w:val="20"/>
        </w:rPr>
        <w:t xml:space="preserve">, </w:t>
      </w:r>
      <w:r w:rsidR="00E96D64" w:rsidRPr="00E96D64">
        <w:rPr>
          <w:rFonts w:ascii="Verdana" w:hAnsi="Verdana"/>
          <w:b/>
          <w:sz w:val="20"/>
          <w:szCs w:val="20"/>
        </w:rPr>
        <w:t>Figure 2</w:t>
      </w:r>
      <w:r w:rsidR="00E96D64" w:rsidRPr="00E96D64">
        <w:rPr>
          <w:rFonts w:ascii="Verdana" w:hAnsi="Verdana"/>
          <w:sz w:val="20"/>
          <w:szCs w:val="20"/>
        </w:rPr>
        <w:t xml:space="preserve"> below shows how uncertainty analysis and WoE approach run in parallel during hazard assessment (hazard identification and/or hazard characterisation/ dose response relationship) and </w:t>
      </w:r>
      <w:r w:rsidR="003646B7">
        <w:rPr>
          <w:rFonts w:ascii="Verdana" w:hAnsi="Verdana"/>
          <w:sz w:val="20"/>
          <w:szCs w:val="20"/>
        </w:rPr>
        <w:t xml:space="preserve">that </w:t>
      </w:r>
      <w:r w:rsidR="00E96D64" w:rsidRPr="00E96D64">
        <w:rPr>
          <w:rFonts w:ascii="Verdana" w:hAnsi="Verdana"/>
          <w:sz w:val="20"/>
          <w:szCs w:val="20"/>
        </w:rPr>
        <w:t>both processes share as common component</w:t>
      </w:r>
      <w:r w:rsidR="003646B7">
        <w:rPr>
          <w:rFonts w:ascii="Verdana" w:hAnsi="Verdana"/>
          <w:sz w:val="20"/>
          <w:szCs w:val="20"/>
        </w:rPr>
        <w:t xml:space="preserve">s </w:t>
      </w:r>
      <w:r w:rsidR="00E96D64" w:rsidRPr="00E96D64">
        <w:rPr>
          <w:rFonts w:ascii="Verdana" w:hAnsi="Verdana"/>
          <w:sz w:val="20"/>
          <w:szCs w:val="20"/>
        </w:rPr>
        <w:t xml:space="preserve"> the derivation of confidence levels and conclusions. Both WoE and uncertainty analysis feed in hazard assessment components. </w:t>
      </w:r>
    </w:p>
    <w:p w14:paraId="24700736" w14:textId="77777777" w:rsidR="00B76C92" w:rsidRDefault="00A66AEF" w:rsidP="00E96D64">
      <w:pPr>
        <w:rPr>
          <w:rFonts w:ascii="Verdana" w:hAnsi="Verdana"/>
          <w:sz w:val="20"/>
          <w:szCs w:val="20"/>
        </w:rPr>
      </w:pPr>
      <w:r>
        <w:rPr>
          <w:rFonts w:ascii="Verdana" w:hAnsi="Verdana"/>
          <w:sz w:val="20"/>
          <w:szCs w:val="20"/>
        </w:rPr>
        <w:br w:type="page"/>
      </w:r>
    </w:p>
    <w:p w14:paraId="718CD723" w14:textId="78D15D48" w:rsidR="00E96D64" w:rsidRPr="00E96D64" w:rsidRDefault="00A722C6" w:rsidP="00E96D64">
      <w:pPr>
        <w:rPr>
          <w:rFonts w:ascii="Verdana" w:hAnsi="Verdana"/>
          <w:sz w:val="20"/>
          <w:szCs w:val="20"/>
        </w:rPr>
      </w:pPr>
      <w:r>
        <w:rPr>
          <w:rFonts w:ascii="Verdana" w:hAnsi="Verdana"/>
          <w:noProof/>
          <w:sz w:val="20"/>
          <w:szCs w:val="20"/>
          <w:lang w:eastAsia="en-GB"/>
        </w:rPr>
        <w:lastRenderedPageBreak/>
        <mc:AlternateContent>
          <mc:Choice Requires="wpg">
            <w:drawing>
              <wp:anchor distT="0" distB="0" distL="114300" distR="114300" simplePos="0" relativeHeight="251650560" behindDoc="0" locked="0" layoutInCell="1" allowOverlap="1" wp14:anchorId="5CF82286" wp14:editId="510B09A6">
                <wp:simplePos x="0" y="0"/>
                <wp:positionH relativeFrom="column">
                  <wp:posOffset>0</wp:posOffset>
                </wp:positionH>
                <wp:positionV relativeFrom="paragraph">
                  <wp:posOffset>265430</wp:posOffset>
                </wp:positionV>
                <wp:extent cx="6016625" cy="4104640"/>
                <wp:effectExtent l="0" t="0" r="22225" b="10160"/>
                <wp:wrapNone/>
                <wp:docPr id="20492" name="Group 20492"/>
                <wp:cNvGraphicFramePr/>
                <a:graphic xmlns:a="http://schemas.openxmlformats.org/drawingml/2006/main">
                  <a:graphicData uri="http://schemas.microsoft.com/office/word/2010/wordprocessingGroup">
                    <wpg:wgp>
                      <wpg:cNvGrpSpPr/>
                      <wpg:grpSpPr>
                        <a:xfrm>
                          <a:off x="0" y="0"/>
                          <a:ext cx="6016625" cy="4104640"/>
                          <a:chOff x="0" y="0"/>
                          <a:chExt cx="6016625" cy="4104640"/>
                        </a:xfrm>
                      </wpg:grpSpPr>
                      <wpg:grpSp>
                        <wpg:cNvPr id="18" name="Group 18"/>
                        <wpg:cNvGrpSpPr/>
                        <wpg:grpSpPr>
                          <a:xfrm>
                            <a:off x="0" y="0"/>
                            <a:ext cx="6016625" cy="4104640"/>
                            <a:chOff x="0" y="0"/>
                            <a:chExt cx="6017141" cy="4105246"/>
                          </a:xfrm>
                        </wpg:grpSpPr>
                        <wps:wsp>
                          <wps:cNvPr id="12" name="Rectangle 1"/>
                          <wps:cNvSpPr/>
                          <wps:spPr>
                            <a:xfrm>
                              <a:off x="304800" y="0"/>
                              <a:ext cx="5615796" cy="5809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8E" w14:textId="77777777" w:rsidR="00FE7D9E" w:rsidRDefault="00FE7D9E" w:rsidP="00E96D64">
                                <w:pPr>
                                  <w:jc w:val="center"/>
                                </w:pPr>
                                <w:r>
                                  <w:t>Problem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3"/>
                          <wps:cNvSpPr/>
                          <wps:spPr>
                            <a:xfrm>
                              <a:off x="619125" y="1009650"/>
                              <a:ext cx="1381376" cy="10349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8F" w14:textId="77777777" w:rsidR="00FE7D9E" w:rsidRDefault="00FE7D9E" w:rsidP="00E96D64">
                                <w:pPr>
                                  <w:jc w:val="center"/>
                                </w:pPr>
                                <w:r>
                                  <w:t>Weight of Evidence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4"/>
                          <wps:cNvSpPr/>
                          <wps:spPr>
                            <a:xfrm>
                              <a:off x="866775" y="2657475"/>
                              <a:ext cx="4455042" cy="5809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90" w14:textId="1F1B6C4B" w:rsidR="00FE7D9E" w:rsidRDefault="00FE7D9E" w:rsidP="00E96D64">
                                <w:pPr>
                                  <w:jc w:val="center"/>
                                </w:pPr>
                                <w:r>
                                  <w:t xml:space="preserve">Confidence Levels/Remaining Uncertainty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7"/>
                          <wps:cNvSpPr/>
                          <wps:spPr>
                            <a:xfrm>
                              <a:off x="4410075" y="1009650"/>
                              <a:ext cx="1318260" cy="1034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91" w14:textId="77777777" w:rsidR="00FE7D9E" w:rsidRDefault="00FE7D9E" w:rsidP="00E96D64">
                                <w:pPr>
                                  <w:jc w:val="center"/>
                                </w:pPr>
                                <w:r>
                                  <w:t>Uncertainty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9"/>
                          <wps:cNvSpPr/>
                          <wps:spPr>
                            <a:xfrm>
                              <a:off x="276225" y="3524250"/>
                              <a:ext cx="5740916" cy="5809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92" w14:textId="4122F6D8" w:rsidR="00FE7D9E" w:rsidRDefault="00FE7D9E" w:rsidP="00E96D64">
                                <w:pPr>
                                  <w:jc w:val="center"/>
                                </w:pPr>
                                <w:r>
                                  <w:t>Conclusion/Recommendations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6"/>
                          <wps:cNvSpPr/>
                          <wps:spPr>
                            <a:xfrm>
                              <a:off x="2409825" y="1009650"/>
                              <a:ext cx="1456615" cy="10349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93" w14:textId="77777777" w:rsidR="00FE7D9E" w:rsidRDefault="00FE7D9E" w:rsidP="00E96D64">
                                <w:pPr>
                                  <w:jc w:val="center"/>
                                </w:pPr>
                                <w:r>
                                  <w:t>Hazard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10"/>
                          <wps:cNvCnPr/>
                          <wps:spPr>
                            <a:xfrm>
                              <a:off x="2066925" y="1524000"/>
                              <a:ext cx="340453"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11"/>
                          <wps:cNvCnPr/>
                          <wps:spPr>
                            <a:xfrm>
                              <a:off x="3971925" y="1514475"/>
                              <a:ext cx="340453"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19"/>
                          <wps:cNvCnPr/>
                          <wps:spPr>
                            <a:xfrm flipH="1">
                              <a:off x="0" y="323850"/>
                              <a:ext cx="301625" cy="1270"/>
                            </a:xfrm>
                            <a:prstGeom prst="straightConnector1">
                              <a:avLst/>
                            </a:prstGeom>
                            <a:ln w="22225">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6" name="Straight Connector 20"/>
                          <wps:cNvCnPr/>
                          <wps:spPr>
                            <a:xfrm>
                              <a:off x="0" y="323850"/>
                              <a:ext cx="0" cy="3571240"/>
                            </a:xfrm>
                            <a:prstGeom prst="line">
                              <a:avLst/>
                            </a:prstGeom>
                            <a:ln w="2222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15"/>
                          <wps:cNvCnPr/>
                          <wps:spPr>
                            <a:xfrm flipH="1">
                              <a:off x="0" y="3886200"/>
                              <a:ext cx="301625" cy="1270"/>
                            </a:xfrm>
                            <a:prstGeom prst="straightConnector1">
                              <a:avLst/>
                            </a:prstGeom>
                            <a:ln w="22225">
                              <a:headEnd type="triangle"/>
                              <a:tailEnd type="none"/>
                            </a:ln>
                          </wps:spPr>
                          <wps:style>
                            <a:lnRef idx="1">
                              <a:schemeClr val="accent1"/>
                            </a:lnRef>
                            <a:fillRef idx="0">
                              <a:schemeClr val="accent1"/>
                            </a:fillRef>
                            <a:effectRef idx="0">
                              <a:schemeClr val="accent1"/>
                            </a:effectRef>
                            <a:fontRef idx="minor">
                              <a:schemeClr val="tx1"/>
                            </a:fontRef>
                          </wps:style>
                          <wps:bodyPr/>
                        </wps:wsp>
                      </wpg:grpSp>
                      <wps:wsp>
                        <wps:cNvPr id="31" name="Straight Arrow Connector 31"/>
                        <wps:cNvCnPr/>
                        <wps:spPr>
                          <a:xfrm>
                            <a:off x="3048000" y="3238500"/>
                            <a:ext cx="0" cy="31483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84" name="Straight Arrow Connector 20484"/>
                        <wps:cNvCnPr/>
                        <wps:spPr>
                          <a:xfrm>
                            <a:off x="1466850" y="2066925"/>
                            <a:ext cx="0" cy="5238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86" name="Straight Arrow Connector 20486"/>
                        <wps:cNvCnPr/>
                        <wps:spPr>
                          <a:xfrm>
                            <a:off x="4933950" y="2066925"/>
                            <a:ext cx="0" cy="5429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87" name="Straight Arrow Connector 20487"/>
                        <wps:cNvCnPr/>
                        <wps:spPr>
                          <a:xfrm>
                            <a:off x="3095625" y="628650"/>
                            <a:ext cx="0" cy="342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F82286" id="Group 20492" o:spid="_x0000_s1043" style="position:absolute;margin-left:0;margin-top:20.9pt;width:473.75pt;height:323.2pt;z-index:251650560" coordsize="60166,4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">
                <v:group id="Group 18" o:spid="_x0000_s1044" style="position:absolute;width:60166;height:41046" coordsize="60171,4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 o:spid="_x0000_s1045" style="position:absolute;left:3048;width:56157;height:5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7Nr4A&#10;AADbAAAADwAAAGRycy9kb3ducmV2LnhtbESPzQrCMBCE74LvEFbwpqkeVKpRRBBE8ODPAyzN2lSb&#10;TWmibd/eCIK3XWZ2vtnVprWleFPtC8cKJuMEBHHmdMG5gtt1P1qA8AFZY+mYFHTkYbPu91aYatfw&#10;md6XkIsYwj5FBSaEKpXSZ4Ys+rGriKN2d7XFENc6l7rGJobbUk6TZCYtFhwJBivaGcqel5eNEKRz&#10;N5k3u+fJtMeCyu5Br06p4aDdLkEEasPf/Ls+6F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0+za+AAAA2wAAAA8AAAAAAAAAAAAAAAAAmAIAAGRycy9kb3ducmV2&#10;LnhtbFBLBQYAAAAABAAEAPUAAACDAwAAAAA=&#10;" fillcolor="#5b9bd5 [3204]" strokecolor="#1f4d78 [1604]" strokeweight="1pt">
                    <v:textbox>
                      <w:txbxContent>
                        <w:p w14:paraId="718CD88E" w14:textId="77777777" w:rsidR="00FE7D9E" w:rsidRDefault="00FE7D9E" w:rsidP="00E96D64">
                          <w:pPr>
                            <w:jc w:val="center"/>
                          </w:pPr>
                          <w:r>
                            <w:t>Problem Formulation</w:t>
                          </w:r>
                        </w:p>
                      </w:txbxContent>
                    </v:textbox>
                  </v:rect>
                  <v:rect id="Rectangle 3" o:spid="_x0000_s1046" style="position:absolute;left:6191;top:10096;width:13814;height:10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ercEA&#10;AADbAAAADwAAAGRycy9kb3ducmV2LnhtbESP0YrCMBBF3xf8hzCCb2uqgi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4Xq3BAAAA2wAAAA8AAAAAAAAAAAAAAAAAmAIAAGRycy9kb3du&#10;cmV2LnhtbFBLBQYAAAAABAAEAPUAAACGAwAAAAA=&#10;" fillcolor="#5b9bd5 [3204]" strokecolor="#1f4d78 [1604]" strokeweight="1pt">
                    <v:textbox>
                      <w:txbxContent>
                        <w:p w14:paraId="718CD88F" w14:textId="77777777" w:rsidR="00FE7D9E" w:rsidRDefault="00FE7D9E" w:rsidP="00E96D64">
                          <w:pPr>
                            <w:jc w:val="center"/>
                          </w:pPr>
                          <w:r>
                            <w:t>Weight of Evidence Approach</w:t>
                          </w:r>
                        </w:p>
                      </w:txbxContent>
                    </v:textbox>
                  </v:rect>
                  <v:rect id="Rectangle 4" o:spid="_x0000_s1047" style="position:absolute;left:8667;top:26574;width:44551;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18CD890" w14:textId="1F1B6C4B" w:rsidR="00FE7D9E" w:rsidRDefault="00FE7D9E" w:rsidP="00E96D64">
                          <w:pPr>
                            <w:jc w:val="center"/>
                          </w:pPr>
                          <w:r>
                            <w:t xml:space="preserve">Confidence Levels/Remaining Uncertainty </w:t>
                          </w:r>
                        </w:p>
                      </w:txbxContent>
                    </v:textbox>
                  </v:rect>
                  <v:rect id="Rectangle 7" o:spid="_x0000_s1048" style="position:absolute;left:44100;top:10096;width:13183;height:10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Nb4A&#10;AADbAAAADwAAAGRycy9kb3ducmV2LnhtbESPzQrCMBCE74LvEFbwpqkeVKpRRBBE8ODPAyzN2lSb&#10;TWmibd/eCIK3XWZ2vtnVprWleFPtC8cKJuMEBHHmdMG5gtt1P1qA8AFZY+mYFHTkYbPu91aYatfw&#10;md6XkIsYwj5FBSaEKpXSZ4Ys+rGriKN2d7XFENc6l7rGJobbUk6TZCYtFhwJBivaGcqel5eNEKRz&#10;N5k3u+fJtMeCyu5Br06p4aDdLkEEasPf/Ls+6Fh/B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P/TW+AAAA2wAAAA8AAAAAAAAAAAAAAAAAmAIAAGRycy9kb3ducmV2&#10;LnhtbFBLBQYAAAAABAAEAPUAAACDAwAAAAA=&#10;" fillcolor="#5b9bd5 [3204]" strokecolor="#1f4d78 [1604]" strokeweight="1pt">
                    <v:textbox>
                      <w:txbxContent>
                        <w:p w14:paraId="718CD891" w14:textId="77777777" w:rsidR="00FE7D9E" w:rsidRDefault="00FE7D9E" w:rsidP="00E96D64">
                          <w:pPr>
                            <w:jc w:val="center"/>
                          </w:pPr>
                          <w:r>
                            <w:t>Uncertainty Analysis</w:t>
                          </w:r>
                        </w:p>
                      </w:txbxContent>
                    </v:textbox>
                  </v:rect>
                  <v:rect id="Rectangle 9" o:spid="_x0000_s1049" style="position:absolute;left:2762;top:35242;width:5740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pR8EA&#10;AADbAAAADwAAAGRycy9kb3ducmV2LnhtbESPQYvCMBCF7wv+hzCCtzXVg7rVtIggiOBB3R8wNGNT&#10;bSalibb992ZhwdsM78373mzy3tbiRa2vHCuYTRMQxIXTFZcKfq/77xUIH5A11o5JwUAe8mz0tcFU&#10;u47P9LqEUsQQ9ikqMCE0qZS+MGTRT11DHLWbay2GuLal1C12MdzWcp4kC2mx4kgw2NDOUPG4PG2E&#10;IJ2H2bLbPU6mP1ZUD3d6DkpNxv12DSJQHz7m/+uDjvV/4O+XOID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QaUfBAAAA2wAAAA8AAAAAAAAAAAAAAAAAmAIAAGRycy9kb3du&#10;cmV2LnhtbFBLBQYAAAAABAAEAPUAAACGAwAAAAA=&#10;" fillcolor="#5b9bd5 [3204]" strokecolor="#1f4d78 [1604]" strokeweight="1pt">
                    <v:textbox>
                      <w:txbxContent>
                        <w:p w14:paraId="718CD892" w14:textId="4122F6D8" w:rsidR="00FE7D9E" w:rsidRDefault="00FE7D9E" w:rsidP="00E96D64">
                          <w:pPr>
                            <w:jc w:val="center"/>
                          </w:pPr>
                          <w:r>
                            <w:t>Conclusion/Recommendations</w:t>
                          </w:r>
                        </w:p>
                      </w:txbxContent>
                    </v:textbox>
                  </v:rect>
                  <v:rect id="Rectangle 6" o:spid="_x0000_s1050" style="position:absolute;left:24098;top:10096;width:14566;height:10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KZ70A&#10;AADbAAAADwAAAGRycy9kb3ducmV2LnhtbERPzYrCMBC+C75DGGFvmurBXapRRBBE8KC7DzA0Y1Nt&#10;JqWJtn1757Dg8eP7X297X6sXtbEKbGA+y0ARF8FWXBr4+z1Mf0DFhGyxDkwGBoqw3YxHa8xt6PhC&#10;r2sqlYRwzNGAS6nJtY6FI49xFhpi4W6h9ZgEtqW2LXYS7mu9yLKl9lixNDhsaO+oeFyfXkqQLsP8&#10;u9s/zq4/VVQPd3oOxnxN+t0KVKI+fcT/7qM1sJD1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YKZ70AAADbAAAADwAAAAAAAAAAAAAAAACYAgAAZHJzL2Rvd25yZXYu&#10;eG1sUEsFBgAAAAAEAAQA9QAAAIIDAAAAAA==&#10;" fillcolor="#5b9bd5 [3204]" strokecolor="#1f4d78 [1604]" strokeweight="1pt">
                    <v:textbox>
                      <w:txbxContent>
                        <w:p w14:paraId="718CD893" w14:textId="77777777" w:rsidR="00FE7D9E" w:rsidRDefault="00FE7D9E" w:rsidP="00E96D64">
                          <w:pPr>
                            <w:jc w:val="center"/>
                          </w:pPr>
                          <w:r>
                            <w:t>Hazard Assessment</w:t>
                          </w:r>
                        </w:p>
                      </w:txbxContent>
                    </v:textbox>
                  </v:rect>
                  <v:shape id="Straight Arrow Connector 10" o:spid="_x0000_s1051" type="#_x0000_t32" style="position:absolute;left:20669;top:15240;width:34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zIMUAAADbAAAADwAAAGRycy9kb3ducmV2LnhtbESPQWvCQBSE7wX/w/IEb3VjoFZSVxFB&#10;mpPFpNIeX7PPJJp9G7JrjP++KxR6HGbmG2a5HkwjeupcbVnBbBqBIC6srrlU8JnvnhcgnEfW2Fgm&#10;BXdysF6NnpaYaHvjA/WZL0WAsEtQQeV9m0jpiooMuqltiYN3sp1BH2RXSt3hLcBNI+MomkuDNYeF&#10;ClvaVlRcsqtRsH/9SM/fl/r402/LfTS/f9mX/F2pyXjYvIHwNPj/8F871QriGTy+h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zIMUAAADbAAAADwAAAAAAAAAA&#10;AAAAAAChAgAAZHJzL2Rvd25yZXYueG1sUEsFBgAAAAAEAAQA+QAAAJMDAAAAAA==&#10;" strokecolor="#5b9bd5 [3204]" strokeweight=".5pt">
                    <v:stroke startarrow="open" endarrow="open" joinstyle="miter"/>
                  </v:shape>
                  <v:shape id="Straight Arrow Connector 11" o:spid="_x0000_s1052" type="#_x0000_t32" style="position:absolute;left:39719;top:15144;width:34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IzMUAAADbAAAADwAAAGRycy9kb3ducmV2LnhtbESPQWvCQBSE74X+h+UVequbphgldZUS&#10;ED1ZNIoeX7OvSWr2bciuMf57t1DocZiZb5jZYjCN6KlztWUFr6MIBHFhdc2lgn2+fJmCcB5ZY2OZ&#10;FNzIwWL++DDDVNsrb6nf+VIECLsUFVTet6mUrqjIoBvZljh437Yz6IPsSqk7vAa4aWQcRYk0WHNY&#10;qLClrKLivLsYBZvJ5/rndK4PX31WbqLkdrTjfKXU89Pw8Q7C0+D/w3/ttVYQv8Hvl/A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1IzMUAAADbAAAADwAAAAAAAAAA&#10;AAAAAAChAgAAZHJzL2Rvd25yZXYueG1sUEsFBgAAAAAEAAQA+QAAAJMDAAAAAA==&#10;" strokecolor="#5b9bd5 [3204]" strokeweight=".5pt">
                    <v:stroke startarrow="open" endarrow="open" joinstyle="miter"/>
                  </v:shape>
                  <v:shape id="Straight Arrow Connector 19" o:spid="_x0000_s1053" type="#_x0000_t32" style="position:absolute;top:3238;width:3016;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PaLcMAAADbAAAADwAAAGRycy9kb3ducmV2LnhtbESPUWsCMRCE3wv+h7CCL0VzFRQ5jSKK&#10;4EuFnv6A9bJeDi+bI0m901/fFAp9HGbnm53VpreNeJAPtWMFH5MMBHHpdM2Vgsv5MF6ACBFZY+OY&#10;FDwpwGY9eFthrl3HX/QoYiUShEOOCkyMbS5lKA1ZDBPXEifv5rzFmKSvpPbYJbht5DTL5tJizanB&#10;YEs7Q+W9+LbpDZq/y60tLq/S7zpz+tyfr/xSajTst0sQkfr4f/yXPmoF0xn8bkkA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T2i3DAAAA2wAAAA8AAAAAAAAAAAAA&#10;AAAAoQIAAGRycy9kb3ducmV2LnhtbFBLBQYAAAAABAAEAPkAAACRAwAAAAA=&#10;" strokecolor="#5b9bd5 [3204]" strokeweight="1.75pt">
                    <v:stroke startarrow="block" joinstyle="miter"/>
                  </v:shape>
                  <v:line id="Straight Connector 20" o:spid="_x0000_s1054" style="position:absolute;visibility:visible;mso-wrap-style:square" from="0,3238" to="0,3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8l8QAAADbAAAADwAAAGRycy9kb3ducmV2LnhtbESPT2vCQBTE70K/w/KEXqTu1kOQ1DWI&#10;ULC0F6O010f2mT9m36bZrUm/vSsIHoeZ+Q2zykbbigv1vnas4XWuQBAXztRcajge3l+WIHxANtg6&#10;Jg3/5CFbP01WmBo38J4ueShFhLBPUUMVQpdK6YuKLPq564ijd3K9xRBlX0rT4xDhtpULpRJpsea4&#10;UGFH24qKc/5nNZSzD5KfyS5pDs3w85tvVf71rbR+no6bNxCBxvAI39s7o2GRwO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7ryXxAAAANsAAAAPAAAAAAAAAAAA&#10;AAAAAKECAABkcnMvZG93bnJldi54bWxQSwUGAAAAAAQABAD5AAAAkgMAAAAA&#10;" strokecolor="#5b9bd5 [3204]" strokeweight="1.75pt">
                    <v:stroke joinstyle="miter"/>
                  </v:line>
                  <v:shape id="Straight Arrow Connector 15" o:spid="_x0000_s1055" type="#_x0000_t32" style="position:absolute;top:38862;width:3016;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1s8MAAADbAAAADwAAAGRycy9kb3ducmV2LnhtbESPwWrDMAyG74O9g9Fgl7E67aGUrG4p&#10;HYVdNmiaB1BjLQ6L5WB7Tdannw6FHsWv/9On9XbyvbpQTF1gA/NZAYq4Cbbj1kB9OryuQKWMbLEP&#10;TAb+KMF28/iwxtKGkY90qXKrBMKpRAMu56HUOjWOPKZZGIgl+w7RY5YxttpGHAXue70oiqX22LFc&#10;cDjQ3lHzU/160aDli975qr42cT+6r8/305mvxjw/Tbs3UJmmfF++tT+sgYXIyi8CAL3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SdbPDAAAA2wAAAA8AAAAAAAAAAAAA&#10;AAAAoQIAAGRycy9kb3ducmV2LnhtbFBLBQYAAAAABAAEAPkAAACRAwAAAAA=&#10;" strokecolor="#5b9bd5 [3204]" strokeweight="1.75pt">
                    <v:stroke startarrow="block" joinstyle="miter"/>
                  </v:shape>
                </v:group>
                <v:shape id="Straight Arrow Connector 31" o:spid="_x0000_s1056" type="#_x0000_t32" style="position:absolute;left:30480;top:32385;width:0;height:3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5b9bd5 [3204]" strokeweight=".5pt">
                  <v:stroke startarrow="block" endarrow="block" joinstyle="miter"/>
                </v:shape>
                <v:shape id="Straight Arrow Connector 20484" o:spid="_x0000_s1057" type="#_x0000_t32" style="position:absolute;left:14668;top:20669;width:0;height:5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23cgAAADeAAAADwAAAGRycy9kb3ducmV2LnhtbESPQWvCQBSE7wX/w/KE3uqmQUSim1AE&#10;bS+laIPY2zP7mgSzb8PuVqO/3i0Uehxm5htmWQymE2dyvrWs4HmSgCCurG65VlB+rp/mIHxA1thZ&#10;JgVX8lDko4clZtpeeEvnXahFhLDPUEETQp9J6auGDPqJ7Ymj922dwRClq6V2eIlw08k0SWbSYMtx&#10;ocGeVg1Vp92PUfBhNqdjeC9vX5WrD6+rdN8dr3ulHsfDywJEoCH8h//ab1pBmkznU/i9E6+AzO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b/23cgAAADeAAAADwAAAAAA&#10;AAAAAAAAAAChAgAAZHJzL2Rvd25yZXYueG1sUEsFBgAAAAAEAAQA+QAAAJYDAAAAAA==&#10;" strokecolor="#5b9bd5 [3204]" strokeweight=".5pt">
                  <v:stroke startarrow="block" endarrow="block" joinstyle="miter"/>
                </v:shape>
                <v:shape id="Straight Arrow Connector 20486" o:spid="_x0000_s1058" type="#_x0000_t32" style="position:absolute;left:49339;top:20669;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HNMcgAAADeAAAADwAAAGRycy9kb3ducmV2LnhtbESPW4vCMBSE3xf8D+EI+7amW0SkGmUR&#10;vLwsixfEfTs2Z9tic1KSqHV/vREEH4eZ+YYZT1tTiws5X1lW8NlLQBDnVldcKNht5x9DED4ga6wt&#10;k4IbeZhOOm9jzLS98poum1CICGGfoYIyhCaT0uclGfQ92xBH7886gyFKV0jt8BrhppZpkgykwYrj&#10;QokNzUrKT5uzUfBjFqdj+N79/+auOCxn6b4+3vZKvXfbrxGIQG14hZ/tlVaQJv3hAB534hWQk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iHNMcgAAADeAAAADwAAAAAA&#10;AAAAAAAAAAChAgAAZHJzL2Rvd25yZXYueG1sUEsFBgAAAAAEAAQA+QAAAJYDAAAAAA==&#10;" strokecolor="#5b9bd5 [3204]" strokeweight=".5pt">
                  <v:stroke startarrow="block" endarrow="block" joinstyle="miter"/>
                </v:shape>
                <v:shape id="Straight Arrow Connector 20487" o:spid="_x0000_s1059" type="#_x0000_t32" style="position:absolute;left:30956;top:6286;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1oqsgAAADeAAAADwAAAGRycy9kb3ducmV2LnhtbESPQWvCQBSE74X+h+UVequbhlIlZiMi&#10;VHspRStSb8/sMwlm34bdrcb+elcQPA4z8w2TT3rTiiM531hW8DpIQBCXVjdcKVj/fLyMQPiArLG1&#10;TArO5GFSPD7kmGl74iUdV6ESEcI+QwV1CF0mpS9rMugHtiOO3t46gyFKV0nt8BThppVpkrxLgw3H&#10;hRo7mtVUHlZ/RsG3mR924Wv9vy1d9buYpZt2d94o9fzUT8cgAvXhHr61P7WCNHkbDeF6J14BWV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1oqsgAAADeAAAADwAAAAAA&#10;AAAAAAAAAAChAgAAZHJzL2Rvd25yZXYueG1sUEsFBgAAAAAEAAQA+QAAAJYDAAAAAA==&#10;" strokecolor="#5b9bd5 [3204]" strokeweight=".5pt">
                  <v:stroke startarrow="block" endarrow="block" joinstyle="miter"/>
                </v:shape>
              </v:group>
            </w:pict>
          </mc:Fallback>
        </mc:AlternateContent>
      </w:r>
    </w:p>
    <w:p w14:paraId="718CD724" w14:textId="67197BFD" w:rsidR="00E96D64" w:rsidRDefault="00E96D64" w:rsidP="00E96D64"/>
    <w:p w14:paraId="718CD725" w14:textId="77777777" w:rsidR="00E96D64" w:rsidRDefault="00E96D64" w:rsidP="00E96D64"/>
    <w:p w14:paraId="718CD726" w14:textId="7A389E39" w:rsidR="00E96D64" w:rsidRDefault="00E96D64" w:rsidP="00E96D64"/>
    <w:p w14:paraId="718CD727" w14:textId="30ECEB9C" w:rsidR="00A66AEF" w:rsidRDefault="00A66AEF" w:rsidP="00E96D64"/>
    <w:p w14:paraId="5C3C93DB" w14:textId="77777777" w:rsidR="00A66AEF" w:rsidRPr="00A66AEF" w:rsidRDefault="00A66AEF" w:rsidP="00A66AEF"/>
    <w:p w14:paraId="1578F5AF" w14:textId="77777777" w:rsidR="00A66AEF" w:rsidRPr="00A66AEF" w:rsidRDefault="00A66AEF" w:rsidP="00A66AEF"/>
    <w:p w14:paraId="31D5CA6F" w14:textId="77777777" w:rsidR="00A66AEF" w:rsidRPr="00A66AEF" w:rsidRDefault="00A66AEF" w:rsidP="00A66AEF"/>
    <w:p w14:paraId="7E3530B5" w14:textId="6A1CD1F2" w:rsidR="00A66AEF" w:rsidRPr="00A66AEF" w:rsidRDefault="00A66AEF" w:rsidP="00A66AEF"/>
    <w:p w14:paraId="19A87AB8" w14:textId="77777777" w:rsidR="00A66AEF" w:rsidRPr="00A722C6" w:rsidRDefault="00A66AEF" w:rsidP="00A722C6"/>
    <w:p w14:paraId="02415EE7" w14:textId="77777777" w:rsidR="00A66AEF" w:rsidRPr="00A66AEF" w:rsidRDefault="00A66AEF"/>
    <w:p w14:paraId="2A86F551" w14:textId="77777777" w:rsidR="00A66AEF" w:rsidRPr="00A66AEF" w:rsidRDefault="00A66AEF"/>
    <w:p w14:paraId="77DB878A" w14:textId="5AA1198B" w:rsidR="00A66AEF" w:rsidRPr="00A66AEF" w:rsidRDefault="00A66AEF"/>
    <w:p w14:paraId="5C7CD20F" w14:textId="77777777" w:rsidR="00A66AEF" w:rsidRPr="00A722C6" w:rsidRDefault="00A66AEF"/>
    <w:p w14:paraId="24AD4D82" w14:textId="77777777" w:rsidR="00A66AEF" w:rsidRPr="00A66AEF" w:rsidRDefault="00A66AEF"/>
    <w:p w14:paraId="6FFB3A83" w14:textId="77777777" w:rsidR="00A66AEF" w:rsidRPr="00A66AEF" w:rsidRDefault="00A66AEF"/>
    <w:p w14:paraId="7A9C5D74" w14:textId="77777777" w:rsidR="00A66AEF" w:rsidRPr="00A66AEF" w:rsidRDefault="00A66AEF"/>
    <w:p w14:paraId="0C179EE9" w14:textId="4BD597CA" w:rsidR="00A66AEF" w:rsidRDefault="00A66AEF" w:rsidP="00E96D64">
      <w:r w:rsidRPr="00710F59">
        <w:rPr>
          <w:b/>
        </w:rPr>
        <w:t>Figure</w:t>
      </w:r>
      <w:r w:rsidR="00710F59" w:rsidRPr="00710F59">
        <w:rPr>
          <w:b/>
        </w:rPr>
        <w:t xml:space="preserve"> 2</w:t>
      </w:r>
      <w:r w:rsidRPr="00710F59">
        <w:rPr>
          <w:b/>
        </w:rPr>
        <w:t>:</w:t>
      </w:r>
      <w:r w:rsidR="0010403B">
        <w:t xml:space="preserve"> Interrelationship of u</w:t>
      </w:r>
      <w:r>
        <w:t xml:space="preserve">ncertainty analysis and Weight of Evidence feeding in Hazard Assessment. </w:t>
      </w:r>
    </w:p>
    <w:p w14:paraId="3CAF7580" w14:textId="77777777" w:rsidR="00B76C92" w:rsidRDefault="00B76C92" w:rsidP="00E96D64"/>
    <w:p w14:paraId="0CEA65A7" w14:textId="697295F8" w:rsidR="00E96D64" w:rsidRPr="00E96D64" w:rsidRDefault="006A4E3F" w:rsidP="00E96D64">
      <w:pPr>
        <w:rPr>
          <w:rFonts w:ascii="Verdana" w:hAnsi="Verdana"/>
          <w:sz w:val="20"/>
          <w:szCs w:val="20"/>
        </w:rPr>
      </w:pPr>
      <w:r>
        <w:t>U</w:t>
      </w:r>
      <w:r w:rsidR="00E96D64" w:rsidRPr="00E96D64">
        <w:rPr>
          <w:rFonts w:ascii="Verdana" w:hAnsi="Verdana"/>
          <w:sz w:val="20"/>
          <w:szCs w:val="20"/>
        </w:rPr>
        <w:t>ncertainty analysis</w:t>
      </w:r>
      <w:r>
        <w:rPr>
          <w:rFonts w:ascii="Verdana" w:hAnsi="Verdana"/>
          <w:sz w:val="20"/>
          <w:szCs w:val="20"/>
        </w:rPr>
        <w:t>, like the WoE approach,</w:t>
      </w:r>
      <w:r w:rsidR="00E96D64" w:rsidRPr="00E96D64">
        <w:rPr>
          <w:rFonts w:ascii="Verdana" w:hAnsi="Verdana"/>
          <w:sz w:val="20"/>
          <w:szCs w:val="20"/>
        </w:rPr>
        <w:t xml:space="preserve"> is also a process that includes steps that </w:t>
      </w:r>
      <w:r w:rsidR="003646B7">
        <w:rPr>
          <w:rFonts w:ascii="Verdana" w:hAnsi="Verdana"/>
          <w:sz w:val="20"/>
          <w:szCs w:val="20"/>
        </w:rPr>
        <w:t xml:space="preserve">correspond </w:t>
      </w:r>
      <w:r w:rsidR="00E96D64" w:rsidRPr="00E96D64">
        <w:rPr>
          <w:rFonts w:ascii="Verdana" w:hAnsi="Verdana"/>
          <w:sz w:val="20"/>
          <w:szCs w:val="20"/>
        </w:rPr>
        <w:t>to the steps described in the WoE approach</w:t>
      </w:r>
      <w:r w:rsidR="00BA4E58">
        <w:rPr>
          <w:rFonts w:ascii="Verdana" w:hAnsi="Verdana"/>
          <w:sz w:val="20"/>
          <w:szCs w:val="20"/>
        </w:rPr>
        <w:t xml:space="preserve"> in this document</w:t>
      </w:r>
      <w:r w:rsidR="00551DA4">
        <w:rPr>
          <w:rFonts w:ascii="Verdana" w:hAnsi="Verdana"/>
          <w:sz w:val="20"/>
          <w:szCs w:val="20"/>
        </w:rPr>
        <w:t xml:space="preserve">: </w:t>
      </w:r>
    </w:p>
    <w:p w14:paraId="718CD728" w14:textId="77777777" w:rsidR="00E96D64" w:rsidRPr="00E96D64" w:rsidRDefault="00E96D64" w:rsidP="00233E2A">
      <w:pPr>
        <w:pStyle w:val="ListParagraph"/>
        <w:numPr>
          <w:ilvl w:val="0"/>
          <w:numId w:val="8"/>
        </w:numPr>
      </w:pPr>
      <w:r w:rsidRPr="00E96D64">
        <w:t>problem formulation</w:t>
      </w:r>
    </w:p>
    <w:p w14:paraId="718CD729" w14:textId="77777777" w:rsidR="00E96D64" w:rsidRPr="00E96D64" w:rsidRDefault="00E96D64" w:rsidP="00233E2A">
      <w:pPr>
        <w:pStyle w:val="ListParagraph"/>
        <w:numPr>
          <w:ilvl w:val="0"/>
          <w:numId w:val="8"/>
        </w:numPr>
      </w:pPr>
      <w:r w:rsidRPr="00E96D64">
        <w:t>identification and description of uncertainties</w:t>
      </w:r>
    </w:p>
    <w:p w14:paraId="718CD72A" w14:textId="77777777" w:rsidR="00E96D64" w:rsidRPr="00E96D64" w:rsidRDefault="00E96D64" w:rsidP="00233E2A">
      <w:pPr>
        <w:pStyle w:val="ListParagraph"/>
        <w:numPr>
          <w:ilvl w:val="0"/>
          <w:numId w:val="8"/>
        </w:numPr>
      </w:pPr>
      <w:r w:rsidRPr="00E96D64">
        <w:t>assessment of individual sources of uncertainty</w:t>
      </w:r>
    </w:p>
    <w:p w14:paraId="718CD72B" w14:textId="77777777" w:rsidR="00E96D64" w:rsidRPr="00E96D64" w:rsidRDefault="00E96D64" w:rsidP="00233E2A">
      <w:pPr>
        <w:pStyle w:val="ListParagraph"/>
        <w:numPr>
          <w:ilvl w:val="0"/>
          <w:numId w:val="8"/>
        </w:numPr>
      </w:pPr>
      <w:r w:rsidRPr="00E96D64">
        <w:t>assessment of overall impact of all identified uncertainties</w:t>
      </w:r>
    </w:p>
    <w:p w14:paraId="718CD72C" w14:textId="77777777" w:rsidR="00E96D64" w:rsidRPr="00E96D64" w:rsidRDefault="00E96D64" w:rsidP="00E96D64">
      <w:pPr>
        <w:rPr>
          <w:rFonts w:ascii="Verdana" w:hAnsi="Verdana"/>
          <w:sz w:val="20"/>
          <w:szCs w:val="20"/>
        </w:rPr>
      </w:pPr>
    </w:p>
    <w:p w14:paraId="718CD72D" w14:textId="505FE55D" w:rsidR="00E96D64" w:rsidRPr="00E96D64" w:rsidRDefault="00E96D64" w:rsidP="00E96D64">
      <w:pPr>
        <w:rPr>
          <w:rFonts w:ascii="Verdana" w:hAnsi="Verdana"/>
          <w:i/>
          <w:sz w:val="20"/>
          <w:szCs w:val="20"/>
        </w:rPr>
      </w:pPr>
      <w:r w:rsidRPr="00E96D64">
        <w:rPr>
          <w:rFonts w:ascii="Verdana" w:hAnsi="Verdana"/>
          <w:sz w:val="20"/>
          <w:szCs w:val="20"/>
        </w:rPr>
        <w:t xml:space="preserve">This stepwise approach for uncertainty analysis is further elaborated within the </w:t>
      </w:r>
      <w:r w:rsidRPr="00D76A61">
        <w:rPr>
          <w:rFonts w:ascii="Verdana" w:hAnsi="Verdana"/>
          <w:i/>
          <w:sz w:val="20"/>
          <w:szCs w:val="20"/>
        </w:rPr>
        <w:t>WHO/IPCS Guidance on uncertainty in hazard assessment</w:t>
      </w:r>
      <w:r w:rsidR="006A4E3F">
        <w:rPr>
          <w:rFonts w:ascii="Verdana" w:hAnsi="Verdana"/>
          <w:sz w:val="20"/>
          <w:szCs w:val="20"/>
        </w:rPr>
        <w:t xml:space="preserve"> (WHO/IPCS 2014)</w:t>
      </w:r>
      <w:r w:rsidRPr="00E96D64">
        <w:rPr>
          <w:rFonts w:ascii="Verdana" w:hAnsi="Verdana"/>
          <w:sz w:val="20"/>
          <w:szCs w:val="20"/>
        </w:rPr>
        <w:t xml:space="preserve">, and is similar to the </w:t>
      </w:r>
      <w:r w:rsidRPr="00D76A61">
        <w:rPr>
          <w:rFonts w:ascii="Verdana" w:hAnsi="Verdana"/>
          <w:i/>
          <w:sz w:val="20"/>
          <w:szCs w:val="20"/>
        </w:rPr>
        <w:t>ECHA Guidance on uncertainty analysis</w:t>
      </w:r>
      <w:r w:rsidRPr="00E96D64">
        <w:rPr>
          <w:rFonts w:ascii="Verdana" w:hAnsi="Verdana"/>
          <w:sz w:val="20"/>
          <w:szCs w:val="20"/>
        </w:rPr>
        <w:t xml:space="preserve"> in </w:t>
      </w:r>
      <w:r w:rsidR="006A4E3F">
        <w:rPr>
          <w:rFonts w:ascii="Verdana" w:hAnsi="Verdana"/>
          <w:sz w:val="20"/>
          <w:szCs w:val="20"/>
        </w:rPr>
        <w:t xml:space="preserve">ECHA </w:t>
      </w:r>
      <w:r w:rsidR="00416692">
        <w:rPr>
          <w:rFonts w:ascii="Verdana" w:hAnsi="Verdana"/>
          <w:sz w:val="20"/>
          <w:szCs w:val="20"/>
        </w:rPr>
        <w:t xml:space="preserve">IR/CSA </w:t>
      </w:r>
      <w:r w:rsidRPr="00E96D64">
        <w:rPr>
          <w:rFonts w:ascii="Verdana" w:hAnsi="Verdana"/>
          <w:sz w:val="20"/>
          <w:szCs w:val="20"/>
        </w:rPr>
        <w:t>R.19</w:t>
      </w:r>
      <w:r w:rsidRPr="00E96D64">
        <w:rPr>
          <w:rFonts w:ascii="Verdana" w:hAnsi="Verdana"/>
          <w:i/>
          <w:sz w:val="20"/>
          <w:szCs w:val="20"/>
        </w:rPr>
        <w:t>.</w:t>
      </w:r>
    </w:p>
    <w:p w14:paraId="1F756372" w14:textId="7574D4A4" w:rsidR="00135C62" w:rsidRDefault="00E96D64" w:rsidP="00B76C92">
      <w:pPr>
        <w:rPr>
          <w:rFonts w:ascii="Verdana" w:hAnsi="Verdana"/>
          <w:sz w:val="20"/>
          <w:szCs w:val="20"/>
        </w:rPr>
      </w:pPr>
      <w:r w:rsidRPr="00E96D64">
        <w:rPr>
          <w:rFonts w:ascii="Verdana" w:hAnsi="Verdana"/>
          <w:sz w:val="20"/>
          <w:szCs w:val="20"/>
        </w:rPr>
        <w:t>Although from both WoE approach and the uncertainty analysis, confidence levels and remaining uncertainty can be derived/recorded, it is noted that the uncertainty analysis provides tools/methods that can</w:t>
      </w:r>
      <w:r w:rsidR="003646B7">
        <w:rPr>
          <w:rFonts w:ascii="Verdana" w:hAnsi="Verdana"/>
          <w:sz w:val="20"/>
          <w:szCs w:val="20"/>
        </w:rPr>
        <w:t xml:space="preserve"> also</w:t>
      </w:r>
      <w:r w:rsidRPr="00E96D64">
        <w:rPr>
          <w:rFonts w:ascii="Verdana" w:hAnsi="Verdana"/>
          <w:sz w:val="20"/>
          <w:szCs w:val="20"/>
        </w:rPr>
        <w:t xml:space="preserve"> be used within the WoE to quantify uncertainty elements. This may</w:t>
      </w:r>
      <w:r w:rsidR="003646B7">
        <w:rPr>
          <w:rFonts w:ascii="Verdana" w:hAnsi="Verdana"/>
          <w:sz w:val="20"/>
          <w:szCs w:val="20"/>
        </w:rPr>
        <w:t xml:space="preserve"> </w:t>
      </w:r>
      <w:r w:rsidRPr="00E96D64">
        <w:rPr>
          <w:rFonts w:ascii="Verdana" w:hAnsi="Verdana"/>
          <w:sz w:val="20"/>
          <w:szCs w:val="20"/>
        </w:rPr>
        <w:t>be</w:t>
      </w:r>
      <w:r w:rsidR="00D76A61">
        <w:rPr>
          <w:rFonts w:ascii="Verdana" w:hAnsi="Verdana"/>
          <w:sz w:val="20"/>
          <w:szCs w:val="20"/>
        </w:rPr>
        <w:t xml:space="preserve"> </w:t>
      </w:r>
      <w:r w:rsidRPr="00E96D64">
        <w:rPr>
          <w:rFonts w:ascii="Verdana" w:hAnsi="Verdana"/>
          <w:sz w:val="20"/>
          <w:szCs w:val="20"/>
        </w:rPr>
        <w:t xml:space="preserve">the case </w:t>
      </w:r>
      <w:r w:rsidR="003646B7">
        <w:rPr>
          <w:rFonts w:ascii="Verdana" w:hAnsi="Verdana"/>
          <w:sz w:val="20"/>
          <w:szCs w:val="20"/>
        </w:rPr>
        <w:t>for example</w:t>
      </w:r>
      <w:r w:rsidR="003646B7" w:rsidRPr="00E96D64">
        <w:rPr>
          <w:rFonts w:ascii="Verdana" w:hAnsi="Verdana"/>
          <w:sz w:val="20"/>
          <w:szCs w:val="20"/>
        </w:rPr>
        <w:t xml:space="preserve"> </w:t>
      </w:r>
      <w:r w:rsidRPr="00E96D64">
        <w:rPr>
          <w:rFonts w:ascii="Verdana" w:hAnsi="Verdana"/>
          <w:sz w:val="20"/>
          <w:szCs w:val="20"/>
        </w:rPr>
        <w:t xml:space="preserve">in hazard characterisation, for assessing remaining uncertainty in the derivation of threshold levels (e.g. DNELs). </w:t>
      </w:r>
      <w:r w:rsidR="003646B7">
        <w:rPr>
          <w:rFonts w:ascii="Verdana" w:hAnsi="Verdana"/>
          <w:sz w:val="20"/>
          <w:szCs w:val="20"/>
        </w:rPr>
        <w:t>Although t</w:t>
      </w:r>
      <w:r w:rsidRPr="00E96D64">
        <w:rPr>
          <w:rFonts w:ascii="Verdana" w:hAnsi="Verdana"/>
          <w:sz w:val="20"/>
          <w:szCs w:val="20"/>
        </w:rPr>
        <w:t>he uncertainty analysis can use higher tier methods (statistical approaches) to derive quantitative confidence levels if required by the problem formulation</w:t>
      </w:r>
      <w:r w:rsidR="003646B7">
        <w:rPr>
          <w:rFonts w:ascii="Verdana" w:hAnsi="Verdana"/>
          <w:sz w:val="20"/>
          <w:szCs w:val="20"/>
        </w:rPr>
        <w:t>, in ‘</w:t>
      </w:r>
      <w:r w:rsidRPr="00E96D64">
        <w:rPr>
          <w:rFonts w:ascii="Verdana" w:hAnsi="Verdana"/>
          <w:sz w:val="20"/>
          <w:szCs w:val="20"/>
        </w:rPr>
        <w:t>regular</w:t>
      </w:r>
      <w:r w:rsidR="003646B7">
        <w:rPr>
          <w:rFonts w:ascii="Verdana" w:hAnsi="Verdana"/>
          <w:sz w:val="20"/>
          <w:szCs w:val="20"/>
        </w:rPr>
        <w:t>’</w:t>
      </w:r>
      <w:r w:rsidRPr="00E96D64">
        <w:rPr>
          <w:rFonts w:ascii="Verdana" w:hAnsi="Verdana"/>
          <w:sz w:val="20"/>
          <w:szCs w:val="20"/>
        </w:rPr>
        <w:t xml:space="preserve"> hazard </w:t>
      </w:r>
      <w:r w:rsidRPr="00E96D64">
        <w:rPr>
          <w:rFonts w:ascii="Verdana" w:hAnsi="Verdana"/>
          <w:sz w:val="20"/>
          <w:szCs w:val="20"/>
        </w:rPr>
        <w:lastRenderedPageBreak/>
        <w:t>assessments, the qualitative approach of deriving confidence levels (high, medium or l</w:t>
      </w:r>
      <w:r w:rsidR="00135C62">
        <w:rPr>
          <w:rFonts w:ascii="Verdana" w:hAnsi="Verdana"/>
          <w:sz w:val="20"/>
          <w:szCs w:val="20"/>
        </w:rPr>
        <w:t>ow) is seen as more pragmatic.</w:t>
      </w:r>
    </w:p>
    <w:p w14:paraId="1E0E9BAE" w14:textId="77777777" w:rsidR="00135C62" w:rsidRPr="00E96D64" w:rsidRDefault="00135C62" w:rsidP="00B76C92">
      <w:pPr>
        <w:rPr>
          <w:rFonts w:ascii="Verdana" w:hAnsi="Verdana"/>
          <w:sz w:val="20"/>
          <w:szCs w:val="20"/>
        </w:rPr>
      </w:pPr>
    </w:p>
    <w:p w14:paraId="718CD730" w14:textId="775B7243" w:rsidR="00E96D64" w:rsidRPr="0010403B" w:rsidRDefault="009A0C52" w:rsidP="00233E2A">
      <w:pPr>
        <w:pStyle w:val="Heading2"/>
        <w:numPr>
          <w:ilvl w:val="1"/>
          <w:numId w:val="10"/>
        </w:numPr>
        <w:rPr>
          <w:rFonts w:ascii="Verdana" w:eastAsia="Times New Roman" w:hAnsi="Verdana" w:cs="Arial"/>
          <w:b/>
          <w:snapToGrid w:val="0"/>
          <w:color w:val="0046AD"/>
          <w:sz w:val="24"/>
          <w:szCs w:val="22"/>
          <w:lang w:eastAsia="fi-FI"/>
        </w:rPr>
      </w:pPr>
      <w:bookmarkStart w:id="8" w:name="_Toc499654085"/>
      <w:r w:rsidRPr="0010403B">
        <w:rPr>
          <w:rFonts w:ascii="Verdana" w:eastAsia="Times New Roman" w:hAnsi="Verdana" w:cs="Arial"/>
          <w:b/>
          <w:snapToGrid w:val="0"/>
          <w:color w:val="0046AD"/>
          <w:sz w:val="24"/>
          <w:szCs w:val="22"/>
          <w:lang w:eastAsia="fi-FI"/>
        </w:rPr>
        <w:t>Application of W</w:t>
      </w:r>
      <w:r w:rsidR="00D76A61" w:rsidRPr="0010403B">
        <w:rPr>
          <w:rFonts w:ascii="Verdana" w:eastAsia="Times New Roman" w:hAnsi="Verdana" w:cs="Arial"/>
          <w:b/>
          <w:snapToGrid w:val="0"/>
          <w:color w:val="0046AD"/>
          <w:sz w:val="24"/>
          <w:szCs w:val="22"/>
          <w:lang w:eastAsia="fi-FI"/>
        </w:rPr>
        <w:t xml:space="preserve">eight </w:t>
      </w:r>
      <w:r w:rsidRPr="0010403B">
        <w:rPr>
          <w:rFonts w:ascii="Verdana" w:eastAsia="Times New Roman" w:hAnsi="Verdana" w:cs="Arial"/>
          <w:b/>
          <w:snapToGrid w:val="0"/>
          <w:color w:val="0046AD"/>
          <w:sz w:val="24"/>
          <w:szCs w:val="22"/>
          <w:lang w:eastAsia="fi-FI"/>
        </w:rPr>
        <w:t>o</w:t>
      </w:r>
      <w:r w:rsidR="00D76A61" w:rsidRPr="0010403B">
        <w:rPr>
          <w:rFonts w:ascii="Verdana" w:eastAsia="Times New Roman" w:hAnsi="Verdana" w:cs="Arial"/>
          <w:b/>
          <w:snapToGrid w:val="0"/>
          <w:color w:val="0046AD"/>
          <w:sz w:val="24"/>
          <w:szCs w:val="22"/>
          <w:lang w:eastAsia="fi-FI"/>
        </w:rPr>
        <w:t xml:space="preserve">f </w:t>
      </w:r>
      <w:r w:rsidRPr="0010403B">
        <w:rPr>
          <w:rFonts w:ascii="Verdana" w:eastAsia="Times New Roman" w:hAnsi="Verdana" w:cs="Arial"/>
          <w:b/>
          <w:snapToGrid w:val="0"/>
          <w:color w:val="0046AD"/>
          <w:sz w:val="24"/>
          <w:szCs w:val="22"/>
          <w:lang w:eastAsia="fi-FI"/>
        </w:rPr>
        <w:t>E</w:t>
      </w:r>
      <w:r w:rsidR="00D76A61" w:rsidRPr="0010403B">
        <w:rPr>
          <w:rFonts w:ascii="Verdana" w:eastAsia="Times New Roman" w:hAnsi="Verdana" w:cs="Arial"/>
          <w:b/>
          <w:snapToGrid w:val="0"/>
          <w:color w:val="0046AD"/>
          <w:sz w:val="24"/>
          <w:szCs w:val="22"/>
          <w:lang w:eastAsia="fi-FI"/>
        </w:rPr>
        <w:t>vidence</w:t>
      </w:r>
      <w:r w:rsidR="0010403B" w:rsidRPr="0010403B">
        <w:rPr>
          <w:rFonts w:ascii="Verdana" w:eastAsia="Times New Roman" w:hAnsi="Verdana" w:cs="Arial"/>
          <w:b/>
          <w:snapToGrid w:val="0"/>
          <w:color w:val="0046AD"/>
          <w:sz w:val="24"/>
          <w:szCs w:val="22"/>
          <w:lang w:eastAsia="fi-FI"/>
        </w:rPr>
        <w:t>/u</w:t>
      </w:r>
      <w:r w:rsidRPr="0010403B">
        <w:rPr>
          <w:rFonts w:ascii="Verdana" w:eastAsia="Times New Roman" w:hAnsi="Verdana" w:cs="Arial"/>
          <w:b/>
          <w:snapToGrid w:val="0"/>
          <w:color w:val="0046AD"/>
          <w:sz w:val="24"/>
          <w:szCs w:val="22"/>
          <w:lang w:eastAsia="fi-FI"/>
        </w:rPr>
        <w:t xml:space="preserve">ncertainty analysis </w:t>
      </w:r>
      <w:r w:rsidR="00E96D64" w:rsidRPr="0010403B">
        <w:rPr>
          <w:rFonts w:ascii="Verdana" w:eastAsia="Times New Roman" w:hAnsi="Verdana" w:cs="Arial"/>
          <w:b/>
          <w:snapToGrid w:val="0"/>
          <w:color w:val="0046AD"/>
          <w:sz w:val="24"/>
          <w:szCs w:val="22"/>
          <w:lang w:eastAsia="fi-FI"/>
        </w:rPr>
        <w:t xml:space="preserve">for </w:t>
      </w:r>
      <w:r w:rsidR="00D76A61" w:rsidRPr="0010403B">
        <w:rPr>
          <w:rFonts w:ascii="Verdana" w:eastAsia="Times New Roman" w:hAnsi="Verdana" w:cs="Arial"/>
          <w:b/>
          <w:snapToGrid w:val="0"/>
          <w:color w:val="0046AD"/>
          <w:sz w:val="24"/>
          <w:szCs w:val="22"/>
          <w:lang w:eastAsia="fi-FI"/>
        </w:rPr>
        <w:t>ECHA</w:t>
      </w:r>
      <w:r w:rsidR="00E96D64" w:rsidRPr="0010403B">
        <w:rPr>
          <w:rFonts w:ascii="Verdana" w:eastAsia="Times New Roman" w:hAnsi="Verdana" w:cs="Arial"/>
          <w:b/>
          <w:snapToGrid w:val="0"/>
          <w:color w:val="0046AD"/>
          <w:sz w:val="24"/>
          <w:szCs w:val="22"/>
          <w:lang w:eastAsia="fi-FI"/>
        </w:rPr>
        <w:t xml:space="preserve"> processes</w:t>
      </w:r>
      <w:bookmarkEnd w:id="8"/>
    </w:p>
    <w:p w14:paraId="481678C3" w14:textId="77777777" w:rsidR="002A67B8" w:rsidRDefault="002A67B8" w:rsidP="00E96D64">
      <w:pPr>
        <w:rPr>
          <w:rFonts w:ascii="Verdana" w:hAnsi="Verdana"/>
          <w:sz w:val="20"/>
          <w:szCs w:val="20"/>
        </w:rPr>
      </w:pPr>
    </w:p>
    <w:p w14:paraId="718CD731" w14:textId="7F823359" w:rsidR="00E96D64" w:rsidRPr="005D437C" w:rsidRDefault="00AB7710" w:rsidP="00E96D64">
      <w:pPr>
        <w:rPr>
          <w:rFonts w:ascii="Verdana" w:hAnsi="Verdana"/>
          <w:sz w:val="20"/>
          <w:szCs w:val="20"/>
        </w:rPr>
      </w:pPr>
      <w:r>
        <w:rPr>
          <w:rFonts w:ascii="Verdana" w:hAnsi="Verdana"/>
          <w:sz w:val="20"/>
          <w:szCs w:val="20"/>
        </w:rPr>
        <w:t xml:space="preserve">The </w:t>
      </w:r>
      <w:r w:rsidR="00E96D64" w:rsidRPr="005D437C">
        <w:rPr>
          <w:rFonts w:ascii="Verdana" w:hAnsi="Verdana"/>
          <w:sz w:val="20"/>
          <w:szCs w:val="20"/>
        </w:rPr>
        <w:t xml:space="preserve">WoE approach and uncertainty analysis are relevant for all REACH/CLP/BPR processes dealing with hazard assessment (hazard identification and/or hazard characterisation </w:t>
      </w:r>
      <w:r w:rsidR="002D7F12">
        <w:rPr>
          <w:rFonts w:ascii="Verdana" w:hAnsi="Verdana"/>
          <w:sz w:val="20"/>
          <w:szCs w:val="20"/>
        </w:rPr>
        <w:t>and/or</w:t>
      </w:r>
      <w:r w:rsidR="00E96D64" w:rsidRPr="005D437C">
        <w:rPr>
          <w:rFonts w:ascii="Verdana" w:hAnsi="Verdana"/>
          <w:sz w:val="20"/>
          <w:szCs w:val="20"/>
        </w:rPr>
        <w:t xml:space="preserve"> dose-response characterisation:</w:t>
      </w:r>
    </w:p>
    <w:p w14:paraId="718CD732" w14:textId="779BDB26" w:rsidR="00E96D64" w:rsidRPr="005D437C" w:rsidRDefault="00E962F3" w:rsidP="00233E2A">
      <w:pPr>
        <w:pStyle w:val="ListParagraph"/>
        <w:numPr>
          <w:ilvl w:val="0"/>
          <w:numId w:val="11"/>
        </w:numPr>
      </w:pPr>
      <w:r>
        <w:t xml:space="preserve">REACH </w:t>
      </w:r>
      <w:r w:rsidR="00E96D64" w:rsidRPr="005D437C">
        <w:t>Dossier Evaluation</w:t>
      </w:r>
    </w:p>
    <w:p w14:paraId="718CD733" w14:textId="65656C2B" w:rsidR="00E96D64" w:rsidRPr="005D437C" w:rsidRDefault="00E962F3" w:rsidP="00233E2A">
      <w:pPr>
        <w:pStyle w:val="ListParagraph"/>
        <w:numPr>
          <w:ilvl w:val="0"/>
          <w:numId w:val="11"/>
        </w:numPr>
      </w:pPr>
      <w:r>
        <w:t xml:space="preserve">REACH </w:t>
      </w:r>
      <w:r w:rsidR="00E96D64" w:rsidRPr="005D437C">
        <w:t>Substance Evaluation</w:t>
      </w:r>
    </w:p>
    <w:p w14:paraId="718CD734" w14:textId="77777777" w:rsidR="00E96D64" w:rsidRPr="005D437C" w:rsidRDefault="00E96D64" w:rsidP="00233E2A">
      <w:pPr>
        <w:pStyle w:val="ListParagraph"/>
        <w:numPr>
          <w:ilvl w:val="0"/>
          <w:numId w:val="11"/>
        </w:numPr>
      </w:pPr>
      <w:r w:rsidRPr="005D437C">
        <w:t>CLH process</w:t>
      </w:r>
    </w:p>
    <w:p w14:paraId="718CD735" w14:textId="0BBCAADA" w:rsidR="00E96D64" w:rsidRPr="005D437C" w:rsidRDefault="005B5B73" w:rsidP="00233E2A">
      <w:pPr>
        <w:pStyle w:val="ListParagraph"/>
        <w:numPr>
          <w:ilvl w:val="0"/>
          <w:numId w:val="11"/>
        </w:numPr>
      </w:pPr>
      <w:r>
        <w:t xml:space="preserve">REACH </w:t>
      </w:r>
      <w:r w:rsidR="00E96D64" w:rsidRPr="005D437C">
        <w:t>Restrictions/Authorisation</w:t>
      </w:r>
      <w:r w:rsidR="00134CAE">
        <w:t>s</w:t>
      </w:r>
      <w:r w:rsidR="00E96D64" w:rsidRPr="005D437C">
        <w:t>/SVHC identification</w:t>
      </w:r>
    </w:p>
    <w:p w14:paraId="718CD736" w14:textId="5FF31AAD" w:rsidR="00E96D64" w:rsidRPr="005D437C" w:rsidRDefault="00A941A2" w:rsidP="00233E2A">
      <w:pPr>
        <w:pStyle w:val="ListParagraph"/>
        <w:numPr>
          <w:ilvl w:val="0"/>
          <w:numId w:val="11"/>
        </w:numPr>
      </w:pPr>
      <w:r>
        <w:t>Biocidal active substances</w:t>
      </w:r>
      <w:r w:rsidR="00E962F3">
        <w:t xml:space="preserve"> Assessment</w:t>
      </w:r>
    </w:p>
    <w:p w14:paraId="718CD737" w14:textId="6D442E42" w:rsidR="00E96D64" w:rsidRPr="005D437C" w:rsidRDefault="005B5B73" w:rsidP="00233E2A">
      <w:pPr>
        <w:pStyle w:val="ListParagraph"/>
        <w:numPr>
          <w:ilvl w:val="0"/>
          <w:numId w:val="11"/>
        </w:numPr>
      </w:pPr>
      <w:r>
        <w:t xml:space="preserve">REACH </w:t>
      </w:r>
      <w:r w:rsidR="00E962F3">
        <w:t>Socio-Economic analysis</w:t>
      </w:r>
    </w:p>
    <w:p w14:paraId="718CD738" w14:textId="77777777" w:rsidR="00551DA4" w:rsidRPr="005D437C" w:rsidRDefault="00551DA4" w:rsidP="00551DA4">
      <w:pPr>
        <w:pStyle w:val="ListParagraph"/>
      </w:pPr>
    </w:p>
    <w:p w14:paraId="718CD73A" w14:textId="502A8878" w:rsidR="00ED4B0C" w:rsidRDefault="00E962F3" w:rsidP="00E96D64">
      <w:pPr>
        <w:rPr>
          <w:rFonts w:ascii="Verdana" w:hAnsi="Verdana"/>
        </w:rPr>
      </w:pPr>
      <w:r>
        <w:rPr>
          <w:rFonts w:ascii="Verdana" w:hAnsi="Verdana"/>
          <w:sz w:val="20"/>
          <w:szCs w:val="20"/>
        </w:rPr>
        <w:t>The</w:t>
      </w:r>
      <w:r w:rsidR="00E96D64" w:rsidRPr="005D437C">
        <w:rPr>
          <w:rFonts w:ascii="Verdana" w:hAnsi="Verdana"/>
          <w:sz w:val="20"/>
          <w:szCs w:val="20"/>
        </w:rPr>
        <w:t xml:space="preserve"> registrants or dossier submitters are expected to prepare and present the WoE approach (all steps), whereas ECHA (e.g. during CCH) and its Committees are </w:t>
      </w:r>
      <w:r w:rsidR="009A0C52">
        <w:rPr>
          <w:rFonts w:ascii="Verdana" w:hAnsi="Verdana"/>
          <w:sz w:val="20"/>
          <w:szCs w:val="20"/>
        </w:rPr>
        <w:t xml:space="preserve">expected to </w:t>
      </w:r>
      <w:r w:rsidR="00E96D64" w:rsidRPr="005D437C">
        <w:rPr>
          <w:rFonts w:ascii="Verdana" w:hAnsi="Verdana"/>
          <w:sz w:val="20"/>
          <w:szCs w:val="20"/>
        </w:rPr>
        <w:t>perform the examination of the assessment elements of the WoE evidence ap</w:t>
      </w:r>
      <w:r w:rsidR="00487C96">
        <w:rPr>
          <w:rFonts w:ascii="Verdana" w:hAnsi="Verdana"/>
          <w:sz w:val="20"/>
          <w:szCs w:val="20"/>
        </w:rPr>
        <w:t>proach and the conclusion steps (Figure 3).</w:t>
      </w:r>
    </w:p>
    <w:p w14:paraId="5CCD8CB6" w14:textId="77777777" w:rsidR="00ED4B0C" w:rsidRDefault="00ED4B0C">
      <w:pPr>
        <w:rPr>
          <w:rFonts w:ascii="Verdana" w:hAnsi="Verdana"/>
        </w:rPr>
      </w:pPr>
      <w:r>
        <w:rPr>
          <w:rFonts w:ascii="Verdana" w:hAnsi="Verdana"/>
        </w:rPr>
        <w:br w:type="page"/>
      </w:r>
    </w:p>
    <w:p w14:paraId="664566D9" w14:textId="77777777" w:rsidR="00E96D64" w:rsidRPr="00E96D64" w:rsidRDefault="00E96D64" w:rsidP="00E96D64">
      <w:pPr>
        <w:rPr>
          <w:rFonts w:ascii="Verdana" w:hAnsi="Verdana"/>
        </w:rPr>
      </w:pPr>
    </w:p>
    <w:p w14:paraId="7598D7B8" w14:textId="77777777" w:rsidR="00ED4B0C" w:rsidRDefault="00ED4B0C" w:rsidP="002A0F5D">
      <w:pPr>
        <w:spacing w:after="200" w:line="276" w:lineRule="auto"/>
        <w:rPr>
          <w:rFonts w:ascii="Verdana" w:hAnsi="Verdana"/>
        </w:rPr>
      </w:pPr>
      <w:r>
        <w:rPr>
          <w:rFonts w:ascii="Verdana" w:hAnsi="Verdana"/>
          <w:noProof/>
          <w:lang w:eastAsia="en-GB"/>
        </w:rPr>
        <mc:AlternateContent>
          <mc:Choice Requires="wps">
            <w:drawing>
              <wp:anchor distT="0" distB="0" distL="114300" distR="114300" simplePos="0" relativeHeight="251644416" behindDoc="0" locked="0" layoutInCell="1" allowOverlap="1" wp14:anchorId="3E021E00" wp14:editId="5B109DD7">
                <wp:simplePos x="0" y="0"/>
                <wp:positionH relativeFrom="column">
                  <wp:posOffset>3189445</wp:posOffset>
                </wp:positionH>
                <wp:positionV relativeFrom="paragraph">
                  <wp:posOffset>3812066</wp:posOffset>
                </wp:positionV>
                <wp:extent cx="3968435" cy="695960"/>
                <wp:effectExtent l="0" t="2222" r="11112" b="11113"/>
                <wp:wrapNone/>
                <wp:docPr id="20506" name="Rectangle 20506"/>
                <wp:cNvGraphicFramePr/>
                <a:graphic xmlns:a="http://schemas.openxmlformats.org/drawingml/2006/main">
                  <a:graphicData uri="http://schemas.microsoft.com/office/word/2010/wordprocessingShape">
                    <wps:wsp>
                      <wps:cNvSpPr/>
                      <wps:spPr>
                        <a:xfrm rot="5400000">
                          <a:off x="0" y="0"/>
                          <a:ext cx="3968435" cy="695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9C" w14:textId="2D043C19" w:rsidR="00FE7D9E" w:rsidRPr="00C94335" w:rsidRDefault="00FE7D9E" w:rsidP="00E96D64">
                            <w:pPr>
                              <w:jc w:val="center"/>
                              <w:rPr>
                                <w:b/>
                              </w:rPr>
                            </w:pPr>
                            <w:r>
                              <w:rPr>
                                <w:b/>
                              </w:rPr>
                              <w:t>ECHA/Committees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021E00" id="Rectangle 20506" o:spid="_x0000_s1060" style="position:absolute;margin-left:251.15pt;margin-top:300.15pt;width:312.5pt;height:54.8pt;rotation:90;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" fillcolor="#5b9bd5 [3204]" strokecolor="#1f4d78 [1604]" strokeweight="1pt">
                <v:textbox>
                  <w:txbxContent>
                    <w:p w14:paraId="718CD89C" w14:textId="2D043C19" w:rsidR="00FE7D9E" w:rsidRPr="00C94335" w:rsidRDefault="00FE7D9E" w:rsidP="00E96D64">
                      <w:pPr>
                        <w:jc w:val="center"/>
                        <w:rPr>
                          <w:b/>
                        </w:rPr>
                      </w:pPr>
                      <w:r>
                        <w:rPr>
                          <w:b/>
                        </w:rPr>
                        <w:t>ECHA/Committees</w:t>
                      </w:r>
                    </w:p>
                  </w:txbxContent>
                </v:textbox>
              </v:rect>
            </w:pict>
          </mc:Fallback>
        </mc:AlternateContent>
      </w:r>
      <w:r>
        <w:rPr>
          <w:rFonts w:ascii="Verdana" w:hAnsi="Verdana"/>
          <w:noProof/>
          <w:lang w:eastAsia="en-GB"/>
        </w:rPr>
        <mc:AlternateContent>
          <mc:Choice Requires="wps">
            <w:drawing>
              <wp:anchor distT="0" distB="0" distL="114300" distR="114300" simplePos="0" relativeHeight="251643392" behindDoc="0" locked="0" layoutInCell="1" allowOverlap="1" wp14:anchorId="7A58B37F" wp14:editId="4574558F">
                <wp:simplePos x="0" y="0"/>
                <wp:positionH relativeFrom="column">
                  <wp:posOffset>-2660333</wp:posOffset>
                </wp:positionH>
                <wp:positionV relativeFrom="paragraph">
                  <wp:posOffset>2803842</wp:posOffset>
                </wp:positionV>
                <wp:extent cx="6137275" cy="695960"/>
                <wp:effectExtent l="0" t="3492" r="12382" b="12383"/>
                <wp:wrapNone/>
                <wp:docPr id="20505" name="Rectangle 20505"/>
                <wp:cNvGraphicFramePr/>
                <a:graphic xmlns:a="http://schemas.openxmlformats.org/drawingml/2006/main">
                  <a:graphicData uri="http://schemas.microsoft.com/office/word/2010/wordprocessingShape">
                    <wps:wsp>
                      <wps:cNvSpPr/>
                      <wps:spPr>
                        <a:xfrm rot="16200000">
                          <a:off x="0" y="0"/>
                          <a:ext cx="6137275" cy="695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CD89B" w14:textId="77777777" w:rsidR="00FE7D9E" w:rsidRPr="00C94335" w:rsidRDefault="00FE7D9E" w:rsidP="00E96D64">
                            <w:pPr>
                              <w:jc w:val="center"/>
                              <w:rPr>
                                <w:b/>
                              </w:rPr>
                            </w:pPr>
                            <w:r w:rsidRPr="00C94335">
                              <w:rPr>
                                <w:b/>
                              </w:rPr>
                              <w:t>Registrant/Applicant/ Dossier Submitter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8B37F" id="Rectangle 20505" o:spid="_x0000_s1061" style="position:absolute;margin-left:-209.5pt;margin-top:220.75pt;width:483.25pt;height:54.8pt;rotation:-90;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" fillcolor="#5b9bd5 [3204]" strokecolor="#1f4d78 [1604]" strokeweight="1pt">
                <v:textbox>
                  <w:txbxContent>
                    <w:p w14:paraId="718CD89B" w14:textId="77777777" w:rsidR="00FE7D9E" w:rsidRPr="00C94335" w:rsidRDefault="00FE7D9E" w:rsidP="00E96D64">
                      <w:pPr>
                        <w:jc w:val="center"/>
                        <w:rPr>
                          <w:b/>
                        </w:rPr>
                      </w:pPr>
                      <w:r w:rsidRPr="00C94335">
                        <w:rPr>
                          <w:b/>
                        </w:rPr>
                        <w:t>Registrant/Applicant/ Dossier Submitter</w:t>
                      </w:r>
                    </w:p>
                  </w:txbxContent>
                </v:textbox>
              </v:rect>
            </w:pict>
          </mc:Fallback>
        </mc:AlternateContent>
      </w:r>
      <w:r>
        <w:rPr>
          <w:rFonts w:ascii="Verdana" w:hAnsi="Verdana"/>
          <w:noProof/>
          <w:sz w:val="20"/>
          <w:szCs w:val="20"/>
          <w:lang w:eastAsia="en-GB"/>
        </w:rPr>
        <mc:AlternateContent>
          <mc:Choice Requires="wpg">
            <w:drawing>
              <wp:anchor distT="0" distB="0" distL="114300" distR="114300" simplePos="0" relativeHeight="251681280" behindDoc="0" locked="0" layoutInCell="1" allowOverlap="1" wp14:anchorId="431D8E3B" wp14:editId="1BF46F26">
                <wp:simplePos x="0" y="0"/>
                <wp:positionH relativeFrom="column">
                  <wp:posOffset>962025</wp:posOffset>
                </wp:positionH>
                <wp:positionV relativeFrom="paragraph">
                  <wp:posOffset>196215</wp:posOffset>
                </wp:positionV>
                <wp:extent cx="3686175" cy="5971540"/>
                <wp:effectExtent l="0" t="0" r="28575" b="10160"/>
                <wp:wrapNone/>
                <wp:docPr id="138" name="Group 138"/>
                <wp:cNvGraphicFramePr/>
                <a:graphic xmlns:a="http://schemas.openxmlformats.org/drawingml/2006/main">
                  <a:graphicData uri="http://schemas.microsoft.com/office/word/2010/wordprocessingGroup">
                    <wpg:wgp>
                      <wpg:cNvGrpSpPr/>
                      <wpg:grpSpPr>
                        <a:xfrm>
                          <a:off x="0" y="0"/>
                          <a:ext cx="3686175" cy="5971540"/>
                          <a:chOff x="0" y="0"/>
                          <a:chExt cx="5167630" cy="5886449"/>
                        </a:xfrm>
                      </wpg:grpSpPr>
                      <wps:wsp>
                        <wps:cNvPr id="139" name="Rectangle 20490"/>
                        <wps:cNvSpPr/>
                        <wps:spPr>
                          <a:xfrm>
                            <a:off x="19050" y="4572000"/>
                            <a:ext cx="5148580" cy="515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4E38D2" w14:textId="77777777" w:rsidR="00FE7D9E" w:rsidRPr="009668F5" w:rsidRDefault="00FE7D9E" w:rsidP="00233E2A">
                              <w:pPr>
                                <w:pStyle w:val="ListParagraph"/>
                                <w:numPr>
                                  <w:ilvl w:val="0"/>
                                  <w:numId w:val="28"/>
                                </w:numPr>
                                <w:rPr>
                                  <w:b/>
                                  <w:color w:val="000000" w:themeColor="text1"/>
                                </w:rPr>
                              </w:pPr>
                              <w:r w:rsidRPr="009668F5">
                                <w:rPr>
                                  <w:b/>
                                  <w:color w:val="000000" w:themeColor="text1"/>
                                </w:rPr>
                                <w:t>Uncertainty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0" name="Group 140"/>
                        <wpg:cNvGrpSpPr/>
                        <wpg:grpSpPr>
                          <a:xfrm>
                            <a:off x="0" y="0"/>
                            <a:ext cx="5162162" cy="5886449"/>
                            <a:chOff x="0" y="0"/>
                            <a:chExt cx="5162162" cy="5886449"/>
                          </a:xfrm>
                        </wpg:grpSpPr>
                        <wpg:grpSp>
                          <wpg:cNvPr id="141" name="Group 17"/>
                          <wpg:cNvGrpSpPr/>
                          <wpg:grpSpPr>
                            <a:xfrm>
                              <a:off x="0" y="0"/>
                              <a:ext cx="5162162" cy="5886449"/>
                              <a:chOff x="-1693" y="1"/>
                              <a:chExt cx="3136033" cy="4190123"/>
                            </a:xfrm>
                          </wpg:grpSpPr>
                          <wps:wsp>
                            <wps:cNvPr id="142" name="Rectangle 20480"/>
                            <wps:cNvSpPr/>
                            <wps:spPr>
                              <a:xfrm>
                                <a:off x="0" y="684796"/>
                                <a:ext cx="3115285" cy="4124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E692D3" w14:textId="05CCE282" w:rsidR="00FE7D9E" w:rsidRPr="00586278" w:rsidRDefault="00FE7D9E" w:rsidP="00233E2A">
                                  <w:pPr>
                                    <w:pStyle w:val="ListParagraph"/>
                                    <w:numPr>
                                      <w:ilvl w:val="0"/>
                                      <w:numId w:val="23"/>
                                    </w:numPr>
                                    <w:rPr>
                                      <w:b/>
                                      <w:color w:val="000000" w:themeColor="text1"/>
                                    </w:rPr>
                                  </w:pPr>
                                  <w:r w:rsidRPr="00586278">
                                    <w:rPr>
                                      <w:b/>
                                      <w:color w:val="000000" w:themeColor="text1"/>
                                    </w:rPr>
                                    <w:t xml:space="preserve">Collection </w:t>
                                  </w:r>
                                  <w:r>
                                    <w:rPr>
                                      <w:b/>
                                      <w:color w:val="000000" w:themeColor="text1"/>
                                    </w:rPr>
                                    <w:t>and</w:t>
                                  </w:r>
                                  <w:r w:rsidRPr="00586278">
                                    <w:rPr>
                                      <w:b/>
                                      <w:color w:val="000000" w:themeColor="text1"/>
                                    </w:rPr>
                                    <w:t xml:space="preserve"> Documentation of all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20483"/>
                            <wps:cNvSpPr/>
                            <wps:spPr>
                              <a:xfrm>
                                <a:off x="1102" y="1362808"/>
                                <a:ext cx="3123710" cy="383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9B8DE1" w14:textId="77777777" w:rsidR="00FE7D9E" w:rsidRPr="00710F59" w:rsidRDefault="00FE7D9E" w:rsidP="00233E2A">
                                  <w:pPr>
                                    <w:pStyle w:val="ListParagraph"/>
                                    <w:numPr>
                                      <w:ilvl w:val="0"/>
                                      <w:numId w:val="24"/>
                                    </w:numPr>
                                    <w:rPr>
                                      <w:b/>
                                      <w:color w:val="000000" w:themeColor="text1"/>
                                    </w:rPr>
                                  </w:pPr>
                                  <w:r w:rsidRPr="00710F59">
                                    <w:rPr>
                                      <w:b/>
                                      <w:color w:val="000000" w:themeColor="text1"/>
                                    </w:rPr>
                                    <w:t>Assessment of quality of individual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20488"/>
                            <wps:cNvSpPr/>
                            <wps:spPr>
                              <a:xfrm>
                                <a:off x="1104" y="1986580"/>
                                <a:ext cx="3133236" cy="3914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9ED9C9" w14:textId="77777777" w:rsidR="00FE7D9E" w:rsidRPr="009668F5" w:rsidRDefault="00FE7D9E" w:rsidP="00233E2A">
                                  <w:pPr>
                                    <w:pStyle w:val="ListParagraph"/>
                                    <w:numPr>
                                      <w:ilvl w:val="0"/>
                                      <w:numId w:val="26"/>
                                    </w:numPr>
                                    <w:rPr>
                                      <w:color w:val="000000" w:themeColor="text1"/>
                                    </w:rPr>
                                  </w:pPr>
                                  <w:r w:rsidRPr="009668F5">
                                    <w:rPr>
                                      <w:b/>
                                      <w:color w:val="000000" w:themeColor="text1"/>
                                    </w:rPr>
                                    <w:t>Integration &amp; Weighing of Evidence</w:t>
                                  </w:r>
                                  <w:r>
                                    <w:rPr>
                                      <w:b/>
                                      <w:color w:val="000000" w:themeColor="text1"/>
                                    </w:rPr>
                                    <w:t xml:space="preserve"> (WoE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tangle 20490"/>
                            <wps:cNvSpPr/>
                            <wps:spPr>
                              <a:xfrm>
                                <a:off x="1102" y="2623918"/>
                                <a:ext cx="3132770" cy="368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15E72F" w14:textId="77777777" w:rsidR="00FE7D9E" w:rsidRPr="009668F5" w:rsidRDefault="00FE7D9E" w:rsidP="00233E2A">
                                  <w:pPr>
                                    <w:pStyle w:val="ListParagraph"/>
                                    <w:numPr>
                                      <w:ilvl w:val="0"/>
                                      <w:numId w:val="27"/>
                                    </w:numPr>
                                    <w:rPr>
                                      <w:b/>
                                      <w:color w:val="000000" w:themeColor="text1"/>
                                    </w:rPr>
                                  </w:pPr>
                                  <w:r w:rsidRPr="009668F5">
                                    <w:rPr>
                                      <w:b/>
                                      <w:color w:val="000000" w:themeColor="text1"/>
                                    </w:rPr>
                                    <w:t>Application of levels of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20491"/>
                            <wps:cNvSpPr/>
                            <wps:spPr>
                              <a:xfrm>
                                <a:off x="-1693" y="3844337"/>
                                <a:ext cx="3123688" cy="345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52D6F6" w14:textId="77777777" w:rsidR="00FE7D9E" w:rsidRPr="009668F5" w:rsidRDefault="00FE7D9E" w:rsidP="00233E2A">
                                  <w:pPr>
                                    <w:pStyle w:val="ListParagraph"/>
                                    <w:numPr>
                                      <w:ilvl w:val="0"/>
                                      <w:numId w:val="29"/>
                                    </w:numPr>
                                    <w:rPr>
                                      <w:b/>
                                      <w:color w:val="000000" w:themeColor="text1"/>
                                    </w:rPr>
                                  </w:pPr>
                                  <w:r w:rsidRPr="009668F5">
                                    <w:rPr>
                                      <w:b/>
                                      <w:color w:val="000000" w:themeColor="text1"/>
                                    </w:rPr>
                                    <w:t xml:space="preserve">Conclusions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2"/>
                            <wps:cNvSpPr/>
                            <wps:spPr>
                              <a:xfrm>
                                <a:off x="10624" y="1"/>
                                <a:ext cx="3104031" cy="4339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0D4986" w14:textId="77777777" w:rsidR="00FE7D9E" w:rsidRPr="00671A3E" w:rsidRDefault="00FE7D9E" w:rsidP="00233E2A">
                                  <w:pPr>
                                    <w:pStyle w:val="ListParagraph"/>
                                    <w:numPr>
                                      <w:ilvl w:val="0"/>
                                      <w:numId w:val="22"/>
                                    </w:numPr>
                                    <w:rPr>
                                      <w:b/>
                                      <w:color w:val="000000" w:themeColor="text1"/>
                                    </w:rPr>
                                  </w:pPr>
                                  <w:r w:rsidRPr="00671A3E">
                                    <w:rPr>
                                      <w:b/>
                                      <w:color w:val="000000" w:themeColor="text1"/>
                                    </w:rPr>
                                    <w:t>Problem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 name="Straight Arrow Connector 148"/>
                          <wps:cNvCnPr/>
                          <wps:spPr>
                            <a:xfrm>
                              <a:off x="2552700" y="61912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a:off x="2571750" y="1562100"/>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2571750" y="246697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2571750" y="334327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2571750" y="4210050"/>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2571750" y="5076825"/>
                              <a:ext cx="0" cy="314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1D8E3B" id="Group 138" o:spid="_x0000_s1062" style="position:absolute;margin-left:75.75pt;margin-top:15.45pt;width:290.25pt;height:470.2pt;z-index:251681280;mso-width-relative:margin;mso-height-relative:margin" coordsize="51676,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">
                <v:rect id="Rectangle 20490" o:spid="_x0000_s1063" style="position:absolute;left:190;top:45720;width:51486;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Gz8MA&#10;AADcAAAADwAAAGRycy9kb3ducmV2LnhtbERPTWvCQBC9C/0PyxS86caKoqmrREEQCwWjiN6G7JiE&#10;ZmfT7Krx33cLgrd5vM+ZLVpTiRs1rrSsYNCPQBBnVpecKzjs170JCOeRNVaWScGDHCzmb50Zxtre&#10;eUe31OcihLCLUUHhfR1L6bKCDLq+rYkDd7GNQR9gk0vd4D2Em0p+RNFYGiw5NBRY06qg7Ce9GgXH&#10;3ehCy+X4IL/PyW8ySDft1/akVPe9TT5BeGr9S/x0b3SYP5zC/zPh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nGz8MAAADcAAAADwAAAAAAAAAAAAAAAACYAgAAZHJzL2Rv&#10;d25yZXYueG1sUEsFBgAAAAAEAAQA9QAAAIgDAAAAAA==&#10;" filled="f" strokecolor="#1f4d78 [1604]" strokeweight="1pt">
                  <v:textbox>
                    <w:txbxContent>
                      <w:p w14:paraId="2C4E38D2" w14:textId="77777777" w:rsidR="00FE7D9E" w:rsidRPr="009668F5" w:rsidRDefault="00FE7D9E" w:rsidP="00233E2A">
                        <w:pPr>
                          <w:pStyle w:val="ListParagraph"/>
                          <w:numPr>
                            <w:ilvl w:val="0"/>
                            <w:numId w:val="28"/>
                          </w:numPr>
                          <w:rPr>
                            <w:b/>
                            <w:color w:val="000000" w:themeColor="text1"/>
                          </w:rPr>
                        </w:pPr>
                        <w:r w:rsidRPr="009668F5">
                          <w:rPr>
                            <w:b/>
                            <w:color w:val="000000" w:themeColor="text1"/>
                          </w:rPr>
                          <w:t>Uncertainty Analysis</w:t>
                        </w:r>
                      </w:p>
                    </w:txbxContent>
                  </v:textbox>
                </v:rect>
                <v:group id="Group 140" o:spid="_x0000_s1064" style="position:absolute;width:51621;height:58864" coordsize="51621,5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17" o:spid="_x0000_s1065" style="position:absolute;width:51621;height:58864" coordorigin="-16" coordsize="31360,4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20480" o:spid="_x0000_s1066" style="position:absolute;top:6847;width:31152;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nw8MA&#10;AADcAAAADwAAAGRycy9kb3ducmV2LnhtbERPTYvCMBC9L/gfwgh7W1NlFalGqcKCKAhWEb0NzdgW&#10;m0ltslr/vVlY8DaP9znTeWsqcafGlZYV9HsRCOLM6pJzBYf9z9cYhPPIGivLpOBJDuazzscUY20f&#10;vKN76nMRQtjFqKDwvo6ldFlBBl3P1sSBu9jGoA+wyaVu8BHCTSUHUTSSBksODQXWtCwou6a/RsFx&#10;N7zQYjE6yO05uSX9dNVu1ielPrttMgHhqfVv8b97pcP87wH8PRMu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snw8MAAADcAAAADwAAAAAAAAAAAAAAAACYAgAAZHJzL2Rv&#10;d25yZXYueG1sUEsFBgAAAAAEAAQA9QAAAIgDAAAAAA==&#10;" filled="f" strokecolor="#1f4d78 [1604]" strokeweight="1pt">
                      <v:textbox>
                        <w:txbxContent>
                          <w:p w14:paraId="4FE692D3" w14:textId="05CCE282" w:rsidR="00FE7D9E" w:rsidRPr="00586278" w:rsidRDefault="00FE7D9E" w:rsidP="00233E2A">
                            <w:pPr>
                              <w:pStyle w:val="ListParagraph"/>
                              <w:numPr>
                                <w:ilvl w:val="0"/>
                                <w:numId w:val="23"/>
                              </w:numPr>
                              <w:rPr>
                                <w:b/>
                                <w:color w:val="000000" w:themeColor="text1"/>
                              </w:rPr>
                            </w:pPr>
                            <w:r w:rsidRPr="00586278">
                              <w:rPr>
                                <w:b/>
                                <w:color w:val="000000" w:themeColor="text1"/>
                              </w:rPr>
                              <w:t xml:space="preserve">Collection </w:t>
                            </w:r>
                            <w:r>
                              <w:rPr>
                                <w:b/>
                                <w:color w:val="000000" w:themeColor="text1"/>
                              </w:rPr>
                              <w:t>and</w:t>
                            </w:r>
                            <w:r w:rsidRPr="00586278">
                              <w:rPr>
                                <w:b/>
                                <w:color w:val="000000" w:themeColor="text1"/>
                              </w:rPr>
                              <w:t xml:space="preserve"> Documentation of all information</w:t>
                            </w:r>
                          </w:p>
                        </w:txbxContent>
                      </v:textbox>
                    </v:rect>
                    <v:rect id="_x0000_s1067" style="position:absolute;left:11;top:13628;width:31237;height:3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WMQA&#10;AADcAAAADwAAAGRycy9kb3ducmV2LnhtbERP22rCQBB9L/gPywh9qxu1hpJmlVgQpIJgKmLfhuzk&#10;gtnZNLvV+PfdQqFvczjXSVeDacWVetdYVjCdRCCIC6sbrhQcPzZPLyCcR9bYWiYFd3KwWo4eUky0&#10;vfGBrrmvRAhhl6CC2vsukdIVNRl0E9sRB660vUEfYF9J3eMthJtWzqIolgYbDg01dvRWU3HJv42C&#10;02FR0nodH+X+M/vKpvl22L2flXocD9krCE+D/xf/ubc6zH+ew+8z4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gljEAAAA3AAAAA8AAAAAAAAAAAAAAAAAmAIAAGRycy9k&#10;b3ducmV2LnhtbFBLBQYAAAAABAAEAPUAAACJAwAAAAA=&#10;" filled="f" strokecolor="#1f4d78 [1604]" strokeweight="1pt">
                      <v:textbox>
                        <w:txbxContent>
                          <w:p w14:paraId="5B9B8DE1" w14:textId="77777777" w:rsidR="00FE7D9E" w:rsidRPr="00710F59" w:rsidRDefault="00FE7D9E" w:rsidP="00233E2A">
                            <w:pPr>
                              <w:pStyle w:val="ListParagraph"/>
                              <w:numPr>
                                <w:ilvl w:val="0"/>
                                <w:numId w:val="24"/>
                              </w:numPr>
                              <w:rPr>
                                <w:b/>
                                <w:color w:val="000000" w:themeColor="text1"/>
                              </w:rPr>
                            </w:pPr>
                            <w:r w:rsidRPr="00710F59">
                              <w:rPr>
                                <w:b/>
                                <w:color w:val="000000" w:themeColor="text1"/>
                              </w:rPr>
                              <w:t>Assessment of quality of individual evidence</w:t>
                            </w:r>
                          </w:p>
                        </w:txbxContent>
                      </v:textbox>
                    </v:rect>
                    <v:rect id="Rectangle 20488" o:spid="_x0000_s1068" style="position:absolute;left:11;top:19865;width:31332;height: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LMQA&#10;AADcAAAADwAAAGRycy9kb3ducmV2LnhtbERP32vCMBB+F/Y/hBvsTVNHJ6MapQ6EssHAKmN7O5qz&#10;LTaXmmTa/feLIPh2H9/PW6wG04kzOd9aVjCdJCCIK6tbrhXsd5vxKwgfkDV2lknBH3lYLR9GC8y0&#10;vfCWzmWoRQxhn6GCJoQ+k9JXDRn0E9sTR+5gncEQoauldniJ4aaTz0kykwZbjg0N9vTWUHUsf42C&#10;r+3Lgdbr2V5+/uSnfFoWw8f7t1JPj0M+BxFoCHfxzV3oOD9N4fpMv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izEAAAA3AAAAA8AAAAAAAAAAAAAAAAAmAIAAGRycy9k&#10;b3ducmV2LnhtbFBLBQYAAAAABAAEAPUAAACJAwAAAAA=&#10;" filled="f" strokecolor="#1f4d78 [1604]" strokeweight="1pt">
                      <v:textbox>
                        <w:txbxContent>
                          <w:p w14:paraId="799ED9C9" w14:textId="77777777" w:rsidR="00FE7D9E" w:rsidRPr="009668F5" w:rsidRDefault="00FE7D9E" w:rsidP="00233E2A">
                            <w:pPr>
                              <w:pStyle w:val="ListParagraph"/>
                              <w:numPr>
                                <w:ilvl w:val="0"/>
                                <w:numId w:val="26"/>
                              </w:numPr>
                              <w:rPr>
                                <w:color w:val="000000" w:themeColor="text1"/>
                              </w:rPr>
                            </w:pPr>
                            <w:r w:rsidRPr="009668F5">
                              <w:rPr>
                                <w:b/>
                                <w:color w:val="000000" w:themeColor="text1"/>
                              </w:rPr>
                              <w:t>Integration &amp; Weighing of Evidence</w:t>
                            </w:r>
                            <w:r>
                              <w:rPr>
                                <w:b/>
                                <w:color w:val="000000" w:themeColor="text1"/>
                              </w:rPr>
                              <w:t xml:space="preserve"> (WoE analysis)</w:t>
                            </w:r>
                          </w:p>
                        </w:txbxContent>
                      </v:textbox>
                    </v:rect>
                    <v:rect id="Rectangle 20490" o:spid="_x0000_s1069" style="position:absolute;left:11;top:26239;width:31327;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t8MA&#10;AADcAAAADwAAAGRycy9kb3ducmV2LnhtbERPTYvCMBC9L/gfwgje1lRRkWqUKiyIC4JdEb0NzdgW&#10;m0m3idr990YQ9jaP9znzZWsqcafGlZYVDPoRCOLM6pJzBYefr88pCOeRNVaWScEfOVguOh9zjLV9&#10;8J7uqc9FCGEXo4LC+zqW0mUFGXR9WxMH7mIbgz7AJpe6wUcIN5UcRtFEGiw5NBRY07qg7JrejILj&#10;fnyh1WpykLtz8psM0k37vT0p1eu2yQyEp9b/i9/ujQ7zR2N4PRM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K/t8MAAADcAAAADwAAAAAAAAAAAAAAAACYAgAAZHJzL2Rv&#10;d25yZXYueG1sUEsFBgAAAAAEAAQA9QAAAIgDAAAAAA==&#10;" filled="f" strokecolor="#1f4d78 [1604]" strokeweight="1pt">
                      <v:textbox>
                        <w:txbxContent>
                          <w:p w14:paraId="5E15E72F" w14:textId="77777777" w:rsidR="00FE7D9E" w:rsidRPr="009668F5" w:rsidRDefault="00FE7D9E" w:rsidP="00233E2A">
                            <w:pPr>
                              <w:pStyle w:val="ListParagraph"/>
                              <w:numPr>
                                <w:ilvl w:val="0"/>
                                <w:numId w:val="27"/>
                              </w:numPr>
                              <w:rPr>
                                <w:b/>
                                <w:color w:val="000000" w:themeColor="text1"/>
                              </w:rPr>
                            </w:pPr>
                            <w:r w:rsidRPr="009668F5">
                              <w:rPr>
                                <w:b/>
                                <w:color w:val="000000" w:themeColor="text1"/>
                              </w:rPr>
                              <w:t>Application of levels of Confidence</w:t>
                            </w:r>
                          </w:p>
                        </w:txbxContent>
                      </v:textbox>
                    </v:rect>
                    <v:rect id="Rectangle 20491" o:spid="_x0000_s1070" style="position:absolute;left:-16;top:38443;width:31235;height:3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hwMQA&#10;AADcAAAADwAAAGRycy9kb3ducmV2LnhtbERP22rCQBB9L/Qflin0rW4sNpToRmJBEIWCaRB9G7KT&#10;C83Optmtpn/fFQTf5nCus1iOphNnGlxrWcF0EoEgLq1uuVZQfK1f3kE4j6yxs0wK/sjBMn18WGCi&#10;7YX3dM59LUIIuwQVNN73iZSubMigm9ieOHCVHQz6AIda6gEvIdx08jWKYmmw5dDQYE8fDZXf+a9R&#10;cNi/VbRaxYX8PGU/2TTfjLvtUannpzGbg/A0+rv45t7oMH8Ww/WZcIF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IcDEAAAA3AAAAA8AAAAAAAAAAAAAAAAAmAIAAGRycy9k&#10;b3ducmV2LnhtbFBLBQYAAAAABAAEAPUAAACJAwAAAAA=&#10;" filled="f" strokecolor="#1f4d78 [1604]" strokeweight="1pt">
                      <v:textbox>
                        <w:txbxContent>
                          <w:p w14:paraId="0952D6F6" w14:textId="77777777" w:rsidR="00FE7D9E" w:rsidRPr="009668F5" w:rsidRDefault="00FE7D9E" w:rsidP="00233E2A">
                            <w:pPr>
                              <w:pStyle w:val="ListParagraph"/>
                              <w:numPr>
                                <w:ilvl w:val="0"/>
                                <w:numId w:val="29"/>
                              </w:numPr>
                              <w:rPr>
                                <w:b/>
                                <w:color w:val="000000" w:themeColor="text1"/>
                              </w:rPr>
                            </w:pPr>
                            <w:r w:rsidRPr="009668F5">
                              <w:rPr>
                                <w:b/>
                                <w:color w:val="000000" w:themeColor="text1"/>
                              </w:rPr>
                              <w:t xml:space="preserve">Conclusions </w:t>
                            </w:r>
                          </w:p>
                        </w:txbxContent>
                      </v:textbox>
                    </v:rect>
                    <v:rect id="_x0000_s1071" style="position:absolute;left:106;width:31040;height:4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EW8MA&#10;AADcAAAADwAAAGRycy9kb3ducmV2LnhtbERP22rCQBB9F/oPyxR8043FG6mrREEQCwWjiL4N2TEJ&#10;zc6m2VXj33cLgm9zONeZLVpTiRs1rrSsYNCPQBBnVpecKzjs170pCOeRNVaWScGDHCzmb50Zxtre&#10;eUe31OcihLCLUUHhfR1L6bKCDLq+rYkDd7GNQR9gk0vd4D2Em0p+RNFYGiw5NBRY06qg7Ce9GgXH&#10;3ehCy+X4IL/PyW8ySDft1/akVPe9TT5BeGr9S/x0b3SYP5zA/zPh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yEW8MAAADcAAAADwAAAAAAAAAAAAAAAACYAgAAZHJzL2Rv&#10;d25yZXYueG1sUEsFBgAAAAAEAAQA9QAAAIgDAAAAAA==&#10;" filled="f" strokecolor="#1f4d78 [1604]" strokeweight="1pt">
                      <v:textbox>
                        <w:txbxContent>
                          <w:p w14:paraId="4A0D4986" w14:textId="77777777" w:rsidR="00FE7D9E" w:rsidRPr="00671A3E" w:rsidRDefault="00FE7D9E" w:rsidP="00233E2A">
                            <w:pPr>
                              <w:pStyle w:val="ListParagraph"/>
                              <w:numPr>
                                <w:ilvl w:val="0"/>
                                <w:numId w:val="22"/>
                              </w:numPr>
                              <w:rPr>
                                <w:b/>
                                <w:color w:val="000000" w:themeColor="text1"/>
                              </w:rPr>
                            </w:pPr>
                            <w:r w:rsidRPr="00671A3E">
                              <w:rPr>
                                <w:b/>
                                <w:color w:val="000000" w:themeColor="text1"/>
                              </w:rPr>
                              <w:t>Problem formulation</w:t>
                            </w:r>
                          </w:p>
                        </w:txbxContent>
                      </v:textbox>
                    </v:rect>
                  </v:group>
                  <v:shape id="Straight Arrow Connector 148" o:spid="_x0000_s1072" type="#_x0000_t32" style="position:absolute;left:25527;top:6191;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40k8UAAADcAAAADwAAAGRycy9kb3ducmV2LnhtbESPQWvCQBCF7wX/wzKCt7pRQpHUVVqh&#10;KBIE0x48DtlpEszOptlV47/vHARvM7w3732zXA+uVVfqQ+PZwGyagCIuvW24MvDz/fW6ABUissXW&#10;Mxm4U4D1avSyxMz6Gx/pWsRKSQiHDA3UMXaZ1qGsyWGY+o5YtF/fO4yy9pW2Pd4k3LV6niRv2mHD&#10;0lBjR5uaynNxcQZ2XV58pulpe778uf32EHI+HXNjJuPh4x1UpCE+zY/rnRX8VGjlGZ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40k8UAAADcAAAADwAAAAAAAAAA&#10;AAAAAAChAgAAZHJzL2Rvd25yZXYueG1sUEsFBgAAAAAEAAQA+QAAAJMDAAAAAA==&#10;" strokecolor="black [3213]" strokeweight=".5pt">
                    <v:stroke startarrow="block" endarrow="block" joinstyle="miter"/>
                  </v:shape>
                  <v:shape id="Straight Arrow Connector 149" o:spid="_x0000_s1073" type="#_x0000_t32" style="position:absolute;left:25717;top:15621;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KRCMIAAADcAAAADwAAAGRycy9kb3ducmV2LnhtbERPTYvCMBC9C/sfwizsTVOliFajuMKi&#10;LEWwevA4NGNbbCbdJmr33xtB8DaP9znzZWdqcaPWVZYVDAcRCOLc6ooLBcfDT38CwnlkjbVlUvBP&#10;DpaLj94cE23vvKdb5gsRQtglqKD0vkmkdHlJBt3ANsSBO9vWoA+wLaRu8R7CTS1HUTSWBisODSU2&#10;tC4pv2RXo2DbpNl3HJ82l+uf+d3sXMqnfarU12e3moHw1Pm3+OXe6jA/nsLzmXC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KRCMIAAADcAAAADwAAAAAAAAAAAAAA&#10;AAChAgAAZHJzL2Rvd25yZXYueG1sUEsFBgAAAAAEAAQA+QAAAJADAAAAAA==&#10;" strokecolor="black [3213]" strokeweight=".5pt">
                    <v:stroke startarrow="block" endarrow="block" joinstyle="miter"/>
                  </v:shape>
                  <v:shape id="Straight Arrow Connector 150" o:spid="_x0000_s1074" type="#_x0000_t32" style="position:absolute;left:25717;top:2466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uSMUAAADcAAAADwAAAGRycy9kb3ducmV2LnhtbESPQWvCQBCF7wX/wzKCt7pp0SKpq9SC&#10;KCUUjB48DtlpEszOxuyq6b93DoK3Gd6b976ZL3vXqCt1ofZs4G2cgCIuvK25NHDYr19noEJEtth4&#10;JgP/FGC5GLzMMbX+xju65rFUEsIhRQNVjG2qdSgqchjGviUW7c93DqOsXalthzcJd41+T5IP7bBm&#10;aaiwpe+KilN+cQa2bZavJpPj5nQ5u5/Nb8j4uMuMGQ37r09Qkfr4ND+ut1bwp4Ivz8gEe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GuSMUAAADcAAAADwAAAAAAAAAA&#10;AAAAAAChAgAAZHJzL2Rvd25yZXYueG1sUEsFBgAAAAAEAAQA+QAAAJMDAAAAAA==&#10;" strokecolor="black [3213]" strokeweight=".5pt">
                    <v:stroke startarrow="block" endarrow="block" joinstyle="miter"/>
                  </v:shape>
                  <v:shape id="Straight Arrow Connector 151" o:spid="_x0000_s1075" type="#_x0000_t32" style="position:absolute;left:25717;top:3343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0L08IAAADcAAAADwAAAGRycy9kb3ducmV2LnhtbERPTYvCMBC9C/6HMMLebKqoLNUorrAo&#10;SxHsevA4NGNbbCbdJmr33xtB8DaP9zmLVWdqcaPWVZYVjKIYBHFudcWFguPv9/AThPPIGmvLpOCf&#10;HKyW/d4CE23vfKBb5gsRQtglqKD0vkmkdHlJBl1kG+LAnW1r0AfYFlK3eA/hppbjOJ5JgxWHhhIb&#10;2pSUX7KrUbBr0uxrMjltL9c/87Pdu5RPh1Spj0G3noPw1Pm3+OXe6TB/OoLnM+E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0L08IAAADcAAAADwAAAAAAAAAAAAAA&#10;AAChAgAAZHJzL2Rvd25yZXYueG1sUEsFBgAAAAAEAAQA+QAAAJADAAAAAA==&#10;" strokecolor="black [3213]" strokeweight=".5pt">
                    <v:stroke startarrow="block" endarrow="block" joinstyle="miter"/>
                  </v:shape>
                  <v:shape id="Straight Arrow Connector 152" o:spid="_x0000_s1076" type="#_x0000_t32" style="position:absolute;left:25717;top:42100;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pMEAAADcAAAADwAAAGRycy9kb3ducmV2LnhtbERPTYvCMBC9C/6HMMLeNFVUpBpFhUVZ&#10;imD14HFoxrbYTGoTtfvvzcKCt3m8z1msWlOJJzWutKxgOIhAEGdWl5wrOJ+++zMQziNrrCyTgl9y&#10;sFp2OwuMtX3xkZ6pz0UIYRejgsL7OpbSZQUZdANbEwfuahuDPsAml7rBVwg3lRxF0VQaLDk0FFjT&#10;tqDslj6Mgn2dpJvx+LK7Pe7mZ3dwCV+OiVJfvXY9B+Gp9R/xv3uvw/zJCP6eCRf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b5WkwQAAANwAAAAPAAAAAAAAAAAAAAAA&#10;AKECAABkcnMvZG93bnJldi54bWxQSwUGAAAAAAQABAD5AAAAjwMAAAAA&#10;" strokecolor="black [3213]" strokeweight=".5pt">
                    <v:stroke startarrow="block" endarrow="block" joinstyle="miter"/>
                  </v:shape>
                  <v:shape id="Straight Arrow Connector 153" o:spid="_x0000_s1077" type="#_x0000_t32" style="position:absolute;left:25717;top:5076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MwP8IAAADcAAAADwAAAGRycy9kb3ducmV2LnhtbERPS4vCMBC+L/gfwgh709THilSjqCDK&#10;UgSrB49DM7bFZlKbqN1/v1kQ9jYf33Pmy9ZU4kmNKy0rGPQjEMSZ1SXnCs6nbW8KwnlkjZVlUvBD&#10;DpaLzsccY21ffKRn6nMRQtjFqKDwvo6ldFlBBl3f1sSBu9rGoA+wyaVu8BXCTSWHUTSRBksODQXW&#10;tCkou6UPo2BfJ+l6PL7sbo+7+d4dXMKXY6LUZ7ddzUB4av2/+O3e6zD/awR/z4QL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MwP8IAAADcAAAADwAAAAAAAAAAAAAA&#10;AAChAgAAZHJzL2Rvd25yZXYueG1sUEsFBgAAAAAEAAQA+QAAAJADAAAAAA==&#10;" strokecolor="black [3213]" strokeweight=".5pt">
                    <v:stroke startarrow="block" endarrow="block" joinstyle="miter"/>
                  </v:shape>
                </v:group>
              </v:group>
            </w:pict>
          </mc:Fallback>
        </mc:AlternateContent>
      </w:r>
    </w:p>
    <w:p w14:paraId="2A99DEAA" w14:textId="77777777" w:rsidR="00ED4B0C" w:rsidRDefault="00ED4B0C" w:rsidP="002A0F5D">
      <w:pPr>
        <w:spacing w:after="200" w:line="276" w:lineRule="auto"/>
        <w:rPr>
          <w:rFonts w:ascii="Verdana" w:hAnsi="Verdana"/>
        </w:rPr>
      </w:pPr>
    </w:p>
    <w:p w14:paraId="281EEB7C" w14:textId="77777777" w:rsidR="00ED4B0C" w:rsidRDefault="00ED4B0C" w:rsidP="002A0F5D">
      <w:pPr>
        <w:spacing w:after="200" w:line="276" w:lineRule="auto"/>
        <w:rPr>
          <w:rFonts w:ascii="Verdana" w:hAnsi="Verdana"/>
        </w:rPr>
      </w:pPr>
    </w:p>
    <w:p w14:paraId="4210BD79" w14:textId="77777777" w:rsidR="00ED4B0C" w:rsidRDefault="00ED4B0C" w:rsidP="002A0F5D">
      <w:pPr>
        <w:spacing w:after="200" w:line="276" w:lineRule="auto"/>
        <w:rPr>
          <w:rFonts w:ascii="Verdana" w:hAnsi="Verdana"/>
        </w:rPr>
      </w:pPr>
    </w:p>
    <w:p w14:paraId="50D477F4" w14:textId="77777777" w:rsidR="00ED4B0C" w:rsidRDefault="00ED4B0C" w:rsidP="002A0F5D">
      <w:pPr>
        <w:spacing w:after="200" w:line="276" w:lineRule="auto"/>
        <w:rPr>
          <w:rFonts w:ascii="Verdana" w:hAnsi="Verdana"/>
        </w:rPr>
      </w:pPr>
    </w:p>
    <w:p w14:paraId="031503A9" w14:textId="77777777" w:rsidR="00ED4B0C" w:rsidRDefault="00ED4B0C" w:rsidP="002A0F5D">
      <w:pPr>
        <w:spacing w:after="200" w:line="276" w:lineRule="auto"/>
        <w:rPr>
          <w:rFonts w:ascii="Verdana" w:hAnsi="Verdana"/>
        </w:rPr>
      </w:pPr>
    </w:p>
    <w:p w14:paraId="65DFADCC" w14:textId="77777777" w:rsidR="00ED4B0C" w:rsidRDefault="00ED4B0C" w:rsidP="002A0F5D">
      <w:pPr>
        <w:spacing w:after="200" w:line="276" w:lineRule="auto"/>
        <w:rPr>
          <w:rFonts w:ascii="Verdana" w:hAnsi="Verdana"/>
        </w:rPr>
      </w:pPr>
    </w:p>
    <w:p w14:paraId="084F686B" w14:textId="77777777" w:rsidR="00ED4B0C" w:rsidRDefault="00ED4B0C" w:rsidP="002A0F5D">
      <w:pPr>
        <w:spacing w:after="200" w:line="276" w:lineRule="auto"/>
        <w:rPr>
          <w:rFonts w:ascii="Verdana" w:hAnsi="Verdana"/>
        </w:rPr>
      </w:pPr>
    </w:p>
    <w:p w14:paraId="150904E9" w14:textId="77777777" w:rsidR="00ED4B0C" w:rsidRDefault="00ED4B0C" w:rsidP="002A0F5D">
      <w:pPr>
        <w:spacing w:after="200" w:line="276" w:lineRule="auto"/>
        <w:rPr>
          <w:rFonts w:ascii="Verdana" w:hAnsi="Verdana"/>
        </w:rPr>
      </w:pPr>
    </w:p>
    <w:p w14:paraId="2E9C13A2" w14:textId="77777777" w:rsidR="00ED4B0C" w:rsidRDefault="00ED4B0C" w:rsidP="002A0F5D">
      <w:pPr>
        <w:spacing w:after="200" w:line="276" w:lineRule="auto"/>
        <w:rPr>
          <w:rFonts w:ascii="Verdana" w:hAnsi="Verdana"/>
        </w:rPr>
      </w:pPr>
    </w:p>
    <w:p w14:paraId="0E530EEE" w14:textId="77777777" w:rsidR="00ED4B0C" w:rsidRDefault="00ED4B0C" w:rsidP="002A0F5D">
      <w:pPr>
        <w:spacing w:after="200" w:line="276" w:lineRule="auto"/>
        <w:rPr>
          <w:rFonts w:ascii="Verdana" w:hAnsi="Verdana"/>
        </w:rPr>
      </w:pPr>
    </w:p>
    <w:p w14:paraId="23A4EEEB" w14:textId="77777777" w:rsidR="00ED4B0C" w:rsidRDefault="00ED4B0C" w:rsidP="002A0F5D">
      <w:pPr>
        <w:spacing w:after="200" w:line="276" w:lineRule="auto"/>
        <w:rPr>
          <w:rFonts w:ascii="Verdana" w:hAnsi="Verdana"/>
        </w:rPr>
      </w:pPr>
    </w:p>
    <w:p w14:paraId="212BB6A4" w14:textId="77777777" w:rsidR="00ED4B0C" w:rsidRDefault="00ED4B0C" w:rsidP="002A0F5D">
      <w:pPr>
        <w:spacing w:after="200" w:line="276" w:lineRule="auto"/>
        <w:rPr>
          <w:rFonts w:ascii="Verdana" w:hAnsi="Verdana"/>
        </w:rPr>
      </w:pPr>
    </w:p>
    <w:p w14:paraId="67B6E249" w14:textId="77777777" w:rsidR="00ED4B0C" w:rsidRDefault="00ED4B0C" w:rsidP="002A0F5D">
      <w:pPr>
        <w:spacing w:after="200" w:line="276" w:lineRule="auto"/>
        <w:rPr>
          <w:rFonts w:ascii="Verdana" w:hAnsi="Verdana"/>
        </w:rPr>
      </w:pPr>
    </w:p>
    <w:p w14:paraId="15756592" w14:textId="77777777" w:rsidR="00ED4B0C" w:rsidRDefault="00ED4B0C" w:rsidP="002A0F5D">
      <w:pPr>
        <w:spacing w:after="200" w:line="276" w:lineRule="auto"/>
        <w:rPr>
          <w:rFonts w:ascii="Verdana" w:hAnsi="Verdana"/>
        </w:rPr>
      </w:pPr>
    </w:p>
    <w:p w14:paraId="3EBFC33A" w14:textId="77777777" w:rsidR="00ED4B0C" w:rsidRDefault="00ED4B0C" w:rsidP="002A0F5D">
      <w:pPr>
        <w:spacing w:after="200" w:line="276" w:lineRule="auto"/>
        <w:rPr>
          <w:rFonts w:ascii="Verdana" w:hAnsi="Verdana"/>
        </w:rPr>
      </w:pPr>
    </w:p>
    <w:p w14:paraId="4EAB89C4" w14:textId="77777777" w:rsidR="00ED4B0C" w:rsidRDefault="00ED4B0C" w:rsidP="002A0F5D">
      <w:pPr>
        <w:spacing w:after="200" w:line="276" w:lineRule="auto"/>
        <w:rPr>
          <w:rFonts w:ascii="Verdana" w:hAnsi="Verdana"/>
        </w:rPr>
      </w:pPr>
    </w:p>
    <w:p w14:paraId="0F923D70" w14:textId="77777777" w:rsidR="00ED4B0C" w:rsidRDefault="00ED4B0C" w:rsidP="002A0F5D">
      <w:pPr>
        <w:spacing w:after="200" w:line="276" w:lineRule="auto"/>
        <w:rPr>
          <w:rFonts w:ascii="Verdana" w:hAnsi="Verdana"/>
        </w:rPr>
      </w:pPr>
    </w:p>
    <w:p w14:paraId="57D10E3C" w14:textId="77777777" w:rsidR="00ED4B0C" w:rsidRDefault="00ED4B0C" w:rsidP="002A0F5D">
      <w:pPr>
        <w:spacing w:after="200" w:line="276" w:lineRule="auto"/>
        <w:rPr>
          <w:rFonts w:ascii="Verdana" w:hAnsi="Verdana"/>
        </w:rPr>
      </w:pPr>
    </w:p>
    <w:p w14:paraId="0317F60B" w14:textId="77777777" w:rsidR="00ED4B0C" w:rsidRDefault="00ED4B0C" w:rsidP="002A0F5D">
      <w:pPr>
        <w:spacing w:after="200" w:line="276" w:lineRule="auto"/>
        <w:rPr>
          <w:rFonts w:ascii="Verdana" w:hAnsi="Verdana"/>
        </w:rPr>
      </w:pPr>
    </w:p>
    <w:p w14:paraId="5DC8B58D" w14:textId="5E5271E1" w:rsidR="00ED4B0C" w:rsidRPr="00487C96" w:rsidRDefault="006A4E3F" w:rsidP="002A0F5D">
      <w:pPr>
        <w:spacing w:after="200" w:line="276" w:lineRule="auto"/>
        <w:rPr>
          <w:rFonts w:ascii="Verdana" w:hAnsi="Verdana"/>
          <w:sz w:val="20"/>
          <w:szCs w:val="20"/>
        </w:rPr>
      </w:pPr>
      <w:r w:rsidRPr="00487C96">
        <w:rPr>
          <w:rFonts w:ascii="Verdana" w:hAnsi="Verdana"/>
          <w:b/>
          <w:sz w:val="20"/>
          <w:szCs w:val="20"/>
        </w:rPr>
        <w:t>Figure 3:</w:t>
      </w:r>
      <w:r w:rsidRPr="00487C96">
        <w:rPr>
          <w:rFonts w:ascii="Verdana" w:hAnsi="Verdana"/>
          <w:sz w:val="20"/>
          <w:szCs w:val="20"/>
        </w:rPr>
        <w:t xml:space="preserve"> The WoE approach within ECHA processes</w:t>
      </w:r>
    </w:p>
    <w:p w14:paraId="718CD73C" w14:textId="312323D9" w:rsidR="00ED4B0C" w:rsidRDefault="00E96D64" w:rsidP="002A0F5D">
      <w:pPr>
        <w:spacing w:after="200" w:line="276" w:lineRule="auto"/>
        <w:rPr>
          <w:rFonts w:ascii="Verdana" w:hAnsi="Verdana"/>
          <w:sz w:val="20"/>
          <w:szCs w:val="20"/>
        </w:rPr>
      </w:pPr>
      <w:r w:rsidRPr="005D437C">
        <w:rPr>
          <w:rFonts w:ascii="Verdana" w:hAnsi="Verdana"/>
          <w:sz w:val="20"/>
          <w:szCs w:val="20"/>
        </w:rPr>
        <w:t xml:space="preserve">The degree of application of the WoE and uncertainty analysis approaches depends on the process and is case dependent.  </w:t>
      </w:r>
    </w:p>
    <w:p w14:paraId="79E87B07" w14:textId="381ABE4A" w:rsidR="002A0F5D" w:rsidRDefault="00ED4B0C" w:rsidP="00ED4B0C">
      <w:pPr>
        <w:rPr>
          <w:rFonts w:ascii="Verdana" w:hAnsi="Verdana"/>
          <w:sz w:val="20"/>
          <w:szCs w:val="20"/>
        </w:rPr>
      </w:pPr>
      <w:r>
        <w:rPr>
          <w:rFonts w:ascii="Verdana" w:hAnsi="Verdana"/>
          <w:sz w:val="20"/>
          <w:szCs w:val="20"/>
        </w:rPr>
        <w:br w:type="page"/>
      </w:r>
    </w:p>
    <w:p w14:paraId="718CD73D" w14:textId="2B3F68AE" w:rsidR="00551DA4" w:rsidRPr="0010403B" w:rsidRDefault="00D76A61" w:rsidP="00233E2A">
      <w:pPr>
        <w:pStyle w:val="Heading2"/>
        <w:numPr>
          <w:ilvl w:val="1"/>
          <w:numId w:val="10"/>
        </w:numPr>
        <w:rPr>
          <w:rFonts w:ascii="Verdana" w:eastAsia="Times New Roman" w:hAnsi="Verdana" w:cs="Arial"/>
          <w:b/>
          <w:snapToGrid w:val="0"/>
          <w:color w:val="0046AD"/>
          <w:sz w:val="24"/>
          <w:szCs w:val="22"/>
          <w:lang w:eastAsia="fi-FI"/>
        </w:rPr>
      </w:pPr>
      <w:bookmarkStart w:id="9" w:name="_Toc445904322"/>
      <w:bookmarkStart w:id="10" w:name="_Toc499654086"/>
      <w:r w:rsidRPr="0010403B">
        <w:rPr>
          <w:rFonts w:ascii="Verdana" w:eastAsia="Times New Roman" w:hAnsi="Verdana" w:cs="Arial"/>
          <w:b/>
          <w:snapToGrid w:val="0"/>
          <w:color w:val="0046AD"/>
          <w:sz w:val="24"/>
          <w:szCs w:val="22"/>
          <w:lang w:eastAsia="fi-FI"/>
        </w:rPr>
        <w:lastRenderedPageBreak/>
        <w:t>Current approaches of Weight of</w:t>
      </w:r>
      <w:r w:rsidR="00135C62" w:rsidRPr="0010403B">
        <w:rPr>
          <w:rFonts w:ascii="Verdana" w:eastAsia="Times New Roman" w:hAnsi="Verdana" w:cs="Arial"/>
          <w:b/>
          <w:snapToGrid w:val="0"/>
          <w:color w:val="0046AD"/>
          <w:sz w:val="24"/>
          <w:szCs w:val="22"/>
          <w:lang w:eastAsia="fi-FI"/>
        </w:rPr>
        <w:t xml:space="preserve"> </w:t>
      </w:r>
      <w:r w:rsidRPr="0010403B">
        <w:rPr>
          <w:rFonts w:ascii="Verdana" w:eastAsia="Times New Roman" w:hAnsi="Verdana" w:cs="Arial"/>
          <w:b/>
          <w:snapToGrid w:val="0"/>
          <w:color w:val="0046AD"/>
          <w:sz w:val="24"/>
          <w:szCs w:val="22"/>
          <w:lang w:eastAsia="fi-FI"/>
        </w:rPr>
        <w:t>Evidence/</w:t>
      </w:r>
      <w:r w:rsidR="0010403B" w:rsidRPr="0010403B">
        <w:rPr>
          <w:rFonts w:ascii="Verdana" w:eastAsia="Times New Roman" w:hAnsi="Verdana" w:cs="Arial"/>
          <w:b/>
          <w:snapToGrid w:val="0"/>
          <w:color w:val="0046AD"/>
          <w:sz w:val="24"/>
          <w:szCs w:val="22"/>
          <w:lang w:eastAsia="fi-FI"/>
        </w:rPr>
        <w:t>u</w:t>
      </w:r>
      <w:r w:rsidR="00551DA4" w:rsidRPr="0010403B">
        <w:rPr>
          <w:rFonts w:ascii="Verdana" w:eastAsia="Times New Roman" w:hAnsi="Verdana" w:cs="Arial"/>
          <w:b/>
          <w:snapToGrid w:val="0"/>
          <w:color w:val="0046AD"/>
          <w:sz w:val="24"/>
          <w:szCs w:val="22"/>
          <w:lang w:eastAsia="fi-FI"/>
        </w:rPr>
        <w:t xml:space="preserve">ncertainty in </w:t>
      </w:r>
      <w:r w:rsidRPr="0010403B">
        <w:rPr>
          <w:rFonts w:ascii="Verdana" w:eastAsia="Times New Roman" w:hAnsi="Verdana" w:cs="Arial"/>
          <w:b/>
          <w:snapToGrid w:val="0"/>
          <w:color w:val="0046AD"/>
          <w:sz w:val="24"/>
          <w:szCs w:val="22"/>
          <w:lang w:eastAsia="fi-FI"/>
        </w:rPr>
        <w:t>ECHA</w:t>
      </w:r>
      <w:r w:rsidR="00551DA4" w:rsidRPr="0010403B">
        <w:rPr>
          <w:rFonts w:ascii="Verdana" w:eastAsia="Times New Roman" w:hAnsi="Verdana" w:cs="Arial"/>
          <w:b/>
          <w:snapToGrid w:val="0"/>
          <w:color w:val="0046AD"/>
          <w:sz w:val="24"/>
          <w:szCs w:val="22"/>
          <w:lang w:eastAsia="fi-FI"/>
        </w:rPr>
        <w:t xml:space="preserve"> processes</w:t>
      </w:r>
      <w:bookmarkEnd w:id="9"/>
      <w:bookmarkEnd w:id="10"/>
      <w:r w:rsidR="00551DA4" w:rsidRPr="0010403B">
        <w:rPr>
          <w:rFonts w:ascii="Verdana" w:eastAsia="Times New Roman" w:hAnsi="Verdana" w:cs="Arial"/>
          <w:b/>
          <w:snapToGrid w:val="0"/>
          <w:color w:val="0046AD"/>
          <w:sz w:val="24"/>
          <w:szCs w:val="22"/>
          <w:lang w:eastAsia="fi-FI"/>
        </w:rPr>
        <w:t xml:space="preserve"> </w:t>
      </w:r>
    </w:p>
    <w:p w14:paraId="718CD73E" w14:textId="77777777" w:rsidR="00551DA4" w:rsidRDefault="00551DA4" w:rsidP="00551DA4">
      <w:pPr>
        <w:spacing w:after="200" w:line="276" w:lineRule="auto"/>
        <w:rPr>
          <w:rFonts w:ascii="Verdana" w:hAnsi="Verdana"/>
          <w:sz w:val="20"/>
          <w:szCs w:val="20"/>
        </w:rPr>
      </w:pPr>
    </w:p>
    <w:p w14:paraId="718CD73F" w14:textId="2A4039CA" w:rsidR="00551DA4" w:rsidRPr="00551DA4" w:rsidRDefault="00CF676E" w:rsidP="00551DA4">
      <w:pPr>
        <w:spacing w:after="200" w:line="276" w:lineRule="auto"/>
        <w:rPr>
          <w:rFonts w:ascii="Verdana" w:hAnsi="Verdana"/>
          <w:sz w:val="20"/>
          <w:szCs w:val="20"/>
        </w:rPr>
      </w:pPr>
      <w:r>
        <w:rPr>
          <w:rFonts w:ascii="Verdana" w:hAnsi="Verdana"/>
          <w:sz w:val="20"/>
          <w:szCs w:val="20"/>
        </w:rPr>
        <w:t xml:space="preserve">The </w:t>
      </w:r>
      <w:r w:rsidR="00551DA4" w:rsidRPr="00551DA4">
        <w:rPr>
          <w:rFonts w:ascii="Verdana" w:hAnsi="Verdana"/>
          <w:sz w:val="20"/>
          <w:szCs w:val="20"/>
        </w:rPr>
        <w:t xml:space="preserve">WoE approach is described within </w:t>
      </w:r>
      <w:r w:rsidR="00551DA4" w:rsidRPr="002A0F5D">
        <w:rPr>
          <w:rFonts w:ascii="Verdana" w:hAnsi="Verdana"/>
          <w:sz w:val="20"/>
          <w:szCs w:val="20"/>
        </w:rPr>
        <w:t>ECHA Guidance</w:t>
      </w:r>
      <w:r w:rsidR="00551DA4" w:rsidRPr="00551DA4">
        <w:rPr>
          <w:rFonts w:ascii="Verdana" w:hAnsi="Verdana"/>
          <w:sz w:val="20"/>
          <w:szCs w:val="20"/>
        </w:rPr>
        <w:t xml:space="preserve"> (IR/CSA R.2-4), the CLP and BPR Guidance Doc</w:t>
      </w:r>
      <w:r w:rsidR="002A0F5D">
        <w:rPr>
          <w:rFonts w:ascii="Verdana" w:hAnsi="Verdana"/>
          <w:sz w:val="20"/>
          <w:szCs w:val="20"/>
        </w:rPr>
        <w:t>uments and the Information Toolkit</w:t>
      </w:r>
      <w:r w:rsidR="00551DA4" w:rsidRPr="00551DA4">
        <w:rPr>
          <w:rFonts w:ascii="Verdana" w:hAnsi="Verdana"/>
          <w:sz w:val="20"/>
          <w:szCs w:val="20"/>
        </w:rPr>
        <w:t xml:space="preserve">. Uncertainty analysis is described in </w:t>
      </w:r>
      <w:r w:rsidR="00551DA4" w:rsidRPr="002A0F5D">
        <w:rPr>
          <w:rFonts w:ascii="Verdana" w:hAnsi="Verdana"/>
          <w:sz w:val="20"/>
          <w:szCs w:val="20"/>
        </w:rPr>
        <w:t>ECHA Guidance IR/CSA R.19</w:t>
      </w:r>
      <w:r w:rsidR="00551DA4" w:rsidRPr="00551DA4">
        <w:rPr>
          <w:rFonts w:ascii="Verdana" w:hAnsi="Verdana"/>
          <w:sz w:val="20"/>
          <w:szCs w:val="20"/>
        </w:rPr>
        <w:t>.</w:t>
      </w:r>
    </w:p>
    <w:p w14:paraId="718CD740" w14:textId="26B1A8B7" w:rsidR="00551DA4" w:rsidRPr="00551DA4" w:rsidRDefault="00C0305D" w:rsidP="00551DA4">
      <w:pPr>
        <w:spacing w:after="200" w:line="276" w:lineRule="auto"/>
        <w:rPr>
          <w:rFonts w:ascii="Verdana" w:hAnsi="Verdana"/>
          <w:sz w:val="20"/>
          <w:szCs w:val="20"/>
        </w:rPr>
      </w:pPr>
      <w:r>
        <w:rPr>
          <w:rFonts w:ascii="Verdana" w:hAnsi="Verdana"/>
          <w:sz w:val="20"/>
          <w:szCs w:val="20"/>
        </w:rPr>
        <w:t>F</w:t>
      </w:r>
      <w:r w:rsidR="00551DA4" w:rsidRPr="00551DA4">
        <w:rPr>
          <w:rFonts w:ascii="Verdana" w:hAnsi="Verdana"/>
          <w:sz w:val="20"/>
          <w:szCs w:val="20"/>
        </w:rPr>
        <w:t>or some of the steps of the WoE approach (as defined in the steps proposed in earlier sections of this document) no harmonised templates are available</w:t>
      </w:r>
      <w:r w:rsidR="00D76A61">
        <w:rPr>
          <w:rFonts w:ascii="Verdana" w:hAnsi="Verdana"/>
          <w:sz w:val="20"/>
          <w:szCs w:val="20"/>
        </w:rPr>
        <w:t xml:space="preserve">; </w:t>
      </w:r>
      <w:r w:rsidR="00D76A61" w:rsidRPr="00551DA4">
        <w:rPr>
          <w:rFonts w:ascii="Verdana" w:hAnsi="Verdana"/>
          <w:sz w:val="20"/>
          <w:szCs w:val="20"/>
        </w:rPr>
        <w:t>e.g</w:t>
      </w:r>
      <w:r w:rsidR="00551DA4" w:rsidRPr="00551DA4">
        <w:rPr>
          <w:rFonts w:ascii="Verdana" w:hAnsi="Verdana"/>
          <w:sz w:val="20"/>
          <w:szCs w:val="20"/>
        </w:rPr>
        <w:t>. for the integration and weighing of evidence part, for recording collection of data and search strategy</w:t>
      </w:r>
      <w:r>
        <w:rPr>
          <w:rFonts w:ascii="Verdana" w:hAnsi="Verdana"/>
          <w:sz w:val="20"/>
          <w:szCs w:val="20"/>
        </w:rPr>
        <w:t xml:space="preserve">.  Consequently this leads </w:t>
      </w:r>
      <w:r w:rsidR="00D76A61">
        <w:rPr>
          <w:rFonts w:ascii="Verdana" w:hAnsi="Verdana"/>
          <w:sz w:val="20"/>
          <w:szCs w:val="20"/>
        </w:rPr>
        <w:t>to some</w:t>
      </w:r>
      <w:r w:rsidR="00551DA4" w:rsidRPr="00551DA4">
        <w:rPr>
          <w:rFonts w:ascii="Verdana" w:hAnsi="Verdana"/>
          <w:sz w:val="20"/>
          <w:szCs w:val="20"/>
        </w:rPr>
        <w:t xml:space="preserve"> limitations regarding the application of the complete WoE approach within ECHA processes (Registration, Dossier &amp; Substance Evaluation, CLH, SVHC Identification, </w:t>
      </w:r>
      <w:r w:rsidR="009A0C52" w:rsidRPr="009A0C52">
        <w:rPr>
          <w:rFonts w:ascii="Verdana" w:hAnsi="Verdana"/>
          <w:sz w:val="20"/>
          <w:szCs w:val="20"/>
        </w:rPr>
        <w:t>PBT Assessment, Endocrine Disruption Identification</w:t>
      </w:r>
      <w:r w:rsidR="009A0C52">
        <w:rPr>
          <w:rFonts w:ascii="Verdana" w:hAnsi="Verdana"/>
          <w:sz w:val="20"/>
          <w:szCs w:val="20"/>
        </w:rPr>
        <w:t xml:space="preserve"> </w:t>
      </w:r>
      <w:r w:rsidR="00551DA4" w:rsidRPr="00551DA4">
        <w:rPr>
          <w:rFonts w:ascii="Verdana" w:hAnsi="Verdana"/>
          <w:sz w:val="20"/>
          <w:szCs w:val="20"/>
        </w:rPr>
        <w:t xml:space="preserve">etc.). </w:t>
      </w:r>
    </w:p>
    <w:p w14:paraId="718CD741" w14:textId="05F4696B" w:rsidR="00551DA4" w:rsidRPr="00551DA4" w:rsidRDefault="00551DA4" w:rsidP="00551DA4">
      <w:pPr>
        <w:spacing w:after="200" w:line="276" w:lineRule="auto"/>
        <w:rPr>
          <w:rFonts w:ascii="Verdana" w:hAnsi="Verdana"/>
          <w:sz w:val="20"/>
          <w:szCs w:val="20"/>
        </w:rPr>
      </w:pPr>
      <w:r w:rsidRPr="00551DA4">
        <w:rPr>
          <w:rFonts w:ascii="Verdana" w:hAnsi="Verdana"/>
          <w:sz w:val="20"/>
          <w:szCs w:val="20"/>
        </w:rPr>
        <w:t>In particular</w:t>
      </w:r>
      <w:r w:rsidR="00901283">
        <w:rPr>
          <w:rFonts w:ascii="Verdana" w:hAnsi="Verdana"/>
          <w:sz w:val="20"/>
          <w:szCs w:val="20"/>
        </w:rPr>
        <w:t>, in relation to Figure 1</w:t>
      </w:r>
      <w:r w:rsidRPr="00551DA4">
        <w:rPr>
          <w:rFonts w:ascii="Verdana" w:hAnsi="Verdana"/>
          <w:sz w:val="20"/>
          <w:szCs w:val="20"/>
        </w:rPr>
        <w:t>:</w:t>
      </w:r>
    </w:p>
    <w:p w14:paraId="718CD742" w14:textId="77777777" w:rsidR="00551DA4" w:rsidRPr="00551DA4" w:rsidRDefault="00551DA4" w:rsidP="00233E2A">
      <w:pPr>
        <w:pStyle w:val="ListParagraph"/>
        <w:widowControl/>
        <w:numPr>
          <w:ilvl w:val="0"/>
          <w:numId w:val="12"/>
        </w:numPr>
        <w:spacing w:after="200" w:line="276" w:lineRule="auto"/>
      </w:pPr>
      <w:r w:rsidRPr="00551DA4">
        <w:t xml:space="preserve">General </w:t>
      </w:r>
      <w:r w:rsidRPr="00551DA4">
        <w:rPr>
          <w:b/>
        </w:rPr>
        <w:t>problem formulation</w:t>
      </w:r>
      <w:r w:rsidRPr="00551DA4">
        <w:t xml:space="preserve"> is often well defined per REACH/CLP/BPR process. However more prescriptive problem formulation is not used to allow interlink with the weighing of evidence step. </w:t>
      </w:r>
    </w:p>
    <w:p w14:paraId="718CD743" w14:textId="77777777" w:rsidR="00551DA4" w:rsidRPr="00551DA4" w:rsidRDefault="00551DA4" w:rsidP="00551DA4">
      <w:pPr>
        <w:pStyle w:val="ListParagraph"/>
        <w:widowControl/>
        <w:spacing w:after="200" w:line="276" w:lineRule="auto"/>
      </w:pPr>
    </w:p>
    <w:p w14:paraId="718CD744" w14:textId="5BB6525C" w:rsidR="00551DA4" w:rsidRPr="00551DA4" w:rsidRDefault="00551DA4" w:rsidP="00233E2A">
      <w:pPr>
        <w:pStyle w:val="ListParagraph"/>
        <w:widowControl/>
        <w:numPr>
          <w:ilvl w:val="0"/>
          <w:numId w:val="12"/>
        </w:numPr>
        <w:spacing w:after="200" w:line="276" w:lineRule="auto"/>
      </w:pPr>
      <w:r w:rsidRPr="00551DA4">
        <w:t xml:space="preserve">The </w:t>
      </w:r>
      <w:r w:rsidRPr="00551DA4">
        <w:rPr>
          <w:b/>
        </w:rPr>
        <w:t xml:space="preserve">collection </w:t>
      </w:r>
      <w:r w:rsidR="00416692">
        <w:rPr>
          <w:b/>
        </w:rPr>
        <w:t>and documentation of all information</w:t>
      </w:r>
      <w:r w:rsidRPr="00551DA4">
        <w:t xml:space="preserve"> for all REACH/CLP/BPR processes is not always transparently recorded in IUCLID section 13 by the registrant or Dossier Submissions by the eMSCAs or ECHA opinions from Committees. </w:t>
      </w:r>
    </w:p>
    <w:p w14:paraId="718CD746" w14:textId="77777777" w:rsidR="00551DA4" w:rsidRPr="00551DA4" w:rsidRDefault="00551DA4" w:rsidP="00551DA4">
      <w:pPr>
        <w:pStyle w:val="ListParagraph"/>
        <w:widowControl/>
        <w:spacing w:after="200" w:line="276" w:lineRule="auto"/>
      </w:pPr>
    </w:p>
    <w:p w14:paraId="718CD747" w14:textId="77777777" w:rsidR="00551DA4" w:rsidRPr="00551DA4" w:rsidRDefault="00551DA4" w:rsidP="00233E2A">
      <w:pPr>
        <w:pStyle w:val="ListParagraph"/>
        <w:widowControl/>
        <w:numPr>
          <w:ilvl w:val="0"/>
          <w:numId w:val="12"/>
        </w:numPr>
        <w:spacing w:after="200" w:line="276" w:lineRule="auto"/>
      </w:pPr>
      <w:r w:rsidRPr="00551DA4">
        <w:t xml:space="preserve">The </w:t>
      </w:r>
      <w:r w:rsidRPr="00551DA4">
        <w:rPr>
          <w:b/>
        </w:rPr>
        <w:t>assessment of the quality of individual evidence</w:t>
      </w:r>
      <w:r w:rsidRPr="00551DA4">
        <w:t xml:space="preserve"> is performed using the Klimisch criteria in all REACH/BPR processes for the reliability of the evidence. For adequacy and relevance the elements for assessment are in ECHA Guidance IR/CSA R.4. </w:t>
      </w:r>
    </w:p>
    <w:p w14:paraId="718CD748" w14:textId="77777777" w:rsidR="00551DA4" w:rsidRPr="00551DA4" w:rsidRDefault="00551DA4" w:rsidP="00551DA4">
      <w:pPr>
        <w:pStyle w:val="ListParagraph"/>
        <w:widowControl/>
        <w:spacing w:after="200" w:line="276" w:lineRule="auto"/>
      </w:pPr>
    </w:p>
    <w:p w14:paraId="718CD749" w14:textId="65DA6D06" w:rsidR="00551DA4" w:rsidRPr="00551DA4" w:rsidRDefault="00551DA4" w:rsidP="00551DA4">
      <w:pPr>
        <w:pStyle w:val="ListParagraph"/>
        <w:widowControl/>
        <w:spacing w:after="200" w:line="276" w:lineRule="auto"/>
      </w:pPr>
      <w:r w:rsidRPr="00551DA4">
        <w:t xml:space="preserve">Transparent documentation of evidence is guided by the use of the </w:t>
      </w:r>
      <w:r w:rsidR="003D7592">
        <w:t xml:space="preserve">OECD </w:t>
      </w:r>
      <w:r w:rsidRPr="00551DA4">
        <w:t>structured harmonised templates (OHTs) within IUCLID and predefined formats of the CSR report and other process related reports.</w:t>
      </w:r>
    </w:p>
    <w:p w14:paraId="718CD74A" w14:textId="0E4D6B8D" w:rsidR="00551DA4" w:rsidRPr="00551DA4" w:rsidRDefault="00551DA4" w:rsidP="00551DA4">
      <w:pPr>
        <w:spacing w:after="200" w:line="276" w:lineRule="auto"/>
        <w:ind w:left="720"/>
        <w:rPr>
          <w:rFonts w:ascii="Verdana" w:hAnsi="Verdana"/>
          <w:sz w:val="20"/>
          <w:szCs w:val="20"/>
        </w:rPr>
      </w:pPr>
      <w:r w:rsidRPr="00551DA4">
        <w:rPr>
          <w:rFonts w:ascii="Verdana" w:hAnsi="Verdana"/>
          <w:sz w:val="20"/>
          <w:szCs w:val="20"/>
        </w:rPr>
        <w:t xml:space="preserve">However, for CLP processes (CLH), the Klimisch criteria are not often used in the decision making process for the scoring of studies in terms of reliability. The CLP Guidance </w:t>
      </w:r>
      <w:r w:rsidR="00487C96">
        <w:rPr>
          <w:rFonts w:ascii="Verdana" w:hAnsi="Verdana"/>
          <w:sz w:val="20"/>
          <w:szCs w:val="20"/>
        </w:rPr>
        <w:t>is not explicit</w:t>
      </w:r>
      <w:r w:rsidRPr="00551DA4">
        <w:rPr>
          <w:rFonts w:ascii="Verdana" w:hAnsi="Verdana"/>
          <w:sz w:val="20"/>
          <w:szCs w:val="20"/>
        </w:rPr>
        <w:t xml:space="preserve"> </w:t>
      </w:r>
      <w:r w:rsidR="00487C96">
        <w:rPr>
          <w:rFonts w:ascii="Verdana" w:hAnsi="Verdana"/>
          <w:sz w:val="20"/>
          <w:szCs w:val="20"/>
        </w:rPr>
        <w:t>on the</w:t>
      </w:r>
      <w:r w:rsidRPr="00551DA4">
        <w:rPr>
          <w:rFonts w:ascii="Verdana" w:hAnsi="Verdana"/>
          <w:sz w:val="20"/>
          <w:szCs w:val="20"/>
        </w:rPr>
        <w:t xml:space="preserve"> use such criteria and allows more flexibility. </w:t>
      </w:r>
    </w:p>
    <w:p w14:paraId="718CD74B" w14:textId="77777777" w:rsidR="00551DA4" w:rsidRPr="00551DA4" w:rsidRDefault="00551DA4" w:rsidP="00551DA4">
      <w:pPr>
        <w:spacing w:after="200" w:line="276" w:lineRule="auto"/>
        <w:ind w:left="720"/>
        <w:rPr>
          <w:rFonts w:ascii="Verdana" w:hAnsi="Verdana"/>
          <w:sz w:val="20"/>
          <w:szCs w:val="20"/>
        </w:rPr>
      </w:pPr>
      <w:r w:rsidRPr="00551DA4">
        <w:rPr>
          <w:rFonts w:ascii="Verdana" w:hAnsi="Verdana"/>
          <w:sz w:val="20"/>
          <w:szCs w:val="20"/>
        </w:rPr>
        <w:t>As per ECHA Guidance IR/CSA R.4, “</w:t>
      </w:r>
      <w:r w:rsidRPr="00551DA4">
        <w:rPr>
          <w:rFonts w:ascii="Verdana" w:hAnsi="Verdana"/>
          <w:i/>
          <w:sz w:val="20"/>
          <w:szCs w:val="20"/>
        </w:rPr>
        <w:t>the scoring of information should not exclude all unreliable data from further consideration by expert judgment because of possible pertinence of these data related to the evaluated endpoints</w:t>
      </w:r>
      <w:r w:rsidRPr="00551DA4">
        <w:rPr>
          <w:rFonts w:ascii="Verdana" w:hAnsi="Verdana"/>
          <w:sz w:val="20"/>
          <w:szCs w:val="20"/>
        </w:rPr>
        <w:t xml:space="preserve">.” </w:t>
      </w:r>
    </w:p>
    <w:p w14:paraId="718CD74C" w14:textId="77777777" w:rsidR="00551DA4" w:rsidRPr="00551DA4" w:rsidRDefault="00551DA4" w:rsidP="00551DA4">
      <w:pPr>
        <w:pStyle w:val="ListParagraph"/>
        <w:widowControl/>
        <w:spacing w:after="200" w:line="276" w:lineRule="auto"/>
      </w:pPr>
    </w:p>
    <w:p w14:paraId="718CD74D" w14:textId="61FE0D63" w:rsidR="00551DA4" w:rsidRPr="00551DA4" w:rsidRDefault="00551DA4" w:rsidP="00233E2A">
      <w:pPr>
        <w:pStyle w:val="ListParagraph"/>
        <w:widowControl/>
        <w:numPr>
          <w:ilvl w:val="0"/>
          <w:numId w:val="12"/>
        </w:numPr>
        <w:spacing w:after="200" w:line="276" w:lineRule="auto"/>
      </w:pPr>
      <w:r w:rsidRPr="00551DA4">
        <w:t xml:space="preserve">There is no specific section in ECHA formats of opinions (or in IUCLID) to address the </w:t>
      </w:r>
      <w:r w:rsidRPr="00551DA4">
        <w:rPr>
          <w:b/>
        </w:rPr>
        <w:t>integration</w:t>
      </w:r>
      <w:r w:rsidR="00416692">
        <w:rPr>
          <w:b/>
        </w:rPr>
        <w:t xml:space="preserve"> and weighing</w:t>
      </w:r>
      <w:r w:rsidRPr="00551DA4">
        <w:rPr>
          <w:b/>
        </w:rPr>
        <w:t xml:space="preserve"> of the evidence</w:t>
      </w:r>
      <w:r w:rsidRPr="00551DA4">
        <w:t xml:space="preserve">. </w:t>
      </w:r>
    </w:p>
    <w:p w14:paraId="718CD74E" w14:textId="77777777" w:rsidR="00551DA4" w:rsidRPr="00551DA4" w:rsidRDefault="00551DA4" w:rsidP="00551DA4">
      <w:pPr>
        <w:pStyle w:val="ListParagraph"/>
      </w:pPr>
    </w:p>
    <w:p w14:paraId="718CD74F" w14:textId="26A2F345" w:rsidR="00551DA4" w:rsidRPr="00551DA4" w:rsidRDefault="00551DA4" w:rsidP="00551DA4">
      <w:pPr>
        <w:pStyle w:val="ListParagraph"/>
        <w:widowControl/>
        <w:spacing w:after="200" w:line="276" w:lineRule="auto"/>
      </w:pPr>
      <w:r w:rsidRPr="00551DA4">
        <w:t xml:space="preserve">For the integration of all evidence and subsequent weighing no formal template is used and is most often presented in a narrative format; in specific processes like </w:t>
      </w:r>
      <w:r w:rsidRPr="00551DA4">
        <w:lastRenderedPageBreak/>
        <w:t xml:space="preserve">CLH or SVHC identification the elements that are required for the WoE analysis step are most often addressed although not always using the same terminology. </w:t>
      </w:r>
    </w:p>
    <w:p w14:paraId="718CD750" w14:textId="77777777" w:rsidR="00551DA4" w:rsidRPr="00551DA4" w:rsidRDefault="00551DA4" w:rsidP="00551DA4">
      <w:pPr>
        <w:pStyle w:val="ListParagraph"/>
        <w:widowControl/>
        <w:spacing w:after="200" w:line="276" w:lineRule="auto"/>
      </w:pPr>
    </w:p>
    <w:p w14:paraId="718CD752" w14:textId="39C7B548" w:rsidR="00551DA4" w:rsidRPr="00551DA4" w:rsidRDefault="00416692" w:rsidP="00233E2A">
      <w:pPr>
        <w:pStyle w:val="ListParagraph"/>
        <w:widowControl/>
        <w:numPr>
          <w:ilvl w:val="0"/>
          <w:numId w:val="12"/>
        </w:numPr>
        <w:spacing w:after="200" w:line="276" w:lineRule="auto"/>
      </w:pPr>
      <w:r w:rsidRPr="00416692">
        <w:rPr>
          <w:b/>
        </w:rPr>
        <w:t>Application of level of confidence and uncertainty analysis</w:t>
      </w:r>
      <w:r w:rsidR="00551DA4" w:rsidRPr="00551DA4">
        <w:t xml:space="preserve"> are not usually presented in a structured format. These are usually presented not as separate components but mixed with the narrative format of other steps of the WoE approach. Quantitative approaches for uncertainty analysis (more relevant for hazard characterisation approaches) are not often used. With the exception of the Restrictions and </w:t>
      </w:r>
      <w:r w:rsidR="00551DA4" w:rsidRPr="00E95976">
        <w:t>the SVHC identification templates/formats, there is no specific</w:t>
      </w:r>
      <w:r w:rsidR="00551DA4" w:rsidRPr="00551DA4">
        <w:t xml:space="preserve"> section in ECHA formats of opinions to address uncertainty </w:t>
      </w:r>
      <w:r w:rsidR="00AD54B8" w:rsidRPr="00551DA4">
        <w:t xml:space="preserve">explicitly </w:t>
      </w:r>
      <w:r w:rsidR="00551DA4" w:rsidRPr="00551DA4">
        <w:t>(either in the form of confidence levels or in the form of formal uncertainty analysis).</w:t>
      </w:r>
    </w:p>
    <w:p w14:paraId="718CD753" w14:textId="77777777" w:rsidR="00551DA4" w:rsidRPr="00551DA4" w:rsidRDefault="00551DA4" w:rsidP="00551DA4">
      <w:pPr>
        <w:pStyle w:val="ListParagraph"/>
        <w:widowControl/>
        <w:spacing w:after="200" w:line="276" w:lineRule="auto"/>
      </w:pPr>
    </w:p>
    <w:p w14:paraId="718CD754" w14:textId="36997E1C" w:rsidR="00551DA4" w:rsidRPr="00551DA4" w:rsidRDefault="00F95D36" w:rsidP="00551DA4">
      <w:pPr>
        <w:pStyle w:val="ListParagraph"/>
        <w:widowControl/>
        <w:spacing w:after="200" w:line="276" w:lineRule="auto"/>
      </w:pPr>
      <w:r>
        <w:t>Specific elements of uncertainty in hazard characterisation, as for example uncertainty in inter-species extrapolation for DNEL/AEL derivation in hazard characterisation, are normally dealt with by application of standard assessment factors</w:t>
      </w:r>
      <w:r w:rsidR="00551DA4" w:rsidRPr="00551DA4">
        <w:t xml:space="preserve">. Additional recommendations for </w:t>
      </w:r>
      <w:r w:rsidR="00A64AAB">
        <w:t>dealing with</w:t>
      </w:r>
      <w:r w:rsidR="00A64AAB" w:rsidRPr="00551DA4">
        <w:t xml:space="preserve"> </w:t>
      </w:r>
      <w:r w:rsidR="00551DA4" w:rsidRPr="00551DA4">
        <w:t xml:space="preserve">uncertainty in such type of assessment is provided in </w:t>
      </w:r>
      <w:r w:rsidR="00551DA4" w:rsidRPr="002A0F5D">
        <w:t>ECHA Guidance Documents</w:t>
      </w:r>
      <w:r w:rsidR="00551DA4" w:rsidRPr="00551DA4">
        <w:t xml:space="preserve"> for the use of </w:t>
      </w:r>
      <w:r w:rsidR="00D76A61">
        <w:t>Physiologically based Pharmacokinetic (</w:t>
      </w:r>
      <w:r w:rsidR="00551DA4" w:rsidRPr="00551DA4">
        <w:t>PBPK</w:t>
      </w:r>
      <w:r w:rsidR="00D76A61">
        <w:t>)</w:t>
      </w:r>
      <w:r w:rsidR="00551DA4" w:rsidRPr="00551DA4">
        <w:t xml:space="preserve"> modelling (IR/CSA R.8), Chemical specific adjustment factors (CSAFs) (IR/CSA R.8) and the respective </w:t>
      </w:r>
      <w:r w:rsidR="00572F37">
        <w:t>WHO/IPCS Guidance D</w:t>
      </w:r>
      <w:r w:rsidR="00551DA4" w:rsidRPr="002A0F5D">
        <w:t>ocuments</w:t>
      </w:r>
      <w:r w:rsidR="00551DA4" w:rsidRPr="00551DA4">
        <w:t xml:space="preserve"> on </w:t>
      </w:r>
      <w:r w:rsidR="007330AA">
        <w:t>CSAFs</w:t>
      </w:r>
      <w:r w:rsidR="00551DA4" w:rsidRPr="00551DA4">
        <w:t>, PBPK, and uncertainty.</w:t>
      </w:r>
    </w:p>
    <w:p w14:paraId="718CD755" w14:textId="77777777" w:rsidR="004F096F" w:rsidRDefault="004F096F">
      <w:pPr>
        <w:rPr>
          <w:rFonts w:ascii="Verdana" w:hAnsi="Verdana"/>
          <w:sz w:val="20"/>
          <w:szCs w:val="20"/>
        </w:rPr>
      </w:pPr>
      <w:r>
        <w:rPr>
          <w:rFonts w:ascii="Verdana" w:hAnsi="Verdana"/>
          <w:sz w:val="20"/>
          <w:szCs w:val="20"/>
        </w:rPr>
        <w:br w:type="page"/>
      </w:r>
    </w:p>
    <w:p w14:paraId="718CD756" w14:textId="7BACAD5A" w:rsidR="004F096F" w:rsidRPr="0010403B" w:rsidRDefault="004F096F" w:rsidP="002B1CE8">
      <w:pPr>
        <w:pStyle w:val="Heading1"/>
        <w:widowControl w:val="0"/>
        <w:numPr>
          <w:ilvl w:val="0"/>
          <w:numId w:val="10"/>
        </w:numPr>
        <w:spacing w:before="360" w:after="240" w:line="240" w:lineRule="auto"/>
        <w:rPr>
          <w:rFonts w:ascii="Verdana" w:eastAsia="Times New Roman" w:hAnsi="Verdana" w:cs="Times New Roman"/>
          <w:b/>
          <w:snapToGrid w:val="0"/>
          <w:color w:val="0046AD"/>
          <w:sz w:val="28"/>
          <w:szCs w:val="24"/>
          <w:lang w:eastAsia="fi-FI"/>
        </w:rPr>
      </w:pPr>
      <w:bookmarkStart w:id="11" w:name="_Toc499654087"/>
      <w:r w:rsidRPr="0010403B">
        <w:rPr>
          <w:rFonts w:ascii="Verdana" w:eastAsia="Times New Roman" w:hAnsi="Verdana" w:cs="Times New Roman"/>
          <w:b/>
          <w:snapToGrid w:val="0"/>
          <w:color w:val="0046AD"/>
          <w:sz w:val="28"/>
          <w:szCs w:val="24"/>
          <w:lang w:eastAsia="fi-FI"/>
        </w:rPr>
        <w:lastRenderedPageBreak/>
        <w:t>Methodologies for W</w:t>
      </w:r>
      <w:r w:rsidR="00D76A61" w:rsidRPr="0010403B">
        <w:rPr>
          <w:rFonts w:ascii="Verdana" w:eastAsia="Times New Roman" w:hAnsi="Verdana" w:cs="Times New Roman"/>
          <w:b/>
          <w:snapToGrid w:val="0"/>
          <w:color w:val="0046AD"/>
          <w:sz w:val="28"/>
          <w:szCs w:val="24"/>
          <w:lang w:eastAsia="fi-FI"/>
        </w:rPr>
        <w:t xml:space="preserve">eight </w:t>
      </w:r>
      <w:r w:rsidRPr="0010403B">
        <w:rPr>
          <w:rFonts w:ascii="Verdana" w:eastAsia="Times New Roman" w:hAnsi="Verdana" w:cs="Times New Roman"/>
          <w:b/>
          <w:snapToGrid w:val="0"/>
          <w:color w:val="0046AD"/>
          <w:sz w:val="28"/>
          <w:szCs w:val="24"/>
          <w:lang w:eastAsia="fi-FI"/>
        </w:rPr>
        <w:t>o</w:t>
      </w:r>
      <w:r w:rsidR="00D76A61" w:rsidRPr="0010403B">
        <w:rPr>
          <w:rFonts w:ascii="Verdana" w:eastAsia="Times New Roman" w:hAnsi="Verdana" w:cs="Times New Roman"/>
          <w:b/>
          <w:snapToGrid w:val="0"/>
          <w:color w:val="0046AD"/>
          <w:sz w:val="28"/>
          <w:szCs w:val="24"/>
          <w:lang w:eastAsia="fi-FI"/>
        </w:rPr>
        <w:t xml:space="preserve">f </w:t>
      </w:r>
      <w:r w:rsidRPr="0010403B">
        <w:rPr>
          <w:rFonts w:ascii="Verdana" w:eastAsia="Times New Roman" w:hAnsi="Verdana" w:cs="Times New Roman"/>
          <w:b/>
          <w:snapToGrid w:val="0"/>
          <w:color w:val="0046AD"/>
          <w:sz w:val="28"/>
          <w:szCs w:val="24"/>
          <w:lang w:eastAsia="fi-FI"/>
        </w:rPr>
        <w:t>E</w:t>
      </w:r>
      <w:r w:rsidR="00D76A61" w:rsidRPr="0010403B">
        <w:rPr>
          <w:rFonts w:ascii="Verdana" w:eastAsia="Times New Roman" w:hAnsi="Verdana" w:cs="Times New Roman"/>
          <w:b/>
          <w:snapToGrid w:val="0"/>
          <w:color w:val="0046AD"/>
          <w:sz w:val="28"/>
          <w:szCs w:val="24"/>
          <w:lang w:eastAsia="fi-FI"/>
        </w:rPr>
        <w:t>vidence</w:t>
      </w:r>
      <w:r w:rsidR="002B1CE8">
        <w:rPr>
          <w:rFonts w:ascii="Verdana" w:eastAsia="Times New Roman" w:hAnsi="Verdana" w:cs="Times New Roman"/>
          <w:b/>
          <w:snapToGrid w:val="0"/>
          <w:color w:val="0046AD"/>
          <w:sz w:val="28"/>
          <w:szCs w:val="24"/>
          <w:lang w:eastAsia="fi-FI"/>
        </w:rPr>
        <w:t xml:space="preserve"> approach/</w:t>
      </w:r>
      <w:r w:rsidR="0010403B" w:rsidRPr="0010403B">
        <w:rPr>
          <w:rFonts w:ascii="Verdana" w:eastAsia="Times New Roman" w:hAnsi="Verdana" w:cs="Times New Roman"/>
          <w:b/>
          <w:snapToGrid w:val="0"/>
          <w:color w:val="0046AD"/>
          <w:sz w:val="28"/>
          <w:szCs w:val="24"/>
          <w:lang w:eastAsia="fi-FI"/>
        </w:rPr>
        <w:t>u</w:t>
      </w:r>
      <w:r w:rsidRPr="0010403B">
        <w:rPr>
          <w:rFonts w:ascii="Verdana" w:eastAsia="Times New Roman" w:hAnsi="Verdana" w:cs="Times New Roman"/>
          <w:b/>
          <w:snapToGrid w:val="0"/>
          <w:color w:val="0046AD"/>
          <w:sz w:val="28"/>
          <w:szCs w:val="24"/>
          <w:lang w:eastAsia="fi-FI"/>
        </w:rPr>
        <w:t>ncertainty</w:t>
      </w:r>
      <w:bookmarkEnd w:id="11"/>
    </w:p>
    <w:p w14:paraId="718CD757" w14:textId="77777777" w:rsidR="004C640C" w:rsidRPr="004C640C" w:rsidRDefault="004C640C" w:rsidP="004C640C"/>
    <w:p w14:paraId="718CD758" w14:textId="0225C810" w:rsidR="004F096F" w:rsidRPr="00B07D31" w:rsidRDefault="007F531A" w:rsidP="004F096F">
      <w:pPr>
        <w:rPr>
          <w:rFonts w:ascii="Verdana" w:hAnsi="Verdana"/>
          <w:sz w:val="20"/>
          <w:szCs w:val="20"/>
        </w:rPr>
      </w:pPr>
      <w:r w:rsidRPr="00B76C92">
        <w:rPr>
          <w:rFonts w:ascii="Verdana" w:hAnsi="Verdana"/>
          <w:sz w:val="20"/>
          <w:szCs w:val="20"/>
        </w:rPr>
        <w:t>T</w:t>
      </w:r>
      <w:r w:rsidR="004F096F" w:rsidRPr="00B76C92">
        <w:rPr>
          <w:rFonts w:ascii="Verdana" w:hAnsi="Verdana"/>
          <w:sz w:val="20"/>
          <w:szCs w:val="20"/>
        </w:rPr>
        <w:t>iered approaches</w:t>
      </w:r>
      <w:r>
        <w:rPr>
          <w:rFonts w:ascii="Verdana" w:hAnsi="Verdana"/>
          <w:sz w:val="20"/>
          <w:szCs w:val="20"/>
        </w:rPr>
        <w:t xml:space="preserve"> </w:t>
      </w:r>
      <w:r w:rsidR="004F096F" w:rsidRPr="00B07D31">
        <w:rPr>
          <w:rFonts w:ascii="Verdana" w:hAnsi="Verdana"/>
          <w:sz w:val="20"/>
          <w:szCs w:val="20"/>
        </w:rPr>
        <w:t>are used in hazard assessments</w:t>
      </w:r>
      <w:r>
        <w:rPr>
          <w:rFonts w:ascii="Verdana" w:hAnsi="Verdana"/>
          <w:sz w:val="20"/>
          <w:szCs w:val="20"/>
        </w:rPr>
        <w:t xml:space="preserve"> with</w:t>
      </w:r>
      <w:r w:rsidRPr="007F531A">
        <w:rPr>
          <w:rFonts w:ascii="Verdana" w:hAnsi="Verdana"/>
          <w:sz w:val="20"/>
          <w:szCs w:val="20"/>
        </w:rPr>
        <w:t xml:space="preserve"> </w:t>
      </w:r>
      <w:r w:rsidRPr="00B07D31">
        <w:rPr>
          <w:rFonts w:ascii="Verdana" w:hAnsi="Verdana"/>
          <w:sz w:val="20"/>
          <w:szCs w:val="20"/>
        </w:rPr>
        <w:t>lower tiers consisting of hazard screening or assessment with defaults approaches and higher tiers employing more advanced methodologies for hazard assessmen</w:t>
      </w:r>
      <w:r>
        <w:rPr>
          <w:rFonts w:ascii="Verdana" w:hAnsi="Verdana"/>
          <w:sz w:val="20"/>
          <w:szCs w:val="20"/>
        </w:rPr>
        <w:t>t. D</w:t>
      </w:r>
      <w:r w:rsidR="004F096F" w:rsidRPr="00B07D31">
        <w:rPr>
          <w:rFonts w:ascii="Verdana" w:hAnsi="Verdana"/>
          <w:sz w:val="20"/>
          <w:szCs w:val="20"/>
        </w:rPr>
        <w:t xml:space="preserve">ifferent tools/methodologies can be used within the WoE approach and uncertainty analysis with higher uncertainty/lower confidence being accepted for lower tiers of assessment (e.g. priority setting) compared </w:t>
      </w:r>
      <w:r w:rsidR="00CF676E">
        <w:rPr>
          <w:rFonts w:ascii="Verdana" w:hAnsi="Verdana"/>
          <w:sz w:val="20"/>
          <w:szCs w:val="20"/>
        </w:rPr>
        <w:t>to</w:t>
      </w:r>
      <w:r w:rsidR="004F096F" w:rsidRPr="00B07D31">
        <w:rPr>
          <w:rFonts w:ascii="Verdana" w:hAnsi="Verdana"/>
          <w:sz w:val="20"/>
          <w:szCs w:val="20"/>
        </w:rPr>
        <w:t xml:space="preserve"> higher tier applications (establishment of protection goals). </w:t>
      </w:r>
    </w:p>
    <w:p w14:paraId="718CD759" w14:textId="3FEE154E" w:rsidR="004F096F" w:rsidRPr="00B07D31" w:rsidRDefault="004F096F" w:rsidP="004F096F">
      <w:pPr>
        <w:rPr>
          <w:rFonts w:ascii="Verdana" w:hAnsi="Verdana"/>
          <w:sz w:val="20"/>
          <w:szCs w:val="20"/>
        </w:rPr>
      </w:pPr>
      <w:r w:rsidRPr="00B07D31">
        <w:rPr>
          <w:rFonts w:ascii="Verdana" w:hAnsi="Verdana"/>
          <w:sz w:val="20"/>
          <w:szCs w:val="20"/>
        </w:rPr>
        <w:t>Depending on the problem formulation (e.g. for a specific regulatory application such as PBT assessment, endocrine disruption identification, endpoint hazard assessment) different tools can be used to weigh the evidence, assess the uncertainty and conclude on the adequacy for purpose from all available information</w:t>
      </w:r>
      <w:r w:rsidR="00A233E3">
        <w:rPr>
          <w:rFonts w:ascii="Verdana" w:hAnsi="Verdana"/>
          <w:sz w:val="20"/>
          <w:szCs w:val="20"/>
        </w:rPr>
        <w:t xml:space="preserve"> (see next sections for details)</w:t>
      </w:r>
      <w:r w:rsidRPr="00B07D31">
        <w:rPr>
          <w:rFonts w:ascii="Verdana" w:hAnsi="Verdana"/>
          <w:sz w:val="20"/>
          <w:szCs w:val="20"/>
        </w:rPr>
        <w:t xml:space="preserve">. </w:t>
      </w:r>
    </w:p>
    <w:p w14:paraId="718CD75A" w14:textId="3B3F82BC" w:rsidR="004F096F" w:rsidRPr="00B07D31" w:rsidRDefault="004F096F" w:rsidP="004F096F">
      <w:pPr>
        <w:rPr>
          <w:rFonts w:ascii="Verdana" w:hAnsi="Verdana"/>
          <w:sz w:val="20"/>
          <w:szCs w:val="20"/>
        </w:rPr>
      </w:pPr>
      <w:r w:rsidRPr="00B07D31">
        <w:rPr>
          <w:rFonts w:ascii="Verdana" w:hAnsi="Verdana"/>
          <w:sz w:val="20"/>
          <w:szCs w:val="20"/>
        </w:rPr>
        <w:t xml:space="preserve">It should be noted that in certain applications, uncertainty analysis might be needed as full separate process; for example defining threshold levels (DNELs, AELs) in hazard characterisation might need to define percentage of covered populations. In such cases complete uncertainty analysis for this particular part of hazard characterisation </w:t>
      </w:r>
      <w:r w:rsidR="00CF676E">
        <w:rPr>
          <w:rFonts w:ascii="Verdana" w:hAnsi="Verdana"/>
          <w:sz w:val="20"/>
          <w:szCs w:val="20"/>
        </w:rPr>
        <w:t>can</w:t>
      </w:r>
      <w:r w:rsidRPr="00B07D31">
        <w:rPr>
          <w:rFonts w:ascii="Verdana" w:hAnsi="Verdana"/>
          <w:sz w:val="20"/>
          <w:szCs w:val="20"/>
        </w:rPr>
        <w:t xml:space="preserve"> be an additional component to the WoE approach. </w:t>
      </w:r>
    </w:p>
    <w:p w14:paraId="718CD75B" w14:textId="09D6CD75" w:rsidR="004F096F" w:rsidRPr="00B07D31" w:rsidRDefault="004F096F" w:rsidP="004F096F">
      <w:pPr>
        <w:rPr>
          <w:rStyle w:val="Hyperlink"/>
          <w:szCs w:val="20"/>
        </w:rPr>
      </w:pPr>
      <w:r w:rsidRPr="00B07D31">
        <w:rPr>
          <w:rFonts w:ascii="Verdana" w:hAnsi="Verdana"/>
          <w:sz w:val="20"/>
          <w:szCs w:val="20"/>
        </w:rPr>
        <w:t xml:space="preserve">Further information on uncertainty analysis in hazard assessment is available in the </w:t>
      </w:r>
      <w:r w:rsidR="00A233E3">
        <w:rPr>
          <w:rFonts w:ascii="Verdana" w:hAnsi="Verdana"/>
          <w:sz w:val="20"/>
          <w:szCs w:val="20"/>
        </w:rPr>
        <w:t>ECHA Guidance</w:t>
      </w:r>
      <w:r w:rsidR="00CF676E">
        <w:rPr>
          <w:rFonts w:ascii="Verdana" w:hAnsi="Verdana"/>
          <w:sz w:val="20"/>
          <w:szCs w:val="20"/>
        </w:rPr>
        <w:t xml:space="preserve"> IR/CSA</w:t>
      </w:r>
      <w:r w:rsidR="00A233E3">
        <w:rPr>
          <w:rFonts w:ascii="Verdana" w:hAnsi="Verdana"/>
          <w:sz w:val="20"/>
          <w:szCs w:val="20"/>
        </w:rPr>
        <w:t xml:space="preserve"> R.19, the </w:t>
      </w:r>
      <w:r w:rsidR="00D30582" w:rsidRPr="00D76A61">
        <w:rPr>
          <w:rFonts w:ascii="Verdana" w:hAnsi="Verdana"/>
          <w:i/>
          <w:sz w:val="20"/>
          <w:szCs w:val="20"/>
        </w:rPr>
        <w:t>WHO/IPCS</w:t>
      </w:r>
      <w:r w:rsidR="006C0D19" w:rsidRPr="00D76A61">
        <w:rPr>
          <w:rFonts w:ascii="Verdana" w:hAnsi="Verdana"/>
          <w:i/>
          <w:sz w:val="20"/>
          <w:szCs w:val="20"/>
        </w:rPr>
        <w:t xml:space="preserve"> Guidance on Uncertainty in hazard characterisation</w:t>
      </w:r>
      <w:r w:rsidR="007F531A">
        <w:rPr>
          <w:rFonts w:ascii="Verdana" w:hAnsi="Verdana"/>
          <w:sz w:val="20"/>
          <w:szCs w:val="20"/>
        </w:rPr>
        <w:t xml:space="preserve"> (WHO/IPCS 2014)</w:t>
      </w:r>
      <w:r w:rsidR="00D30582" w:rsidRPr="00623F1E">
        <w:rPr>
          <w:rFonts w:ascii="Verdana" w:hAnsi="Verdana"/>
          <w:sz w:val="20"/>
          <w:szCs w:val="20"/>
        </w:rPr>
        <w:t xml:space="preserve"> the </w:t>
      </w:r>
      <w:r w:rsidR="00D30582" w:rsidRPr="00D76A61">
        <w:rPr>
          <w:rFonts w:ascii="Verdana" w:hAnsi="Verdana"/>
          <w:i/>
          <w:sz w:val="20"/>
          <w:szCs w:val="20"/>
        </w:rPr>
        <w:t>EFSA Guidance</w:t>
      </w:r>
      <w:r w:rsidR="007F531A" w:rsidRPr="00D76A61">
        <w:rPr>
          <w:rFonts w:ascii="Verdana" w:hAnsi="Verdana"/>
          <w:i/>
          <w:sz w:val="20"/>
          <w:szCs w:val="20"/>
        </w:rPr>
        <w:t xml:space="preserve"> d</w:t>
      </w:r>
      <w:r w:rsidR="006C0D19" w:rsidRPr="00D76A61">
        <w:rPr>
          <w:rFonts w:ascii="Verdana" w:hAnsi="Verdana"/>
          <w:i/>
          <w:sz w:val="20"/>
          <w:szCs w:val="20"/>
        </w:rPr>
        <w:t>ocument</w:t>
      </w:r>
      <w:r w:rsidR="00D30582" w:rsidRPr="00D76A61">
        <w:rPr>
          <w:rFonts w:ascii="Verdana" w:hAnsi="Verdana"/>
          <w:i/>
          <w:sz w:val="20"/>
          <w:szCs w:val="20"/>
        </w:rPr>
        <w:t xml:space="preserve"> on uncertainty</w:t>
      </w:r>
      <w:r w:rsidR="00CF676E">
        <w:rPr>
          <w:rFonts w:ascii="Verdana" w:hAnsi="Verdana"/>
          <w:sz w:val="20"/>
          <w:szCs w:val="20"/>
        </w:rPr>
        <w:t xml:space="preserve"> (see list of References)</w:t>
      </w:r>
      <w:r w:rsidRPr="00B07D31">
        <w:rPr>
          <w:rFonts w:ascii="Verdana" w:hAnsi="Verdana"/>
          <w:sz w:val="20"/>
          <w:szCs w:val="20"/>
        </w:rPr>
        <w:t xml:space="preserve">. </w:t>
      </w:r>
    </w:p>
    <w:p w14:paraId="718CD75C" w14:textId="464414F1" w:rsidR="004F096F" w:rsidRPr="00B07D31" w:rsidRDefault="004F096F">
      <w:pPr>
        <w:rPr>
          <w:rFonts w:ascii="Verdana" w:hAnsi="Verdana"/>
          <w:sz w:val="20"/>
          <w:szCs w:val="20"/>
        </w:rPr>
      </w:pPr>
      <w:r w:rsidRPr="00B07D31">
        <w:rPr>
          <w:rFonts w:ascii="Verdana" w:hAnsi="Verdana"/>
          <w:sz w:val="20"/>
          <w:szCs w:val="20"/>
        </w:rPr>
        <w:t>The following sections provide an overview of how each part of the proposed WoE approach as sho</w:t>
      </w:r>
      <w:r w:rsidR="00B24E35" w:rsidRPr="00B07D31">
        <w:rPr>
          <w:rFonts w:ascii="Verdana" w:hAnsi="Verdana"/>
          <w:sz w:val="20"/>
          <w:szCs w:val="20"/>
        </w:rPr>
        <w:t>wn in figure 1 of this document</w:t>
      </w:r>
      <w:r w:rsidRPr="00B07D31">
        <w:rPr>
          <w:rFonts w:ascii="Verdana" w:hAnsi="Verdana"/>
          <w:sz w:val="20"/>
          <w:szCs w:val="20"/>
        </w:rPr>
        <w:t xml:space="preserve"> can be interpreted/filled in</w:t>
      </w:r>
      <w:r w:rsidR="00615E8D">
        <w:rPr>
          <w:rFonts w:ascii="Verdana" w:hAnsi="Verdana"/>
          <w:sz w:val="20"/>
          <w:szCs w:val="20"/>
        </w:rPr>
        <w:t>,</w:t>
      </w:r>
      <w:r w:rsidR="007F531A">
        <w:rPr>
          <w:rFonts w:ascii="Verdana" w:hAnsi="Verdana"/>
          <w:sz w:val="20"/>
          <w:szCs w:val="20"/>
        </w:rPr>
        <w:t xml:space="preserve"> in addition to the recommendations provided within the Template for WoE/Uncertainty</w:t>
      </w:r>
      <w:r w:rsidRPr="00B07D31">
        <w:rPr>
          <w:rFonts w:ascii="Verdana" w:hAnsi="Verdana"/>
          <w:sz w:val="20"/>
          <w:szCs w:val="20"/>
        </w:rPr>
        <w:t>.</w:t>
      </w:r>
    </w:p>
    <w:p w14:paraId="718CD75D" w14:textId="77777777" w:rsidR="00A02211" w:rsidRDefault="00A02211">
      <w:pPr>
        <w:rPr>
          <w:rFonts w:ascii="Verdana" w:eastAsiaTheme="majorEastAsia" w:hAnsi="Verdana" w:cstheme="majorBidi"/>
          <w:color w:val="2E74B5" w:themeColor="accent1" w:themeShade="BF"/>
          <w:sz w:val="26"/>
          <w:szCs w:val="26"/>
        </w:rPr>
      </w:pPr>
      <w:r>
        <w:rPr>
          <w:rFonts w:ascii="Verdana" w:hAnsi="Verdana"/>
        </w:rPr>
        <w:br w:type="page"/>
      </w:r>
    </w:p>
    <w:p w14:paraId="718CD75E" w14:textId="708B0D90" w:rsidR="004F096F" w:rsidRPr="002B1CE8" w:rsidRDefault="005C5486" w:rsidP="002B1CE8">
      <w:pPr>
        <w:pStyle w:val="Heading2"/>
        <w:ind w:left="1080" w:hanging="720"/>
        <w:rPr>
          <w:rFonts w:ascii="Verdana" w:eastAsia="Times New Roman" w:hAnsi="Verdana" w:cs="Arial"/>
          <w:b/>
          <w:snapToGrid w:val="0"/>
          <w:color w:val="0046AD"/>
          <w:sz w:val="24"/>
          <w:szCs w:val="22"/>
          <w:lang w:eastAsia="fi-FI"/>
        </w:rPr>
      </w:pPr>
      <w:bookmarkStart w:id="12" w:name="_Toc499654088"/>
      <w:r w:rsidRPr="002B1CE8">
        <w:rPr>
          <w:rFonts w:ascii="Verdana" w:eastAsia="Times New Roman" w:hAnsi="Verdana" w:cs="Arial"/>
          <w:b/>
          <w:snapToGrid w:val="0"/>
          <w:color w:val="0046AD"/>
          <w:sz w:val="24"/>
          <w:szCs w:val="22"/>
          <w:lang w:eastAsia="fi-FI"/>
        </w:rPr>
        <w:lastRenderedPageBreak/>
        <w:t xml:space="preserve">2.1 </w:t>
      </w:r>
      <w:r w:rsidR="004F096F" w:rsidRPr="002B1CE8">
        <w:rPr>
          <w:rFonts w:ascii="Verdana" w:eastAsia="Times New Roman" w:hAnsi="Verdana" w:cs="Arial"/>
          <w:b/>
          <w:snapToGrid w:val="0"/>
          <w:color w:val="0046AD"/>
          <w:sz w:val="24"/>
          <w:szCs w:val="22"/>
          <w:lang w:eastAsia="fi-FI"/>
        </w:rPr>
        <w:t>Problem Formulation</w:t>
      </w:r>
      <w:bookmarkEnd w:id="12"/>
    </w:p>
    <w:p w14:paraId="718CD75F" w14:textId="77777777" w:rsidR="00A02211" w:rsidRPr="00A02211" w:rsidRDefault="00A02211" w:rsidP="00A02211"/>
    <w:p w14:paraId="718CD760" w14:textId="331A1D0B" w:rsidR="004F096F" w:rsidRPr="00B07D31" w:rsidRDefault="004F096F" w:rsidP="004F096F">
      <w:pPr>
        <w:rPr>
          <w:rFonts w:ascii="Verdana" w:hAnsi="Verdana"/>
          <w:sz w:val="20"/>
          <w:szCs w:val="20"/>
        </w:rPr>
      </w:pPr>
      <w:r w:rsidRPr="00B07D31">
        <w:rPr>
          <w:rFonts w:ascii="Verdana" w:hAnsi="Verdana"/>
          <w:sz w:val="20"/>
          <w:szCs w:val="20"/>
        </w:rPr>
        <w:t xml:space="preserve">Problem formulation, as described within WHO/IPCS publications, defines the scope and goals in relation to the assessment, the level of uncertainty that is acceptable as well as the urgency of the assessment. </w:t>
      </w:r>
    </w:p>
    <w:p w14:paraId="718CD761" w14:textId="7129C29D" w:rsidR="004F096F" w:rsidRPr="00B07D31" w:rsidRDefault="004F096F" w:rsidP="004F096F">
      <w:pPr>
        <w:rPr>
          <w:rFonts w:ascii="Verdana" w:hAnsi="Verdana"/>
          <w:sz w:val="20"/>
          <w:szCs w:val="20"/>
        </w:rPr>
      </w:pPr>
      <w:r w:rsidRPr="00B07D31">
        <w:rPr>
          <w:rFonts w:ascii="Verdana" w:hAnsi="Verdana"/>
          <w:sz w:val="20"/>
          <w:szCs w:val="20"/>
        </w:rPr>
        <w:t>In practi</w:t>
      </w:r>
      <w:r w:rsidR="00993C54">
        <w:rPr>
          <w:rFonts w:ascii="Verdana" w:hAnsi="Verdana"/>
          <w:sz w:val="20"/>
          <w:szCs w:val="20"/>
        </w:rPr>
        <w:t>c</w:t>
      </w:r>
      <w:r w:rsidRPr="00B07D31">
        <w:rPr>
          <w:rFonts w:ascii="Verdana" w:hAnsi="Verdana"/>
          <w:sz w:val="20"/>
          <w:szCs w:val="20"/>
        </w:rPr>
        <w:t xml:space="preserve">e, problem formulations that ECHA will encounter correspond to the processes under REACH, CLP, and BPR. The actors involved can vary being either the registrant, a CA submitting a dossier, ECHA evaluating a dossier etc. </w:t>
      </w:r>
    </w:p>
    <w:p w14:paraId="718CD762" w14:textId="77777777" w:rsidR="004F096F" w:rsidRPr="00B07D31" w:rsidRDefault="004F096F" w:rsidP="004F096F">
      <w:pPr>
        <w:rPr>
          <w:rFonts w:ascii="Verdana" w:hAnsi="Verdana"/>
          <w:sz w:val="20"/>
          <w:szCs w:val="20"/>
        </w:rPr>
      </w:pPr>
      <w:r w:rsidRPr="00B07D31">
        <w:rPr>
          <w:rFonts w:ascii="Verdana" w:hAnsi="Verdana"/>
          <w:i/>
          <w:sz w:val="20"/>
          <w:szCs w:val="20"/>
          <w:u w:val="single"/>
        </w:rPr>
        <w:t>Examples of problem formulation</w:t>
      </w:r>
      <w:r w:rsidRPr="00B07D31">
        <w:rPr>
          <w:rFonts w:ascii="Verdana" w:hAnsi="Verdana"/>
          <w:sz w:val="20"/>
          <w:szCs w:val="20"/>
        </w:rPr>
        <w:t xml:space="preserve"> within REACH/CLP/BPR processes are:</w:t>
      </w:r>
    </w:p>
    <w:p w14:paraId="718CD763" w14:textId="77777777" w:rsidR="004F096F" w:rsidRPr="00B07D31" w:rsidRDefault="004F096F" w:rsidP="004F096F">
      <w:pPr>
        <w:rPr>
          <w:rFonts w:ascii="Verdana" w:hAnsi="Verdana"/>
          <w:sz w:val="20"/>
          <w:szCs w:val="20"/>
        </w:rPr>
      </w:pPr>
      <w:r w:rsidRPr="00B07D31">
        <w:rPr>
          <w:rFonts w:ascii="Verdana" w:hAnsi="Verdana"/>
          <w:sz w:val="20"/>
          <w:szCs w:val="20"/>
        </w:rPr>
        <w:t>Hazard assessment related:</w:t>
      </w:r>
    </w:p>
    <w:p w14:paraId="718CD765" w14:textId="24CEAE95" w:rsidR="004F096F" w:rsidRPr="008F5FEC" w:rsidRDefault="004F096F" w:rsidP="00233E2A">
      <w:pPr>
        <w:pStyle w:val="ListParagraph"/>
        <w:numPr>
          <w:ilvl w:val="0"/>
          <w:numId w:val="13"/>
        </w:numPr>
        <w:spacing w:before="240" w:after="100" w:afterAutospacing="1"/>
        <w:ind w:left="714" w:hanging="357"/>
        <w:contextualSpacing w:val="0"/>
      </w:pPr>
      <w:r w:rsidRPr="00B07D31">
        <w:t>PBT assessment: does the substance fulfil the PBT criteria?</w:t>
      </w:r>
    </w:p>
    <w:p w14:paraId="718CD767" w14:textId="50FC0675" w:rsidR="004F096F" w:rsidRPr="00B07D31" w:rsidRDefault="004F096F" w:rsidP="00233E2A">
      <w:pPr>
        <w:pStyle w:val="ListParagraph"/>
        <w:numPr>
          <w:ilvl w:val="0"/>
          <w:numId w:val="13"/>
        </w:numPr>
        <w:spacing w:before="240" w:after="100" w:afterAutospacing="1"/>
        <w:ind w:left="714" w:hanging="357"/>
        <w:contextualSpacing w:val="0"/>
      </w:pPr>
      <w:r w:rsidRPr="00B07D31">
        <w:t xml:space="preserve">SVHC/ED: </w:t>
      </w:r>
      <w:r w:rsidR="0096129A" w:rsidRPr="0096129A">
        <w:t>Is the substance an endocrine disrupter meeting Art. 57(f)</w:t>
      </w:r>
      <w:r w:rsidR="0096129A">
        <w:t>?</w:t>
      </w:r>
      <w:r w:rsidRPr="00B07D31">
        <w:t>?</w:t>
      </w:r>
    </w:p>
    <w:p w14:paraId="718CD769" w14:textId="3496526F" w:rsidR="004F096F" w:rsidRPr="008F5FEC" w:rsidRDefault="004F096F" w:rsidP="00233E2A">
      <w:pPr>
        <w:pStyle w:val="ListParagraph"/>
        <w:numPr>
          <w:ilvl w:val="0"/>
          <w:numId w:val="13"/>
        </w:numPr>
        <w:spacing w:before="240" w:after="100" w:afterAutospacing="1"/>
        <w:ind w:left="714" w:hanging="357"/>
        <w:contextualSpacing w:val="0"/>
      </w:pPr>
      <w:r w:rsidRPr="00B07D31">
        <w:t xml:space="preserve">C&amp;L: </w:t>
      </w:r>
      <w:r w:rsidR="005B5B73" w:rsidRPr="005B5B73">
        <w:t xml:space="preserve">is there sufficient scientific evidence that </w:t>
      </w:r>
      <w:r w:rsidR="00AD77B9" w:rsidRPr="005B5B73">
        <w:t>the mechanism</w:t>
      </w:r>
      <w:r w:rsidR="005B5B73" w:rsidRPr="005B5B73">
        <w:t>/ mode of action or end-point specific (adverse) effect is not relevant to humans?</w:t>
      </w:r>
    </w:p>
    <w:p w14:paraId="718CD76D" w14:textId="2BCB60C3" w:rsidR="004F096F" w:rsidRPr="00B07D31" w:rsidRDefault="00993C54" w:rsidP="00233E2A">
      <w:pPr>
        <w:pStyle w:val="ListParagraph"/>
        <w:numPr>
          <w:ilvl w:val="0"/>
          <w:numId w:val="13"/>
        </w:numPr>
        <w:spacing w:before="240" w:after="100" w:afterAutospacing="1"/>
        <w:ind w:left="714" w:hanging="357"/>
        <w:contextualSpacing w:val="0"/>
      </w:pPr>
      <w:r>
        <w:t>REACH</w:t>
      </w:r>
      <w:r w:rsidR="004F096F" w:rsidRPr="00B07D31">
        <w:t>/BPR/CLP: Is there sufficient evidence to conclude on</w:t>
      </w:r>
      <w:r w:rsidR="009046CE">
        <w:t xml:space="preserve"> the presence or absence</w:t>
      </w:r>
      <w:r w:rsidR="004F096F" w:rsidRPr="00B07D31">
        <w:t xml:space="preserve"> hazardous properties for a specific endpoint?</w:t>
      </w:r>
    </w:p>
    <w:p w14:paraId="718CD76E" w14:textId="77777777" w:rsidR="004F096F" w:rsidRPr="00B07D31" w:rsidRDefault="004F096F" w:rsidP="00233E2A">
      <w:pPr>
        <w:pStyle w:val="ListParagraph"/>
        <w:numPr>
          <w:ilvl w:val="0"/>
          <w:numId w:val="13"/>
        </w:numPr>
        <w:spacing w:before="240" w:after="100" w:afterAutospacing="1"/>
        <w:ind w:left="714" w:hanging="357"/>
        <w:contextualSpacing w:val="0"/>
      </w:pPr>
      <w:r w:rsidRPr="00B07D31">
        <w:t>REACH/BPR: Adaptation of information requirements according to Annex XI (REACH)/ Annex IV (BPR) provisions (e.g. adaptation based on Weight of evidence approach, adaptation based on Read-across approach etc.). Is the registrants WoE adaptation adequate?</w:t>
      </w:r>
    </w:p>
    <w:p w14:paraId="718CD76F" w14:textId="77777777" w:rsidR="004F096F" w:rsidRPr="00B07D31" w:rsidRDefault="004F096F" w:rsidP="004F096F">
      <w:pPr>
        <w:pStyle w:val="ListParagraph"/>
      </w:pPr>
    </w:p>
    <w:p w14:paraId="718CD770" w14:textId="09BED7D0" w:rsidR="004F096F" w:rsidRPr="00B07D31" w:rsidRDefault="004F096F" w:rsidP="004F096F">
      <w:pPr>
        <w:rPr>
          <w:rFonts w:ascii="Verdana" w:hAnsi="Verdana"/>
          <w:sz w:val="20"/>
          <w:szCs w:val="20"/>
        </w:rPr>
      </w:pPr>
      <w:r w:rsidRPr="00B07D31">
        <w:rPr>
          <w:rFonts w:ascii="Verdana" w:hAnsi="Verdana"/>
          <w:sz w:val="20"/>
          <w:szCs w:val="20"/>
        </w:rPr>
        <w:t>Risk assessment</w:t>
      </w:r>
      <w:r w:rsidR="001A71B8">
        <w:rPr>
          <w:rFonts w:ascii="Verdana" w:hAnsi="Verdana"/>
          <w:sz w:val="20"/>
          <w:szCs w:val="20"/>
        </w:rPr>
        <w:t>/impact</w:t>
      </w:r>
      <w:r w:rsidRPr="00B07D31">
        <w:rPr>
          <w:rFonts w:ascii="Verdana" w:hAnsi="Verdana"/>
          <w:sz w:val="20"/>
          <w:szCs w:val="20"/>
        </w:rPr>
        <w:t xml:space="preserve"> related: </w:t>
      </w:r>
    </w:p>
    <w:p w14:paraId="718CD771" w14:textId="28B24A86" w:rsidR="004F096F" w:rsidRPr="00B07D31" w:rsidRDefault="004F096F" w:rsidP="00233E2A">
      <w:pPr>
        <w:pStyle w:val="ListParagraph"/>
        <w:numPr>
          <w:ilvl w:val="0"/>
          <w:numId w:val="13"/>
        </w:numPr>
      </w:pPr>
      <w:r w:rsidRPr="00B07D31">
        <w:t xml:space="preserve">Assessment of authorisation applications: risk/benefit analysis, e.g. </w:t>
      </w:r>
      <w:r w:rsidR="0096129A">
        <w:t>d</w:t>
      </w:r>
      <w:r w:rsidRPr="00B07D31">
        <w:t>o the benefits outweigh the identified risks?</w:t>
      </w:r>
    </w:p>
    <w:p w14:paraId="718CD772" w14:textId="77777777" w:rsidR="004F096F" w:rsidRPr="00B07D31" w:rsidRDefault="004F096F" w:rsidP="004F096F">
      <w:pPr>
        <w:rPr>
          <w:rFonts w:ascii="Verdana" w:hAnsi="Verdana"/>
          <w:sz w:val="20"/>
          <w:szCs w:val="20"/>
        </w:rPr>
      </w:pPr>
    </w:p>
    <w:p w14:paraId="718CD773" w14:textId="213210B6" w:rsidR="004F096F" w:rsidRPr="00B07D31" w:rsidRDefault="004F096F" w:rsidP="004F096F">
      <w:pPr>
        <w:rPr>
          <w:rFonts w:ascii="Verdana" w:hAnsi="Verdana"/>
          <w:sz w:val="20"/>
          <w:szCs w:val="20"/>
        </w:rPr>
      </w:pPr>
      <w:r w:rsidRPr="00B07D31">
        <w:rPr>
          <w:rFonts w:ascii="Verdana" w:hAnsi="Verdana"/>
          <w:sz w:val="20"/>
          <w:szCs w:val="20"/>
        </w:rPr>
        <w:t>Problem formulation can be phrased either as general</w:t>
      </w:r>
      <w:r w:rsidR="0096129A">
        <w:rPr>
          <w:rFonts w:ascii="Verdana" w:hAnsi="Verdana"/>
          <w:sz w:val="20"/>
          <w:szCs w:val="20"/>
        </w:rPr>
        <w:t xml:space="preserve"> question</w:t>
      </w:r>
      <w:r w:rsidRPr="00B07D31">
        <w:rPr>
          <w:rFonts w:ascii="Verdana" w:hAnsi="Verdana"/>
          <w:sz w:val="20"/>
          <w:szCs w:val="20"/>
        </w:rPr>
        <w:t xml:space="preserve"> in relation to a specific process or can have additional sub-questions that would assist the assessor to perform WoE/uncertainty analysis (for example with specific questions on the elaboration on Mode of action (MoA) analysis and human relevance). </w:t>
      </w:r>
    </w:p>
    <w:p w14:paraId="4DFBAFD8" w14:textId="6E1FBA21" w:rsidR="00416692" w:rsidRDefault="004F096F" w:rsidP="004F096F">
      <w:pPr>
        <w:rPr>
          <w:rFonts w:ascii="Verdana" w:hAnsi="Verdana"/>
          <w:sz w:val="20"/>
          <w:szCs w:val="20"/>
        </w:rPr>
      </w:pPr>
      <w:r w:rsidRPr="00B07D31">
        <w:rPr>
          <w:rFonts w:ascii="Verdana" w:hAnsi="Verdana"/>
          <w:sz w:val="20"/>
          <w:szCs w:val="20"/>
        </w:rPr>
        <w:t>The process of WoE and uncertainty analysis are iterative processes linking the conclusion with the problem formulation and answering the question “Do we know enough to characterise a physio-chemical, (eco)toxicological property of a substance</w:t>
      </w:r>
      <w:r w:rsidR="009539DE">
        <w:rPr>
          <w:rFonts w:ascii="Verdana" w:hAnsi="Verdana"/>
          <w:sz w:val="20"/>
          <w:szCs w:val="20"/>
        </w:rPr>
        <w:t>?</w:t>
      </w:r>
      <w:r w:rsidRPr="00B07D31">
        <w:rPr>
          <w:rFonts w:ascii="Verdana" w:hAnsi="Verdana"/>
          <w:sz w:val="20"/>
          <w:szCs w:val="20"/>
        </w:rPr>
        <w:t>”. The same applies for risk assessment related aspects (hazard + exposure). The level of uncertainty/confidence that will be acceptable depends on the goals set within the problem formulation.</w:t>
      </w:r>
    </w:p>
    <w:p w14:paraId="718CD774" w14:textId="08689C5D" w:rsidR="00135C62" w:rsidRDefault="004F096F" w:rsidP="004F096F">
      <w:pPr>
        <w:rPr>
          <w:rFonts w:ascii="Verdana" w:hAnsi="Verdana"/>
        </w:rPr>
      </w:pPr>
      <w:r w:rsidRPr="004F096F">
        <w:rPr>
          <w:rFonts w:ascii="Verdana" w:hAnsi="Verdana"/>
        </w:rPr>
        <w:t xml:space="preserve"> </w:t>
      </w:r>
    </w:p>
    <w:p w14:paraId="6331CBE9" w14:textId="21CBA8EF" w:rsidR="004F096F" w:rsidRPr="004F096F" w:rsidRDefault="00135C62" w:rsidP="004F096F">
      <w:pPr>
        <w:rPr>
          <w:rFonts w:ascii="Verdana" w:hAnsi="Verdana"/>
        </w:rPr>
      </w:pPr>
      <w:r>
        <w:rPr>
          <w:rFonts w:ascii="Verdana" w:hAnsi="Verdana"/>
        </w:rPr>
        <w:br w:type="page"/>
      </w:r>
    </w:p>
    <w:p w14:paraId="5B449262" w14:textId="2B5A8488" w:rsidR="002058E7" w:rsidRPr="002B1CE8" w:rsidRDefault="005C5486" w:rsidP="002B1CE8">
      <w:pPr>
        <w:pStyle w:val="Heading2"/>
        <w:ind w:left="1080" w:hanging="720"/>
        <w:rPr>
          <w:rFonts w:ascii="Verdana" w:eastAsia="Times New Roman" w:hAnsi="Verdana" w:cs="Arial"/>
          <w:b/>
          <w:snapToGrid w:val="0"/>
          <w:color w:val="0046AD"/>
          <w:sz w:val="24"/>
          <w:szCs w:val="22"/>
          <w:lang w:eastAsia="fi-FI"/>
        </w:rPr>
      </w:pPr>
      <w:bookmarkStart w:id="13" w:name="_Toc499654089"/>
      <w:r w:rsidRPr="002B1CE8">
        <w:rPr>
          <w:rFonts w:ascii="Verdana" w:eastAsia="Times New Roman" w:hAnsi="Verdana" w:cs="Arial"/>
          <w:b/>
          <w:snapToGrid w:val="0"/>
          <w:color w:val="0046AD"/>
          <w:sz w:val="24"/>
          <w:szCs w:val="22"/>
          <w:lang w:eastAsia="fi-FI"/>
        </w:rPr>
        <w:lastRenderedPageBreak/>
        <w:t>2</w:t>
      </w:r>
      <w:r w:rsidR="00A02211" w:rsidRPr="002B1CE8">
        <w:rPr>
          <w:rFonts w:ascii="Verdana" w:eastAsia="Times New Roman" w:hAnsi="Verdana" w:cs="Arial"/>
          <w:b/>
          <w:snapToGrid w:val="0"/>
          <w:color w:val="0046AD"/>
          <w:sz w:val="24"/>
          <w:szCs w:val="22"/>
          <w:lang w:eastAsia="fi-FI"/>
        </w:rPr>
        <w:t xml:space="preserve">.2 </w:t>
      </w:r>
      <w:r w:rsidR="001C2809" w:rsidRPr="002B1CE8">
        <w:rPr>
          <w:rFonts w:ascii="Verdana" w:eastAsia="Times New Roman" w:hAnsi="Verdana" w:cs="Arial"/>
          <w:b/>
          <w:snapToGrid w:val="0"/>
          <w:color w:val="0046AD"/>
          <w:sz w:val="24"/>
          <w:szCs w:val="22"/>
          <w:lang w:eastAsia="fi-FI"/>
        </w:rPr>
        <w:t>Collection</w:t>
      </w:r>
      <w:r w:rsidR="002058E7" w:rsidRPr="002B1CE8">
        <w:rPr>
          <w:rFonts w:ascii="Verdana" w:eastAsia="Times New Roman" w:hAnsi="Verdana" w:cs="Arial"/>
          <w:b/>
          <w:snapToGrid w:val="0"/>
          <w:color w:val="0046AD"/>
          <w:sz w:val="24"/>
          <w:szCs w:val="22"/>
          <w:lang w:eastAsia="fi-FI"/>
        </w:rPr>
        <w:t xml:space="preserve"> and documentation of </w:t>
      </w:r>
      <w:r w:rsidR="00416692" w:rsidRPr="002B1CE8">
        <w:rPr>
          <w:rFonts w:ascii="Verdana" w:eastAsia="Times New Roman" w:hAnsi="Verdana" w:cs="Arial"/>
          <w:b/>
          <w:snapToGrid w:val="0"/>
          <w:color w:val="0046AD"/>
          <w:sz w:val="24"/>
          <w:szCs w:val="22"/>
          <w:lang w:eastAsia="fi-FI"/>
        </w:rPr>
        <w:t>all information</w:t>
      </w:r>
      <w:bookmarkEnd w:id="13"/>
      <w:r w:rsidR="001C2809" w:rsidRPr="002B1CE8">
        <w:rPr>
          <w:rFonts w:ascii="Verdana" w:eastAsia="Times New Roman" w:hAnsi="Verdana" w:cs="Arial"/>
          <w:b/>
          <w:snapToGrid w:val="0"/>
          <w:color w:val="0046AD"/>
          <w:sz w:val="24"/>
          <w:szCs w:val="22"/>
          <w:lang w:eastAsia="fi-FI"/>
        </w:rPr>
        <w:t xml:space="preserve"> </w:t>
      </w:r>
    </w:p>
    <w:p w14:paraId="70322074" w14:textId="77777777" w:rsidR="002058E7" w:rsidRDefault="002058E7" w:rsidP="00623F1E">
      <w:pPr>
        <w:tabs>
          <w:tab w:val="left" w:pos="255"/>
        </w:tabs>
        <w:rPr>
          <w:rFonts w:ascii="Verdana" w:hAnsi="Verdana"/>
          <w:sz w:val="20"/>
          <w:szCs w:val="20"/>
        </w:rPr>
      </w:pPr>
    </w:p>
    <w:p w14:paraId="718CD775" w14:textId="05DCF444" w:rsidR="001C2809" w:rsidRPr="00623F1E" w:rsidRDefault="002058E7" w:rsidP="00623F1E">
      <w:pPr>
        <w:tabs>
          <w:tab w:val="left" w:pos="255"/>
        </w:tabs>
        <w:rPr>
          <w:rFonts w:ascii="Verdana" w:hAnsi="Verdana"/>
          <w:b/>
          <w:sz w:val="20"/>
          <w:szCs w:val="20"/>
        </w:rPr>
      </w:pPr>
      <w:r w:rsidRPr="00623F1E">
        <w:rPr>
          <w:rFonts w:ascii="Verdana" w:hAnsi="Verdana"/>
          <w:b/>
          <w:sz w:val="20"/>
          <w:szCs w:val="20"/>
        </w:rPr>
        <w:t>D</w:t>
      </w:r>
      <w:r w:rsidR="001C2809" w:rsidRPr="00623F1E">
        <w:rPr>
          <w:rFonts w:ascii="Verdana" w:hAnsi="Verdana"/>
          <w:b/>
          <w:sz w:val="20"/>
          <w:szCs w:val="20"/>
        </w:rPr>
        <w:t>ocumentation of search strategy &amp; documentation/reporting of evidence</w:t>
      </w:r>
    </w:p>
    <w:p w14:paraId="718CD777" w14:textId="02E4A922" w:rsidR="001C2809" w:rsidRPr="001C2809" w:rsidRDefault="001C2809" w:rsidP="001C2809">
      <w:pPr>
        <w:tabs>
          <w:tab w:val="left" w:pos="255"/>
        </w:tabs>
        <w:rPr>
          <w:rFonts w:ascii="Verdana" w:hAnsi="Verdana"/>
          <w:sz w:val="20"/>
          <w:szCs w:val="20"/>
        </w:rPr>
      </w:pPr>
      <w:r w:rsidRPr="002A0F5D">
        <w:rPr>
          <w:rFonts w:ascii="Verdana" w:hAnsi="Verdana"/>
          <w:sz w:val="20"/>
          <w:szCs w:val="20"/>
        </w:rPr>
        <w:t>ECHA Guidance (IR/CSA R2-R6)</w:t>
      </w:r>
      <w:r w:rsidRPr="001C2809">
        <w:rPr>
          <w:rFonts w:ascii="Verdana" w:hAnsi="Verdana"/>
          <w:sz w:val="20"/>
          <w:szCs w:val="20"/>
        </w:rPr>
        <w:t xml:space="preserve"> provides a list of sources to be used for the collection of relevant </w:t>
      </w:r>
      <w:r w:rsidR="009539DE">
        <w:rPr>
          <w:rFonts w:ascii="Verdana" w:hAnsi="Verdana"/>
          <w:sz w:val="20"/>
          <w:szCs w:val="20"/>
        </w:rPr>
        <w:t>information/</w:t>
      </w:r>
      <w:r w:rsidRPr="001C2809">
        <w:rPr>
          <w:rFonts w:ascii="Verdana" w:hAnsi="Verdana"/>
          <w:sz w:val="20"/>
          <w:szCs w:val="20"/>
        </w:rPr>
        <w:t>evidence in regulatory hazard assessment.</w:t>
      </w:r>
    </w:p>
    <w:p w14:paraId="21321C0D" w14:textId="0EBDCFBF" w:rsidR="0091368C" w:rsidRPr="001C2809" w:rsidRDefault="0091368C" w:rsidP="0091368C">
      <w:pPr>
        <w:rPr>
          <w:rFonts w:ascii="Verdana" w:hAnsi="Verdana"/>
          <w:sz w:val="20"/>
          <w:szCs w:val="20"/>
        </w:rPr>
      </w:pPr>
      <w:r>
        <w:rPr>
          <w:rFonts w:ascii="Verdana" w:hAnsi="Verdana"/>
          <w:sz w:val="20"/>
          <w:szCs w:val="20"/>
        </w:rPr>
        <w:t xml:space="preserve">The </w:t>
      </w:r>
      <w:r w:rsidR="00D058FC">
        <w:rPr>
          <w:rFonts w:ascii="Verdana" w:hAnsi="Verdana"/>
          <w:sz w:val="20"/>
          <w:szCs w:val="20"/>
        </w:rPr>
        <w:t>s</w:t>
      </w:r>
      <w:r w:rsidRPr="009539DE">
        <w:rPr>
          <w:rFonts w:ascii="Verdana" w:hAnsi="Verdana"/>
          <w:sz w:val="20"/>
          <w:szCs w:val="20"/>
        </w:rPr>
        <w:t xml:space="preserve">earch strategy should be reported, as well as all </w:t>
      </w:r>
      <w:r>
        <w:rPr>
          <w:rFonts w:ascii="Verdana" w:hAnsi="Verdana"/>
          <w:sz w:val="20"/>
          <w:szCs w:val="20"/>
        </w:rPr>
        <w:t>evidence collected.</w:t>
      </w:r>
    </w:p>
    <w:p w14:paraId="718CD778" w14:textId="2F44FCF3" w:rsidR="001C2809" w:rsidRDefault="001C2809" w:rsidP="001C2809">
      <w:pPr>
        <w:tabs>
          <w:tab w:val="left" w:pos="255"/>
        </w:tabs>
        <w:rPr>
          <w:rFonts w:ascii="Verdana" w:hAnsi="Verdana"/>
          <w:sz w:val="20"/>
          <w:szCs w:val="20"/>
        </w:rPr>
      </w:pPr>
      <w:r w:rsidRPr="001C2809">
        <w:rPr>
          <w:rFonts w:ascii="Verdana" w:hAnsi="Verdana"/>
          <w:sz w:val="20"/>
          <w:szCs w:val="20"/>
        </w:rPr>
        <w:t>IUCLID Section 13 should be used for the documentation by registrants and dossier submitters.</w:t>
      </w:r>
      <w:r w:rsidR="00D30582">
        <w:rPr>
          <w:rFonts w:ascii="Verdana" w:hAnsi="Verdana"/>
          <w:sz w:val="20"/>
          <w:szCs w:val="20"/>
        </w:rPr>
        <w:t xml:space="preserve"> A summary of the information collected can be provided as part of the WoE approach within the assessment report.</w:t>
      </w:r>
    </w:p>
    <w:p w14:paraId="1D1CB058" w14:textId="77777777" w:rsidR="00135C62" w:rsidRPr="001C2809" w:rsidRDefault="00135C62" w:rsidP="001C2809">
      <w:pPr>
        <w:tabs>
          <w:tab w:val="left" w:pos="255"/>
        </w:tabs>
        <w:rPr>
          <w:rFonts w:ascii="Verdana" w:hAnsi="Verdana"/>
          <w:sz w:val="20"/>
          <w:szCs w:val="20"/>
        </w:rPr>
      </w:pPr>
    </w:p>
    <w:p w14:paraId="718CD77A" w14:textId="20F88612" w:rsidR="001C2809" w:rsidRPr="002B1CE8" w:rsidRDefault="005C5486" w:rsidP="002B1CE8">
      <w:pPr>
        <w:pStyle w:val="Heading2"/>
        <w:ind w:left="1080" w:hanging="720"/>
        <w:rPr>
          <w:rFonts w:ascii="Verdana" w:eastAsia="Times New Roman" w:hAnsi="Verdana" w:cs="Arial"/>
          <w:b/>
          <w:snapToGrid w:val="0"/>
          <w:color w:val="0046AD"/>
          <w:sz w:val="24"/>
          <w:szCs w:val="22"/>
          <w:lang w:eastAsia="fi-FI"/>
        </w:rPr>
      </w:pPr>
      <w:bookmarkStart w:id="14" w:name="_Toc499654090"/>
      <w:r w:rsidRPr="002B1CE8">
        <w:rPr>
          <w:rFonts w:ascii="Verdana" w:eastAsia="Times New Roman" w:hAnsi="Verdana" w:cs="Arial"/>
          <w:b/>
          <w:snapToGrid w:val="0"/>
          <w:color w:val="0046AD"/>
          <w:sz w:val="24"/>
          <w:szCs w:val="22"/>
          <w:lang w:eastAsia="fi-FI"/>
        </w:rPr>
        <w:t>2</w:t>
      </w:r>
      <w:r w:rsidR="001C2809" w:rsidRPr="002B1CE8">
        <w:rPr>
          <w:rFonts w:ascii="Verdana" w:eastAsia="Times New Roman" w:hAnsi="Verdana" w:cs="Arial"/>
          <w:b/>
          <w:snapToGrid w:val="0"/>
          <w:color w:val="0046AD"/>
          <w:sz w:val="24"/>
          <w:szCs w:val="22"/>
          <w:lang w:eastAsia="fi-FI"/>
        </w:rPr>
        <w:t xml:space="preserve">.3 Assessment of </w:t>
      </w:r>
      <w:r w:rsidR="002058E7" w:rsidRPr="002B1CE8">
        <w:rPr>
          <w:rFonts w:ascii="Verdana" w:eastAsia="Times New Roman" w:hAnsi="Verdana" w:cs="Arial"/>
          <w:b/>
          <w:snapToGrid w:val="0"/>
          <w:color w:val="0046AD"/>
          <w:sz w:val="24"/>
          <w:szCs w:val="22"/>
          <w:lang w:eastAsia="fi-FI"/>
        </w:rPr>
        <w:t xml:space="preserve">quality of </w:t>
      </w:r>
      <w:r w:rsidR="001C2809" w:rsidRPr="002B1CE8">
        <w:rPr>
          <w:rFonts w:ascii="Verdana" w:eastAsia="Times New Roman" w:hAnsi="Verdana" w:cs="Arial"/>
          <w:b/>
          <w:snapToGrid w:val="0"/>
          <w:color w:val="0046AD"/>
          <w:sz w:val="24"/>
          <w:szCs w:val="22"/>
          <w:lang w:eastAsia="fi-FI"/>
        </w:rPr>
        <w:t>individual evidence</w:t>
      </w:r>
      <w:bookmarkEnd w:id="14"/>
      <w:r w:rsidR="001C2809" w:rsidRPr="002B1CE8">
        <w:rPr>
          <w:rFonts w:ascii="Verdana" w:eastAsia="Times New Roman" w:hAnsi="Verdana" w:cs="Arial"/>
          <w:b/>
          <w:snapToGrid w:val="0"/>
          <w:color w:val="0046AD"/>
          <w:sz w:val="24"/>
          <w:szCs w:val="22"/>
          <w:lang w:eastAsia="fi-FI"/>
        </w:rPr>
        <w:t xml:space="preserve"> </w:t>
      </w:r>
    </w:p>
    <w:p w14:paraId="718CD77B" w14:textId="77777777" w:rsidR="001C2809" w:rsidRDefault="001C2809" w:rsidP="001C2809">
      <w:pPr>
        <w:tabs>
          <w:tab w:val="left" w:pos="255"/>
        </w:tabs>
      </w:pPr>
    </w:p>
    <w:p w14:paraId="718CD77D" w14:textId="22D78CE8" w:rsidR="001C2809" w:rsidRPr="001C2809" w:rsidRDefault="001C2809" w:rsidP="001C2809">
      <w:pPr>
        <w:tabs>
          <w:tab w:val="left" w:pos="255"/>
        </w:tabs>
        <w:rPr>
          <w:rFonts w:ascii="Verdana" w:hAnsi="Verdana"/>
          <w:sz w:val="20"/>
          <w:szCs w:val="20"/>
        </w:rPr>
      </w:pPr>
      <w:r w:rsidRPr="001C2809">
        <w:rPr>
          <w:rFonts w:ascii="Verdana" w:hAnsi="Verdana"/>
          <w:sz w:val="20"/>
          <w:szCs w:val="20"/>
        </w:rPr>
        <w:t xml:space="preserve">For regulatory processes (REACH, BPR) the ECHA Guidance IR/CSA R.4 provides the elements for the assessment of the quality of data (on the basis of reliability, relevance and adequacy). The </w:t>
      </w:r>
      <w:r w:rsidRPr="00623F1E">
        <w:rPr>
          <w:rFonts w:ascii="Verdana" w:hAnsi="Verdana"/>
          <w:b/>
          <w:sz w:val="20"/>
          <w:szCs w:val="20"/>
        </w:rPr>
        <w:t>Klimisch criteria</w:t>
      </w:r>
      <w:r w:rsidRPr="001C2809">
        <w:rPr>
          <w:rFonts w:ascii="Verdana" w:hAnsi="Verdana"/>
          <w:sz w:val="20"/>
          <w:szCs w:val="20"/>
        </w:rPr>
        <w:t xml:space="preserve"> are proposed for the assessment of reliability of experimental </w:t>
      </w:r>
      <w:r w:rsidR="001A71B8">
        <w:rPr>
          <w:rFonts w:ascii="Verdana" w:hAnsi="Verdana"/>
          <w:sz w:val="20"/>
          <w:szCs w:val="20"/>
        </w:rPr>
        <w:t>studies</w:t>
      </w:r>
      <w:r w:rsidRPr="001C2809">
        <w:rPr>
          <w:rFonts w:ascii="Verdana" w:hAnsi="Verdana"/>
          <w:sz w:val="20"/>
          <w:szCs w:val="20"/>
        </w:rPr>
        <w:t>.  For evidence that do not fulfil Klimisch criteria, the assessment is considered within the frame of the integration of evidence regarding consistency/</w:t>
      </w:r>
      <w:r w:rsidR="00D058FC">
        <w:rPr>
          <w:rFonts w:ascii="Verdana" w:hAnsi="Verdana"/>
          <w:sz w:val="20"/>
          <w:szCs w:val="20"/>
        </w:rPr>
        <w:t xml:space="preserve"> </w:t>
      </w:r>
      <w:r w:rsidRPr="001C2809">
        <w:rPr>
          <w:rFonts w:ascii="Verdana" w:hAnsi="Verdana"/>
          <w:sz w:val="20"/>
          <w:szCs w:val="20"/>
        </w:rPr>
        <w:t>specificity rather than dismissing the evidence as non-relevant beforehand.</w:t>
      </w:r>
    </w:p>
    <w:p w14:paraId="718CD77E" w14:textId="424574CD" w:rsidR="001C2809" w:rsidRDefault="001C2809" w:rsidP="001C2809">
      <w:pPr>
        <w:tabs>
          <w:tab w:val="left" w:pos="255"/>
        </w:tabs>
        <w:rPr>
          <w:rFonts w:ascii="Verdana" w:hAnsi="Verdana"/>
          <w:sz w:val="20"/>
          <w:szCs w:val="20"/>
        </w:rPr>
      </w:pPr>
      <w:r w:rsidRPr="001C2809">
        <w:rPr>
          <w:rFonts w:ascii="Verdana" w:hAnsi="Verdana"/>
          <w:sz w:val="20"/>
          <w:szCs w:val="20"/>
        </w:rPr>
        <w:t xml:space="preserve">For other type of evidence (e.g. QSAR, use of read-across, non-standard </w:t>
      </w:r>
      <w:r w:rsidRPr="001C2809">
        <w:rPr>
          <w:rFonts w:ascii="Verdana" w:hAnsi="Verdana"/>
          <w:i/>
          <w:sz w:val="20"/>
          <w:szCs w:val="20"/>
        </w:rPr>
        <w:t>in vitro</w:t>
      </w:r>
      <w:r w:rsidRPr="001C2809">
        <w:rPr>
          <w:rFonts w:ascii="Verdana" w:hAnsi="Verdana"/>
          <w:sz w:val="20"/>
          <w:szCs w:val="20"/>
        </w:rPr>
        <w:t xml:space="preserve"> assays) ECHA Guidance provides criteria for their </w:t>
      </w:r>
      <w:r w:rsidRPr="006C0D19">
        <w:rPr>
          <w:rFonts w:ascii="Verdana" w:hAnsi="Verdana"/>
          <w:sz w:val="20"/>
          <w:szCs w:val="20"/>
        </w:rPr>
        <w:t>assessment</w:t>
      </w:r>
      <w:r w:rsidR="00906780" w:rsidRPr="006C0D19">
        <w:rPr>
          <w:rFonts w:ascii="Verdana" w:hAnsi="Verdana"/>
          <w:sz w:val="20"/>
          <w:szCs w:val="20"/>
        </w:rPr>
        <w:t xml:space="preserve"> (</w:t>
      </w:r>
      <w:r w:rsidR="00906780" w:rsidRPr="008F5FEC">
        <w:rPr>
          <w:rFonts w:ascii="Verdana" w:hAnsi="Verdana"/>
          <w:sz w:val="20"/>
          <w:szCs w:val="20"/>
        </w:rPr>
        <w:t>ECHA Guidance IR/CSA R.4 &amp; R.6</w:t>
      </w:r>
      <w:r w:rsidR="00906780" w:rsidRPr="006C0D19">
        <w:rPr>
          <w:rFonts w:ascii="Verdana" w:hAnsi="Verdana"/>
          <w:sz w:val="18"/>
          <w:szCs w:val="18"/>
        </w:rPr>
        <w:t>).</w:t>
      </w:r>
      <w:r w:rsidRPr="001C2809">
        <w:rPr>
          <w:rFonts w:ascii="Verdana" w:hAnsi="Verdana"/>
          <w:sz w:val="20"/>
          <w:szCs w:val="20"/>
        </w:rPr>
        <w:t xml:space="preserve"> </w:t>
      </w:r>
    </w:p>
    <w:p w14:paraId="04294253" w14:textId="7D9EB21D" w:rsidR="003B7FEF" w:rsidRDefault="003B7FEF" w:rsidP="001C2809">
      <w:pPr>
        <w:tabs>
          <w:tab w:val="left" w:pos="255"/>
        </w:tabs>
        <w:rPr>
          <w:rFonts w:ascii="Verdana" w:hAnsi="Verdana"/>
          <w:sz w:val="20"/>
          <w:szCs w:val="20"/>
        </w:rPr>
      </w:pPr>
      <w:r>
        <w:rPr>
          <w:rFonts w:ascii="Verdana" w:hAnsi="Verdana"/>
          <w:sz w:val="20"/>
          <w:szCs w:val="20"/>
        </w:rPr>
        <w:t>For the assessment of relevance and adequacy ECHA Guidance IR/CSA R.4 and the Template for WoE/</w:t>
      </w:r>
      <w:r w:rsidR="001A71B8">
        <w:rPr>
          <w:rFonts w:ascii="Verdana" w:hAnsi="Verdana"/>
          <w:sz w:val="20"/>
          <w:szCs w:val="20"/>
        </w:rPr>
        <w:t>u</w:t>
      </w:r>
      <w:r>
        <w:rPr>
          <w:rFonts w:ascii="Verdana" w:hAnsi="Verdana"/>
          <w:sz w:val="20"/>
          <w:szCs w:val="20"/>
        </w:rPr>
        <w:t>ncertainty provide the elements that need to be considered.</w:t>
      </w:r>
    </w:p>
    <w:p w14:paraId="4145762E" w14:textId="72DC4DAD" w:rsidR="00993C54" w:rsidRPr="001C2809" w:rsidRDefault="00993C54" w:rsidP="001C2809">
      <w:pPr>
        <w:tabs>
          <w:tab w:val="left" w:pos="255"/>
        </w:tabs>
        <w:rPr>
          <w:rFonts w:ascii="Verdana" w:hAnsi="Verdana"/>
          <w:sz w:val="20"/>
          <w:szCs w:val="20"/>
        </w:rPr>
      </w:pPr>
      <w:r>
        <w:rPr>
          <w:rFonts w:ascii="Verdana" w:hAnsi="Verdana"/>
          <w:sz w:val="20"/>
          <w:szCs w:val="20"/>
        </w:rPr>
        <w:t xml:space="preserve">Additional </w:t>
      </w:r>
      <w:r w:rsidRPr="00993C54">
        <w:rPr>
          <w:rFonts w:ascii="Verdana" w:hAnsi="Verdana"/>
          <w:sz w:val="20"/>
          <w:szCs w:val="20"/>
        </w:rPr>
        <w:t xml:space="preserve">examples </w:t>
      </w:r>
      <w:r>
        <w:rPr>
          <w:rFonts w:ascii="Verdana" w:hAnsi="Verdana"/>
          <w:sz w:val="20"/>
          <w:szCs w:val="20"/>
        </w:rPr>
        <w:t xml:space="preserve">are </w:t>
      </w:r>
      <w:r w:rsidRPr="00993C54">
        <w:rPr>
          <w:rFonts w:ascii="Verdana" w:hAnsi="Verdana"/>
          <w:sz w:val="20"/>
          <w:szCs w:val="20"/>
        </w:rPr>
        <w:t>given</w:t>
      </w:r>
      <w:r>
        <w:rPr>
          <w:rFonts w:ascii="Verdana" w:hAnsi="Verdana"/>
          <w:sz w:val="20"/>
          <w:szCs w:val="20"/>
        </w:rPr>
        <w:t xml:space="preserve"> here below regarding</w:t>
      </w:r>
      <w:r w:rsidRPr="00993C54">
        <w:rPr>
          <w:rFonts w:ascii="Verdana" w:hAnsi="Verdana"/>
          <w:sz w:val="20"/>
          <w:szCs w:val="20"/>
        </w:rPr>
        <w:t xml:space="preserve"> the assessment of the quality of </w:t>
      </w:r>
      <w:r>
        <w:rPr>
          <w:rFonts w:ascii="Verdana" w:hAnsi="Verdana"/>
          <w:sz w:val="20"/>
          <w:szCs w:val="20"/>
        </w:rPr>
        <w:t>evidence</w:t>
      </w:r>
      <w:r w:rsidR="000933B6">
        <w:rPr>
          <w:rFonts w:ascii="Verdana" w:hAnsi="Verdana"/>
          <w:sz w:val="20"/>
          <w:szCs w:val="20"/>
        </w:rPr>
        <w:t xml:space="preserve"> (mostly in relation to reliability)</w:t>
      </w:r>
      <w:r>
        <w:rPr>
          <w:rFonts w:ascii="Verdana" w:hAnsi="Verdana"/>
          <w:sz w:val="20"/>
          <w:szCs w:val="20"/>
        </w:rPr>
        <w:t xml:space="preserve"> but</w:t>
      </w:r>
      <w:r w:rsidRPr="00993C54">
        <w:rPr>
          <w:rFonts w:ascii="Verdana" w:hAnsi="Verdana"/>
          <w:sz w:val="20"/>
          <w:szCs w:val="20"/>
        </w:rPr>
        <w:t xml:space="preserve"> do not represent a complete list</w:t>
      </w:r>
      <w:r w:rsidR="003B7FEF">
        <w:rPr>
          <w:rFonts w:ascii="Verdana" w:hAnsi="Verdana"/>
          <w:sz w:val="20"/>
          <w:szCs w:val="20"/>
        </w:rPr>
        <w:t>:</w:t>
      </w:r>
      <w:r w:rsidR="00E917F2">
        <w:rPr>
          <w:rFonts w:ascii="Verdana" w:hAnsi="Verdana"/>
          <w:sz w:val="20"/>
          <w:szCs w:val="20"/>
        </w:rPr>
        <w:t xml:space="preserve"> </w:t>
      </w:r>
    </w:p>
    <w:p w14:paraId="2C68C2BB" w14:textId="72D1D6AE" w:rsidR="00416692" w:rsidRPr="00416692" w:rsidRDefault="001C2809" w:rsidP="00233E2A">
      <w:pPr>
        <w:pStyle w:val="ListParagraph"/>
        <w:numPr>
          <w:ilvl w:val="0"/>
          <w:numId w:val="13"/>
        </w:numPr>
        <w:spacing w:after="240"/>
        <w:contextualSpacing w:val="0"/>
      </w:pPr>
      <w:r w:rsidRPr="00A6778C">
        <w:t xml:space="preserve">The Grading of Recommendations Assessment, Development and Evaluation </w:t>
      </w:r>
      <w:r w:rsidRPr="00416692">
        <w:t>approach</w:t>
      </w:r>
      <w:r w:rsidR="000933B6" w:rsidRPr="00416692">
        <w:t xml:space="preserve"> (GRADE)</w:t>
      </w:r>
      <w:r w:rsidRPr="00416692">
        <w:t xml:space="preserve"> for systematic assessment of the quality, strength and certai</w:t>
      </w:r>
      <w:r w:rsidR="004D67CF">
        <w:t xml:space="preserve">nty of evidence (GRADE, 2013) </w:t>
      </w:r>
      <w:r w:rsidRPr="00416692">
        <w:t>provides an approach for assessing overall quality of data within the area of clinical data.</w:t>
      </w:r>
    </w:p>
    <w:p w14:paraId="4030F932" w14:textId="4F11D85B" w:rsidR="00416692" w:rsidRDefault="00A85333" w:rsidP="00233E2A">
      <w:pPr>
        <w:pStyle w:val="ListParagraph"/>
        <w:numPr>
          <w:ilvl w:val="0"/>
          <w:numId w:val="13"/>
        </w:numPr>
        <w:spacing w:after="240"/>
        <w:contextualSpacing w:val="0"/>
      </w:pPr>
      <w:r w:rsidRPr="00416692">
        <w:t xml:space="preserve">Systematic review frameworks (e.g. EFSA </w:t>
      </w:r>
      <w:r w:rsidR="006C0D19">
        <w:t>2010, EFSA 2015</w:t>
      </w:r>
      <w:r w:rsidRPr="00416692">
        <w:t>) provide also principles of elements to take into account for as</w:t>
      </w:r>
      <w:r w:rsidR="00416692">
        <w:t>sessment of quality of evidence</w:t>
      </w:r>
      <w:r w:rsidR="006C0D19">
        <w:t xml:space="preserve"> and some more specific for systematic reviews of endocrine specific chemicals (Vandenberg et al, 2016)</w:t>
      </w:r>
      <w:r w:rsidR="004D67CF">
        <w:t>.</w:t>
      </w:r>
    </w:p>
    <w:p w14:paraId="718CD782" w14:textId="068807AF" w:rsidR="001C2809" w:rsidRPr="00135C62" w:rsidRDefault="00A6778C" w:rsidP="00233E2A">
      <w:pPr>
        <w:pStyle w:val="ListParagraph"/>
        <w:numPr>
          <w:ilvl w:val="0"/>
          <w:numId w:val="13"/>
        </w:numPr>
        <w:spacing w:after="240"/>
        <w:contextualSpacing w:val="0"/>
      </w:pPr>
      <w:r w:rsidRPr="00A6778C">
        <w:t>The OHAT approach (Office Health Assessment and Translation) (OHAT</w:t>
      </w:r>
      <w:r w:rsidR="007330AA" w:rsidRPr="00A6778C">
        <w:t>) for</w:t>
      </w:r>
      <w:r w:rsidRPr="00A6778C">
        <w:t xml:space="preserve"> Systematic Review and </w:t>
      </w:r>
      <w:r w:rsidR="009155B3">
        <w:t>Evidence Integration (OHAT, 2015)</w:t>
      </w:r>
      <w:r w:rsidRPr="00A6778C">
        <w:t xml:space="preserve"> </w:t>
      </w:r>
      <w:r w:rsidRPr="00C710F4">
        <w:t>provides an approach for assessing stu</w:t>
      </w:r>
      <w:r>
        <w:t xml:space="preserve">dy quality, or “risk of bias.” </w:t>
      </w:r>
      <w:r w:rsidRPr="00C710F4">
        <w:t xml:space="preserve">The tool applies a parallel approach to the evaluation of risk of bias for human and experimental animal studies. </w:t>
      </w:r>
    </w:p>
    <w:p w14:paraId="718CD783" w14:textId="1CCC56FF" w:rsidR="001C2809" w:rsidRDefault="001C2809" w:rsidP="00233E2A">
      <w:pPr>
        <w:pStyle w:val="ListParagraph"/>
        <w:numPr>
          <w:ilvl w:val="0"/>
          <w:numId w:val="13"/>
        </w:numPr>
        <w:spacing w:after="240"/>
        <w:contextualSpacing w:val="0"/>
      </w:pPr>
      <w:r w:rsidRPr="00A6778C">
        <w:t xml:space="preserve">The SCENHIR opinion </w:t>
      </w:r>
      <w:r w:rsidR="003B7FEF">
        <w:t xml:space="preserve">(SCENHIR, 2012) </w:t>
      </w:r>
      <w:r w:rsidRPr="00A6778C">
        <w:t xml:space="preserve">on WoE approach and uncertainty analysis provides recommendations regarding the assessment and weighing of individual evidence similar to the principles described within ECHA Guidance </w:t>
      </w:r>
      <w:r w:rsidR="003B7FEF">
        <w:t>Documents (R.2-R.4).</w:t>
      </w:r>
    </w:p>
    <w:p w14:paraId="1A4CF8DA" w14:textId="77777777" w:rsidR="002E6644" w:rsidRPr="000933B6" w:rsidRDefault="002E6644" w:rsidP="002E6644">
      <w:pPr>
        <w:pStyle w:val="ListParagraph"/>
        <w:spacing w:after="240"/>
        <w:contextualSpacing w:val="0"/>
      </w:pPr>
    </w:p>
    <w:p w14:paraId="76BC34A9" w14:textId="2C6C32FC" w:rsidR="00416692" w:rsidRPr="00416692" w:rsidRDefault="001C2809" w:rsidP="00233E2A">
      <w:pPr>
        <w:pStyle w:val="ListParagraph"/>
        <w:numPr>
          <w:ilvl w:val="0"/>
          <w:numId w:val="13"/>
        </w:numPr>
        <w:spacing w:after="240"/>
        <w:contextualSpacing w:val="0"/>
      </w:pPr>
      <w:r w:rsidRPr="00416692">
        <w:lastRenderedPageBreak/>
        <w:t>The US OSHA</w:t>
      </w:r>
      <w:r w:rsidR="006C0D19">
        <w:t xml:space="preserve"> (OSHA, 2012)</w:t>
      </w:r>
      <w:r w:rsidRPr="00416692">
        <w:t xml:space="preserve"> Guidance described the assessment of individual data similar to the principles within ECHA Guidance documents (CLP, REACH and Biocides).</w:t>
      </w:r>
    </w:p>
    <w:p w14:paraId="718CD786" w14:textId="23477D9A" w:rsidR="001C2809" w:rsidRPr="002E6644" w:rsidRDefault="001C2809" w:rsidP="00233E2A">
      <w:pPr>
        <w:pStyle w:val="ListParagraph"/>
        <w:numPr>
          <w:ilvl w:val="0"/>
          <w:numId w:val="13"/>
        </w:numPr>
        <w:tabs>
          <w:tab w:val="left" w:pos="255"/>
        </w:tabs>
        <w:spacing w:after="240"/>
        <w:contextualSpacing w:val="0"/>
      </w:pPr>
      <w:r w:rsidRPr="00A6778C">
        <w:t xml:space="preserve">The TOXRTOOL: </w:t>
      </w:r>
      <w:r w:rsidRPr="00A6778C">
        <w:rPr>
          <w:lang w:val="en"/>
        </w:rPr>
        <w:t>The software-based tool “ToxRTool” (</w:t>
      </w:r>
      <w:r w:rsidRPr="00A6778C">
        <w:rPr>
          <w:rStyle w:val="Strong"/>
          <w:lang w:val="en"/>
        </w:rPr>
        <w:t>Tox</w:t>
      </w:r>
      <w:r w:rsidRPr="00A6778C">
        <w:rPr>
          <w:lang w:val="en"/>
        </w:rPr>
        <w:t xml:space="preserve">icological data </w:t>
      </w:r>
      <w:r w:rsidRPr="00E93F08">
        <w:rPr>
          <w:rStyle w:val="Strong"/>
          <w:lang w:val="en"/>
        </w:rPr>
        <w:t>R</w:t>
      </w:r>
      <w:r w:rsidRPr="00E93F08">
        <w:rPr>
          <w:lang w:val="en"/>
        </w:rPr>
        <w:t xml:space="preserve">eliability Assessment </w:t>
      </w:r>
      <w:r w:rsidRPr="001E2C8B">
        <w:rPr>
          <w:rStyle w:val="Strong"/>
          <w:lang w:val="en"/>
        </w:rPr>
        <w:t>Tool</w:t>
      </w:r>
      <w:r w:rsidRPr="001E2C8B">
        <w:rPr>
          <w:lang w:val="en"/>
        </w:rPr>
        <w:t>) was developed within the context of an ECVAM funded project to provide comprehensive criteria and guidance for evaluations of the inherent quality of toxicological data, thus making the decision process of assigning reliabil</w:t>
      </w:r>
      <w:r w:rsidRPr="00BA4E58">
        <w:rPr>
          <w:lang w:val="en"/>
        </w:rPr>
        <w:t xml:space="preserve">ity categories more </w:t>
      </w:r>
      <w:r w:rsidR="002E6644">
        <w:rPr>
          <w:lang w:val="en"/>
        </w:rPr>
        <w:t>transparent and more harmonised (</w:t>
      </w:r>
      <w:hyperlink r:id="rId13" w:history="1">
        <w:r w:rsidRPr="002E6644">
          <w:rPr>
            <w:rStyle w:val="Hyperlink"/>
          </w:rPr>
          <w:t>https://eurl-ecvam.jrc.ec.europa.eu/about-ecvam/archive-publications/toxrtool</w:t>
        </w:r>
      </w:hyperlink>
      <w:r w:rsidR="002E6644">
        <w:rPr>
          <w:rStyle w:val="Hyperlink"/>
        </w:rPr>
        <w:t>)</w:t>
      </w:r>
    </w:p>
    <w:p w14:paraId="702E7DD9" w14:textId="78643C96" w:rsidR="00416692" w:rsidRPr="00416692" w:rsidRDefault="001C2809" w:rsidP="00233E2A">
      <w:pPr>
        <w:pStyle w:val="ListParagraph"/>
        <w:numPr>
          <w:ilvl w:val="0"/>
          <w:numId w:val="13"/>
        </w:numPr>
        <w:tabs>
          <w:tab w:val="left" w:pos="255"/>
        </w:tabs>
        <w:spacing w:after="240"/>
        <w:contextualSpacing w:val="0"/>
      </w:pPr>
      <w:r w:rsidRPr="00A6778C">
        <w:t>Criteria of the Science in Ri</w:t>
      </w:r>
      <w:r w:rsidR="002E6644">
        <w:t>sk Assessment and Policy (SciRAP</w:t>
      </w:r>
      <w:r w:rsidRPr="00A6778C">
        <w:t>) tool</w:t>
      </w:r>
      <w:r w:rsidR="00637EA9" w:rsidRPr="00A6778C">
        <w:t xml:space="preserve"> </w:t>
      </w:r>
      <w:hyperlink r:id="rId14" w:history="1">
        <w:r w:rsidRPr="00A6778C">
          <w:rPr>
            <w:rStyle w:val="Hyperlink"/>
          </w:rPr>
          <w:t>www.scirap.org</w:t>
        </w:r>
      </w:hyperlink>
      <w:r w:rsidRPr="00A6778C">
        <w:t xml:space="preserve">: </w:t>
      </w:r>
      <w:r w:rsidRPr="00A6778C">
        <w:rPr>
          <w:b/>
          <w:bCs/>
        </w:rPr>
        <w:t xml:space="preserve">SciRAP </w:t>
      </w:r>
      <w:r w:rsidRPr="000933B6">
        <w:t>(Science in Risk Assessment and Policy) is a web-based reporting and evaluation resource d</w:t>
      </w:r>
      <w:r w:rsidRPr="00E93F08">
        <w:t>eveloped to facilitate and increase the use of peer-reviewed toxicit</w:t>
      </w:r>
      <w:r w:rsidRPr="00BA4E58">
        <w:t xml:space="preserve">y and ecotoxicity literature in regulatory risk assessment of chemicals. It can be used for assessing reliability of </w:t>
      </w:r>
      <w:r w:rsidRPr="00BA4E58">
        <w:rPr>
          <w:i/>
        </w:rPr>
        <w:t>in vivo</w:t>
      </w:r>
      <w:r w:rsidRPr="00BA4E58">
        <w:t xml:space="preserve"> data.</w:t>
      </w:r>
    </w:p>
    <w:p w14:paraId="5120A51C" w14:textId="735528AE" w:rsidR="00A6778C" w:rsidRDefault="006C0D19" w:rsidP="00233E2A">
      <w:pPr>
        <w:pStyle w:val="ListParagraph"/>
        <w:numPr>
          <w:ilvl w:val="0"/>
          <w:numId w:val="13"/>
        </w:numPr>
        <w:tabs>
          <w:tab w:val="left" w:pos="255"/>
        </w:tabs>
        <w:spacing w:after="240"/>
        <w:contextualSpacing w:val="0"/>
      </w:pPr>
      <w:r>
        <w:t>T</w:t>
      </w:r>
      <w:r w:rsidR="00C710F4" w:rsidRPr="000933B6">
        <w:t>he CRED-syst</w:t>
      </w:r>
      <w:r w:rsidR="007F531A">
        <w:t xml:space="preserve">em, </w:t>
      </w:r>
      <w:r w:rsidR="008F5FEC">
        <w:t>(Moermond</w:t>
      </w:r>
      <w:r w:rsidR="007F531A">
        <w:t xml:space="preserve"> et al. 2016</w:t>
      </w:r>
      <w:r w:rsidR="008F5FEC">
        <w:t>)</w:t>
      </w:r>
      <w:r w:rsidR="007F531A">
        <w:t>.</w:t>
      </w:r>
    </w:p>
    <w:p w14:paraId="57A237E0" w14:textId="77777777" w:rsidR="004D67CF" w:rsidRDefault="004D67CF" w:rsidP="004D67CF">
      <w:pPr>
        <w:pStyle w:val="ListParagraph"/>
      </w:pPr>
    </w:p>
    <w:p w14:paraId="6E591024" w14:textId="77777777" w:rsidR="004D67CF" w:rsidRPr="004D67CF" w:rsidRDefault="004D67CF" w:rsidP="004D67CF">
      <w:pPr>
        <w:pStyle w:val="ListParagraph"/>
        <w:tabs>
          <w:tab w:val="left" w:pos="255"/>
        </w:tabs>
      </w:pPr>
    </w:p>
    <w:p w14:paraId="718CD789" w14:textId="301D8F1F" w:rsidR="001C2809" w:rsidRPr="002B1CE8" w:rsidRDefault="005C5486" w:rsidP="002B1CE8">
      <w:pPr>
        <w:pStyle w:val="Heading2"/>
        <w:ind w:left="1080" w:hanging="720"/>
        <w:rPr>
          <w:rFonts w:ascii="Verdana" w:eastAsia="Times New Roman" w:hAnsi="Verdana" w:cs="Arial"/>
          <w:b/>
          <w:snapToGrid w:val="0"/>
          <w:color w:val="0046AD"/>
          <w:sz w:val="24"/>
          <w:szCs w:val="22"/>
          <w:lang w:eastAsia="fi-FI"/>
        </w:rPr>
      </w:pPr>
      <w:bookmarkStart w:id="15" w:name="_Toc499654091"/>
      <w:r w:rsidRPr="002B1CE8">
        <w:rPr>
          <w:rFonts w:ascii="Verdana" w:eastAsia="Times New Roman" w:hAnsi="Verdana" w:cs="Arial"/>
          <w:b/>
          <w:snapToGrid w:val="0"/>
          <w:color w:val="0046AD"/>
          <w:sz w:val="24"/>
          <w:szCs w:val="22"/>
          <w:lang w:eastAsia="fi-FI"/>
        </w:rPr>
        <w:t>2</w:t>
      </w:r>
      <w:r w:rsidR="001C2809" w:rsidRPr="002B1CE8">
        <w:rPr>
          <w:rFonts w:ascii="Verdana" w:eastAsia="Times New Roman" w:hAnsi="Verdana" w:cs="Arial"/>
          <w:b/>
          <w:snapToGrid w:val="0"/>
          <w:color w:val="0046AD"/>
          <w:sz w:val="24"/>
          <w:szCs w:val="22"/>
          <w:lang w:eastAsia="fi-FI"/>
        </w:rPr>
        <w:t xml:space="preserve">.4 </w:t>
      </w:r>
      <w:r w:rsidR="002058E7" w:rsidRPr="002B1CE8">
        <w:rPr>
          <w:rFonts w:ascii="Verdana" w:eastAsia="Times New Roman" w:hAnsi="Verdana" w:cs="Arial"/>
          <w:b/>
          <w:snapToGrid w:val="0"/>
          <w:color w:val="0046AD"/>
          <w:sz w:val="24"/>
          <w:szCs w:val="22"/>
          <w:lang w:eastAsia="fi-FI"/>
        </w:rPr>
        <w:t xml:space="preserve">Integration and weighing of evidence </w:t>
      </w:r>
      <w:r w:rsidR="00CF676E" w:rsidRPr="002B1CE8">
        <w:rPr>
          <w:rFonts w:ascii="Verdana" w:eastAsia="Times New Roman" w:hAnsi="Verdana" w:cs="Arial"/>
          <w:b/>
          <w:snapToGrid w:val="0"/>
          <w:color w:val="0046AD"/>
          <w:sz w:val="24"/>
          <w:szCs w:val="22"/>
          <w:lang w:eastAsia="fi-FI"/>
        </w:rPr>
        <w:t>(WoE analysis)</w:t>
      </w:r>
      <w:bookmarkEnd w:id="15"/>
    </w:p>
    <w:p w14:paraId="718CD78A" w14:textId="77777777" w:rsidR="001C2809" w:rsidRDefault="001C2809" w:rsidP="001C2809">
      <w:pPr>
        <w:tabs>
          <w:tab w:val="left" w:pos="255"/>
        </w:tabs>
      </w:pPr>
    </w:p>
    <w:p w14:paraId="718CD78B" w14:textId="77777777" w:rsidR="001C2809" w:rsidRPr="001C2809" w:rsidRDefault="001C2809" w:rsidP="001C2809">
      <w:pPr>
        <w:tabs>
          <w:tab w:val="left" w:pos="255"/>
        </w:tabs>
        <w:rPr>
          <w:rFonts w:ascii="Verdana" w:hAnsi="Verdana"/>
          <w:sz w:val="20"/>
          <w:szCs w:val="20"/>
        </w:rPr>
      </w:pPr>
      <w:r w:rsidRPr="001C2809">
        <w:rPr>
          <w:rFonts w:ascii="Verdana" w:hAnsi="Verdana"/>
          <w:sz w:val="20"/>
          <w:szCs w:val="20"/>
        </w:rPr>
        <w:t xml:space="preserve">Depending on the problem formulation different methodologies can be used to integrate evidence and perform WoE analysis. </w:t>
      </w:r>
    </w:p>
    <w:p w14:paraId="718CD78C" w14:textId="77777777" w:rsidR="001C2809" w:rsidRPr="001C2809" w:rsidRDefault="001C2809" w:rsidP="001C2809">
      <w:pPr>
        <w:tabs>
          <w:tab w:val="left" w:pos="255"/>
        </w:tabs>
        <w:rPr>
          <w:rFonts w:ascii="Verdana" w:hAnsi="Verdana"/>
          <w:sz w:val="20"/>
          <w:szCs w:val="20"/>
        </w:rPr>
      </w:pPr>
      <w:r w:rsidRPr="001C2809">
        <w:rPr>
          <w:rFonts w:ascii="Verdana" w:hAnsi="Verdana"/>
          <w:sz w:val="20"/>
          <w:szCs w:val="20"/>
        </w:rPr>
        <w:t xml:space="preserve">Methodologies vary in terms of complexity and range from general schemas/frameworks consisting of set of questions to more elaborate methodologies. </w:t>
      </w:r>
    </w:p>
    <w:p w14:paraId="718CD78D" w14:textId="38C4BC52" w:rsidR="001C2809" w:rsidRPr="001C2809" w:rsidRDefault="001C2809" w:rsidP="001C2809">
      <w:pPr>
        <w:tabs>
          <w:tab w:val="left" w:pos="255"/>
        </w:tabs>
        <w:rPr>
          <w:rFonts w:ascii="Verdana" w:hAnsi="Verdana"/>
          <w:sz w:val="20"/>
          <w:szCs w:val="20"/>
        </w:rPr>
      </w:pPr>
      <w:r w:rsidRPr="001C2809">
        <w:rPr>
          <w:rFonts w:ascii="Verdana" w:hAnsi="Verdana"/>
          <w:sz w:val="20"/>
          <w:szCs w:val="20"/>
        </w:rPr>
        <w:t>It is noted that a framework as such should not be confused with the problem formulation. For instance</w:t>
      </w:r>
      <w:r w:rsidR="001A71B8">
        <w:rPr>
          <w:rFonts w:ascii="Verdana" w:hAnsi="Verdana"/>
          <w:sz w:val="20"/>
          <w:szCs w:val="20"/>
        </w:rPr>
        <w:t>,</w:t>
      </w:r>
      <w:r w:rsidRPr="001C2809">
        <w:rPr>
          <w:rFonts w:ascii="Verdana" w:hAnsi="Verdana"/>
          <w:sz w:val="20"/>
          <w:szCs w:val="20"/>
        </w:rPr>
        <w:t xml:space="preserve"> an adaptation of information requirements with the use of read-across is a problem formulation whereas the WoE analysis can be used to evaluate the applicability of r</w:t>
      </w:r>
      <w:r w:rsidR="008F5FEC">
        <w:rPr>
          <w:rFonts w:ascii="Verdana" w:hAnsi="Verdana"/>
          <w:sz w:val="20"/>
          <w:szCs w:val="20"/>
        </w:rPr>
        <w:t>ead-</w:t>
      </w:r>
      <w:r w:rsidRPr="001C2809">
        <w:rPr>
          <w:rFonts w:ascii="Verdana" w:hAnsi="Verdana"/>
          <w:sz w:val="20"/>
          <w:szCs w:val="20"/>
        </w:rPr>
        <w:t>across by a set of questions within a read across framework.</w:t>
      </w:r>
    </w:p>
    <w:p w14:paraId="718CD78E" w14:textId="77777777" w:rsidR="001C2809" w:rsidRPr="001C2809" w:rsidRDefault="001C2809" w:rsidP="001C2809">
      <w:pPr>
        <w:rPr>
          <w:rFonts w:ascii="Verdana" w:hAnsi="Verdana"/>
          <w:sz w:val="20"/>
          <w:szCs w:val="20"/>
        </w:rPr>
      </w:pPr>
      <w:r w:rsidRPr="001C2809">
        <w:rPr>
          <w:rFonts w:ascii="Verdana" w:hAnsi="Verdana"/>
          <w:sz w:val="20"/>
          <w:szCs w:val="20"/>
        </w:rPr>
        <w:t xml:space="preserve">Within a specific framework, another framework may be needed depending on process/type of work (e.g. CLP categorisation schemes can be considered as classification frameworks with WoE approaches which can further benefit from MoA approach inclusion). </w:t>
      </w:r>
    </w:p>
    <w:p w14:paraId="718CD78F" w14:textId="77777777" w:rsidR="001C2809" w:rsidRDefault="001C2809" w:rsidP="001C2809">
      <w:pPr>
        <w:rPr>
          <w:rFonts w:ascii="Verdana" w:hAnsi="Verdana"/>
          <w:sz w:val="20"/>
          <w:szCs w:val="20"/>
        </w:rPr>
      </w:pPr>
      <w:r w:rsidRPr="001C2809">
        <w:rPr>
          <w:rFonts w:ascii="Verdana" w:hAnsi="Verdana"/>
          <w:sz w:val="20"/>
          <w:szCs w:val="20"/>
        </w:rPr>
        <w:t>The choice of the methodology used for integration of evidence is interrelated to the communication needs, goals and degree of confidence required set within the problem formulation.</w:t>
      </w:r>
    </w:p>
    <w:p w14:paraId="67340945" w14:textId="5CF4C57D" w:rsidR="000933B6" w:rsidRDefault="000933B6" w:rsidP="00815190">
      <w:pPr>
        <w:tabs>
          <w:tab w:val="left" w:pos="255"/>
        </w:tabs>
        <w:rPr>
          <w:rFonts w:ascii="Verdana" w:hAnsi="Verdana"/>
          <w:sz w:val="20"/>
          <w:szCs w:val="20"/>
        </w:rPr>
      </w:pPr>
      <w:r>
        <w:rPr>
          <w:rFonts w:ascii="Verdana" w:hAnsi="Verdana"/>
          <w:sz w:val="20"/>
          <w:szCs w:val="20"/>
        </w:rPr>
        <w:t xml:space="preserve">For specific problem formulations, like in case of assessment of endocrine disruption assessment, the OECD conceptual framework </w:t>
      </w:r>
      <w:r>
        <w:rPr>
          <w:rFonts w:ascii="Verdana" w:hAnsi="Verdana"/>
          <w:color w:val="000000" w:themeColor="text1"/>
          <w:sz w:val="20"/>
          <w:szCs w:val="20"/>
        </w:rPr>
        <w:t>for testing and assessment of endocrine disrupters provides guidance on the assessment of the different lines of evidence for this particular type of assessment</w:t>
      </w:r>
      <w:r w:rsidR="00A249D3">
        <w:rPr>
          <w:rFonts w:ascii="Verdana" w:hAnsi="Verdana"/>
          <w:color w:val="000000" w:themeColor="text1"/>
          <w:sz w:val="20"/>
          <w:szCs w:val="20"/>
        </w:rPr>
        <w:t xml:space="preserve"> (</w:t>
      </w:r>
      <w:hyperlink r:id="rId15" w:history="1">
        <w:r w:rsidR="00A249D3" w:rsidRPr="00131968">
          <w:rPr>
            <w:rStyle w:val="Hyperlink"/>
            <w:szCs w:val="20"/>
          </w:rPr>
          <w:t>http://www.oecd.org/env/ehs/testing/oecdworkrelatedtoendocrinedisrupters.htm</w:t>
        </w:r>
      </w:hyperlink>
      <w:r w:rsidR="00A249D3">
        <w:rPr>
          <w:rFonts w:ascii="Verdana" w:hAnsi="Verdana"/>
          <w:color w:val="000000" w:themeColor="text1"/>
          <w:sz w:val="20"/>
          <w:szCs w:val="20"/>
        </w:rPr>
        <w:t xml:space="preserve"> )</w:t>
      </w:r>
      <w:r>
        <w:rPr>
          <w:rFonts w:ascii="Verdana" w:hAnsi="Verdana"/>
          <w:color w:val="000000" w:themeColor="text1"/>
          <w:sz w:val="20"/>
          <w:szCs w:val="20"/>
        </w:rPr>
        <w:t xml:space="preserve">. </w:t>
      </w:r>
    </w:p>
    <w:p w14:paraId="07209739" w14:textId="14AE8E71" w:rsidR="00A249D3" w:rsidRDefault="005D1618" w:rsidP="001C2809">
      <w:pPr>
        <w:tabs>
          <w:tab w:val="left" w:pos="255"/>
        </w:tabs>
        <w:rPr>
          <w:rFonts w:ascii="Verdana" w:hAnsi="Verdana"/>
          <w:sz w:val="20"/>
          <w:szCs w:val="20"/>
        </w:rPr>
      </w:pPr>
      <w:r>
        <w:rPr>
          <w:rFonts w:ascii="Verdana" w:hAnsi="Verdana"/>
          <w:sz w:val="20"/>
          <w:szCs w:val="20"/>
        </w:rPr>
        <w:t>Some s</w:t>
      </w:r>
      <w:r w:rsidR="00A249D3">
        <w:rPr>
          <w:rFonts w:ascii="Verdana" w:hAnsi="Verdana"/>
          <w:sz w:val="20"/>
          <w:szCs w:val="20"/>
        </w:rPr>
        <w:t xml:space="preserve">ystematic Review Frameworks (as mentioned in Section </w:t>
      </w:r>
      <w:r w:rsidR="005C5486">
        <w:rPr>
          <w:rFonts w:ascii="Verdana" w:hAnsi="Verdana"/>
          <w:sz w:val="20"/>
          <w:szCs w:val="20"/>
        </w:rPr>
        <w:t>2</w:t>
      </w:r>
      <w:r w:rsidR="00A249D3">
        <w:rPr>
          <w:rFonts w:ascii="Verdana" w:hAnsi="Verdana"/>
          <w:sz w:val="20"/>
          <w:szCs w:val="20"/>
        </w:rPr>
        <w:t>.3 of this document) also provide approaches for integration of evidence in addition to methods for assessing the quality of evidence.</w:t>
      </w:r>
    </w:p>
    <w:p w14:paraId="60C65322" w14:textId="703DABF3" w:rsidR="007F531A" w:rsidRDefault="00623A44" w:rsidP="001C2809">
      <w:pPr>
        <w:tabs>
          <w:tab w:val="left" w:pos="255"/>
        </w:tabs>
        <w:rPr>
          <w:rFonts w:ascii="Verdana" w:hAnsi="Verdana"/>
          <w:sz w:val="20"/>
          <w:szCs w:val="20"/>
        </w:rPr>
      </w:pPr>
      <w:r>
        <w:rPr>
          <w:rFonts w:ascii="Verdana" w:hAnsi="Verdana"/>
          <w:color w:val="000000" w:themeColor="text1"/>
          <w:sz w:val="20"/>
          <w:szCs w:val="20"/>
          <w:lang w:val="en-US"/>
        </w:rPr>
        <w:t>Gross et al</w:t>
      </w:r>
      <w:r w:rsidR="007F531A">
        <w:rPr>
          <w:rFonts w:ascii="Verdana" w:hAnsi="Verdana"/>
          <w:color w:val="000000" w:themeColor="text1"/>
          <w:sz w:val="20"/>
          <w:szCs w:val="20"/>
          <w:lang w:val="en-US"/>
        </w:rPr>
        <w:t xml:space="preserve"> (</w:t>
      </w:r>
      <w:r>
        <w:rPr>
          <w:rFonts w:ascii="Verdana" w:hAnsi="Verdana"/>
          <w:color w:val="000000" w:themeColor="text1"/>
          <w:sz w:val="20"/>
          <w:szCs w:val="20"/>
          <w:lang w:val="en-US"/>
        </w:rPr>
        <w:t xml:space="preserve">Gross et al, </w:t>
      </w:r>
      <w:r w:rsidR="007F531A">
        <w:rPr>
          <w:rFonts w:ascii="Verdana" w:hAnsi="Verdana"/>
          <w:color w:val="000000" w:themeColor="text1"/>
          <w:sz w:val="20"/>
          <w:szCs w:val="20"/>
          <w:lang w:val="en-US"/>
        </w:rPr>
        <w:t>2017), also provide an overview of methods for integration of evidence.</w:t>
      </w:r>
    </w:p>
    <w:p w14:paraId="718CD790" w14:textId="45F5F32F" w:rsidR="001C2809" w:rsidRDefault="001C2809" w:rsidP="001C2809">
      <w:pPr>
        <w:tabs>
          <w:tab w:val="left" w:pos="255"/>
        </w:tabs>
        <w:rPr>
          <w:rFonts w:ascii="Verdana" w:hAnsi="Verdana"/>
          <w:sz w:val="20"/>
          <w:szCs w:val="20"/>
        </w:rPr>
      </w:pPr>
      <w:r w:rsidRPr="001C2809">
        <w:rPr>
          <w:rFonts w:ascii="Verdana" w:hAnsi="Verdana"/>
          <w:sz w:val="20"/>
          <w:szCs w:val="20"/>
        </w:rPr>
        <w:lastRenderedPageBreak/>
        <w:t>The tables below provide an overview of the frameworks/tools that can be considered either as a WoE approach on their own or may include WoE a</w:t>
      </w:r>
      <w:r w:rsidR="00815190">
        <w:rPr>
          <w:rFonts w:ascii="Verdana" w:hAnsi="Verdana"/>
          <w:sz w:val="20"/>
          <w:szCs w:val="20"/>
        </w:rPr>
        <w:t>pproach type of considerations.</w:t>
      </w:r>
      <w:r w:rsidR="00906780">
        <w:rPr>
          <w:rFonts w:ascii="Verdana" w:hAnsi="Verdana"/>
          <w:sz w:val="20"/>
          <w:szCs w:val="20"/>
        </w:rPr>
        <w:t xml:space="preserve"> </w:t>
      </w:r>
    </w:p>
    <w:p w14:paraId="0642AB1F" w14:textId="22675415" w:rsidR="00FC34DE" w:rsidRDefault="00FC34DE" w:rsidP="002E6644">
      <w:pPr>
        <w:tabs>
          <w:tab w:val="left" w:pos="255"/>
        </w:tabs>
        <w:rPr>
          <w:rFonts w:ascii="Verdana" w:hAnsi="Verdana"/>
          <w:sz w:val="20"/>
          <w:szCs w:val="20"/>
        </w:rPr>
      </w:pPr>
      <w:r>
        <w:rPr>
          <w:rFonts w:ascii="Verdana" w:hAnsi="Verdana"/>
          <w:sz w:val="20"/>
          <w:szCs w:val="20"/>
        </w:rPr>
        <w:t>The elements recommended to be considered for the integration and weighing of evidence (</w:t>
      </w:r>
      <w:r w:rsidR="00D058FC">
        <w:rPr>
          <w:rFonts w:ascii="Verdana" w:hAnsi="Verdana"/>
          <w:sz w:val="20"/>
          <w:szCs w:val="20"/>
        </w:rPr>
        <w:t>c</w:t>
      </w:r>
      <w:r>
        <w:rPr>
          <w:rFonts w:ascii="Verdana" w:hAnsi="Verdana"/>
          <w:sz w:val="20"/>
          <w:szCs w:val="20"/>
        </w:rPr>
        <w:t xml:space="preserve">onsistency, specificity, </w:t>
      </w:r>
      <w:r w:rsidR="00D058FC">
        <w:rPr>
          <w:rFonts w:ascii="Verdana" w:hAnsi="Verdana"/>
          <w:sz w:val="20"/>
          <w:szCs w:val="20"/>
        </w:rPr>
        <w:t>l</w:t>
      </w:r>
      <w:r>
        <w:rPr>
          <w:rFonts w:ascii="Verdana" w:hAnsi="Verdana"/>
          <w:sz w:val="20"/>
          <w:szCs w:val="20"/>
        </w:rPr>
        <w:t>ikelihood/</w:t>
      </w:r>
      <w:r w:rsidR="00D058FC">
        <w:rPr>
          <w:rFonts w:ascii="Verdana" w:hAnsi="Verdana"/>
          <w:sz w:val="20"/>
          <w:szCs w:val="20"/>
        </w:rPr>
        <w:t>b</w:t>
      </w:r>
      <w:r>
        <w:rPr>
          <w:rFonts w:ascii="Verdana" w:hAnsi="Verdana"/>
          <w:sz w:val="20"/>
          <w:szCs w:val="20"/>
        </w:rPr>
        <w:t xml:space="preserve">iological </w:t>
      </w:r>
      <w:r w:rsidR="00D058FC">
        <w:rPr>
          <w:rFonts w:ascii="Verdana" w:hAnsi="Verdana"/>
          <w:sz w:val="20"/>
          <w:szCs w:val="20"/>
        </w:rPr>
        <w:t>p</w:t>
      </w:r>
      <w:r>
        <w:rPr>
          <w:rFonts w:ascii="Verdana" w:hAnsi="Verdana"/>
          <w:sz w:val="20"/>
          <w:szCs w:val="20"/>
        </w:rPr>
        <w:t xml:space="preserve">lausibility, </w:t>
      </w:r>
      <w:r w:rsidR="00D058FC">
        <w:rPr>
          <w:rFonts w:ascii="Verdana" w:hAnsi="Verdana"/>
          <w:sz w:val="20"/>
          <w:szCs w:val="20"/>
        </w:rPr>
        <w:t>t</w:t>
      </w:r>
      <w:r>
        <w:rPr>
          <w:rFonts w:ascii="Verdana" w:hAnsi="Verdana"/>
          <w:sz w:val="20"/>
          <w:szCs w:val="20"/>
        </w:rPr>
        <w:t>emporality) are further elaborated in the Template for WoE/Uncertainty</w:t>
      </w:r>
      <w:r w:rsidR="007F531A">
        <w:rPr>
          <w:rFonts w:ascii="Verdana" w:hAnsi="Verdana"/>
          <w:sz w:val="20"/>
          <w:szCs w:val="20"/>
        </w:rPr>
        <w:t xml:space="preserve"> and are largely based on the Bradford Hill considerations as used within the WHO/IPCS Mode of Action framework (WHO/IPCS, 2013)</w:t>
      </w:r>
      <w:r>
        <w:rPr>
          <w:rFonts w:ascii="Verdana" w:hAnsi="Verdana"/>
          <w:sz w:val="20"/>
          <w:szCs w:val="20"/>
        </w:rPr>
        <w:t>.</w:t>
      </w:r>
    </w:p>
    <w:p w14:paraId="71116964" w14:textId="77777777" w:rsidR="002E6644" w:rsidRPr="001C2809" w:rsidRDefault="002E6644" w:rsidP="002E6644">
      <w:pPr>
        <w:tabs>
          <w:tab w:val="left" w:pos="255"/>
        </w:tabs>
        <w:rPr>
          <w:rFonts w:ascii="Verdana" w:hAnsi="Verdana"/>
          <w:sz w:val="20"/>
          <w:szCs w:val="20"/>
        </w:rPr>
      </w:pPr>
    </w:p>
    <w:p w14:paraId="408EC3D1" w14:textId="341743A8" w:rsidR="00D14C69" w:rsidRPr="001C2809" w:rsidRDefault="00D14C69" w:rsidP="00D14C69">
      <w:pPr>
        <w:spacing w:after="200" w:line="276" w:lineRule="auto"/>
        <w:rPr>
          <w:rFonts w:ascii="Verdana" w:hAnsi="Verdana"/>
          <w:sz w:val="16"/>
          <w:szCs w:val="16"/>
        </w:rPr>
      </w:pPr>
      <w:r w:rsidRPr="001C2809">
        <w:rPr>
          <w:rFonts w:ascii="Verdana" w:hAnsi="Verdana"/>
          <w:b/>
          <w:sz w:val="16"/>
          <w:szCs w:val="16"/>
        </w:rPr>
        <w:t>Table</w:t>
      </w:r>
      <w:r>
        <w:rPr>
          <w:rFonts w:ascii="Verdana" w:hAnsi="Verdana"/>
          <w:b/>
          <w:sz w:val="16"/>
          <w:szCs w:val="16"/>
        </w:rPr>
        <w:t xml:space="preserve"> 1</w:t>
      </w:r>
      <w:r w:rsidRPr="001C2809">
        <w:rPr>
          <w:rFonts w:ascii="Verdana" w:hAnsi="Verdana"/>
          <w:b/>
          <w:sz w:val="16"/>
          <w:szCs w:val="16"/>
        </w:rPr>
        <w:t>:</w:t>
      </w:r>
      <w:r w:rsidRPr="001C2809">
        <w:rPr>
          <w:rFonts w:ascii="Verdana" w:hAnsi="Verdana"/>
          <w:sz w:val="16"/>
          <w:szCs w:val="16"/>
        </w:rPr>
        <w:t xml:space="preserve"> List of criteria or rules within regulatory setting (REACH, BPR, CLP) that define the use/application of WoE approach, the degree of analysis and guide through a series of questions for regulatory decision making</w:t>
      </w:r>
    </w:p>
    <w:tbl>
      <w:tblPr>
        <w:tblStyle w:val="TableGrid"/>
        <w:tblW w:w="0" w:type="auto"/>
        <w:tblLayout w:type="fixed"/>
        <w:tblLook w:val="04A0" w:firstRow="1" w:lastRow="0" w:firstColumn="1" w:lastColumn="0" w:noHBand="0" w:noVBand="1"/>
      </w:tblPr>
      <w:tblGrid>
        <w:gridCol w:w="2077"/>
        <w:gridCol w:w="2851"/>
        <w:gridCol w:w="4314"/>
      </w:tblGrid>
      <w:tr w:rsidR="00D14C69" w:rsidRPr="001C2809" w14:paraId="519444E9" w14:textId="77777777" w:rsidTr="00213C22">
        <w:trPr>
          <w:trHeight w:val="915"/>
        </w:trPr>
        <w:tc>
          <w:tcPr>
            <w:tcW w:w="2077" w:type="dxa"/>
            <w:shd w:val="clear" w:color="auto" w:fill="8496B0" w:themeFill="text2" w:themeFillTint="99"/>
          </w:tcPr>
          <w:p w14:paraId="3FFAEF5C" w14:textId="4667510D" w:rsidR="00D14C69" w:rsidRPr="001C2809" w:rsidRDefault="00D14C69" w:rsidP="00213C22">
            <w:pPr>
              <w:widowControl/>
              <w:spacing w:after="200" w:line="276" w:lineRule="auto"/>
              <w:jc w:val="center"/>
              <w:rPr>
                <w:b/>
                <w:color w:val="FFFFFF" w:themeColor="background1"/>
                <w:sz w:val="17"/>
                <w:szCs w:val="17"/>
              </w:rPr>
            </w:pPr>
            <w:r w:rsidRPr="001C2809">
              <w:rPr>
                <w:b/>
                <w:color w:val="FFFFFF" w:themeColor="background1"/>
                <w:sz w:val="17"/>
                <w:szCs w:val="17"/>
              </w:rPr>
              <w:t>Regulatory criteria /rules in relation to WoE approach</w:t>
            </w:r>
          </w:p>
        </w:tc>
        <w:tc>
          <w:tcPr>
            <w:tcW w:w="2851" w:type="dxa"/>
            <w:shd w:val="clear" w:color="auto" w:fill="8496B0" w:themeFill="text2" w:themeFillTint="99"/>
          </w:tcPr>
          <w:p w14:paraId="18BD6C60" w14:textId="77777777" w:rsidR="00D14C69" w:rsidRPr="001C2809" w:rsidRDefault="00D14C69" w:rsidP="00213C22">
            <w:pPr>
              <w:widowControl/>
              <w:spacing w:after="200" w:line="276" w:lineRule="auto"/>
              <w:jc w:val="center"/>
              <w:rPr>
                <w:b/>
                <w:color w:val="FFFFFF" w:themeColor="background1"/>
                <w:sz w:val="17"/>
                <w:szCs w:val="17"/>
              </w:rPr>
            </w:pPr>
            <w:r w:rsidRPr="001C2809">
              <w:rPr>
                <w:b/>
                <w:color w:val="FFFFFF" w:themeColor="background1"/>
                <w:sz w:val="17"/>
                <w:szCs w:val="17"/>
              </w:rPr>
              <w:t>REACH/CLP/BPR process relevance</w:t>
            </w:r>
          </w:p>
        </w:tc>
        <w:tc>
          <w:tcPr>
            <w:tcW w:w="4314" w:type="dxa"/>
            <w:shd w:val="clear" w:color="auto" w:fill="8496B0" w:themeFill="text2" w:themeFillTint="99"/>
          </w:tcPr>
          <w:p w14:paraId="35F34B15" w14:textId="77777777" w:rsidR="00D14C69" w:rsidRPr="001C2809" w:rsidRDefault="00D14C69" w:rsidP="00213C22">
            <w:pPr>
              <w:widowControl/>
              <w:spacing w:after="200" w:line="276" w:lineRule="auto"/>
              <w:jc w:val="center"/>
              <w:rPr>
                <w:b/>
                <w:color w:val="FFFFFF" w:themeColor="background1"/>
                <w:sz w:val="17"/>
                <w:szCs w:val="17"/>
              </w:rPr>
            </w:pPr>
            <w:r w:rsidRPr="001C2809">
              <w:rPr>
                <w:b/>
                <w:color w:val="FFFFFF" w:themeColor="background1"/>
                <w:sz w:val="17"/>
                <w:szCs w:val="17"/>
              </w:rPr>
              <w:t>Description</w:t>
            </w:r>
          </w:p>
        </w:tc>
      </w:tr>
      <w:tr w:rsidR="00D14C69" w:rsidRPr="001C2809" w14:paraId="4E63F053" w14:textId="77777777" w:rsidTr="00213C22">
        <w:tc>
          <w:tcPr>
            <w:tcW w:w="2077" w:type="dxa"/>
          </w:tcPr>
          <w:p w14:paraId="40248825" w14:textId="77777777" w:rsidR="00D14C69" w:rsidRPr="001C2809" w:rsidRDefault="00D14C69" w:rsidP="00213C22">
            <w:pPr>
              <w:widowControl/>
              <w:spacing w:after="200" w:line="276" w:lineRule="auto"/>
              <w:rPr>
                <w:b/>
                <w:i/>
                <w:sz w:val="17"/>
                <w:szCs w:val="17"/>
              </w:rPr>
            </w:pPr>
            <w:r w:rsidRPr="001C2809">
              <w:rPr>
                <w:b/>
                <w:i/>
                <w:sz w:val="17"/>
                <w:szCs w:val="17"/>
              </w:rPr>
              <w:t>PBT Criteria</w:t>
            </w:r>
          </w:p>
        </w:tc>
        <w:tc>
          <w:tcPr>
            <w:tcW w:w="2851" w:type="dxa"/>
          </w:tcPr>
          <w:p w14:paraId="5487C3B0"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Registration</w:t>
            </w:r>
          </w:p>
          <w:p w14:paraId="776B2561"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PBT assessment</w:t>
            </w:r>
          </w:p>
          <w:p w14:paraId="6485F066"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Dossier Evaluation</w:t>
            </w:r>
          </w:p>
          <w:p w14:paraId="01646422"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Substance Evaluation</w:t>
            </w:r>
          </w:p>
          <w:p w14:paraId="03620F1F"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BPR</w:t>
            </w:r>
          </w:p>
          <w:p w14:paraId="63EAD687"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SVHC/ Restrictions/ Authorisations</w:t>
            </w:r>
          </w:p>
        </w:tc>
        <w:tc>
          <w:tcPr>
            <w:tcW w:w="4314" w:type="dxa"/>
          </w:tcPr>
          <w:p w14:paraId="4334DC35" w14:textId="77777777" w:rsidR="00D14C69" w:rsidRPr="001C2809" w:rsidRDefault="00D14C69" w:rsidP="00213C22">
            <w:pPr>
              <w:widowControl/>
              <w:spacing w:after="200" w:line="276" w:lineRule="auto"/>
              <w:rPr>
                <w:sz w:val="17"/>
                <w:szCs w:val="17"/>
              </w:rPr>
            </w:pPr>
            <w:r w:rsidRPr="001C2809">
              <w:rPr>
                <w:sz w:val="17"/>
                <w:szCs w:val="17"/>
              </w:rPr>
              <w:t>Framework for regulatory decision making</w:t>
            </w:r>
          </w:p>
          <w:p w14:paraId="5DF0ABB4" w14:textId="77777777" w:rsidR="00D14C69" w:rsidRPr="001C2809" w:rsidRDefault="00D14C69" w:rsidP="00213C22">
            <w:pPr>
              <w:widowControl/>
              <w:spacing w:after="200" w:line="276" w:lineRule="auto"/>
              <w:rPr>
                <w:sz w:val="17"/>
                <w:szCs w:val="17"/>
              </w:rPr>
            </w:pPr>
            <w:r w:rsidRPr="001C2809">
              <w:rPr>
                <w:sz w:val="17"/>
                <w:szCs w:val="17"/>
              </w:rPr>
              <w:t>Quantitative assessment of PBTs</w:t>
            </w:r>
          </w:p>
          <w:p w14:paraId="74F7F90C" w14:textId="77777777" w:rsidR="00D14C69" w:rsidRPr="001C2809" w:rsidRDefault="00D14C69" w:rsidP="00213C22">
            <w:pPr>
              <w:widowControl/>
              <w:spacing w:after="200" w:line="276" w:lineRule="auto"/>
              <w:rPr>
                <w:sz w:val="17"/>
                <w:szCs w:val="17"/>
              </w:rPr>
            </w:pPr>
            <w:r w:rsidRPr="001C2809">
              <w:rPr>
                <w:sz w:val="17"/>
                <w:szCs w:val="17"/>
              </w:rPr>
              <w:t>Specific to PBT assessment</w:t>
            </w:r>
          </w:p>
          <w:p w14:paraId="681A2756" w14:textId="77777777" w:rsidR="00D14C69" w:rsidRPr="001C2809" w:rsidRDefault="00D14C69" w:rsidP="00213C22">
            <w:pPr>
              <w:widowControl/>
              <w:spacing w:after="200" w:line="276" w:lineRule="auto"/>
              <w:rPr>
                <w:sz w:val="17"/>
                <w:szCs w:val="17"/>
              </w:rPr>
            </w:pPr>
            <w:r w:rsidRPr="001C2809">
              <w:rPr>
                <w:sz w:val="17"/>
                <w:szCs w:val="17"/>
              </w:rPr>
              <w:t>Set of criteria</w:t>
            </w:r>
          </w:p>
        </w:tc>
      </w:tr>
      <w:tr w:rsidR="00D14C69" w:rsidRPr="001C2809" w14:paraId="4B9DD70A" w14:textId="77777777" w:rsidTr="00213C22">
        <w:trPr>
          <w:trHeight w:val="2269"/>
        </w:trPr>
        <w:tc>
          <w:tcPr>
            <w:tcW w:w="2077" w:type="dxa"/>
          </w:tcPr>
          <w:p w14:paraId="6B077113" w14:textId="77777777" w:rsidR="00D14C69" w:rsidRPr="001C2809" w:rsidRDefault="00D14C69" w:rsidP="00213C22">
            <w:pPr>
              <w:spacing w:after="200" w:line="276" w:lineRule="auto"/>
              <w:rPr>
                <w:b/>
                <w:i/>
                <w:sz w:val="17"/>
                <w:szCs w:val="17"/>
              </w:rPr>
            </w:pPr>
            <w:r>
              <w:rPr>
                <w:b/>
                <w:i/>
                <w:sz w:val="17"/>
                <w:szCs w:val="17"/>
              </w:rPr>
              <w:t xml:space="preserve">Draft ED criteria for Biocides </w:t>
            </w:r>
          </w:p>
        </w:tc>
        <w:tc>
          <w:tcPr>
            <w:tcW w:w="2851" w:type="dxa"/>
          </w:tcPr>
          <w:p w14:paraId="1789C656" w14:textId="77777777" w:rsidR="00D14C69" w:rsidRDefault="00D14C69" w:rsidP="00233E2A">
            <w:pPr>
              <w:pStyle w:val="ListParagraph"/>
              <w:widowControl/>
              <w:numPr>
                <w:ilvl w:val="0"/>
                <w:numId w:val="15"/>
              </w:numPr>
              <w:spacing w:after="200" w:line="276" w:lineRule="auto"/>
              <w:rPr>
                <w:sz w:val="17"/>
                <w:szCs w:val="17"/>
              </w:rPr>
            </w:pPr>
            <w:r>
              <w:rPr>
                <w:sz w:val="17"/>
                <w:szCs w:val="17"/>
              </w:rPr>
              <w:t>BPR</w:t>
            </w:r>
          </w:p>
          <w:p w14:paraId="1B8AA264" w14:textId="77777777" w:rsidR="00D14C69" w:rsidRPr="001C2809" w:rsidRDefault="00D14C69" w:rsidP="00213C22">
            <w:pPr>
              <w:pStyle w:val="ListParagraph"/>
              <w:widowControl/>
              <w:spacing w:after="200" w:line="276" w:lineRule="auto"/>
              <w:rPr>
                <w:sz w:val="17"/>
                <w:szCs w:val="17"/>
              </w:rPr>
            </w:pPr>
          </w:p>
        </w:tc>
        <w:tc>
          <w:tcPr>
            <w:tcW w:w="4314" w:type="dxa"/>
          </w:tcPr>
          <w:p w14:paraId="3084A54E" w14:textId="77777777" w:rsidR="00D14C69" w:rsidRPr="00E95976" w:rsidRDefault="00482573" w:rsidP="00213C22">
            <w:pPr>
              <w:spacing w:after="200" w:line="276" w:lineRule="auto"/>
              <w:rPr>
                <w:sz w:val="17"/>
                <w:szCs w:val="17"/>
              </w:rPr>
            </w:pPr>
            <w:hyperlink r:id="rId16" w:history="1">
              <w:r w:rsidR="00D14C69" w:rsidRPr="00E95976">
                <w:rPr>
                  <w:rStyle w:val="Hyperlink"/>
                  <w:sz w:val="17"/>
                  <w:szCs w:val="17"/>
                </w:rPr>
                <w:t>http://ec.europa.eu/health/endocrine_disruptors/policy/index_en.htm</w:t>
              </w:r>
            </w:hyperlink>
            <w:r w:rsidR="00D14C69" w:rsidRPr="00E95976">
              <w:rPr>
                <w:sz w:val="17"/>
                <w:szCs w:val="17"/>
              </w:rPr>
              <w:t xml:space="preserve">  </w:t>
            </w:r>
          </w:p>
          <w:p w14:paraId="3545A37E" w14:textId="77777777" w:rsidR="00D14C69" w:rsidRPr="001C2809" w:rsidRDefault="00D14C69" w:rsidP="00213C22">
            <w:pPr>
              <w:spacing w:after="200" w:line="276" w:lineRule="auto"/>
              <w:rPr>
                <w:sz w:val="17"/>
                <w:szCs w:val="17"/>
              </w:rPr>
            </w:pPr>
            <w:r w:rsidRPr="00E95976">
              <w:rPr>
                <w:sz w:val="17"/>
                <w:szCs w:val="17"/>
              </w:rPr>
              <w:t>List of criteria containing most elements of the WoE approach steps presented in this document</w:t>
            </w:r>
          </w:p>
        </w:tc>
      </w:tr>
      <w:tr w:rsidR="00D14C69" w:rsidRPr="001C2809" w14:paraId="03AE4744" w14:textId="77777777" w:rsidTr="00213C22">
        <w:trPr>
          <w:trHeight w:val="2269"/>
        </w:trPr>
        <w:tc>
          <w:tcPr>
            <w:tcW w:w="2077" w:type="dxa"/>
          </w:tcPr>
          <w:p w14:paraId="014F724E" w14:textId="77777777" w:rsidR="00D14C69" w:rsidRPr="001C2809" w:rsidRDefault="00D14C69" w:rsidP="00213C22">
            <w:pPr>
              <w:widowControl/>
              <w:spacing w:after="200" w:line="276" w:lineRule="auto"/>
              <w:rPr>
                <w:b/>
                <w:i/>
                <w:sz w:val="17"/>
                <w:szCs w:val="17"/>
              </w:rPr>
            </w:pPr>
            <w:r w:rsidRPr="001C2809">
              <w:rPr>
                <w:b/>
                <w:i/>
                <w:sz w:val="17"/>
                <w:szCs w:val="17"/>
              </w:rPr>
              <w:t>CLP Criteria</w:t>
            </w:r>
          </w:p>
        </w:tc>
        <w:tc>
          <w:tcPr>
            <w:tcW w:w="2851" w:type="dxa"/>
          </w:tcPr>
          <w:p w14:paraId="5FE0BB61"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Registration</w:t>
            </w:r>
          </w:p>
          <w:p w14:paraId="4B81560D"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Dossier Evaluation</w:t>
            </w:r>
          </w:p>
          <w:p w14:paraId="3BCEFF8C"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Substance Evaluation</w:t>
            </w:r>
          </w:p>
          <w:p w14:paraId="0F2E7B00"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CLH</w:t>
            </w:r>
          </w:p>
          <w:p w14:paraId="05315A03"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BPR</w:t>
            </w:r>
          </w:p>
          <w:p w14:paraId="5156E29B"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SVHC/ Restrictions/ Authorisations</w:t>
            </w:r>
          </w:p>
          <w:p w14:paraId="0D403305" w14:textId="77777777" w:rsidR="00D14C69" w:rsidRPr="001C2809" w:rsidRDefault="00D14C69" w:rsidP="00213C22">
            <w:pPr>
              <w:pStyle w:val="ListParagraph"/>
              <w:widowControl/>
              <w:spacing w:after="200" w:line="276" w:lineRule="auto"/>
              <w:rPr>
                <w:sz w:val="17"/>
                <w:szCs w:val="17"/>
              </w:rPr>
            </w:pPr>
          </w:p>
          <w:p w14:paraId="72F21111" w14:textId="77777777" w:rsidR="00D14C69" w:rsidRPr="001C2809" w:rsidRDefault="00D14C69" w:rsidP="00213C22">
            <w:pPr>
              <w:pStyle w:val="ListParagraph"/>
              <w:widowControl/>
              <w:spacing w:after="200" w:line="276" w:lineRule="auto"/>
              <w:rPr>
                <w:sz w:val="17"/>
                <w:szCs w:val="17"/>
              </w:rPr>
            </w:pPr>
          </w:p>
        </w:tc>
        <w:tc>
          <w:tcPr>
            <w:tcW w:w="4314" w:type="dxa"/>
          </w:tcPr>
          <w:p w14:paraId="4B85B99A" w14:textId="77777777" w:rsidR="00D14C69" w:rsidRPr="001C2809" w:rsidRDefault="00D14C69" w:rsidP="00213C22">
            <w:pPr>
              <w:widowControl/>
              <w:spacing w:after="200" w:line="276" w:lineRule="auto"/>
              <w:rPr>
                <w:sz w:val="17"/>
                <w:szCs w:val="17"/>
              </w:rPr>
            </w:pPr>
            <w:r w:rsidRPr="001C2809">
              <w:rPr>
                <w:sz w:val="17"/>
                <w:szCs w:val="17"/>
              </w:rPr>
              <w:t>Framework for regulatory decision making</w:t>
            </w:r>
          </w:p>
          <w:p w14:paraId="642E2FAC" w14:textId="77777777" w:rsidR="00D14C69" w:rsidRPr="001C2809" w:rsidRDefault="00D14C69" w:rsidP="00213C22">
            <w:pPr>
              <w:widowControl/>
              <w:spacing w:after="200" w:line="276" w:lineRule="auto"/>
              <w:rPr>
                <w:sz w:val="17"/>
                <w:szCs w:val="17"/>
              </w:rPr>
            </w:pPr>
            <w:r w:rsidRPr="001C2809">
              <w:rPr>
                <w:sz w:val="17"/>
                <w:szCs w:val="17"/>
              </w:rPr>
              <w:t>Endpoint specific</w:t>
            </w:r>
          </w:p>
          <w:p w14:paraId="5AE7B472" w14:textId="77777777" w:rsidR="00D14C69" w:rsidRPr="001C2809" w:rsidRDefault="00D14C69" w:rsidP="00213C22">
            <w:pPr>
              <w:widowControl/>
              <w:spacing w:after="200" w:line="276" w:lineRule="auto"/>
              <w:rPr>
                <w:sz w:val="17"/>
                <w:szCs w:val="17"/>
              </w:rPr>
            </w:pPr>
            <w:r w:rsidRPr="001C2809">
              <w:rPr>
                <w:sz w:val="17"/>
                <w:szCs w:val="17"/>
              </w:rPr>
              <w:t>Specific to CLP</w:t>
            </w:r>
          </w:p>
          <w:p w14:paraId="060266E3" w14:textId="77777777" w:rsidR="00D14C69" w:rsidRPr="001C2809" w:rsidRDefault="00D14C69" w:rsidP="00213C22">
            <w:pPr>
              <w:widowControl/>
              <w:spacing w:after="200" w:line="276" w:lineRule="auto"/>
              <w:rPr>
                <w:sz w:val="17"/>
                <w:szCs w:val="17"/>
              </w:rPr>
            </w:pPr>
            <w:r w:rsidRPr="001C2809">
              <w:rPr>
                <w:sz w:val="17"/>
                <w:szCs w:val="17"/>
              </w:rPr>
              <w:t>Set of criteria</w:t>
            </w:r>
          </w:p>
          <w:p w14:paraId="2531D467" w14:textId="77777777" w:rsidR="00D14C69" w:rsidRPr="001C2809" w:rsidRDefault="00D14C69" w:rsidP="00213C22">
            <w:pPr>
              <w:widowControl/>
              <w:spacing w:after="200" w:line="276" w:lineRule="auto"/>
              <w:rPr>
                <w:sz w:val="17"/>
                <w:szCs w:val="17"/>
              </w:rPr>
            </w:pPr>
            <w:r w:rsidRPr="001C2809">
              <w:rPr>
                <w:sz w:val="17"/>
                <w:szCs w:val="17"/>
              </w:rPr>
              <w:t>Quantitative for some endpoints</w:t>
            </w:r>
            <w:r>
              <w:rPr>
                <w:sz w:val="17"/>
                <w:szCs w:val="17"/>
              </w:rPr>
              <w:t xml:space="preserve"> and qualitative for some other</w:t>
            </w:r>
          </w:p>
        </w:tc>
      </w:tr>
      <w:tr w:rsidR="00D14C69" w:rsidRPr="001C2809" w14:paraId="29B3A210" w14:textId="77777777" w:rsidTr="00213C22">
        <w:trPr>
          <w:trHeight w:val="2269"/>
        </w:trPr>
        <w:tc>
          <w:tcPr>
            <w:tcW w:w="2077" w:type="dxa"/>
          </w:tcPr>
          <w:p w14:paraId="4FF0B8FE" w14:textId="77777777" w:rsidR="00D14C69" w:rsidRPr="001C2809" w:rsidRDefault="00D14C69" w:rsidP="00213C22">
            <w:pPr>
              <w:spacing w:after="200" w:line="276" w:lineRule="auto"/>
              <w:rPr>
                <w:b/>
                <w:i/>
                <w:sz w:val="17"/>
                <w:szCs w:val="17"/>
              </w:rPr>
            </w:pPr>
            <w:r>
              <w:rPr>
                <w:b/>
                <w:i/>
                <w:sz w:val="17"/>
                <w:szCs w:val="17"/>
              </w:rPr>
              <w:t>E</w:t>
            </w:r>
            <w:r w:rsidRPr="001E2C8B">
              <w:rPr>
                <w:b/>
                <w:i/>
                <w:sz w:val="17"/>
                <w:szCs w:val="17"/>
              </w:rPr>
              <w:t>xclusion criteria and comparative assessment under BPR</w:t>
            </w:r>
            <w:r>
              <w:rPr>
                <w:b/>
                <w:i/>
                <w:sz w:val="17"/>
                <w:szCs w:val="17"/>
              </w:rPr>
              <w:t xml:space="preserve"> (Article 5, BPR)</w:t>
            </w:r>
          </w:p>
        </w:tc>
        <w:tc>
          <w:tcPr>
            <w:tcW w:w="2851" w:type="dxa"/>
          </w:tcPr>
          <w:p w14:paraId="60F5D870" w14:textId="77777777" w:rsidR="00D14C69" w:rsidRPr="001C2809" w:rsidRDefault="00D14C69" w:rsidP="00233E2A">
            <w:pPr>
              <w:pStyle w:val="ListParagraph"/>
              <w:widowControl/>
              <w:numPr>
                <w:ilvl w:val="0"/>
                <w:numId w:val="15"/>
              </w:numPr>
              <w:spacing w:after="200" w:line="276" w:lineRule="auto"/>
              <w:rPr>
                <w:sz w:val="17"/>
                <w:szCs w:val="17"/>
              </w:rPr>
            </w:pPr>
            <w:r>
              <w:rPr>
                <w:sz w:val="17"/>
                <w:szCs w:val="17"/>
              </w:rPr>
              <w:t>BPR</w:t>
            </w:r>
          </w:p>
        </w:tc>
        <w:tc>
          <w:tcPr>
            <w:tcW w:w="4314" w:type="dxa"/>
          </w:tcPr>
          <w:p w14:paraId="527D3DAB" w14:textId="77777777" w:rsidR="00D14C69" w:rsidRPr="001C2809" w:rsidRDefault="00D14C69" w:rsidP="00213C22">
            <w:pPr>
              <w:spacing w:after="200" w:line="276" w:lineRule="auto"/>
              <w:rPr>
                <w:sz w:val="17"/>
                <w:szCs w:val="17"/>
              </w:rPr>
            </w:pPr>
            <w:r>
              <w:rPr>
                <w:sz w:val="17"/>
                <w:szCs w:val="17"/>
              </w:rPr>
              <w:t>List of criteria for the approval of biocidal active substances</w:t>
            </w:r>
          </w:p>
        </w:tc>
      </w:tr>
      <w:tr w:rsidR="00D14C69" w:rsidRPr="001C2809" w14:paraId="7D7005D1" w14:textId="77777777" w:rsidTr="00213C22">
        <w:tc>
          <w:tcPr>
            <w:tcW w:w="2077" w:type="dxa"/>
          </w:tcPr>
          <w:p w14:paraId="6B5D0A97" w14:textId="77777777" w:rsidR="00D14C69" w:rsidRPr="001C2809" w:rsidRDefault="00D14C69" w:rsidP="00213C22">
            <w:pPr>
              <w:widowControl/>
              <w:spacing w:after="200" w:line="276" w:lineRule="auto"/>
              <w:rPr>
                <w:b/>
                <w:i/>
                <w:sz w:val="17"/>
                <w:szCs w:val="17"/>
              </w:rPr>
            </w:pPr>
            <w:r w:rsidRPr="001C2809">
              <w:rPr>
                <w:b/>
                <w:i/>
                <w:sz w:val="17"/>
                <w:szCs w:val="17"/>
              </w:rPr>
              <w:lastRenderedPageBreak/>
              <w:t>REACH and Biocides specific and general rules for adaptation of information requirements</w:t>
            </w:r>
          </w:p>
        </w:tc>
        <w:tc>
          <w:tcPr>
            <w:tcW w:w="2851" w:type="dxa"/>
          </w:tcPr>
          <w:p w14:paraId="6B6C2755"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Registration</w:t>
            </w:r>
          </w:p>
          <w:p w14:paraId="2F2DD80C"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Dossier Evaluation</w:t>
            </w:r>
          </w:p>
          <w:p w14:paraId="0CC61B0E"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Substance Evaluation</w:t>
            </w:r>
          </w:p>
          <w:p w14:paraId="2708A1A2"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BPR</w:t>
            </w:r>
          </w:p>
          <w:p w14:paraId="112D8A83" w14:textId="77777777" w:rsidR="00D14C69" w:rsidRPr="001C2809" w:rsidRDefault="00D14C69" w:rsidP="00213C22">
            <w:pPr>
              <w:pStyle w:val="ListParagraph"/>
              <w:widowControl/>
              <w:spacing w:after="200" w:line="276" w:lineRule="auto"/>
              <w:rPr>
                <w:sz w:val="17"/>
                <w:szCs w:val="17"/>
              </w:rPr>
            </w:pPr>
          </w:p>
          <w:p w14:paraId="1B278215" w14:textId="77777777" w:rsidR="00D14C69" w:rsidRPr="001C2809" w:rsidRDefault="00D14C69" w:rsidP="00213C22">
            <w:pPr>
              <w:pStyle w:val="ListParagraph"/>
              <w:widowControl/>
              <w:spacing w:after="200" w:line="276" w:lineRule="auto"/>
              <w:rPr>
                <w:sz w:val="17"/>
                <w:szCs w:val="17"/>
              </w:rPr>
            </w:pPr>
          </w:p>
        </w:tc>
        <w:tc>
          <w:tcPr>
            <w:tcW w:w="4314" w:type="dxa"/>
          </w:tcPr>
          <w:p w14:paraId="55B625D6" w14:textId="77777777" w:rsidR="00D14C69" w:rsidRPr="001C2809" w:rsidRDefault="00D14C69" w:rsidP="00213C22">
            <w:pPr>
              <w:widowControl/>
              <w:spacing w:after="200" w:line="276" w:lineRule="auto"/>
              <w:rPr>
                <w:sz w:val="17"/>
                <w:szCs w:val="17"/>
              </w:rPr>
            </w:pPr>
            <w:r w:rsidRPr="001C2809">
              <w:rPr>
                <w:sz w:val="17"/>
                <w:szCs w:val="17"/>
              </w:rPr>
              <w:t xml:space="preserve">Considerations that can be used to weigh the available evidence for regulatory decision making processes </w:t>
            </w:r>
          </w:p>
          <w:p w14:paraId="47D66426" w14:textId="46F38B4A" w:rsidR="00D14C69" w:rsidRPr="001C2809" w:rsidRDefault="00D14C69" w:rsidP="00213C22">
            <w:pPr>
              <w:widowControl/>
              <w:spacing w:after="200" w:line="276" w:lineRule="auto"/>
              <w:rPr>
                <w:sz w:val="17"/>
                <w:szCs w:val="17"/>
              </w:rPr>
            </w:pPr>
            <w:r w:rsidRPr="001C2809">
              <w:rPr>
                <w:sz w:val="17"/>
                <w:szCs w:val="17"/>
              </w:rPr>
              <w:t>Specific r</w:t>
            </w:r>
            <w:r w:rsidR="00F45063">
              <w:rPr>
                <w:sz w:val="17"/>
                <w:szCs w:val="17"/>
              </w:rPr>
              <w:t>ules</w:t>
            </w:r>
            <w:r w:rsidRPr="001C2809">
              <w:rPr>
                <w:sz w:val="17"/>
                <w:szCs w:val="17"/>
              </w:rPr>
              <w:t xml:space="preserve"> providing conditions regarding standard testing, further testing and options for omitting the standard test</w:t>
            </w:r>
          </w:p>
          <w:p w14:paraId="06CCE4BE" w14:textId="2B2F2E5D" w:rsidR="00D14C69" w:rsidRPr="001C2809" w:rsidRDefault="00D14C69" w:rsidP="00213C22">
            <w:pPr>
              <w:widowControl/>
              <w:spacing w:after="200" w:line="276" w:lineRule="auto"/>
              <w:rPr>
                <w:sz w:val="17"/>
                <w:szCs w:val="17"/>
              </w:rPr>
            </w:pPr>
            <w:r w:rsidRPr="001C2809">
              <w:rPr>
                <w:sz w:val="17"/>
                <w:szCs w:val="17"/>
              </w:rPr>
              <w:t>Annex XI of REACH and Annex IV of BPR “adaptation of information requirements” provide a set of conditions (testing scientific</w:t>
            </w:r>
            <w:r w:rsidR="009032A2">
              <w:rPr>
                <w:sz w:val="17"/>
                <w:szCs w:val="17"/>
              </w:rPr>
              <w:t>ally</w:t>
            </w:r>
            <w:r w:rsidRPr="001C2809">
              <w:rPr>
                <w:sz w:val="17"/>
                <w:szCs w:val="17"/>
              </w:rPr>
              <w:t xml:space="preserve"> unnecessary) that can use conceptually a WoE approach (consideration of existing data, read-across etc.)</w:t>
            </w:r>
          </w:p>
        </w:tc>
      </w:tr>
      <w:tr w:rsidR="00D14C69" w:rsidRPr="001C2809" w14:paraId="2EFB7FDB" w14:textId="77777777" w:rsidTr="00213C22">
        <w:tc>
          <w:tcPr>
            <w:tcW w:w="2077" w:type="dxa"/>
          </w:tcPr>
          <w:p w14:paraId="4D9C16FD" w14:textId="77777777" w:rsidR="00D14C69" w:rsidRPr="001C2809" w:rsidRDefault="00D14C69" w:rsidP="00213C22">
            <w:pPr>
              <w:widowControl/>
              <w:spacing w:after="200" w:line="276" w:lineRule="auto"/>
              <w:rPr>
                <w:b/>
                <w:i/>
                <w:sz w:val="17"/>
                <w:szCs w:val="17"/>
              </w:rPr>
            </w:pPr>
            <w:r w:rsidRPr="001C2809">
              <w:rPr>
                <w:b/>
                <w:i/>
                <w:sz w:val="17"/>
                <w:szCs w:val="17"/>
              </w:rPr>
              <w:t>ITS</w:t>
            </w:r>
            <w:r>
              <w:rPr>
                <w:b/>
                <w:i/>
                <w:sz w:val="17"/>
                <w:szCs w:val="17"/>
              </w:rPr>
              <w:t xml:space="preserve"> (Integrated Testing</w:t>
            </w:r>
            <w:r w:rsidRPr="001C2809">
              <w:rPr>
                <w:b/>
                <w:i/>
                <w:sz w:val="17"/>
                <w:szCs w:val="17"/>
              </w:rPr>
              <w:t xml:space="preserve"> Strategies</w:t>
            </w:r>
            <w:r>
              <w:rPr>
                <w:b/>
                <w:i/>
                <w:sz w:val="17"/>
                <w:szCs w:val="17"/>
              </w:rPr>
              <w:t>)</w:t>
            </w:r>
            <w:r w:rsidRPr="001C2809">
              <w:rPr>
                <w:b/>
                <w:i/>
                <w:sz w:val="17"/>
                <w:szCs w:val="17"/>
              </w:rPr>
              <w:t xml:space="preserve"> per endpoint as described for many endpoints in   REACH/CLP/BPR</w:t>
            </w:r>
          </w:p>
          <w:p w14:paraId="782ACFAF" w14:textId="77777777" w:rsidR="00D14C69" w:rsidRPr="001C2809" w:rsidRDefault="00D14C69" w:rsidP="00213C22">
            <w:pPr>
              <w:widowControl/>
              <w:spacing w:after="200" w:line="276" w:lineRule="auto"/>
              <w:rPr>
                <w:sz w:val="17"/>
                <w:szCs w:val="17"/>
              </w:rPr>
            </w:pPr>
          </w:p>
        </w:tc>
        <w:tc>
          <w:tcPr>
            <w:tcW w:w="2851" w:type="dxa"/>
          </w:tcPr>
          <w:p w14:paraId="1D6E5C5F"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Registration</w:t>
            </w:r>
          </w:p>
          <w:p w14:paraId="2DDA5C4A"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Dossier Evaluation</w:t>
            </w:r>
          </w:p>
          <w:p w14:paraId="2D134A11"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Substance Evaluation</w:t>
            </w:r>
          </w:p>
          <w:p w14:paraId="580D3714"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CLH</w:t>
            </w:r>
          </w:p>
          <w:p w14:paraId="0E06F05B" w14:textId="77777777" w:rsidR="00D14C69" w:rsidRPr="001C2809" w:rsidRDefault="00D14C69" w:rsidP="00233E2A">
            <w:pPr>
              <w:pStyle w:val="ListParagraph"/>
              <w:widowControl/>
              <w:numPr>
                <w:ilvl w:val="0"/>
                <w:numId w:val="15"/>
              </w:numPr>
              <w:spacing w:after="200" w:line="276" w:lineRule="auto"/>
              <w:rPr>
                <w:sz w:val="17"/>
                <w:szCs w:val="17"/>
              </w:rPr>
            </w:pPr>
            <w:r w:rsidRPr="001C2809">
              <w:rPr>
                <w:sz w:val="17"/>
                <w:szCs w:val="17"/>
              </w:rPr>
              <w:t>BPR</w:t>
            </w:r>
          </w:p>
        </w:tc>
        <w:tc>
          <w:tcPr>
            <w:tcW w:w="4314" w:type="dxa"/>
          </w:tcPr>
          <w:p w14:paraId="3B3F90BA" w14:textId="77777777" w:rsidR="00D14C69" w:rsidRPr="001C2809" w:rsidRDefault="00D14C69" w:rsidP="00213C22">
            <w:pPr>
              <w:widowControl/>
              <w:spacing w:after="200" w:line="276" w:lineRule="auto"/>
              <w:rPr>
                <w:sz w:val="17"/>
                <w:szCs w:val="17"/>
              </w:rPr>
            </w:pPr>
            <w:r w:rsidRPr="001C2809">
              <w:rPr>
                <w:sz w:val="17"/>
                <w:szCs w:val="17"/>
              </w:rPr>
              <w:t>Set of questions to reach conclusion on a specific hazardous property and/or need for further information</w:t>
            </w:r>
          </w:p>
          <w:p w14:paraId="109FF5DB" w14:textId="77777777" w:rsidR="00D14C69" w:rsidRPr="001C2809" w:rsidRDefault="00D14C69" w:rsidP="00213C22">
            <w:pPr>
              <w:widowControl/>
              <w:spacing w:after="200" w:line="276" w:lineRule="auto"/>
              <w:rPr>
                <w:sz w:val="17"/>
                <w:szCs w:val="17"/>
              </w:rPr>
            </w:pPr>
            <w:r w:rsidRPr="001C2809">
              <w:rPr>
                <w:sz w:val="17"/>
                <w:szCs w:val="17"/>
              </w:rPr>
              <w:t>Can assist in deciding which evidence to consider and how to weigh it</w:t>
            </w:r>
          </w:p>
          <w:p w14:paraId="63A79492" w14:textId="77777777" w:rsidR="00D14C69" w:rsidRPr="001C2809" w:rsidRDefault="00D14C69" w:rsidP="00213C22">
            <w:pPr>
              <w:widowControl/>
              <w:spacing w:after="200" w:line="276" w:lineRule="auto"/>
              <w:rPr>
                <w:sz w:val="17"/>
                <w:szCs w:val="17"/>
              </w:rPr>
            </w:pPr>
            <w:r w:rsidRPr="001C2809">
              <w:rPr>
                <w:sz w:val="17"/>
                <w:szCs w:val="17"/>
              </w:rPr>
              <w:t>Depending of endpoint complexity and specificity of questions vary</w:t>
            </w:r>
          </w:p>
        </w:tc>
      </w:tr>
    </w:tbl>
    <w:p w14:paraId="5975547C" w14:textId="77777777" w:rsidR="00D14C69" w:rsidRDefault="00D14C69" w:rsidP="001C2809">
      <w:pPr>
        <w:tabs>
          <w:tab w:val="left" w:pos="255"/>
        </w:tabs>
        <w:rPr>
          <w:rFonts w:ascii="Verdana" w:hAnsi="Verdana"/>
          <w:b/>
          <w:sz w:val="16"/>
          <w:szCs w:val="16"/>
        </w:rPr>
      </w:pPr>
    </w:p>
    <w:p w14:paraId="28D15779" w14:textId="77777777" w:rsidR="00D14C69" w:rsidRDefault="00D14C69">
      <w:pPr>
        <w:rPr>
          <w:rFonts w:ascii="Verdana" w:hAnsi="Verdana"/>
          <w:b/>
          <w:sz w:val="16"/>
          <w:szCs w:val="16"/>
        </w:rPr>
      </w:pPr>
      <w:r>
        <w:rPr>
          <w:rFonts w:ascii="Verdana" w:hAnsi="Verdana"/>
          <w:b/>
          <w:sz w:val="16"/>
          <w:szCs w:val="16"/>
        </w:rPr>
        <w:br w:type="page"/>
      </w:r>
    </w:p>
    <w:p w14:paraId="718CD793" w14:textId="7F9BB677" w:rsidR="001C2809" w:rsidRPr="001C2809" w:rsidRDefault="001C2809" w:rsidP="001C2809">
      <w:pPr>
        <w:tabs>
          <w:tab w:val="left" w:pos="255"/>
        </w:tabs>
        <w:rPr>
          <w:sz w:val="16"/>
          <w:szCs w:val="16"/>
        </w:rPr>
      </w:pPr>
      <w:r w:rsidRPr="001C2809">
        <w:rPr>
          <w:rFonts w:ascii="Verdana" w:hAnsi="Verdana"/>
          <w:b/>
          <w:sz w:val="16"/>
          <w:szCs w:val="16"/>
        </w:rPr>
        <w:lastRenderedPageBreak/>
        <w:t>Table</w:t>
      </w:r>
      <w:r w:rsidR="000933B6">
        <w:rPr>
          <w:rFonts w:ascii="Verdana" w:hAnsi="Verdana"/>
          <w:b/>
          <w:sz w:val="16"/>
          <w:szCs w:val="16"/>
        </w:rPr>
        <w:t xml:space="preserve"> </w:t>
      </w:r>
      <w:r w:rsidR="00D14C69">
        <w:rPr>
          <w:rFonts w:ascii="Verdana" w:hAnsi="Verdana"/>
          <w:b/>
          <w:sz w:val="16"/>
          <w:szCs w:val="16"/>
        </w:rPr>
        <w:t>2</w:t>
      </w:r>
      <w:r w:rsidRPr="001C2809">
        <w:rPr>
          <w:rFonts w:ascii="Verdana" w:hAnsi="Verdana"/>
          <w:b/>
          <w:sz w:val="16"/>
          <w:szCs w:val="16"/>
        </w:rPr>
        <w:t>:</w:t>
      </w:r>
      <w:r w:rsidRPr="001C2809">
        <w:rPr>
          <w:rFonts w:ascii="Verdana" w:hAnsi="Verdana"/>
          <w:sz w:val="16"/>
          <w:szCs w:val="16"/>
        </w:rPr>
        <w:t xml:space="preserve"> Methods and/or frameworks which are considered to apply a complete WoE approach or a partial WoE approach</w:t>
      </w:r>
    </w:p>
    <w:tbl>
      <w:tblPr>
        <w:tblStyle w:val="TableGrid"/>
        <w:tblW w:w="0" w:type="auto"/>
        <w:tblLook w:val="04A0" w:firstRow="1" w:lastRow="0" w:firstColumn="1" w:lastColumn="0" w:noHBand="0" w:noVBand="1"/>
      </w:tblPr>
      <w:tblGrid>
        <w:gridCol w:w="3023"/>
        <w:gridCol w:w="3023"/>
        <w:gridCol w:w="2970"/>
      </w:tblGrid>
      <w:tr w:rsidR="001C2809" w:rsidRPr="001C2809" w14:paraId="718CD797" w14:textId="77777777" w:rsidTr="009345FF">
        <w:tc>
          <w:tcPr>
            <w:tcW w:w="3080" w:type="dxa"/>
            <w:shd w:val="clear" w:color="auto" w:fill="8496B0" w:themeFill="text2" w:themeFillTint="99"/>
          </w:tcPr>
          <w:p w14:paraId="718CD794" w14:textId="77777777" w:rsidR="001C2809" w:rsidRPr="001C2809" w:rsidRDefault="001C2809" w:rsidP="009345FF">
            <w:pPr>
              <w:widowControl/>
              <w:spacing w:after="200" w:line="276" w:lineRule="auto"/>
              <w:rPr>
                <w:b/>
                <w:color w:val="FFFFFF" w:themeColor="background1"/>
                <w:sz w:val="17"/>
                <w:szCs w:val="17"/>
              </w:rPr>
            </w:pPr>
            <w:r w:rsidRPr="001C2809">
              <w:rPr>
                <w:b/>
                <w:color w:val="FFFFFF" w:themeColor="background1"/>
                <w:sz w:val="17"/>
                <w:szCs w:val="17"/>
              </w:rPr>
              <w:t>Methods for WoE approach and/or analysis/integration of evidence</w:t>
            </w:r>
          </w:p>
        </w:tc>
        <w:tc>
          <w:tcPr>
            <w:tcW w:w="3081" w:type="dxa"/>
            <w:shd w:val="clear" w:color="auto" w:fill="8496B0" w:themeFill="text2" w:themeFillTint="99"/>
          </w:tcPr>
          <w:p w14:paraId="718CD795" w14:textId="77777777" w:rsidR="001C2809" w:rsidRPr="001C2809" w:rsidRDefault="001C2809" w:rsidP="009345FF">
            <w:pPr>
              <w:widowControl/>
              <w:spacing w:after="200" w:line="276" w:lineRule="auto"/>
              <w:rPr>
                <w:b/>
                <w:color w:val="FFFFFF" w:themeColor="background1"/>
                <w:sz w:val="17"/>
                <w:szCs w:val="17"/>
              </w:rPr>
            </w:pPr>
            <w:r w:rsidRPr="001C2809">
              <w:rPr>
                <w:b/>
                <w:color w:val="FFFFFF" w:themeColor="background1"/>
                <w:sz w:val="17"/>
                <w:szCs w:val="17"/>
              </w:rPr>
              <w:t>REACH/CLP/BPR process relevance</w:t>
            </w:r>
          </w:p>
        </w:tc>
        <w:tc>
          <w:tcPr>
            <w:tcW w:w="3081" w:type="dxa"/>
            <w:shd w:val="clear" w:color="auto" w:fill="8496B0" w:themeFill="text2" w:themeFillTint="99"/>
          </w:tcPr>
          <w:p w14:paraId="718CD796" w14:textId="77777777" w:rsidR="001C2809" w:rsidRPr="001C2809" w:rsidRDefault="001C2809" w:rsidP="009345FF">
            <w:pPr>
              <w:widowControl/>
              <w:spacing w:after="200" w:line="276" w:lineRule="auto"/>
              <w:rPr>
                <w:b/>
                <w:color w:val="FFFFFF" w:themeColor="background1"/>
                <w:sz w:val="17"/>
                <w:szCs w:val="17"/>
              </w:rPr>
            </w:pPr>
            <w:r w:rsidRPr="001C2809">
              <w:rPr>
                <w:b/>
                <w:color w:val="FFFFFF" w:themeColor="background1"/>
                <w:sz w:val="17"/>
                <w:szCs w:val="17"/>
              </w:rPr>
              <w:t xml:space="preserve">Description </w:t>
            </w:r>
          </w:p>
        </w:tc>
      </w:tr>
      <w:tr w:rsidR="001C2809" w:rsidRPr="001C2809" w14:paraId="718CD7A7" w14:textId="77777777" w:rsidTr="009345FF">
        <w:tc>
          <w:tcPr>
            <w:tcW w:w="3080" w:type="dxa"/>
          </w:tcPr>
          <w:p w14:paraId="718CD798" w14:textId="6F6CB982" w:rsidR="001C2809" w:rsidRPr="001C2809" w:rsidRDefault="001C2809" w:rsidP="009345FF">
            <w:pPr>
              <w:widowControl/>
              <w:spacing w:after="200" w:line="276" w:lineRule="auto"/>
              <w:rPr>
                <w:sz w:val="17"/>
                <w:szCs w:val="17"/>
              </w:rPr>
            </w:pPr>
            <w:r w:rsidRPr="001C2809">
              <w:rPr>
                <w:b/>
                <w:i/>
                <w:sz w:val="17"/>
                <w:szCs w:val="17"/>
              </w:rPr>
              <w:t>WHO/ IPCS Mode of Action/WoE Framework</w:t>
            </w:r>
            <w:r w:rsidR="003A00F9">
              <w:rPr>
                <w:b/>
                <w:i/>
                <w:sz w:val="17"/>
                <w:szCs w:val="17"/>
              </w:rPr>
              <w:t xml:space="preserve"> (WH0/IPCS 2013)</w:t>
            </w:r>
          </w:p>
        </w:tc>
        <w:tc>
          <w:tcPr>
            <w:tcW w:w="3081" w:type="dxa"/>
          </w:tcPr>
          <w:p w14:paraId="718CD799"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Registration</w:t>
            </w:r>
          </w:p>
          <w:p w14:paraId="718CD79A"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Dossier Evaluation</w:t>
            </w:r>
          </w:p>
          <w:p w14:paraId="718CD79B"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Substance Evaluation</w:t>
            </w:r>
          </w:p>
          <w:p w14:paraId="718CD79C"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CLH</w:t>
            </w:r>
          </w:p>
          <w:p w14:paraId="718CD79D"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BPR</w:t>
            </w:r>
          </w:p>
          <w:p w14:paraId="718CD79E"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SVHC/ Restrictions/ Authorisations</w:t>
            </w:r>
          </w:p>
        </w:tc>
        <w:tc>
          <w:tcPr>
            <w:tcW w:w="3081" w:type="dxa"/>
          </w:tcPr>
          <w:p w14:paraId="718CD79F" w14:textId="77777777" w:rsidR="001C2809" w:rsidRPr="001C2809" w:rsidRDefault="001C2809" w:rsidP="009345FF">
            <w:pPr>
              <w:widowControl/>
              <w:spacing w:after="200" w:line="276" w:lineRule="auto"/>
              <w:rPr>
                <w:sz w:val="17"/>
                <w:szCs w:val="17"/>
              </w:rPr>
            </w:pPr>
            <w:r w:rsidRPr="001C2809">
              <w:rPr>
                <w:sz w:val="17"/>
                <w:szCs w:val="17"/>
              </w:rPr>
              <w:t>Qualitative and/or quantitative assessment of WoE (including human relevance analysis)</w:t>
            </w:r>
          </w:p>
          <w:p w14:paraId="718CD7A0" w14:textId="77777777" w:rsidR="001C2809" w:rsidRPr="001C2809" w:rsidRDefault="001C2809" w:rsidP="009345FF">
            <w:pPr>
              <w:widowControl/>
              <w:spacing w:after="200" w:line="276" w:lineRule="auto"/>
              <w:rPr>
                <w:sz w:val="17"/>
                <w:szCs w:val="17"/>
              </w:rPr>
            </w:pPr>
            <w:r w:rsidRPr="001C2809">
              <w:rPr>
                <w:sz w:val="17"/>
                <w:szCs w:val="17"/>
              </w:rPr>
              <w:t>Can be used for both HH and ENV assessments</w:t>
            </w:r>
          </w:p>
          <w:p w14:paraId="718CD7A1" w14:textId="77777777" w:rsidR="001C2809" w:rsidRPr="001C2809" w:rsidRDefault="001C2809" w:rsidP="009345FF">
            <w:pPr>
              <w:widowControl/>
              <w:spacing w:after="200" w:line="276" w:lineRule="auto"/>
              <w:rPr>
                <w:sz w:val="17"/>
                <w:szCs w:val="17"/>
              </w:rPr>
            </w:pPr>
            <w:r w:rsidRPr="001C2809">
              <w:rPr>
                <w:sz w:val="17"/>
                <w:szCs w:val="17"/>
              </w:rPr>
              <w:t>Allows detailed integration of evidence and WoE analysis</w:t>
            </w:r>
          </w:p>
          <w:p w14:paraId="718CD7A2" w14:textId="77777777" w:rsidR="001C2809" w:rsidRPr="001C2809" w:rsidRDefault="001C2809" w:rsidP="009345FF">
            <w:pPr>
              <w:widowControl/>
              <w:spacing w:after="200" w:line="276" w:lineRule="auto"/>
              <w:rPr>
                <w:sz w:val="17"/>
                <w:szCs w:val="17"/>
              </w:rPr>
            </w:pPr>
            <w:r w:rsidRPr="001C2809">
              <w:rPr>
                <w:sz w:val="17"/>
                <w:szCs w:val="17"/>
              </w:rPr>
              <w:t>It is a stepwise WoE approach on its own similar to the one presented in this document</w:t>
            </w:r>
          </w:p>
          <w:p w14:paraId="718CD7A6" w14:textId="4D85C8C3" w:rsidR="001C2809" w:rsidRPr="001C2809" w:rsidRDefault="001C2809" w:rsidP="009345FF">
            <w:pPr>
              <w:widowControl/>
              <w:spacing w:after="200" w:line="276" w:lineRule="auto"/>
              <w:rPr>
                <w:sz w:val="17"/>
                <w:szCs w:val="17"/>
              </w:rPr>
            </w:pPr>
            <w:r w:rsidRPr="001C2809">
              <w:rPr>
                <w:sz w:val="17"/>
                <w:szCs w:val="17"/>
              </w:rPr>
              <w:t>Can be used with varying availability of evidence (fr</w:t>
            </w:r>
            <w:r w:rsidR="00B357D0">
              <w:rPr>
                <w:sz w:val="17"/>
                <w:szCs w:val="17"/>
              </w:rPr>
              <w:t>om poor to data rich chemicals)</w:t>
            </w:r>
          </w:p>
        </w:tc>
      </w:tr>
      <w:tr w:rsidR="001C2809" w:rsidRPr="001C2809" w14:paraId="718CD7B1" w14:textId="77777777" w:rsidTr="009345FF">
        <w:tc>
          <w:tcPr>
            <w:tcW w:w="3080" w:type="dxa"/>
          </w:tcPr>
          <w:p w14:paraId="718CD7A8" w14:textId="0E550C12" w:rsidR="001C2809" w:rsidRPr="001C2809" w:rsidRDefault="001C2809" w:rsidP="009345FF">
            <w:pPr>
              <w:widowControl/>
              <w:spacing w:after="200" w:line="276" w:lineRule="auto"/>
              <w:rPr>
                <w:sz w:val="17"/>
                <w:szCs w:val="17"/>
              </w:rPr>
            </w:pPr>
            <w:r w:rsidRPr="001C2809">
              <w:rPr>
                <w:b/>
                <w:i/>
                <w:sz w:val="17"/>
                <w:szCs w:val="17"/>
              </w:rPr>
              <w:t>OECD Adverse Outcome Pathways</w:t>
            </w:r>
            <w:r w:rsidR="000933B6">
              <w:rPr>
                <w:b/>
                <w:i/>
                <w:sz w:val="17"/>
                <w:szCs w:val="17"/>
              </w:rPr>
              <w:t xml:space="preserve"> (AOPs)</w:t>
            </w:r>
            <w:r w:rsidR="007F531A">
              <w:rPr>
                <w:b/>
                <w:i/>
                <w:sz w:val="17"/>
                <w:szCs w:val="17"/>
              </w:rPr>
              <w:t xml:space="preserve"> </w:t>
            </w:r>
            <w:r w:rsidR="007F531A" w:rsidRPr="007F531A">
              <w:rPr>
                <w:i/>
                <w:sz w:val="17"/>
                <w:szCs w:val="17"/>
              </w:rPr>
              <w:t>(see References OECD AOP)</w:t>
            </w:r>
          </w:p>
        </w:tc>
        <w:tc>
          <w:tcPr>
            <w:tcW w:w="3081" w:type="dxa"/>
          </w:tcPr>
          <w:p w14:paraId="718CD7A9"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Registration</w:t>
            </w:r>
          </w:p>
          <w:p w14:paraId="718CD7AA"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Dossier Evaluation</w:t>
            </w:r>
          </w:p>
          <w:p w14:paraId="718CD7AB"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Substance Evaluation</w:t>
            </w:r>
          </w:p>
          <w:p w14:paraId="718CD7AC"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CLH</w:t>
            </w:r>
          </w:p>
          <w:p w14:paraId="718CD7AD"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BPR</w:t>
            </w:r>
          </w:p>
          <w:p w14:paraId="718CD7AE"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SVHC/ Restrictions/ Authorisations</w:t>
            </w:r>
          </w:p>
        </w:tc>
        <w:tc>
          <w:tcPr>
            <w:tcW w:w="3081" w:type="dxa"/>
          </w:tcPr>
          <w:p w14:paraId="718CD7AF" w14:textId="77777777" w:rsidR="001C2809" w:rsidRPr="001C2809" w:rsidRDefault="001C2809" w:rsidP="009345FF">
            <w:pPr>
              <w:widowControl/>
              <w:spacing w:after="200" w:line="276" w:lineRule="auto"/>
              <w:rPr>
                <w:sz w:val="17"/>
                <w:szCs w:val="17"/>
              </w:rPr>
            </w:pPr>
            <w:r w:rsidRPr="001C2809">
              <w:rPr>
                <w:sz w:val="17"/>
                <w:szCs w:val="17"/>
              </w:rPr>
              <w:t>Similar to WHO/IPCS MoA Framework above</w:t>
            </w:r>
          </w:p>
          <w:p w14:paraId="718CD7B0" w14:textId="77777777" w:rsidR="001C2809" w:rsidRPr="001C2809" w:rsidRDefault="001C2809" w:rsidP="009345FF">
            <w:pPr>
              <w:widowControl/>
              <w:spacing w:after="200" w:line="276" w:lineRule="auto"/>
              <w:rPr>
                <w:sz w:val="17"/>
                <w:szCs w:val="17"/>
              </w:rPr>
            </w:pPr>
            <w:r w:rsidRPr="001C2809">
              <w:rPr>
                <w:sz w:val="17"/>
                <w:szCs w:val="17"/>
              </w:rPr>
              <w:t>AOPs/MoA can also be used within an IATA or standalone</w:t>
            </w:r>
          </w:p>
        </w:tc>
      </w:tr>
      <w:tr w:rsidR="001C2809" w:rsidRPr="001C2809" w14:paraId="718CD7BE" w14:textId="77777777" w:rsidTr="009345FF">
        <w:tc>
          <w:tcPr>
            <w:tcW w:w="3080" w:type="dxa"/>
          </w:tcPr>
          <w:p w14:paraId="718CD7B2" w14:textId="526BAD69" w:rsidR="001C2809" w:rsidRPr="001C2809" w:rsidRDefault="001C2809" w:rsidP="009345FF">
            <w:pPr>
              <w:widowControl/>
              <w:spacing w:after="200" w:line="276" w:lineRule="auto"/>
              <w:rPr>
                <w:sz w:val="17"/>
                <w:szCs w:val="17"/>
              </w:rPr>
            </w:pPr>
            <w:r w:rsidRPr="001C2809">
              <w:rPr>
                <w:b/>
                <w:i/>
                <w:sz w:val="17"/>
                <w:szCs w:val="17"/>
              </w:rPr>
              <w:t>OECD IATAs</w:t>
            </w:r>
            <w:r w:rsidR="007F531A">
              <w:rPr>
                <w:b/>
                <w:i/>
                <w:sz w:val="17"/>
                <w:szCs w:val="17"/>
              </w:rPr>
              <w:t xml:space="preserve"> </w:t>
            </w:r>
            <w:r w:rsidR="007F531A" w:rsidRPr="007F531A">
              <w:rPr>
                <w:i/>
                <w:sz w:val="17"/>
                <w:szCs w:val="17"/>
              </w:rPr>
              <w:t>(see References OECD IATA)</w:t>
            </w:r>
          </w:p>
        </w:tc>
        <w:tc>
          <w:tcPr>
            <w:tcW w:w="3081" w:type="dxa"/>
          </w:tcPr>
          <w:p w14:paraId="718CD7B3"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Registration</w:t>
            </w:r>
          </w:p>
          <w:p w14:paraId="718CD7B4"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Dossier Evaluation</w:t>
            </w:r>
          </w:p>
          <w:p w14:paraId="718CD7B5"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Substance Evaluation</w:t>
            </w:r>
          </w:p>
          <w:p w14:paraId="718CD7B6"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CLH</w:t>
            </w:r>
          </w:p>
          <w:p w14:paraId="718CD7B7"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BPR</w:t>
            </w:r>
          </w:p>
          <w:p w14:paraId="718CD7B8"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SVHC/ Restrictions/ Authorisations</w:t>
            </w:r>
          </w:p>
        </w:tc>
        <w:tc>
          <w:tcPr>
            <w:tcW w:w="3081" w:type="dxa"/>
          </w:tcPr>
          <w:p w14:paraId="718CD7B9" w14:textId="77777777" w:rsidR="001C2809" w:rsidRPr="001C2809" w:rsidRDefault="001C2809" w:rsidP="009345FF">
            <w:pPr>
              <w:widowControl/>
              <w:spacing w:after="200" w:line="276" w:lineRule="auto"/>
              <w:rPr>
                <w:sz w:val="17"/>
                <w:szCs w:val="17"/>
              </w:rPr>
            </w:pPr>
            <w:r w:rsidRPr="001C2809">
              <w:rPr>
                <w:sz w:val="17"/>
                <w:szCs w:val="17"/>
              </w:rPr>
              <w:t xml:space="preserve">Overall framework to integrate all sources of evidence (read-across, </w:t>
            </w:r>
            <w:r w:rsidRPr="001C2809">
              <w:rPr>
                <w:i/>
                <w:sz w:val="17"/>
                <w:szCs w:val="17"/>
              </w:rPr>
              <w:t>in vivo</w:t>
            </w:r>
            <w:r w:rsidRPr="001C2809">
              <w:rPr>
                <w:sz w:val="17"/>
                <w:szCs w:val="17"/>
              </w:rPr>
              <w:t xml:space="preserve">, </w:t>
            </w:r>
            <w:r w:rsidRPr="001C2809">
              <w:rPr>
                <w:i/>
                <w:sz w:val="17"/>
                <w:szCs w:val="17"/>
              </w:rPr>
              <w:t>in vitro</w:t>
            </w:r>
            <w:r w:rsidRPr="001C2809">
              <w:rPr>
                <w:sz w:val="17"/>
                <w:szCs w:val="17"/>
              </w:rPr>
              <w:t>)</w:t>
            </w:r>
          </w:p>
          <w:p w14:paraId="718CD7BA" w14:textId="77777777" w:rsidR="001C2809" w:rsidRPr="001C2809" w:rsidRDefault="001C2809" w:rsidP="009345FF">
            <w:pPr>
              <w:widowControl/>
              <w:spacing w:after="200" w:line="276" w:lineRule="auto"/>
              <w:rPr>
                <w:sz w:val="17"/>
                <w:szCs w:val="17"/>
              </w:rPr>
            </w:pPr>
            <w:r w:rsidRPr="001C2809">
              <w:rPr>
                <w:sz w:val="17"/>
                <w:szCs w:val="17"/>
              </w:rPr>
              <w:t>Similar concept to the stepwise WoE approach presented in this document</w:t>
            </w:r>
          </w:p>
          <w:p w14:paraId="718CD7BB" w14:textId="77777777" w:rsidR="001C2809" w:rsidRPr="001C2809" w:rsidRDefault="001C2809" w:rsidP="009345FF">
            <w:pPr>
              <w:widowControl/>
              <w:spacing w:after="200" w:line="276" w:lineRule="auto"/>
              <w:rPr>
                <w:sz w:val="17"/>
                <w:szCs w:val="17"/>
              </w:rPr>
            </w:pPr>
            <w:r w:rsidRPr="001C2809">
              <w:rPr>
                <w:sz w:val="17"/>
                <w:szCs w:val="17"/>
              </w:rPr>
              <w:t>Similar templates to the WoE integration templates in ECHA Guidance for acute toxicity may be used</w:t>
            </w:r>
          </w:p>
          <w:p w14:paraId="718CD7BC" w14:textId="77777777" w:rsidR="001C2809" w:rsidRPr="001C2809" w:rsidRDefault="001C2809" w:rsidP="009345FF">
            <w:pPr>
              <w:widowControl/>
              <w:spacing w:after="200" w:line="276" w:lineRule="auto"/>
              <w:rPr>
                <w:sz w:val="17"/>
                <w:szCs w:val="17"/>
              </w:rPr>
            </w:pPr>
            <w:r w:rsidRPr="001C2809">
              <w:rPr>
                <w:sz w:val="17"/>
                <w:szCs w:val="17"/>
              </w:rPr>
              <w:t>Can be used with or without AOP/MoA templates</w:t>
            </w:r>
          </w:p>
          <w:p w14:paraId="718CD7BD" w14:textId="77777777" w:rsidR="001C2809" w:rsidRPr="001C2809" w:rsidRDefault="001C2809" w:rsidP="009345FF">
            <w:pPr>
              <w:widowControl/>
              <w:spacing w:after="200" w:line="276" w:lineRule="auto"/>
              <w:rPr>
                <w:sz w:val="17"/>
                <w:szCs w:val="17"/>
              </w:rPr>
            </w:pPr>
            <w:r w:rsidRPr="001C2809">
              <w:rPr>
                <w:sz w:val="17"/>
                <w:szCs w:val="17"/>
              </w:rPr>
              <w:t>If AOP/MoA framework analysis performed those templates from AOP/MoA area are used</w:t>
            </w:r>
          </w:p>
        </w:tc>
      </w:tr>
      <w:tr w:rsidR="00F97423" w:rsidRPr="008A69E7" w14:paraId="4F33BFF1" w14:textId="77777777" w:rsidTr="009345FF">
        <w:tc>
          <w:tcPr>
            <w:tcW w:w="3080" w:type="dxa"/>
          </w:tcPr>
          <w:p w14:paraId="6F2BC2C4" w14:textId="54E99195" w:rsidR="00F97423" w:rsidRPr="007F531A" w:rsidRDefault="00F97423" w:rsidP="009345FF">
            <w:pPr>
              <w:spacing w:after="200" w:line="276" w:lineRule="auto"/>
              <w:rPr>
                <w:b/>
                <w:i/>
                <w:sz w:val="17"/>
                <w:szCs w:val="17"/>
              </w:rPr>
            </w:pPr>
            <w:r w:rsidRPr="007F531A">
              <w:rPr>
                <w:b/>
                <w:i/>
                <w:sz w:val="17"/>
                <w:szCs w:val="17"/>
              </w:rPr>
              <w:t>OECD Endocrine Disruption Conceptual framework</w:t>
            </w:r>
            <w:r w:rsidR="007F531A" w:rsidRPr="007F531A">
              <w:rPr>
                <w:b/>
                <w:i/>
                <w:sz w:val="17"/>
                <w:szCs w:val="17"/>
              </w:rPr>
              <w:t xml:space="preserve"> </w:t>
            </w:r>
            <w:r w:rsidR="007F531A" w:rsidRPr="007F531A">
              <w:rPr>
                <w:i/>
                <w:sz w:val="17"/>
                <w:szCs w:val="17"/>
              </w:rPr>
              <w:t>(see References)</w:t>
            </w:r>
          </w:p>
        </w:tc>
        <w:tc>
          <w:tcPr>
            <w:tcW w:w="3081" w:type="dxa"/>
          </w:tcPr>
          <w:p w14:paraId="5C884DDC" w14:textId="77777777" w:rsidR="008A69E7" w:rsidRPr="001C2809" w:rsidRDefault="008A69E7" w:rsidP="00233E2A">
            <w:pPr>
              <w:pStyle w:val="ListParagraph"/>
              <w:widowControl/>
              <w:numPr>
                <w:ilvl w:val="0"/>
                <w:numId w:val="16"/>
              </w:numPr>
              <w:spacing w:after="200" w:line="276" w:lineRule="auto"/>
              <w:rPr>
                <w:sz w:val="17"/>
                <w:szCs w:val="17"/>
              </w:rPr>
            </w:pPr>
            <w:r w:rsidRPr="001C2809">
              <w:rPr>
                <w:sz w:val="17"/>
                <w:szCs w:val="17"/>
              </w:rPr>
              <w:t>Registration</w:t>
            </w:r>
          </w:p>
          <w:p w14:paraId="741FE56F" w14:textId="77777777" w:rsidR="008A69E7" w:rsidRPr="001C2809" w:rsidRDefault="008A69E7" w:rsidP="00233E2A">
            <w:pPr>
              <w:pStyle w:val="ListParagraph"/>
              <w:widowControl/>
              <w:numPr>
                <w:ilvl w:val="0"/>
                <w:numId w:val="16"/>
              </w:numPr>
              <w:spacing w:after="200" w:line="276" w:lineRule="auto"/>
              <w:rPr>
                <w:sz w:val="17"/>
                <w:szCs w:val="17"/>
              </w:rPr>
            </w:pPr>
            <w:r w:rsidRPr="001C2809">
              <w:rPr>
                <w:sz w:val="17"/>
                <w:szCs w:val="17"/>
              </w:rPr>
              <w:t>Dossier Evaluation</w:t>
            </w:r>
          </w:p>
          <w:p w14:paraId="06B1BE7A" w14:textId="77777777" w:rsidR="008A69E7" w:rsidRPr="001C2809" w:rsidRDefault="008A69E7" w:rsidP="00233E2A">
            <w:pPr>
              <w:pStyle w:val="ListParagraph"/>
              <w:widowControl/>
              <w:numPr>
                <w:ilvl w:val="0"/>
                <w:numId w:val="16"/>
              </w:numPr>
              <w:spacing w:after="200" w:line="276" w:lineRule="auto"/>
              <w:rPr>
                <w:sz w:val="17"/>
                <w:szCs w:val="17"/>
              </w:rPr>
            </w:pPr>
            <w:r w:rsidRPr="001C2809">
              <w:rPr>
                <w:sz w:val="17"/>
                <w:szCs w:val="17"/>
              </w:rPr>
              <w:t>Substance Evaluation</w:t>
            </w:r>
          </w:p>
          <w:p w14:paraId="6BE4F834" w14:textId="77777777" w:rsidR="008A69E7" w:rsidRPr="001C2809" w:rsidRDefault="008A69E7" w:rsidP="00233E2A">
            <w:pPr>
              <w:pStyle w:val="ListParagraph"/>
              <w:widowControl/>
              <w:numPr>
                <w:ilvl w:val="0"/>
                <w:numId w:val="16"/>
              </w:numPr>
              <w:spacing w:after="200" w:line="276" w:lineRule="auto"/>
              <w:rPr>
                <w:sz w:val="17"/>
                <w:szCs w:val="17"/>
              </w:rPr>
            </w:pPr>
            <w:r w:rsidRPr="001C2809">
              <w:rPr>
                <w:sz w:val="17"/>
                <w:szCs w:val="17"/>
              </w:rPr>
              <w:t>CLH</w:t>
            </w:r>
          </w:p>
          <w:p w14:paraId="4A12D156" w14:textId="77777777" w:rsidR="008A69E7" w:rsidRPr="001C2809" w:rsidRDefault="008A69E7" w:rsidP="00233E2A">
            <w:pPr>
              <w:pStyle w:val="ListParagraph"/>
              <w:widowControl/>
              <w:numPr>
                <w:ilvl w:val="0"/>
                <w:numId w:val="16"/>
              </w:numPr>
              <w:spacing w:after="200" w:line="276" w:lineRule="auto"/>
              <w:rPr>
                <w:sz w:val="17"/>
                <w:szCs w:val="17"/>
              </w:rPr>
            </w:pPr>
            <w:r w:rsidRPr="001C2809">
              <w:rPr>
                <w:sz w:val="17"/>
                <w:szCs w:val="17"/>
              </w:rPr>
              <w:t>BPR</w:t>
            </w:r>
          </w:p>
          <w:p w14:paraId="7CDBD0DC" w14:textId="4EF5A031" w:rsidR="00F97423" w:rsidRPr="00F97423" w:rsidRDefault="008A69E7" w:rsidP="00233E2A">
            <w:pPr>
              <w:pStyle w:val="ListParagraph"/>
              <w:widowControl/>
              <w:numPr>
                <w:ilvl w:val="0"/>
                <w:numId w:val="16"/>
              </w:numPr>
              <w:spacing w:after="200" w:line="276" w:lineRule="auto"/>
              <w:rPr>
                <w:sz w:val="17"/>
                <w:szCs w:val="17"/>
                <w:lang w:val="fr-FR"/>
              </w:rPr>
            </w:pPr>
            <w:r w:rsidRPr="001C2809">
              <w:rPr>
                <w:sz w:val="17"/>
                <w:szCs w:val="17"/>
              </w:rPr>
              <w:t>SVHC/ Restrictions/ Authorisations</w:t>
            </w:r>
          </w:p>
        </w:tc>
        <w:tc>
          <w:tcPr>
            <w:tcW w:w="3081" w:type="dxa"/>
          </w:tcPr>
          <w:p w14:paraId="17E88B46" w14:textId="6C3DD96B" w:rsidR="00F97423" w:rsidRPr="008A69E7" w:rsidRDefault="008A69E7" w:rsidP="009345FF">
            <w:pPr>
              <w:spacing w:after="200" w:line="276" w:lineRule="auto"/>
              <w:rPr>
                <w:sz w:val="17"/>
                <w:szCs w:val="17"/>
              </w:rPr>
            </w:pPr>
            <w:r w:rsidRPr="008A69E7">
              <w:rPr>
                <w:sz w:val="17"/>
                <w:szCs w:val="17"/>
              </w:rPr>
              <w:t xml:space="preserve">Framework that </w:t>
            </w:r>
            <w:r>
              <w:rPr>
                <w:sz w:val="17"/>
                <w:szCs w:val="17"/>
              </w:rPr>
              <w:t>provides guidance on assessment of different lines of evidence for endocrine disruption assessment</w:t>
            </w:r>
          </w:p>
        </w:tc>
      </w:tr>
    </w:tbl>
    <w:p w14:paraId="718CD7F9" w14:textId="77777777" w:rsidR="001C2809" w:rsidRDefault="001C2809" w:rsidP="001C2809">
      <w:pPr>
        <w:spacing w:after="200" w:line="276" w:lineRule="auto"/>
      </w:pPr>
    </w:p>
    <w:p w14:paraId="718CD7FC" w14:textId="754CF613" w:rsidR="001C2809" w:rsidRPr="00F97423" w:rsidRDefault="001C2809" w:rsidP="00F97423">
      <w:pPr>
        <w:tabs>
          <w:tab w:val="left" w:pos="1690"/>
        </w:tabs>
        <w:spacing w:after="200" w:line="276" w:lineRule="auto"/>
        <w:rPr>
          <w:rFonts w:ascii="Verdana" w:hAnsi="Verdana"/>
          <w:b/>
          <w:sz w:val="16"/>
          <w:szCs w:val="16"/>
        </w:rPr>
      </w:pPr>
      <w:r w:rsidRPr="001C2809">
        <w:rPr>
          <w:rFonts w:ascii="Verdana" w:hAnsi="Verdana"/>
          <w:b/>
          <w:sz w:val="16"/>
          <w:szCs w:val="16"/>
        </w:rPr>
        <w:t>Table</w:t>
      </w:r>
      <w:r w:rsidR="000933B6">
        <w:rPr>
          <w:rFonts w:ascii="Verdana" w:hAnsi="Verdana"/>
          <w:b/>
          <w:sz w:val="16"/>
          <w:szCs w:val="16"/>
        </w:rPr>
        <w:t xml:space="preserve"> 3</w:t>
      </w:r>
      <w:r w:rsidRPr="001C2809">
        <w:rPr>
          <w:rFonts w:ascii="Verdana" w:hAnsi="Verdana"/>
          <w:b/>
          <w:sz w:val="16"/>
          <w:szCs w:val="16"/>
        </w:rPr>
        <w:t>:</w:t>
      </w:r>
      <w:r w:rsidRPr="001C2809">
        <w:rPr>
          <w:rFonts w:ascii="Verdana" w:hAnsi="Verdana"/>
          <w:sz w:val="16"/>
          <w:szCs w:val="16"/>
        </w:rPr>
        <w:t xml:space="preserve"> List of other methodologies that can be seen following similar principles or complementing the WoE approach (for one or more steps of the WoE approach)</w:t>
      </w:r>
    </w:p>
    <w:tbl>
      <w:tblPr>
        <w:tblStyle w:val="TableGrid"/>
        <w:tblW w:w="0" w:type="auto"/>
        <w:tblLook w:val="04A0" w:firstRow="1" w:lastRow="0" w:firstColumn="1" w:lastColumn="0" w:noHBand="0" w:noVBand="1"/>
      </w:tblPr>
      <w:tblGrid>
        <w:gridCol w:w="3007"/>
        <w:gridCol w:w="3027"/>
        <w:gridCol w:w="2982"/>
      </w:tblGrid>
      <w:tr w:rsidR="001C2809" w:rsidRPr="001C2809" w14:paraId="718CD800" w14:textId="77777777" w:rsidTr="009345FF">
        <w:tc>
          <w:tcPr>
            <w:tcW w:w="3080" w:type="dxa"/>
            <w:shd w:val="clear" w:color="auto" w:fill="8496B0" w:themeFill="text2" w:themeFillTint="99"/>
          </w:tcPr>
          <w:p w14:paraId="718CD7FD" w14:textId="77777777" w:rsidR="001C2809" w:rsidRPr="001C2809" w:rsidRDefault="001C2809" w:rsidP="009345FF">
            <w:pPr>
              <w:widowControl/>
              <w:spacing w:after="200" w:line="276" w:lineRule="auto"/>
              <w:rPr>
                <w:b/>
                <w:color w:val="FFFFFF" w:themeColor="background1"/>
                <w:sz w:val="17"/>
                <w:szCs w:val="17"/>
              </w:rPr>
            </w:pPr>
            <w:r w:rsidRPr="001C2809">
              <w:rPr>
                <w:b/>
                <w:color w:val="FFFFFF" w:themeColor="background1"/>
                <w:sz w:val="17"/>
                <w:szCs w:val="17"/>
              </w:rPr>
              <w:t xml:space="preserve">REACH/CLP/BPR </w:t>
            </w:r>
          </w:p>
        </w:tc>
        <w:tc>
          <w:tcPr>
            <w:tcW w:w="3081" w:type="dxa"/>
            <w:shd w:val="clear" w:color="auto" w:fill="8496B0" w:themeFill="text2" w:themeFillTint="99"/>
          </w:tcPr>
          <w:p w14:paraId="718CD7FE" w14:textId="77777777" w:rsidR="001C2809" w:rsidRPr="001C2809" w:rsidRDefault="001C2809" w:rsidP="009345FF">
            <w:pPr>
              <w:widowControl/>
              <w:spacing w:after="200" w:line="276" w:lineRule="auto"/>
              <w:rPr>
                <w:b/>
                <w:color w:val="FFFFFF" w:themeColor="background1"/>
                <w:sz w:val="17"/>
                <w:szCs w:val="17"/>
              </w:rPr>
            </w:pPr>
            <w:r w:rsidRPr="001C2809">
              <w:rPr>
                <w:b/>
                <w:color w:val="FFFFFF" w:themeColor="background1"/>
                <w:sz w:val="17"/>
                <w:szCs w:val="17"/>
              </w:rPr>
              <w:t xml:space="preserve">REACH/CLP/BPR </w:t>
            </w:r>
          </w:p>
        </w:tc>
        <w:tc>
          <w:tcPr>
            <w:tcW w:w="3081" w:type="dxa"/>
            <w:shd w:val="clear" w:color="auto" w:fill="8496B0" w:themeFill="text2" w:themeFillTint="99"/>
          </w:tcPr>
          <w:p w14:paraId="718CD7FF" w14:textId="77777777" w:rsidR="001C2809" w:rsidRPr="001C2809" w:rsidRDefault="001C2809" w:rsidP="009345FF">
            <w:pPr>
              <w:widowControl/>
              <w:spacing w:after="200" w:line="276" w:lineRule="auto"/>
              <w:rPr>
                <w:b/>
                <w:color w:val="FFFFFF" w:themeColor="background1"/>
                <w:sz w:val="17"/>
                <w:szCs w:val="17"/>
              </w:rPr>
            </w:pPr>
            <w:r w:rsidRPr="001C2809">
              <w:rPr>
                <w:b/>
                <w:color w:val="FFFFFF" w:themeColor="background1"/>
                <w:sz w:val="17"/>
                <w:szCs w:val="17"/>
              </w:rPr>
              <w:t>Description</w:t>
            </w:r>
          </w:p>
        </w:tc>
      </w:tr>
      <w:tr w:rsidR="001C2809" w:rsidRPr="001C2809" w14:paraId="718CD809" w14:textId="77777777" w:rsidTr="009345FF">
        <w:tc>
          <w:tcPr>
            <w:tcW w:w="3080" w:type="dxa"/>
          </w:tcPr>
          <w:p w14:paraId="718CD801" w14:textId="3D73AFEC" w:rsidR="001C2809" w:rsidRPr="001C2809" w:rsidRDefault="001C2809" w:rsidP="009345FF">
            <w:pPr>
              <w:widowControl/>
              <w:spacing w:after="200" w:line="276" w:lineRule="auto"/>
              <w:rPr>
                <w:sz w:val="17"/>
                <w:szCs w:val="17"/>
              </w:rPr>
            </w:pPr>
            <w:r w:rsidRPr="001C2809">
              <w:rPr>
                <w:b/>
                <w:i/>
                <w:sz w:val="17"/>
                <w:szCs w:val="17"/>
              </w:rPr>
              <w:t>ECHA Read-across framework</w:t>
            </w:r>
            <w:r w:rsidR="003A00F9">
              <w:rPr>
                <w:b/>
                <w:i/>
                <w:sz w:val="17"/>
                <w:szCs w:val="17"/>
              </w:rPr>
              <w:t xml:space="preserve"> (ECHA, 2017)</w:t>
            </w:r>
          </w:p>
        </w:tc>
        <w:tc>
          <w:tcPr>
            <w:tcW w:w="3081" w:type="dxa"/>
          </w:tcPr>
          <w:p w14:paraId="718CD802" w14:textId="77777777" w:rsidR="001C2809" w:rsidRPr="001C2809" w:rsidRDefault="001C2809" w:rsidP="00233E2A">
            <w:pPr>
              <w:pStyle w:val="ListParagraph"/>
              <w:widowControl/>
              <w:numPr>
                <w:ilvl w:val="0"/>
                <w:numId w:val="14"/>
              </w:numPr>
              <w:spacing w:after="200" w:line="276" w:lineRule="auto"/>
              <w:rPr>
                <w:sz w:val="17"/>
                <w:szCs w:val="17"/>
              </w:rPr>
            </w:pPr>
            <w:r w:rsidRPr="001C2809">
              <w:rPr>
                <w:sz w:val="17"/>
                <w:szCs w:val="17"/>
              </w:rPr>
              <w:t>Registration</w:t>
            </w:r>
          </w:p>
          <w:p w14:paraId="718CD803" w14:textId="77777777" w:rsidR="001C2809" w:rsidRPr="001C2809" w:rsidRDefault="001C2809" w:rsidP="00233E2A">
            <w:pPr>
              <w:pStyle w:val="ListParagraph"/>
              <w:widowControl/>
              <w:numPr>
                <w:ilvl w:val="0"/>
                <w:numId w:val="14"/>
              </w:numPr>
              <w:spacing w:after="200" w:line="276" w:lineRule="auto"/>
              <w:rPr>
                <w:sz w:val="17"/>
                <w:szCs w:val="17"/>
              </w:rPr>
            </w:pPr>
            <w:r w:rsidRPr="001C2809">
              <w:rPr>
                <w:sz w:val="17"/>
                <w:szCs w:val="17"/>
              </w:rPr>
              <w:t xml:space="preserve">Dossier Evaluation </w:t>
            </w:r>
          </w:p>
          <w:p w14:paraId="718CD804" w14:textId="77777777" w:rsidR="001C2809" w:rsidRPr="001C2809" w:rsidRDefault="001C2809" w:rsidP="00233E2A">
            <w:pPr>
              <w:pStyle w:val="ListParagraph"/>
              <w:widowControl/>
              <w:numPr>
                <w:ilvl w:val="0"/>
                <w:numId w:val="14"/>
              </w:numPr>
              <w:spacing w:after="200" w:line="276" w:lineRule="auto"/>
              <w:rPr>
                <w:sz w:val="17"/>
                <w:szCs w:val="17"/>
              </w:rPr>
            </w:pPr>
            <w:r w:rsidRPr="001C2809">
              <w:rPr>
                <w:sz w:val="17"/>
                <w:szCs w:val="17"/>
              </w:rPr>
              <w:t>Substance Evaluation</w:t>
            </w:r>
          </w:p>
          <w:p w14:paraId="718CD805" w14:textId="77777777" w:rsidR="001C2809" w:rsidRPr="001C2809" w:rsidRDefault="001C2809" w:rsidP="00233E2A">
            <w:pPr>
              <w:pStyle w:val="ListParagraph"/>
              <w:widowControl/>
              <w:numPr>
                <w:ilvl w:val="0"/>
                <w:numId w:val="14"/>
              </w:numPr>
              <w:spacing w:after="200" w:line="276" w:lineRule="auto"/>
              <w:rPr>
                <w:sz w:val="17"/>
                <w:szCs w:val="17"/>
              </w:rPr>
            </w:pPr>
            <w:r w:rsidRPr="001C2809">
              <w:rPr>
                <w:sz w:val="17"/>
                <w:szCs w:val="17"/>
              </w:rPr>
              <w:t>CLH</w:t>
            </w:r>
          </w:p>
          <w:p w14:paraId="718CD806" w14:textId="77777777" w:rsidR="001C2809" w:rsidRPr="001C2809" w:rsidRDefault="001C2809" w:rsidP="009345FF">
            <w:pPr>
              <w:widowControl/>
              <w:spacing w:after="200" w:line="276" w:lineRule="auto"/>
              <w:rPr>
                <w:sz w:val="17"/>
                <w:szCs w:val="17"/>
              </w:rPr>
            </w:pPr>
          </w:p>
        </w:tc>
        <w:tc>
          <w:tcPr>
            <w:tcW w:w="3081" w:type="dxa"/>
          </w:tcPr>
          <w:p w14:paraId="718CD807" w14:textId="77777777" w:rsidR="001C2809" w:rsidRPr="001C2809" w:rsidRDefault="001C2809" w:rsidP="009345FF">
            <w:pPr>
              <w:widowControl/>
              <w:spacing w:after="200" w:line="276" w:lineRule="auto"/>
              <w:rPr>
                <w:sz w:val="17"/>
                <w:szCs w:val="17"/>
              </w:rPr>
            </w:pPr>
            <w:r w:rsidRPr="001C2809">
              <w:rPr>
                <w:sz w:val="17"/>
                <w:szCs w:val="17"/>
              </w:rPr>
              <w:t>Qualitative assessment of read-across plausibility as part of evaluation of adaptation of information requirements</w:t>
            </w:r>
          </w:p>
          <w:p w14:paraId="718CD808" w14:textId="77777777" w:rsidR="001C2809" w:rsidRPr="001C2809" w:rsidRDefault="001C2809" w:rsidP="009345FF">
            <w:pPr>
              <w:widowControl/>
              <w:spacing w:after="200" w:line="276" w:lineRule="auto"/>
              <w:rPr>
                <w:sz w:val="17"/>
                <w:szCs w:val="17"/>
              </w:rPr>
            </w:pPr>
            <w:r w:rsidRPr="001C2809">
              <w:rPr>
                <w:sz w:val="17"/>
                <w:szCs w:val="17"/>
              </w:rPr>
              <w:t>Similar principles as the ones within the WoE approach (assessment of individual information and integration and weighing of evidence between structurally similar chemicals)</w:t>
            </w:r>
          </w:p>
        </w:tc>
      </w:tr>
      <w:tr w:rsidR="001C2809" w:rsidRPr="001C2809" w14:paraId="718CD816" w14:textId="77777777" w:rsidTr="009345FF">
        <w:tc>
          <w:tcPr>
            <w:tcW w:w="3080" w:type="dxa"/>
          </w:tcPr>
          <w:p w14:paraId="718CD80A" w14:textId="51FB3EEE" w:rsidR="001C2809" w:rsidRPr="001C2809" w:rsidRDefault="001C2809" w:rsidP="009345FF">
            <w:pPr>
              <w:widowControl/>
              <w:spacing w:after="200" w:line="276" w:lineRule="auto"/>
              <w:rPr>
                <w:sz w:val="17"/>
                <w:szCs w:val="17"/>
              </w:rPr>
            </w:pPr>
            <w:r w:rsidRPr="001C2809">
              <w:rPr>
                <w:b/>
                <w:i/>
                <w:sz w:val="17"/>
                <w:szCs w:val="17"/>
              </w:rPr>
              <w:t>Uncertainty methodologies</w:t>
            </w:r>
            <w:r w:rsidR="007F531A">
              <w:rPr>
                <w:b/>
                <w:i/>
                <w:sz w:val="17"/>
                <w:szCs w:val="17"/>
              </w:rPr>
              <w:t xml:space="preserve"> </w:t>
            </w:r>
            <w:r w:rsidR="007F531A" w:rsidRPr="007F531A">
              <w:rPr>
                <w:i/>
                <w:sz w:val="17"/>
                <w:szCs w:val="17"/>
              </w:rPr>
              <w:t>(WHO/IPCS 2014, ECHA Guidance IR/CSA R.19)</w:t>
            </w:r>
          </w:p>
        </w:tc>
        <w:tc>
          <w:tcPr>
            <w:tcW w:w="3081" w:type="dxa"/>
          </w:tcPr>
          <w:p w14:paraId="718CD80B"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Registration</w:t>
            </w:r>
          </w:p>
          <w:p w14:paraId="718CD80C"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Dossier Evaluation</w:t>
            </w:r>
          </w:p>
          <w:p w14:paraId="718CD80D"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Substance Evaluation</w:t>
            </w:r>
          </w:p>
          <w:p w14:paraId="718CD80E"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CLH</w:t>
            </w:r>
          </w:p>
          <w:p w14:paraId="718CD80F"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BPR</w:t>
            </w:r>
          </w:p>
          <w:p w14:paraId="718CD810" w14:textId="77777777" w:rsidR="001C2809" w:rsidRPr="001C2809" w:rsidRDefault="001C2809" w:rsidP="00233E2A">
            <w:pPr>
              <w:pStyle w:val="ListParagraph"/>
              <w:widowControl/>
              <w:numPr>
                <w:ilvl w:val="0"/>
                <w:numId w:val="16"/>
              </w:numPr>
              <w:spacing w:after="200" w:line="276" w:lineRule="auto"/>
              <w:rPr>
                <w:sz w:val="17"/>
                <w:szCs w:val="17"/>
              </w:rPr>
            </w:pPr>
            <w:r w:rsidRPr="001C2809">
              <w:rPr>
                <w:sz w:val="17"/>
                <w:szCs w:val="17"/>
              </w:rPr>
              <w:t>SVHC/ Restrictions/ Authorisations</w:t>
            </w:r>
          </w:p>
        </w:tc>
        <w:tc>
          <w:tcPr>
            <w:tcW w:w="3081" w:type="dxa"/>
          </w:tcPr>
          <w:p w14:paraId="718CD811" w14:textId="77777777" w:rsidR="001C2809" w:rsidRPr="001C2809" w:rsidRDefault="001C2809" w:rsidP="009345FF">
            <w:pPr>
              <w:widowControl/>
              <w:spacing w:after="200" w:line="276" w:lineRule="auto"/>
              <w:rPr>
                <w:sz w:val="17"/>
                <w:szCs w:val="17"/>
              </w:rPr>
            </w:pPr>
            <w:r w:rsidRPr="001C2809">
              <w:rPr>
                <w:sz w:val="17"/>
                <w:szCs w:val="17"/>
              </w:rPr>
              <w:t>Qualitative</w:t>
            </w:r>
          </w:p>
          <w:p w14:paraId="718CD812" w14:textId="77777777" w:rsidR="001C2809" w:rsidRPr="001C2809" w:rsidRDefault="001C2809" w:rsidP="009345FF">
            <w:pPr>
              <w:widowControl/>
              <w:spacing w:after="200" w:line="276" w:lineRule="auto"/>
              <w:rPr>
                <w:sz w:val="17"/>
                <w:szCs w:val="17"/>
              </w:rPr>
            </w:pPr>
            <w:r w:rsidRPr="001C2809">
              <w:rPr>
                <w:sz w:val="17"/>
                <w:szCs w:val="17"/>
              </w:rPr>
              <w:t>(Semi) quantitative approaches</w:t>
            </w:r>
          </w:p>
          <w:p w14:paraId="718CD813" w14:textId="77777777" w:rsidR="001C2809" w:rsidRPr="001C2809" w:rsidRDefault="001C2809" w:rsidP="009345FF">
            <w:pPr>
              <w:widowControl/>
              <w:spacing w:after="200" w:line="276" w:lineRule="auto"/>
              <w:rPr>
                <w:sz w:val="17"/>
                <w:szCs w:val="17"/>
              </w:rPr>
            </w:pPr>
            <w:r w:rsidRPr="001C2809">
              <w:rPr>
                <w:sz w:val="17"/>
                <w:szCs w:val="17"/>
              </w:rPr>
              <w:t>Used in uncertainty analysis and/or in WoE approach within the WoE analysis step</w:t>
            </w:r>
          </w:p>
          <w:p w14:paraId="718CD814" w14:textId="77777777" w:rsidR="001C2809" w:rsidRPr="001C2809" w:rsidRDefault="001C2809" w:rsidP="009345FF">
            <w:pPr>
              <w:widowControl/>
              <w:spacing w:after="200" w:line="276" w:lineRule="auto"/>
              <w:rPr>
                <w:sz w:val="17"/>
                <w:szCs w:val="17"/>
              </w:rPr>
            </w:pPr>
          </w:p>
          <w:p w14:paraId="718CD815" w14:textId="77777777" w:rsidR="001C2809" w:rsidRPr="001C2809" w:rsidRDefault="001C2809" w:rsidP="009345FF">
            <w:pPr>
              <w:widowControl/>
              <w:spacing w:after="200" w:line="276" w:lineRule="auto"/>
              <w:rPr>
                <w:sz w:val="17"/>
                <w:szCs w:val="17"/>
              </w:rPr>
            </w:pPr>
          </w:p>
        </w:tc>
      </w:tr>
      <w:tr w:rsidR="00D351E9" w:rsidRPr="001C2809" w14:paraId="4B2EA159" w14:textId="77777777" w:rsidTr="009345FF">
        <w:tc>
          <w:tcPr>
            <w:tcW w:w="3080" w:type="dxa"/>
          </w:tcPr>
          <w:p w14:paraId="5B93AD2D" w14:textId="72D8426E" w:rsidR="00D351E9" w:rsidRPr="001C2809" w:rsidRDefault="00D351E9" w:rsidP="009345FF">
            <w:pPr>
              <w:spacing w:after="200" w:line="276" w:lineRule="auto"/>
              <w:rPr>
                <w:b/>
                <w:i/>
                <w:sz w:val="17"/>
                <w:szCs w:val="17"/>
              </w:rPr>
            </w:pPr>
            <w:r>
              <w:rPr>
                <w:b/>
                <w:i/>
                <w:sz w:val="17"/>
                <w:szCs w:val="17"/>
              </w:rPr>
              <w:t>Systematic Review Frameworks</w:t>
            </w:r>
            <w:r w:rsidR="007F531A" w:rsidRPr="007F531A">
              <w:rPr>
                <w:i/>
                <w:sz w:val="17"/>
                <w:szCs w:val="17"/>
              </w:rPr>
              <w:t xml:space="preserve"> (see Section 2.3)</w:t>
            </w:r>
          </w:p>
        </w:tc>
        <w:tc>
          <w:tcPr>
            <w:tcW w:w="3081" w:type="dxa"/>
          </w:tcPr>
          <w:p w14:paraId="59D06487" w14:textId="77777777" w:rsidR="00D351E9" w:rsidRPr="001C2809" w:rsidRDefault="00D351E9" w:rsidP="00233E2A">
            <w:pPr>
              <w:pStyle w:val="ListParagraph"/>
              <w:widowControl/>
              <w:numPr>
                <w:ilvl w:val="0"/>
                <w:numId w:val="16"/>
              </w:numPr>
              <w:spacing w:after="200" w:line="276" w:lineRule="auto"/>
              <w:rPr>
                <w:sz w:val="17"/>
                <w:szCs w:val="17"/>
              </w:rPr>
            </w:pPr>
            <w:r w:rsidRPr="001C2809">
              <w:rPr>
                <w:sz w:val="17"/>
                <w:szCs w:val="17"/>
              </w:rPr>
              <w:t>Registration</w:t>
            </w:r>
          </w:p>
          <w:p w14:paraId="2AAD80DC" w14:textId="77777777" w:rsidR="00D351E9" w:rsidRPr="001C2809" w:rsidRDefault="00D351E9" w:rsidP="00233E2A">
            <w:pPr>
              <w:pStyle w:val="ListParagraph"/>
              <w:widowControl/>
              <w:numPr>
                <w:ilvl w:val="0"/>
                <w:numId w:val="16"/>
              </w:numPr>
              <w:spacing w:after="200" w:line="276" w:lineRule="auto"/>
              <w:rPr>
                <w:sz w:val="17"/>
                <w:szCs w:val="17"/>
              </w:rPr>
            </w:pPr>
            <w:r w:rsidRPr="001C2809">
              <w:rPr>
                <w:sz w:val="17"/>
                <w:szCs w:val="17"/>
              </w:rPr>
              <w:t>Dossier Evaluation</w:t>
            </w:r>
          </w:p>
          <w:p w14:paraId="5D354E63" w14:textId="77777777" w:rsidR="00D351E9" w:rsidRPr="001C2809" w:rsidRDefault="00D351E9" w:rsidP="00233E2A">
            <w:pPr>
              <w:pStyle w:val="ListParagraph"/>
              <w:widowControl/>
              <w:numPr>
                <w:ilvl w:val="0"/>
                <w:numId w:val="16"/>
              </w:numPr>
              <w:spacing w:after="200" w:line="276" w:lineRule="auto"/>
              <w:rPr>
                <w:sz w:val="17"/>
                <w:szCs w:val="17"/>
              </w:rPr>
            </w:pPr>
            <w:r w:rsidRPr="001C2809">
              <w:rPr>
                <w:sz w:val="17"/>
                <w:szCs w:val="17"/>
              </w:rPr>
              <w:t>Substance Evaluation</w:t>
            </w:r>
          </w:p>
          <w:p w14:paraId="610D1D54" w14:textId="77777777" w:rsidR="00D351E9" w:rsidRPr="001C2809" w:rsidRDefault="00D351E9" w:rsidP="00233E2A">
            <w:pPr>
              <w:pStyle w:val="ListParagraph"/>
              <w:widowControl/>
              <w:numPr>
                <w:ilvl w:val="0"/>
                <w:numId w:val="16"/>
              </w:numPr>
              <w:spacing w:after="200" w:line="276" w:lineRule="auto"/>
              <w:rPr>
                <w:sz w:val="17"/>
                <w:szCs w:val="17"/>
              </w:rPr>
            </w:pPr>
            <w:r w:rsidRPr="001C2809">
              <w:rPr>
                <w:sz w:val="17"/>
                <w:szCs w:val="17"/>
              </w:rPr>
              <w:t>CLH</w:t>
            </w:r>
          </w:p>
          <w:p w14:paraId="4F2B18E6" w14:textId="77777777" w:rsidR="00D351E9" w:rsidRPr="001C2809" w:rsidRDefault="00D351E9" w:rsidP="00233E2A">
            <w:pPr>
              <w:pStyle w:val="ListParagraph"/>
              <w:widowControl/>
              <w:numPr>
                <w:ilvl w:val="0"/>
                <w:numId w:val="16"/>
              </w:numPr>
              <w:spacing w:after="200" w:line="276" w:lineRule="auto"/>
              <w:rPr>
                <w:sz w:val="17"/>
                <w:szCs w:val="17"/>
              </w:rPr>
            </w:pPr>
            <w:r w:rsidRPr="001C2809">
              <w:rPr>
                <w:sz w:val="17"/>
                <w:szCs w:val="17"/>
              </w:rPr>
              <w:t>BPR</w:t>
            </w:r>
          </w:p>
          <w:p w14:paraId="4B677AED" w14:textId="43671349" w:rsidR="00D351E9" w:rsidRPr="001C2809" w:rsidRDefault="00D351E9" w:rsidP="00233E2A">
            <w:pPr>
              <w:pStyle w:val="ListParagraph"/>
              <w:widowControl/>
              <w:numPr>
                <w:ilvl w:val="0"/>
                <w:numId w:val="16"/>
              </w:numPr>
              <w:spacing w:after="200" w:line="276" w:lineRule="auto"/>
              <w:rPr>
                <w:sz w:val="17"/>
                <w:szCs w:val="17"/>
              </w:rPr>
            </w:pPr>
            <w:r w:rsidRPr="001C2809">
              <w:rPr>
                <w:sz w:val="17"/>
                <w:szCs w:val="17"/>
              </w:rPr>
              <w:t>SVHC/ Restrictions/ Authorisations</w:t>
            </w:r>
          </w:p>
        </w:tc>
        <w:tc>
          <w:tcPr>
            <w:tcW w:w="3081" w:type="dxa"/>
          </w:tcPr>
          <w:p w14:paraId="26D98478" w14:textId="77777777" w:rsidR="00D351E9" w:rsidRDefault="00D351E9" w:rsidP="009345FF">
            <w:pPr>
              <w:spacing w:after="200" w:line="276" w:lineRule="auto"/>
              <w:rPr>
                <w:sz w:val="17"/>
                <w:szCs w:val="17"/>
              </w:rPr>
            </w:pPr>
            <w:r>
              <w:rPr>
                <w:sz w:val="17"/>
                <w:szCs w:val="17"/>
              </w:rPr>
              <w:t>Similar to the stepwise Weight of Evidence approach</w:t>
            </w:r>
          </w:p>
          <w:p w14:paraId="7EBD3755" w14:textId="50D0C291" w:rsidR="00D351E9" w:rsidRDefault="00D351E9" w:rsidP="009345FF">
            <w:pPr>
              <w:spacing w:after="200" w:line="276" w:lineRule="auto"/>
              <w:rPr>
                <w:sz w:val="17"/>
                <w:szCs w:val="17"/>
              </w:rPr>
            </w:pPr>
            <w:r>
              <w:rPr>
                <w:sz w:val="17"/>
                <w:szCs w:val="17"/>
              </w:rPr>
              <w:t>Emp</w:t>
            </w:r>
            <w:r w:rsidR="009032A2">
              <w:rPr>
                <w:sz w:val="17"/>
                <w:szCs w:val="17"/>
              </w:rPr>
              <w:t>h</w:t>
            </w:r>
            <w:r>
              <w:rPr>
                <w:sz w:val="17"/>
                <w:szCs w:val="17"/>
              </w:rPr>
              <w:t>asis on collection of lines of evidence in a systematic way</w:t>
            </w:r>
          </w:p>
          <w:p w14:paraId="5BE3BF4C" w14:textId="6487E904" w:rsidR="00D351E9" w:rsidRPr="001C2809" w:rsidRDefault="00D351E9" w:rsidP="009345FF">
            <w:pPr>
              <w:spacing w:after="200" w:line="276" w:lineRule="auto"/>
              <w:rPr>
                <w:sz w:val="17"/>
                <w:szCs w:val="17"/>
              </w:rPr>
            </w:pPr>
            <w:r>
              <w:rPr>
                <w:sz w:val="17"/>
                <w:szCs w:val="17"/>
              </w:rPr>
              <w:t>Consideration of assessment and integration of all lines of evidence</w:t>
            </w:r>
          </w:p>
        </w:tc>
      </w:tr>
    </w:tbl>
    <w:p w14:paraId="718CD817" w14:textId="77777777" w:rsidR="001C2809" w:rsidRDefault="001C2809" w:rsidP="001C2809">
      <w:pPr>
        <w:spacing w:after="200" w:line="276" w:lineRule="auto"/>
      </w:pPr>
    </w:p>
    <w:p w14:paraId="718CD818" w14:textId="77777777" w:rsidR="001C2809" w:rsidRPr="001C2809" w:rsidRDefault="001C2809" w:rsidP="001C2809">
      <w:pPr>
        <w:spacing w:after="200" w:line="276" w:lineRule="auto"/>
        <w:rPr>
          <w:rFonts w:ascii="Verdana" w:hAnsi="Verdana"/>
          <w:sz w:val="20"/>
          <w:szCs w:val="20"/>
        </w:rPr>
      </w:pPr>
      <w:r w:rsidRPr="001C2809">
        <w:rPr>
          <w:rFonts w:ascii="Verdana" w:hAnsi="Verdana"/>
          <w:sz w:val="20"/>
          <w:szCs w:val="20"/>
        </w:rPr>
        <w:t>Some methodologies that are used to refine hazard assessment could contribute to the WoE analysis with the aim to reduce uncertainty. Such methods are for example:</w:t>
      </w:r>
    </w:p>
    <w:p w14:paraId="718CD819" w14:textId="77777777" w:rsidR="001C2809" w:rsidRPr="001C2809" w:rsidRDefault="001C2809" w:rsidP="00233E2A">
      <w:pPr>
        <w:pStyle w:val="ListParagraph"/>
        <w:widowControl/>
        <w:numPr>
          <w:ilvl w:val="0"/>
          <w:numId w:val="17"/>
        </w:numPr>
        <w:spacing w:after="200" w:line="276" w:lineRule="auto"/>
      </w:pPr>
      <w:r w:rsidRPr="001C2809">
        <w:t>PBPK (physiologically based pharmacokinetic) modelling for refining NOAEL derivation or derivation of assessment factors</w:t>
      </w:r>
    </w:p>
    <w:p w14:paraId="718CD81A" w14:textId="77777777" w:rsidR="001C2809" w:rsidRPr="001C2809" w:rsidRDefault="001C2809" w:rsidP="00233E2A">
      <w:pPr>
        <w:pStyle w:val="ListParagraph"/>
        <w:widowControl/>
        <w:numPr>
          <w:ilvl w:val="0"/>
          <w:numId w:val="17"/>
        </w:numPr>
        <w:spacing w:after="200" w:line="276" w:lineRule="auto"/>
      </w:pPr>
      <w:r w:rsidRPr="001C2809">
        <w:t>Chemical Specific Adjustment factors (CSAFs)</w:t>
      </w:r>
    </w:p>
    <w:p w14:paraId="718CD81B" w14:textId="77777777" w:rsidR="001C2809" w:rsidRDefault="001C2809" w:rsidP="001C2809"/>
    <w:p w14:paraId="718CD81C" w14:textId="77777777" w:rsidR="001C2809" w:rsidRDefault="001C2809">
      <w:pPr>
        <w:rPr>
          <w:b/>
        </w:rPr>
      </w:pPr>
      <w:r>
        <w:rPr>
          <w:b/>
        </w:rPr>
        <w:br w:type="page"/>
      </w:r>
    </w:p>
    <w:p w14:paraId="718CD81D" w14:textId="2C9966C5" w:rsidR="001C2809" w:rsidRPr="002B1CE8" w:rsidRDefault="005C5486" w:rsidP="002B1CE8">
      <w:pPr>
        <w:pStyle w:val="Heading2"/>
        <w:ind w:left="1080" w:hanging="720"/>
        <w:rPr>
          <w:rFonts w:ascii="Verdana" w:eastAsia="Times New Roman" w:hAnsi="Verdana" w:cs="Arial"/>
          <w:b/>
          <w:snapToGrid w:val="0"/>
          <w:color w:val="0046AD"/>
          <w:sz w:val="24"/>
          <w:szCs w:val="22"/>
          <w:lang w:eastAsia="fi-FI"/>
        </w:rPr>
      </w:pPr>
      <w:bookmarkStart w:id="16" w:name="_Toc499654092"/>
      <w:r w:rsidRPr="002B1CE8">
        <w:rPr>
          <w:rFonts w:ascii="Verdana" w:eastAsia="Times New Roman" w:hAnsi="Verdana" w:cs="Arial"/>
          <w:b/>
          <w:snapToGrid w:val="0"/>
          <w:color w:val="0046AD"/>
          <w:sz w:val="24"/>
          <w:szCs w:val="22"/>
          <w:lang w:eastAsia="fi-FI"/>
        </w:rPr>
        <w:lastRenderedPageBreak/>
        <w:t>2</w:t>
      </w:r>
      <w:r w:rsidR="001C2809" w:rsidRPr="002B1CE8">
        <w:rPr>
          <w:rFonts w:ascii="Verdana" w:eastAsia="Times New Roman" w:hAnsi="Verdana" w:cs="Arial"/>
          <w:b/>
          <w:snapToGrid w:val="0"/>
          <w:color w:val="0046AD"/>
          <w:sz w:val="24"/>
          <w:szCs w:val="22"/>
          <w:lang w:eastAsia="fi-FI"/>
        </w:rPr>
        <w:t xml:space="preserve">.5 </w:t>
      </w:r>
      <w:r w:rsidR="00771FD2" w:rsidRPr="002B1CE8">
        <w:rPr>
          <w:rFonts w:ascii="Verdana" w:eastAsia="Times New Roman" w:hAnsi="Verdana" w:cs="Arial"/>
          <w:b/>
          <w:snapToGrid w:val="0"/>
          <w:color w:val="0046AD"/>
          <w:sz w:val="24"/>
          <w:szCs w:val="22"/>
          <w:lang w:eastAsia="fi-FI"/>
        </w:rPr>
        <w:t xml:space="preserve">Application of </w:t>
      </w:r>
      <w:r w:rsidR="00F958FE" w:rsidRPr="002B1CE8">
        <w:rPr>
          <w:rFonts w:ascii="Verdana" w:eastAsia="Times New Roman" w:hAnsi="Verdana" w:cs="Arial"/>
          <w:b/>
          <w:snapToGrid w:val="0"/>
          <w:color w:val="0046AD"/>
          <w:sz w:val="24"/>
          <w:szCs w:val="22"/>
          <w:lang w:eastAsia="fi-FI"/>
        </w:rPr>
        <w:t>levels of confidence</w:t>
      </w:r>
      <w:bookmarkEnd w:id="16"/>
      <w:r w:rsidR="001C2809" w:rsidRPr="002B1CE8">
        <w:rPr>
          <w:rFonts w:ascii="Verdana" w:eastAsia="Times New Roman" w:hAnsi="Verdana" w:cs="Arial"/>
          <w:b/>
          <w:snapToGrid w:val="0"/>
          <w:color w:val="0046AD"/>
          <w:sz w:val="24"/>
          <w:szCs w:val="22"/>
          <w:lang w:eastAsia="fi-FI"/>
        </w:rPr>
        <w:t xml:space="preserve"> </w:t>
      </w:r>
    </w:p>
    <w:p w14:paraId="718CD81E" w14:textId="77777777" w:rsidR="00037B7A" w:rsidRPr="00037B7A" w:rsidRDefault="00037B7A" w:rsidP="00037B7A"/>
    <w:p w14:paraId="718CD81F" w14:textId="44E6EBD4" w:rsidR="00037B7A" w:rsidRPr="00037B7A" w:rsidRDefault="00037B7A" w:rsidP="00037B7A">
      <w:pPr>
        <w:rPr>
          <w:rFonts w:ascii="Verdana" w:hAnsi="Verdana"/>
          <w:sz w:val="20"/>
          <w:szCs w:val="20"/>
        </w:rPr>
      </w:pPr>
      <w:r w:rsidRPr="00037B7A">
        <w:rPr>
          <w:rFonts w:ascii="Verdana" w:hAnsi="Verdana"/>
          <w:sz w:val="20"/>
          <w:szCs w:val="20"/>
        </w:rPr>
        <w:t xml:space="preserve">Confidence levels/strength of evidence can be assigned either to individual evidence and/or to the overall evidence assessment. In order to perform the weighing of evidence within the step of integration of all evidence, confidence levels need to be transparently recorded. </w:t>
      </w:r>
    </w:p>
    <w:p w14:paraId="718CD820" w14:textId="77777777" w:rsidR="00037B7A" w:rsidRPr="00037B7A" w:rsidRDefault="00037B7A" w:rsidP="00037B7A">
      <w:pPr>
        <w:rPr>
          <w:rFonts w:ascii="Verdana" w:hAnsi="Verdana"/>
          <w:sz w:val="20"/>
          <w:szCs w:val="20"/>
        </w:rPr>
      </w:pPr>
      <w:r w:rsidRPr="00037B7A">
        <w:rPr>
          <w:rFonts w:ascii="Verdana" w:hAnsi="Verdana"/>
          <w:sz w:val="20"/>
          <w:szCs w:val="20"/>
        </w:rPr>
        <w:t>Confidence levels are derived taking into account the outcome of the weighing of the evidence (both individually and collectively) using the metrics/criteria specified in the corresponding steps of the WoE approach (such as adequacy, relevance, reliability for individual evidence assessment, and consistency/specificity, plausibility/likelihood, temporality for WoE analysis).</w:t>
      </w:r>
    </w:p>
    <w:p w14:paraId="718CD821" w14:textId="69F20319" w:rsidR="00037B7A" w:rsidRPr="00037B7A" w:rsidRDefault="00037B7A" w:rsidP="00037B7A">
      <w:pPr>
        <w:rPr>
          <w:rFonts w:ascii="Verdana" w:hAnsi="Verdana"/>
          <w:sz w:val="20"/>
          <w:szCs w:val="20"/>
        </w:rPr>
      </w:pPr>
      <w:r w:rsidRPr="00037B7A">
        <w:rPr>
          <w:rFonts w:ascii="Verdana" w:hAnsi="Verdana"/>
          <w:sz w:val="20"/>
          <w:szCs w:val="20"/>
        </w:rPr>
        <w:t xml:space="preserve">Confidence levels </w:t>
      </w:r>
      <w:r w:rsidR="003D7592">
        <w:rPr>
          <w:rFonts w:ascii="Verdana" w:hAnsi="Verdana"/>
          <w:sz w:val="20"/>
          <w:szCs w:val="20"/>
        </w:rPr>
        <w:t xml:space="preserve">are </w:t>
      </w:r>
      <w:r w:rsidRPr="00037B7A">
        <w:rPr>
          <w:rFonts w:ascii="Verdana" w:hAnsi="Verdana"/>
          <w:sz w:val="20"/>
          <w:szCs w:val="20"/>
        </w:rPr>
        <w:t>usually expressed as:</w:t>
      </w:r>
    </w:p>
    <w:p w14:paraId="718CD822" w14:textId="41E0EA99" w:rsidR="00037B7A" w:rsidRPr="00037B7A" w:rsidRDefault="00037B7A" w:rsidP="00233E2A">
      <w:pPr>
        <w:pStyle w:val="ListParagraph"/>
        <w:numPr>
          <w:ilvl w:val="0"/>
          <w:numId w:val="18"/>
        </w:numPr>
      </w:pPr>
      <w:r w:rsidRPr="00037B7A">
        <w:t>High</w:t>
      </w:r>
      <w:r w:rsidR="000112E8">
        <w:t xml:space="preserve"> (strong)</w:t>
      </w:r>
    </w:p>
    <w:p w14:paraId="718CD823" w14:textId="139A1F1C" w:rsidR="00037B7A" w:rsidRPr="00037B7A" w:rsidRDefault="00037B7A" w:rsidP="00233E2A">
      <w:pPr>
        <w:pStyle w:val="ListParagraph"/>
        <w:numPr>
          <w:ilvl w:val="0"/>
          <w:numId w:val="18"/>
        </w:numPr>
      </w:pPr>
      <w:r w:rsidRPr="00037B7A">
        <w:t xml:space="preserve">Medium </w:t>
      </w:r>
      <w:r w:rsidR="000112E8">
        <w:t>(moderate)</w:t>
      </w:r>
    </w:p>
    <w:p w14:paraId="718CD824" w14:textId="75D5B013" w:rsidR="00037B7A" w:rsidRPr="00037B7A" w:rsidRDefault="00037B7A" w:rsidP="00233E2A">
      <w:pPr>
        <w:pStyle w:val="ListParagraph"/>
        <w:numPr>
          <w:ilvl w:val="0"/>
          <w:numId w:val="18"/>
        </w:numPr>
      </w:pPr>
      <w:r w:rsidRPr="00037B7A">
        <w:t>Low</w:t>
      </w:r>
      <w:r w:rsidR="000112E8">
        <w:t xml:space="preserve"> (weak)</w:t>
      </w:r>
    </w:p>
    <w:p w14:paraId="718CD825" w14:textId="77777777" w:rsidR="00037B7A" w:rsidRPr="00037B7A" w:rsidRDefault="00037B7A" w:rsidP="00037B7A">
      <w:pPr>
        <w:rPr>
          <w:rFonts w:ascii="Verdana" w:hAnsi="Verdana"/>
          <w:sz w:val="20"/>
          <w:szCs w:val="20"/>
        </w:rPr>
      </w:pPr>
    </w:p>
    <w:p w14:paraId="718CD826" w14:textId="77777777" w:rsidR="00037B7A" w:rsidRPr="00037B7A" w:rsidRDefault="00037B7A" w:rsidP="00037B7A">
      <w:pPr>
        <w:rPr>
          <w:rFonts w:ascii="Verdana" w:hAnsi="Verdana"/>
          <w:sz w:val="20"/>
          <w:szCs w:val="20"/>
        </w:rPr>
      </w:pPr>
      <w:r w:rsidRPr="00037B7A">
        <w:rPr>
          <w:rFonts w:ascii="Verdana" w:hAnsi="Verdana"/>
          <w:sz w:val="20"/>
          <w:szCs w:val="20"/>
        </w:rPr>
        <w:t>The confidence levels for each line of evidence should feed to the judgement of the overall confidence level that take into account all the evidence in an integrated and weighed mode.</w:t>
      </w:r>
    </w:p>
    <w:p w14:paraId="718CD827" w14:textId="77777777" w:rsidR="00037B7A" w:rsidRPr="00037B7A" w:rsidRDefault="00037B7A" w:rsidP="00037B7A">
      <w:pPr>
        <w:rPr>
          <w:rFonts w:ascii="Verdana" w:hAnsi="Verdana"/>
          <w:sz w:val="20"/>
          <w:szCs w:val="20"/>
        </w:rPr>
      </w:pPr>
      <w:r w:rsidRPr="00037B7A">
        <w:rPr>
          <w:rFonts w:ascii="Verdana" w:hAnsi="Verdana"/>
          <w:sz w:val="20"/>
          <w:szCs w:val="20"/>
        </w:rPr>
        <w:t>For each line of evidence confidence levels can ha</w:t>
      </w:r>
      <w:r>
        <w:rPr>
          <w:rFonts w:ascii="Verdana" w:hAnsi="Verdana"/>
          <w:sz w:val="20"/>
          <w:szCs w:val="20"/>
        </w:rPr>
        <w:t>ve as underlying documentation:</w:t>
      </w:r>
    </w:p>
    <w:p w14:paraId="718CD828" w14:textId="08336A41" w:rsidR="00037B7A" w:rsidRPr="00037B7A" w:rsidRDefault="00037B7A" w:rsidP="00233E2A">
      <w:pPr>
        <w:pStyle w:val="ListParagraph"/>
        <w:numPr>
          <w:ilvl w:val="0"/>
          <w:numId w:val="19"/>
        </w:numPr>
      </w:pPr>
      <w:r w:rsidRPr="00037B7A">
        <w:t>Qualitative elements (e.g. plausibility)</w:t>
      </w:r>
    </w:p>
    <w:p w14:paraId="718CD829" w14:textId="423766F3" w:rsidR="00037B7A" w:rsidRPr="00037B7A" w:rsidRDefault="00037B7A" w:rsidP="00233E2A">
      <w:pPr>
        <w:pStyle w:val="ListParagraph"/>
        <w:numPr>
          <w:ilvl w:val="0"/>
          <w:numId w:val="19"/>
        </w:numPr>
        <w:rPr>
          <w:lang w:val="fr-FR"/>
        </w:rPr>
      </w:pPr>
      <w:r w:rsidRPr="00037B7A">
        <w:rPr>
          <w:lang w:val="fr-FR"/>
        </w:rPr>
        <w:t>Semi</w:t>
      </w:r>
      <w:r w:rsidR="001E2C8B">
        <w:rPr>
          <w:lang w:val="fr-FR"/>
        </w:rPr>
        <w:t>-</w:t>
      </w:r>
      <w:r w:rsidRPr="00037B7A">
        <w:rPr>
          <w:lang w:val="fr-FR"/>
        </w:rPr>
        <w:t>quantitative elements (</w:t>
      </w:r>
      <w:r w:rsidR="006E2554">
        <w:rPr>
          <w:lang w:val="fr-FR"/>
        </w:rPr>
        <w:t>e.g.</w:t>
      </w:r>
      <w:r w:rsidRPr="00037B7A">
        <w:rPr>
          <w:lang w:val="fr-FR"/>
        </w:rPr>
        <w:t xml:space="preserve"> temporality)</w:t>
      </w:r>
    </w:p>
    <w:p w14:paraId="718CD82A" w14:textId="77777777" w:rsidR="00037B7A" w:rsidRPr="00037B7A" w:rsidRDefault="00037B7A" w:rsidP="00037B7A">
      <w:pPr>
        <w:pStyle w:val="ListParagraph"/>
        <w:rPr>
          <w:lang w:val="fr-FR"/>
        </w:rPr>
      </w:pPr>
    </w:p>
    <w:p w14:paraId="718CD82B" w14:textId="5C993712" w:rsidR="00037B7A" w:rsidRPr="00037B7A" w:rsidRDefault="00037B7A" w:rsidP="00037B7A">
      <w:pPr>
        <w:rPr>
          <w:rFonts w:ascii="Verdana" w:hAnsi="Verdana"/>
          <w:sz w:val="20"/>
          <w:szCs w:val="20"/>
        </w:rPr>
      </w:pPr>
      <w:r w:rsidRPr="00037B7A">
        <w:rPr>
          <w:rFonts w:ascii="Verdana" w:hAnsi="Verdana"/>
          <w:sz w:val="20"/>
          <w:szCs w:val="20"/>
        </w:rPr>
        <w:t>Level of confidence of each line of evidence is derived by combining the quality assessment elements of each line of evidence (relevance, adequacy, reliability) with the consistency</w:t>
      </w:r>
      <w:r w:rsidR="000112E8">
        <w:rPr>
          <w:rFonts w:ascii="Verdana" w:hAnsi="Verdana"/>
          <w:sz w:val="20"/>
          <w:szCs w:val="20"/>
        </w:rPr>
        <w:t>,</w:t>
      </w:r>
      <w:r w:rsidRPr="00037B7A">
        <w:rPr>
          <w:rFonts w:ascii="Verdana" w:hAnsi="Verdana"/>
          <w:sz w:val="20"/>
          <w:szCs w:val="20"/>
        </w:rPr>
        <w:t xml:space="preserve"> plausibility</w:t>
      </w:r>
      <w:r w:rsidR="000112E8">
        <w:rPr>
          <w:rFonts w:ascii="Verdana" w:hAnsi="Verdana"/>
          <w:sz w:val="20"/>
          <w:szCs w:val="20"/>
        </w:rPr>
        <w:t xml:space="preserve"> and temporality</w:t>
      </w:r>
      <w:r w:rsidRPr="00037B7A">
        <w:rPr>
          <w:rFonts w:ascii="Verdana" w:hAnsi="Verdana"/>
          <w:sz w:val="20"/>
          <w:szCs w:val="20"/>
        </w:rPr>
        <w:t xml:space="preserve"> elements. </w:t>
      </w:r>
    </w:p>
    <w:p w14:paraId="1AB0242A" w14:textId="7F2F1368" w:rsidR="004B5873" w:rsidRPr="00037B7A" w:rsidRDefault="00037B7A" w:rsidP="004B5873">
      <w:pPr>
        <w:tabs>
          <w:tab w:val="left" w:pos="2227"/>
        </w:tabs>
        <w:rPr>
          <w:rFonts w:ascii="Verdana" w:hAnsi="Verdana"/>
          <w:sz w:val="20"/>
          <w:szCs w:val="20"/>
        </w:rPr>
      </w:pPr>
      <w:r w:rsidRPr="00037B7A">
        <w:rPr>
          <w:rFonts w:ascii="Verdana" w:hAnsi="Verdana"/>
          <w:sz w:val="20"/>
          <w:szCs w:val="20"/>
        </w:rPr>
        <w:t xml:space="preserve">In order to judge which overall confidence level to assign when concluding the WoE approach </w:t>
      </w:r>
      <w:r w:rsidR="004B5873" w:rsidRPr="00037B7A">
        <w:rPr>
          <w:rFonts w:ascii="Verdana" w:hAnsi="Verdana"/>
          <w:sz w:val="20"/>
          <w:szCs w:val="20"/>
        </w:rPr>
        <w:t>according to the S</w:t>
      </w:r>
      <w:r w:rsidR="00F45063">
        <w:rPr>
          <w:rFonts w:ascii="Verdana" w:hAnsi="Verdana"/>
          <w:sz w:val="20"/>
          <w:szCs w:val="20"/>
        </w:rPr>
        <w:t>CEN</w:t>
      </w:r>
      <w:r w:rsidR="004B5873" w:rsidRPr="00037B7A">
        <w:rPr>
          <w:rFonts w:ascii="Verdana" w:hAnsi="Verdana"/>
          <w:sz w:val="20"/>
          <w:szCs w:val="20"/>
        </w:rPr>
        <w:t>I</w:t>
      </w:r>
      <w:r w:rsidR="00F45063">
        <w:rPr>
          <w:rFonts w:ascii="Verdana" w:hAnsi="Verdana"/>
          <w:sz w:val="20"/>
          <w:szCs w:val="20"/>
        </w:rPr>
        <w:t>H</w:t>
      </w:r>
      <w:r w:rsidR="004B5873" w:rsidRPr="00037B7A">
        <w:rPr>
          <w:rFonts w:ascii="Verdana" w:hAnsi="Verdana"/>
          <w:sz w:val="20"/>
          <w:szCs w:val="20"/>
        </w:rPr>
        <w:t>R opinion on WoE/Uncertainty the following criteria are proposed for defining confidence levels:</w:t>
      </w:r>
    </w:p>
    <w:p w14:paraId="72682191" w14:textId="77777777" w:rsidR="004B5873" w:rsidRPr="00037B7A" w:rsidRDefault="004B5873" w:rsidP="004B5873">
      <w:pPr>
        <w:tabs>
          <w:tab w:val="left" w:pos="2227"/>
        </w:tabs>
        <w:rPr>
          <w:rFonts w:ascii="Verdana" w:hAnsi="Verdana"/>
          <w:sz w:val="20"/>
          <w:szCs w:val="20"/>
        </w:rPr>
      </w:pPr>
      <w:r w:rsidRPr="00037B7A">
        <w:rPr>
          <w:rFonts w:ascii="Verdana" w:hAnsi="Verdana"/>
          <w:b/>
          <w:sz w:val="20"/>
          <w:szCs w:val="20"/>
        </w:rPr>
        <w:t>Strong</w:t>
      </w:r>
      <w:r w:rsidRPr="00037B7A">
        <w:rPr>
          <w:rFonts w:ascii="Verdana" w:hAnsi="Verdana"/>
          <w:sz w:val="20"/>
          <w:szCs w:val="20"/>
        </w:rPr>
        <w:t>: Coherent evidence from human and one or more other lines of evidence (in particular mode/mechanistic studies) in the absence of conflicting evidence from one of the other lines of evidence (no important data gaps)</w:t>
      </w:r>
    </w:p>
    <w:p w14:paraId="1FDCAE5D" w14:textId="77777777" w:rsidR="004B5873" w:rsidRPr="00037B7A" w:rsidRDefault="004B5873" w:rsidP="004B5873">
      <w:pPr>
        <w:tabs>
          <w:tab w:val="left" w:pos="2227"/>
        </w:tabs>
        <w:rPr>
          <w:rFonts w:ascii="Verdana" w:hAnsi="Verdana"/>
          <w:sz w:val="20"/>
          <w:szCs w:val="20"/>
        </w:rPr>
      </w:pPr>
      <w:r w:rsidRPr="00037B7A">
        <w:rPr>
          <w:rFonts w:ascii="Verdana" w:hAnsi="Verdana"/>
          <w:b/>
          <w:sz w:val="20"/>
          <w:szCs w:val="20"/>
        </w:rPr>
        <w:t>Moderate</w:t>
      </w:r>
      <w:r w:rsidRPr="00037B7A">
        <w:rPr>
          <w:rFonts w:ascii="Verdana" w:hAnsi="Verdana"/>
          <w:sz w:val="20"/>
          <w:szCs w:val="20"/>
        </w:rPr>
        <w:t>: good evidence from a primary line of evidence but evidence from other lines of evidence is missing (important data gaps)</w:t>
      </w:r>
    </w:p>
    <w:p w14:paraId="7019F4D5" w14:textId="77777777" w:rsidR="004B5873" w:rsidRPr="00037B7A" w:rsidRDefault="004B5873" w:rsidP="004B5873">
      <w:pPr>
        <w:tabs>
          <w:tab w:val="left" w:pos="2227"/>
        </w:tabs>
        <w:rPr>
          <w:rFonts w:ascii="Verdana" w:hAnsi="Verdana"/>
          <w:sz w:val="20"/>
          <w:szCs w:val="20"/>
        </w:rPr>
      </w:pPr>
      <w:r w:rsidRPr="00037B7A">
        <w:rPr>
          <w:rFonts w:ascii="Verdana" w:hAnsi="Verdana"/>
          <w:b/>
          <w:sz w:val="20"/>
          <w:szCs w:val="20"/>
        </w:rPr>
        <w:t>Weak</w:t>
      </w:r>
      <w:r w:rsidRPr="00037B7A">
        <w:rPr>
          <w:rFonts w:ascii="Verdana" w:hAnsi="Verdana"/>
          <w:sz w:val="20"/>
          <w:szCs w:val="20"/>
        </w:rPr>
        <w:t>: weak evidence from the primary lines of evidence (severe data gaps)</w:t>
      </w:r>
    </w:p>
    <w:p w14:paraId="2ED2816C" w14:textId="77777777" w:rsidR="004B5873" w:rsidRPr="00037B7A" w:rsidRDefault="004B5873" w:rsidP="004B5873">
      <w:pPr>
        <w:tabs>
          <w:tab w:val="left" w:pos="2227"/>
        </w:tabs>
        <w:rPr>
          <w:rFonts w:ascii="Verdana" w:hAnsi="Verdana"/>
          <w:sz w:val="20"/>
          <w:szCs w:val="20"/>
        </w:rPr>
      </w:pPr>
      <w:r w:rsidRPr="00037B7A">
        <w:rPr>
          <w:rFonts w:ascii="Verdana" w:hAnsi="Verdana"/>
          <w:b/>
          <w:sz w:val="20"/>
          <w:szCs w:val="20"/>
        </w:rPr>
        <w:t>Uncertain</w:t>
      </w:r>
      <w:r w:rsidRPr="00037B7A">
        <w:rPr>
          <w:rFonts w:ascii="Verdana" w:hAnsi="Verdana"/>
          <w:sz w:val="20"/>
          <w:szCs w:val="20"/>
        </w:rPr>
        <w:t>: due to conflicting information from different lines of evidence that cannot be explained in scientific terms</w:t>
      </w:r>
    </w:p>
    <w:p w14:paraId="5CBBD164" w14:textId="77777777" w:rsidR="004B5873" w:rsidRPr="00037B7A" w:rsidRDefault="004B5873" w:rsidP="004B5873">
      <w:pPr>
        <w:tabs>
          <w:tab w:val="left" w:pos="2227"/>
        </w:tabs>
        <w:rPr>
          <w:rFonts w:ascii="Verdana" w:hAnsi="Verdana"/>
          <w:sz w:val="20"/>
          <w:szCs w:val="20"/>
        </w:rPr>
      </w:pPr>
      <w:r w:rsidRPr="00037B7A">
        <w:rPr>
          <w:rFonts w:ascii="Verdana" w:hAnsi="Verdana"/>
          <w:b/>
          <w:sz w:val="20"/>
          <w:szCs w:val="20"/>
        </w:rPr>
        <w:t>Weighing of evidence not possible</w:t>
      </w:r>
      <w:r w:rsidRPr="00037B7A">
        <w:rPr>
          <w:rFonts w:ascii="Verdana" w:hAnsi="Verdana"/>
          <w:sz w:val="20"/>
          <w:szCs w:val="20"/>
        </w:rPr>
        <w:t>: No suitable evidence available</w:t>
      </w:r>
    </w:p>
    <w:p w14:paraId="2C5CDC45" w14:textId="77777777" w:rsidR="004B5873" w:rsidRPr="00037B7A" w:rsidRDefault="004B5873" w:rsidP="004B5873">
      <w:pPr>
        <w:tabs>
          <w:tab w:val="left" w:pos="2227"/>
        </w:tabs>
        <w:rPr>
          <w:rFonts w:ascii="Verdana" w:hAnsi="Verdana"/>
          <w:sz w:val="20"/>
          <w:szCs w:val="20"/>
        </w:rPr>
      </w:pPr>
      <w:r w:rsidRPr="00037B7A">
        <w:rPr>
          <w:rFonts w:ascii="Verdana" w:hAnsi="Verdana"/>
          <w:sz w:val="20"/>
          <w:szCs w:val="20"/>
        </w:rPr>
        <w:t xml:space="preserve">The elaboration of confidence levels, and their underlying documentation, would in general depend on the needs defined by each process and problem formulation. </w:t>
      </w:r>
    </w:p>
    <w:p w14:paraId="15059A16" w14:textId="77777777" w:rsidR="004B5873" w:rsidRDefault="004B5873" w:rsidP="003D7592">
      <w:pPr>
        <w:rPr>
          <w:rFonts w:ascii="Verdana" w:hAnsi="Verdana"/>
          <w:sz w:val="20"/>
          <w:szCs w:val="20"/>
        </w:rPr>
      </w:pPr>
    </w:p>
    <w:p w14:paraId="07D9B122" w14:textId="77777777" w:rsidR="004B5873" w:rsidRDefault="004B5873" w:rsidP="003D7592">
      <w:pPr>
        <w:rPr>
          <w:rFonts w:ascii="Verdana" w:hAnsi="Verdana"/>
          <w:sz w:val="20"/>
          <w:szCs w:val="20"/>
        </w:rPr>
      </w:pPr>
    </w:p>
    <w:p w14:paraId="718CD82C" w14:textId="7C0E8062" w:rsidR="00037B7A" w:rsidRPr="004B5873" w:rsidRDefault="004B5873" w:rsidP="003D7592">
      <w:pPr>
        <w:rPr>
          <w:rFonts w:ascii="Times New Roman" w:eastAsia="Times New Roman" w:hAnsi="Times New Roman" w:cs="Times New Roman"/>
          <w:sz w:val="26"/>
          <w:szCs w:val="26"/>
          <w:lang w:eastAsia="en-GB"/>
        </w:rPr>
      </w:pPr>
      <w:r w:rsidRPr="00037B7A">
        <w:rPr>
          <w:rFonts w:ascii="Verdana" w:hAnsi="Verdana"/>
          <w:sz w:val="20"/>
          <w:szCs w:val="20"/>
        </w:rPr>
        <w:lastRenderedPageBreak/>
        <w:t xml:space="preserve">Similarly </w:t>
      </w:r>
      <w:r w:rsidR="005A5821">
        <w:rPr>
          <w:rFonts w:ascii="Verdana" w:hAnsi="Verdana"/>
          <w:sz w:val="20"/>
          <w:szCs w:val="20"/>
        </w:rPr>
        <w:t xml:space="preserve">the </w:t>
      </w:r>
      <w:r w:rsidR="00037B7A" w:rsidRPr="00037B7A">
        <w:rPr>
          <w:rFonts w:ascii="Verdana" w:hAnsi="Verdana"/>
          <w:sz w:val="20"/>
          <w:szCs w:val="20"/>
        </w:rPr>
        <w:t>OECD AOP programme for the assessment of AOPs</w:t>
      </w:r>
      <w:r>
        <w:rPr>
          <w:rFonts w:ascii="Verdana" w:hAnsi="Verdana"/>
          <w:sz w:val="20"/>
          <w:szCs w:val="20"/>
        </w:rPr>
        <w:t xml:space="preserve"> provides g</w:t>
      </w:r>
      <w:r w:rsidRPr="007330AA">
        <w:rPr>
          <w:rFonts w:ascii="Verdana" w:hAnsi="Verdana"/>
          <w:sz w:val="20"/>
          <w:szCs w:val="20"/>
        </w:rPr>
        <w:t xml:space="preserve">eneral guidance for characterizing the level of quantitative understanding of a key events relationships for an adverse outcome pathway as weak, moderate, or strong </w:t>
      </w:r>
      <w:r w:rsidR="003D7592">
        <w:rPr>
          <w:rFonts w:ascii="Verdana" w:hAnsi="Verdana"/>
          <w:sz w:val="20"/>
          <w:szCs w:val="20"/>
        </w:rPr>
        <w:t>(</w:t>
      </w:r>
      <w:r>
        <w:rPr>
          <w:rFonts w:ascii="Verdana" w:hAnsi="Verdana"/>
          <w:sz w:val="20"/>
          <w:szCs w:val="20"/>
        </w:rPr>
        <w:t>Annex 2 of the “</w:t>
      </w:r>
      <w:r w:rsidR="003D7592" w:rsidRPr="00F45063">
        <w:rPr>
          <w:rFonts w:ascii="Verdana" w:hAnsi="Verdana"/>
          <w:i/>
          <w:sz w:val="20"/>
          <w:szCs w:val="20"/>
        </w:rPr>
        <w:t>Users' Handbook supplement to the Guidance Document for developing and assessing Adverse Outcome Pathways</w:t>
      </w:r>
      <w:r w:rsidR="003D7592" w:rsidRPr="003D7592">
        <w:rPr>
          <w:rFonts w:ascii="Verdana" w:hAnsi="Verdana"/>
          <w:sz w:val="20"/>
          <w:szCs w:val="20"/>
        </w:rPr>
        <w:t>", OECD Series on Adverse Outcome Pathways,</w:t>
      </w:r>
      <w:r w:rsidR="003D7592">
        <w:rPr>
          <w:rFonts w:ascii="Verdana" w:hAnsi="Verdana"/>
          <w:sz w:val="20"/>
          <w:szCs w:val="20"/>
        </w:rPr>
        <w:t xml:space="preserve"> No. 1, OECD Publishing, Paris</w:t>
      </w:r>
      <w:r>
        <w:rPr>
          <w:rFonts w:ascii="Verdana" w:hAnsi="Verdana"/>
          <w:sz w:val="20"/>
          <w:szCs w:val="20"/>
        </w:rPr>
        <w:t>, available at:</w:t>
      </w:r>
      <w:r w:rsidRPr="004B5873">
        <w:t xml:space="preserve"> </w:t>
      </w:r>
      <w:hyperlink r:id="rId17" w:history="1">
        <w:r>
          <w:rPr>
            <w:rStyle w:val="Hyperlink"/>
          </w:rPr>
          <w:t>http://dx.doi.org/10.1787/5jlv1m9d1g32-en</w:t>
        </w:r>
      </w:hyperlink>
      <w:r>
        <w:t xml:space="preserve"> </w:t>
      </w:r>
      <w:r w:rsidR="003D7592">
        <w:rPr>
          <w:rFonts w:ascii="Verdana" w:hAnsi="Verdana"/>
          <w:sz w:val="20"/>
          <w:szCs w:val="20"/>
        </w:rPr>
        <w:t>)</w:t>
      </w:r>
      <w:r w:rsidR="00037B7A" w:rsidRPr="00037B7A">
        <w:rPr>
          <w:rFonts w:ascii="Verdana" w:hAnsi="Verdana"/>
          <w:sz w:val="20"/>
          <w:szCs w:val="20"/>
        </w:rPr>
        <w:t xml:space="preserve"> </w:t>
      </w:r>
    </w:p>
    <w:p w14:paraId="718CD82D" w14:textId="77777777" w:rsidR="00037B7A" w:rsidRDefault="00037B7A" w:rsidP="00037B7A">
      <w:pPr>
        <w:rPr>
          <w:b/>
        </w:rPr>
      </w:pPr>
    </w:p>
    <w:p w14:paraId="718CD82E" w14:textId="4C9D9FB3" w:rsidR="00037B7A" w:rsidRPr="002B1CE8" w:rsidRDefault="00F958FE" w:rsidP="002B1CE8">
      <w:pPr>
        <w:pStyle w:val="Heading2"/>
        <w:ind w:left="1080" w:hanging="720"/>
        <w:rPr>
          <w:rFonts w:ascii="Verdana" w:eastAsia="Times New Roman" w:hAnsi="Verdana" w:cs="Arial"/>
          <w:b/>
          <w:snapToGrid w:val="0"/>
          <w:color w:val="0046AD"/>
          <w:sz w:val="24"/>
          <w:szCs w:val="22"/>
          <w:lang w:eastAsia="fi-FI"/>
        </w:rPr>
      </w:pPr>
      <w:bookmarkStart w:id="17" w:name="_Toc499654093"/>
      <w:r w:rsidRPr="002B1CE8">
        <w:rPr>
          <w:rFonts w:ascii="Verdana" w:eastAsia="Times New Roman" w:hAnsi="Verdana" w:cs="Arial"/>
          <w:b/>
          <w:snapToGrid w:val="0"/>
          <w:color w:val="0046AD"/>
          <w:sz w:val="24"/>
          <w:szCs w:val="22"/>
          <w:lang w:eastAsia="fi-FI"/>
        </w:rPr>
        <w:t>2.6 Uncertainty Analysis</w:t>
      </w:r>
      <w:bookmarkEnd w:id="17"/>
    </w:p>
    <w:p w14:paraId="5B58DDBB" w14:textId="77777777" w:rsidR="00D30582" w:rsidRPr="006E2554" w:rsidRDefault="00D30582" w:rsidP="00623F1E">
      <w:pPr>
        <w:rPr>
          <w:rFonts w:ascii="Verdana" w:hAnsi="Verdana"/>
          <w:sz w:val="20"/>
          <w:szCs w:val="20"/>
        </w:rPr>
      </w:pPr>
    </w:p>
    <w:p w14:paraId="06C31D1A" w14:textId="4C0889CC" w:rsidR="00213C22" w:rsidRPr="006E2554" w:rsidRDefault="00213C22" w:rsidP="00623F1E">
      <w:pPr>
        <w:rPr>
          <w:rFonts w:ascii="Verdana" w:hAnsi="Verdana"/>
          <w:sz w:val="20"/>
          <w:szCs w:val="20"/>
        </w:rPr>
      </w:pPr>
      <w:r w:rsidRPr="006E2554">
        <w:rPr>
          <w:rFonts w:ascii="Verdana" w:hAnsi="Verdana"/>
          <w:sz w:val="20"/>
          <w:szCs w:val="20"/>
        </w:rPr>
        <w:t xml:space="preserve">The principles of </w:t>
      </w:r>
      <w:r w:rsidR="005A5821">
        <w:rPr>
          <w:rFonts w:ascii="Verdana" w:hAnsi="Verdana"/>
          <w:sz w:val="20"/>
          <w:szCs w:val="20"/>
        </w:rPr>
        <w:t>u</w:t>
      </w:r>
      <w:r w:rsidRPr="006E2554">
        <w:rPr>
          <w:rFonts w:ascii="Verdana" w:hAnsi="Verdana"/>
          <w:sz w:val="20"/>
          <w:szCs w:val="20"/>
        </w:rPr>
        <w:t>ncertainty analysis and its relevance within the WoE approach are described in Section 1.4 of this document.</w:t>
      </w:r>
    </w:p>
    <w:p w14:paraId="0AEAEB0A" w14:textId="601A2807" w:rsidR="00213C22" w:rsidRPr="006E2554" w:rsidRDefault="00213C22" w:rsidP="00623F1E">
      <w:pPr>
        <w:rPr>
          <w:rFonts w:ascii="Verdana" w:hAnsi="Verdana"/>
          <w:sz w:val="20"/>
          <w:szCs w:val="20"/>
        </w:rPr>
      </w:pPr>
      <w:r w:rsidRPr="006E2554">
        <w:rPr>
          <w:rFonts w:ascii="Verdana" w:hAnsi="Verdana"/>
          <w:sz w:val="20"/>
          <w:szCs w:val="20"/>
        </w:rPr>
        <w:t xml:space="preserve">Elaboration of uncertainty as a result of the analysis of the evidence and their integration is interrelated to the overall confidence levels derived from the previous steps of the WoE approach. </w:t>
      </w:r>
    </w:p>
    <w:p w14:paraId="309BBB08" w14:textId="7E9B2B40" w:rsidR="00D30582" w:rsidRPr="006E2554" w:rsidRDefault="00213C22" w:rsidP="00623F1E">
      <w:pPr>
        <w:rPr>
          <w:rFonts w:ascii="Verdana" w:hAnsi="Verdana"/>
          <w:sz w:val="20"/>
          <w:szCs w:val="20"/>
        </w:rPr>
      </w:pPr>
      <w:r w:rsidRPr="006E2554">
        <w:rPr>
          <w:rFonts w:ascii="Verdana" w:hAnsi="Verdana"/>
          <w:sz w:val="20"/>
          <w:szCs w:val="20"/>
        </w:rPr>
        <w:t xml:space="preserve">On a </w:t>
      </w:r>
      <w:r w:rsidR="005A5821" w:rsidRPr="006E2554">
        <w:rPr>
          <w:rFonts w:ascii="Verdana" w:hAnsi="Verdana"/>
          <w:sz w:val="20"/>
          <w:szCs w:val="20"/>
        </w:rPr>
        <w:t>case-by-case</w:t>
      </w:r>
      <w:r w:rsidRPr="006E2554">
        <w:rPr>
          <w:rFonts w:ascii="Verdana" w:hAnsi="Verdana"/>
          <w:sz w:val="20"/>
          <w:szCs w:val="20"/>
        </w:rPr>
        <w:t xml:space="preserve"> basis, it might be appropriate to record uncertainties in a separate table to address the source of the uncertainty and the impact to the assessment.</w:t>
      </w:r>
    </w:p>
    <w:p w14:paraId="718CD83A" w14:textId="2F743D09" w:rsidR="00037B7A" w:rsidRDefault="00213C22" w:rsidP="006E2554">
      <w:pPr>
        <w:rPr>
          <w:rFonts w:ascii="Verdana" w:hAnsi="Verdana"/>
          <w:sz w:val="20"/>
          <w:szCs w:val="20"/>
        </w:rPr>
      </w:pPr>
      <w:r w:rsidRPr="006E2554">
        <w:rPr>
          <w:rFonts w:ascii="Verdana" w:hAnsi="Verdana"/>
          <w:sz w:val="20"/>
          <w:szCs w:val="20"/>
        </w:rPr>
        <w:t>However, it might also be sufficient to elaborate on the uncertainty within the step of deriv</w:t>
      </w:r>
      <w:r w:rsidR="006E2554">
        <w:rPr>
          <w:rFonts w:ascii="Verdana" w:hAnsi="Verdana"/>
          <w:sz w:val="20"/>
          <w:szCs w:val="20"/>
        </w:rPr>
        <w:t xml:space="preserve">ation of levels of confidence. </w:t>
      </w:r>
    </w:p>
    <w:p w14:paraId="018E540B" w14:textId="77777777" w:rsidR="006E2554" w:rsidRPr="006E2554" w:rsidRDefault="006E2554" w:rsidP="006E2554">
      <w:pPr>
        <w:rPr>
          <w:rFonts w:ascii="Verdana" w:hAnsi="Verdana"/>
          <w:sz w:val="20"/>
          <w:szCs w:val="20"/>
        </w:rPr>
      </w:pPr>
    </w:p>
    <w:p w14:paraId="4AA85D31" w14:textId="5030FC2D" w:rsidR="00784FC6" w:rsidRDefault="005C5486" w:rsidP="002B1CE8">
      <w:pPr>
        <w:pStyle w:val="Heading2"/>
        <w:ind w:left="1080" w:hanging="720"/>
        <w:rPr>
          <w:rFonts w:ascii="Verdana" w:eastAsia="Times New Roman" w:hAnsi="Verdana" w:cs="Arial"/>
          <w:b/>
          <w:snapToGrid w:val="0"/>
          <w:color w:val="0046AD"/>
          <w:sz w:val="24"/>
          <w:szCs w:val="22"/>
          <w:lang w:eastAsia="fi-FI"/>
        </w:rPr>
      </w:pPr>
      <w:bookmarkStart w:id="18" w:name="_Toc499654094"/>
      <w:r w:rsidRPr="002B1CE8">
        <w:rPr>
          <w:rFonts w:ascii="Verdana" w:eastAsia="Times New Roman" w:hAnsi="Verdana" w:cs="Arial"/>
          <w:b/>
          <w:snapToGrid w:val="0"/>
          <w:color w:val="0046AD"/>
          <w:sz w:val="24"/>
          <w:szCs w:val="22"/>
          <w:lang w:eastAsia="fi-FI"/>
        </w:rPr>
        <w:t xml:space="preserve">2.6 </w:t>
      </w:r>
      <w:r w:rsidR="00784FC6" w:rsidRPr="002B1CE8">
        <w:rPr>
          <w:rFonts w:ascii="Verdana" w:eastAsia="Times New Roman" w:hAnsi="Verdana" w:cs="Arial"/>
          <w:b/>
          <w:snapToGrid w:val="0"/>
          <w:color w:val="0046AD"/>
          <w:sz w:val="24"/>
          <w:szCs w:val="22"/>
          <w:lang w:eastAsia="fi-FI"/>
        </w:rPr>
        <w:t>Conclusion</w:t>
      </w:r>
      <w:r w:rsidR="00906780" w:rsidRPr="002B1CE8">
        <w:rPr>
          <w:rFonts w:ascii="Verdana" w:eastAsia="Times New Roman" w:hAnsi="Verdana" w:cs="Arial"/>
          <w:b/>
          <w:snapToGrid w:val="0"/>
          <w:color w:val="0046AD"/>
          <w:sz w:val="24"/>
          <w:szCs w:val="22"/>
          <w:lang w:eastAsia="fi-FI"/>
        </w:rPr>
        <w:t>s</w:t>
      </w:r>
      <w:bookmarkEnd w:id="18"/>
    </w:p>
    <w:p w14:paraId="6B6FD61B" w14:textId="77777777" w:rsidR="004F6F8E" w:rsidRPr="004F6F8E" w:rsidRDefault="004F6F8E" w:rsidP="004F6F8E">
      <w:pPr>
        <w:rPr>
          <w:lang w:eastAsia="fi-FI"/>
        </w:rPr>
      </w:pPr>
    </w:p>
    <w:p w14:paraId="718CD83B" w14:textId="04B6C088" w:rsidR="00037B7A" w:rsidRPr="00037B7A" w:rsidRDefault="00037B7A" w:rsidP="00037B7A">
      <w:pPr>
        <w:tabs>
          <w:tab w:val="left" w:pos="2227"/>
        </w:tabs>
        <w:rPr>
          <w:rFonts w:ascii="Verdana" w:hAnsi="Verdana"/>
          <w:sz w:val="20"/>
          <w:szCs w:val="20"/>
        </w:rPr>
      </w:pPr>
      <w:r w:rsidRPr="00037B7A">
        <w:rPr>
          <w:rFonts w:ascii="Verdana" w:hAnsi="Verdana"/>
          <w:sz w:val="20"/>
          <w:szCs w:val="20"/>
        </w:rPr>
        <w:t>When concluding in a WoE approach and/or uncertainty analysis process</w:t>
      </w:r>
      <w:r w:rsidR="005A5821">
        <w:rPr>
          <w:rFonts w:ascii="Verdana" w:hAnsi="Verdana"/>
          <w:sz w:val="20"/>
          <w:szCs w:val="20"/>
        </w:rPr>
        <w:t>,</w:t>
      </w:r>
      <w:r w:rsidRPr="00037B7A">
        <w:rPr>
          <w:rFonts w:ascii="Verdana" w:hAnsi="Verdana"/>
          <w:sz w:val="20"/>
          <w:szCs w:val="20"/>
        </w:rPr>
        <w:t xml:space="preserve"> depending on the problem formulation and the need to go to a higher tier assessment (usually when confidence levels are below the goal set in problem formulation)</w:t>
      </w:r>
      <w:r w:rsidR="005A5821">
        <w:rPr>
          <w:rFonts w:ascii="Verdana" w:hAnsi="Verdana"/>
          <w:sz w:val="20"/>
          <w:szCs w:val="20"/>
        </w:rPr>
        <w:t>,</w:t>
      </w:r>
      <w:r w:rsidRPr="00037B7A">
        <w:rPr>
          <w:rFonts w:ascii="Verdana" w:hAnsi="Verdana"/>
          <w:sz w:val="20"/>
          <w:szCs w:val="20"/>
        </w:rPr>
        <w:t xml:space="preserve"> a number of approaches can be used</w:t>
      </w:r>
      <w:r>
        <w:rPr>
          <w:rFonts w:ascii="Verdana" w:hAnsi="Verdana"/>
          <w:sz w:val="20"/>
          <w:szCs w:val="20"/>
        </w:rPr>
        <w:t xml:space="preserve"> to increase confidence levels:</w:t>
      </w:r>
    </w:p>
    <w:p w14:paraId="718CD83C" w14:textId="5836F320" w:rsidR="00037B7A" w:rsidRDefault="005A5821" w:rsidP="00233E2A">
      <w:pPr>
        <w:pStyle w:val="ListParagraph"/>
        <w:numPr>
          <w:ilvl w:val="0"/>
          <w:numId w:val="20"/>
        </w:numPr>
      </w:pPr>
      <w:r>
        <w:t>Gather f</w:t>
      </w:r>
      <w:r w:rsidR="00037B7A">
        <w:t>urther information</w:t>
      </w:r>
    </w:p>
    <w:p w14:paraId="718CD83D" w14:textId="4F19F8AD" w:rsidR="00037B7A" w:rsidRDefault="00037B7A" w:rsidP="00233E2A">
      <w:pPr>
        <w:pStyle w:val="ListParagraph"/>
        <w:numPr>
          <w:ilvl w:val="0"/>
          <w:numId w:val="20"/>
        </w:numPr>
      </w:pPr>
      <w:r>
        <w:t xml:space="preserve">More elaborate methodologies </w:t>
      </w:r>
      <w:r w:rsidR="005A5821">
        <w:t xml:space="preserve">could </w:t>
      </w:r>
      <w:r w:rsidR="00876F15">
        <w:t>be incorporated</w:t>
      </w:r>
      <w:r>
        <w:t xml:space="preserve"> in the analysis </w:t>
      </w:r>
    </w:p>
    <w:p w14:paraId="718CD83F" w14:textId="7D5D6CE4" w:rsidR="006E2554" w:rsidRDefault="00570DE9" w:rsidP="002A0F5D">
      <w:pPr>
        <w:pStyle w:val="ListParagraph"/>
      </w:pPr>
      <w:r>
        <w:t>e</w:t>
      </w:r>
      <w:r w:rsidR="00037B7A">
        <w:t>.g.</w:t>
      </w:r>
      <w:r>
        <w:t>,</w:t>
      </w:r>
      <w:r w:rsidR="00037B7A">
        <w:t xml:space="preserve"> PBPK modelling, CSAFs, MoA analysis, statistical approaches to define remaining uncertainty in quantifiable manner – probabilistic approaches. </w:t>
      </w:r>
    </w:p>
    <w:p w14:paraId="28F2957C" w14:textId="68B93F6E" w:rsidR="00037B7A" w:rsidRPr="006E2554" w:rsidRDefault="006E2554" w:rsidP="006E2554">
      <w:pPr>
        <w:rPr>
          <w:rFonts w:ascii="Verdana" w:eastAsia="Times New Roman" w:hAnsi="Verdana" w:cs="Times New Roman"/>
          <w:snapToGrid w:val="0"/>
          <w:sz w:val="20"/>
          <w:szCs w:val="20"/>
          <w:lang w:eastAsia="fi-FI"/>
        </w:rPr>
      </w:pPr>
      <w:r>
        <w:br w:type="page"/>
      </w:r>
    </w:p>
    <w:p w14:paraId="718CD841" w14:textId="48929BCA" w:rsidR="004C640C" w:rsidRPr="002B1CE8" w:rsidRDefault="004C640C" w:rsidP="002B1CE8">
      <w:pPr>
        <w:pStyle w:val="Heading1"/>
        <w:widowControl w:val="0"/>
        <w:numPr>
          <w:ilvl w:val="0"/>
          <w:numId w:val="10"/>
        </w:numPr>
        <w:spacing w:before="360" w:after="240" w:line="240" w:lineRule="auto"/>
        <w:ind w:left="0" w:firstLine="0"/>
        <w:rPr>
          <w:rFonts w:ascii="Verdana" w:eastAsia="Times New Roman" w:hAnsi="Verdana" w:cs="Times New Roman"/>
          <w:b/>
          <w:snapToGrid w:val="0"/>
          <w:color w:val="0046AD"/>
          <w:sz w:val="28"/>
          <w:szCs w:val="24"/>
          <w:lang w:eastAsia="fr-FR"/>
        </w:rPr>
      </w:pPr>
      <w:bookmarkStart w:id="19" w:name="_References"/>
      <w:bookmarkStart w:id="20" w:name="_Toc499654095"/>
      <w:bookmarkEnd w:id="19"/>
      <w:r w:rsidRPr="002B1CE8">
        <w:rPr>
          <w:rFonts w:ascii="Verdana" w:eastAsia="Times New Roman" w:hAnsi="Verdana" w:cs="Times New Roman"/>
          <w:b/>
          <w:snapToGrid w:val="0"/>
          <w:color w:val="0046AD"/>
          <w:sz w:val="28"/>
          <w:szCs w:val="24"/>
          <w:lang w:eastAsia="fr-FR"/>
        </w:rPr>
        <w:lastRenderedPageBreak/>
        <w:t>References</w:t>
      </w:r>
      <w:bookmarkEnd w:id="20"/>
    </w:p>
    <w:p w14:paraId="73BF626C" w14:textId="62F0B959" w:rsidR="00570E38" w:rsidRPr="0081005C" w:rsidRDefault="00482573" w:rsidP="00BC21BB">
      <w:pPr>
        <w:spacing w:before="240" w:after="240"/>
        <w:rPr>
          <w:rFonts w:ascii="Verdana" w:hAnsi="Verdana"/>
          <w:color w:val="000000" w:themeColor="text1"/>
          <w:sz w:val="20"/>
          <w:szCs w:val="20"/>
          <w:lang w:val="fr-FR"/>
        </w:rPr>
      </w:pPr>
      <w:hyperlink r:id="rId18" w:history="1">
        <w:r w:rsidR="001D6A14" w:rsidRPr="006A4E3F">
          <w:rPr>
            <w:rStyle w:val="Hyperlink"/>
            <w:color w:val="000000" w:themeColor="text1"/>
            <w:szCs w:val="20"/>
            <w:u w:val="none"/>
          </w:rPr>
          <w:t>Ågerstrand M</w:t>
        </w:r>
      </w:hyperlink>
      <w:r w:rsidR="001D6A14" w:rsidRPr="006A4E3F">
        <w:rPr>
          <w:rFonts w:ascii="Verdana" w:hAnsi="Verdana"/>
          <w:color w:val="000000" w:themeColor="text1"/>
          <w:sz w:val="20"/>
          <w:szCs w:val="20"/>
        </w:rPr>
        <w:t xml:space="preserve">, </w:t>
      </w:r>
      <w:hyperlink r:id="rId19" w:history="1">
        <w:r w:rsidR="001D6A14" w:rsidRPr="006A4E3F">
          <w:rPr>
            <w:rStyle w:val="Hyperlink"/>
            <w:color w:val="000000" w:themeColor="text1"/>
            <w:szCs w:val="20"/>
            <w:u w:val="none"/>
          </w:rPr>
          <w:t>Beronius A</w:t>
        </w:r>
      </w:hyperlink>
      <w:r w:rsidR="001D6A14" w:rsidRPr="006A4E3F">
        <w:rPr>
          <w:rFonts w:ascii="Verdana" w:hAnsi="Verdana"/>
          <w:color w:val="000000" w:themeColor="text1"/>
          <w:sz w:val="20"/>
          <w:szCs w:val="20"/>
        </w:rPr>
        <w:t xml:space="preserve">., Weight of Evidence evaluation and systematic review in EU chemical risk assessment: Foundation is laid but guidance is </w:t>
      </w:r>
      <w:r w:rsidR="00637EA9" w:rsidRPr="006A4E3F">
        <w:rPr>
          <w:rFonts w:ascii="Verdana" w:hAnsi="Verdana"/>
          <w:color w:val="000000" w:themeColor="text1"/>
          <w:sz w:val="20"/>
          <w:szCs w:val="20"/>
        </w:rPr>
        <w:t>needed.</w:t>
      </w:r>
      <w:r w:rsidR="001D6A14" w:rsidRPr="006A4E3F">
        <w:rPr>
          <w:rFonts w:ascii="Verdana" w:hAnsi="Verdana"/>
          <w:color w:val="000000" w:themeColor="text1"/>
          <w:sz w:val="20"/>
          <w:szCs w:val="20"/>
        </w:rPr>
        <w:t xml:space="preserve"> </w:t>
      </w:r>
      <w:r w:rsidR="001D6A14" w:rsidRPr="0081005C">
        <w:rPr>
          <w:rFonts w:ascii="Verdana" w:hAnsi="Verdana"/>
          <w:color w:val="000000" w:themeColor="text1"/>
          <w:sz w:val="20"/>
          <w:szCs w:val="20"/>
          <w:lang w:val="fr-FR"/>
        </w:rPr>
        <w:t>2016, Environ Int. 92-93: 590-6</w:t>
      </w:r>
    </w:p>
    <w:p w14:paraId="38025E04" w14:textId="2FA01C01" w:rsidR="00570E38" w:rsidRPr="0081005C" w:rsidRDefault="001D6A14" w:rsidP="00BC21BB">
      <w:pPr>
        <w:spacing w:before="240" w:after="240"/>
        <w:rPr>
          <w:rFonts w:ascii="Verdana" w:hAnsi="Verdana"/>
          <w:color w:val="000000" w:themeColor="text1"/>
          <w:sz w:val="20"/>
          <w:szCs w:val="20"/>
        </w:rPr>
      </w:pPr>
      <w:r w:rsidRPr="006A4E3F">
        <w:rPr>
          <w:rFonts w:ascii="Verdana" w:hAnsi="Verdana"/>
          <w:sz w:val="20"/>
          <w:szCs w:val="20"/>
          <w:lang w:val="fr-FR"/>
        </w:rPr>
        <w:t>ANSES</w:t>
      </w:r>
      <w:r w:rsidR="005F03E7" w:rsidRPr="006A4E3F">
        <w:rPr>
          <w:rFonts w:ascii="Verdana" w:hAnsi="Verdana"/>
          <w:sz w:val="20"/>
          <w:szCs w:val="20"/>
          <w:lang w:val="fr-FR"/>
        </w:rPr>
        <w:t xml:space="preserve">: </w:t>
      </w:r>
      <w:r w:rsidRPr="006A4E3F">
        <w:rPr>
          <w:rStyle w:val="A1"/>
          <w:rFonts w:ascii="Verdana" w:hAnsi="Verdana"/>
          <w:sz w:val="20"/>
          <w:szCs w:val="20"/>
          <w:lang w:val="fr-FR"/>
        </w:rPr>
        <w:t xml:space="preserve">Évaluation du poids des preuves à l’Anses : revue critique de la littérature et recommandations à l’étape d’identification des dangers. </w:t>
      </w:r>
      <w:r w:rsidRPr="0081005C">
        <w:rPr>
          <w:rStyle w:val="A1"/>
          <w:rFonts w:ascii="Verdana" w:hAnsi="Verdana"/>
          <w:sz w:val="20"/>
          <w:szCs w:val="20"/>
        </w:rPr>
        <w:t xml:space="preserve">2016, </w:t>
      </w:r>
      <w:hyperlink r:id="rId20" w:history="1">
        <w:r w:rsidRPr="0081005C">
          <w:rPr>
            <w:rStyle w:val="Hyperlink"/>
            <w:szCs w:val="20"/>
            <w:u w:val="none"/>
          </w:rPr>
          <w:t>https://www.anses.fr/fr/system/files/AUTRE2015SA0089Ra.pdf</w:t>
        </w:r>
      </w:hyperlink>
    </w:p>
    <w:p w14:paraId="7A1B53A7" w14:textId="46DEF1E2" w:rsidR="009D3AA1" w:rsidRPr="006A4E3F" w:rsidRDefault="009D3AA1" w:rsidP="00BC21BB">
      <w:pPr>
        <w:spacing w:before="240" w:after="240"/>
        <w:rPr>
          <w:rFonts w:ascii="Verdana" w:hAnsi="Verdana"/>
          <w:color w:val="000000" w:themeColor="text1"/>
          <w:sz w:val="20"/>
          <w:szCs w:val="20"/>
        </w:rPr>
      </w:pPr>
      <w:r w:rsidRPr="006A4E3F">
        <w:rPr>
          <w:rFonts w:ascii="Verdana" w:hAnsi="Verdana"/>
          <w:sz w:val="20"/>
          <w:szCs w:val="20"/>
        </w:rPr>
        <w:t>ECHA Guidance Documents and Practical Guides:</w:t>
      </w:r>
      <w:r w:rsidR="00155271" w:rsidRPr="006A4E3F">
        <w:rPr>
          <w:rFonts w:ascii="Verdana" w:hAnsi="Verdana"/>
          <w:sz w:val="20"/>
          <w:szCs w:val="20"/>
        </w:rPr>
        <w:t xml:space="preserve"> </w:t>
      </w:r>
      <w:hyperlink r:id="rId21" w:history="1">
        <w:r w:rsidRPr="006A4E3F">
          <w:rPr>
            <w:rStyle w:val="Hyperlink"/>
            <w:szCs w:val="20"/>
            <w:u w:val="none"/>
          </w:rPr>
          <w:t>http://echa.europa.eu/guidance-documents/guidance-on-information-requirements-and-chemical-safety-assessment</w:t>
        </w:r>
      </w:hyperlink>
    </w:p>
    <w:p w14:paraId="14DA1E8E" w14:textId="48E97146" w:rsidR="009D3AA1" w:rsidRPr="006A4E3F" w:rsidRDefault="009D3AA1" w:rsidP="00BC21BB">
      <w:pPr>
        <w:ind w:left="720"/>
        <w:rPr>
          <w:rFonts w:ascii="Verdana" w:hAnsi="Verdana"/>
          <w:sz w:val="20"/>
          <w:szCs w:val="20"/>
        </w:rPr>
      </w:pPr>
      <w:r w:rsidRPr="006A4E3F">
        <w:rPr>
          <w:rFonts w:ascii="Verdana" w:hAnsi="Verdana"/>
          <w:sz w:val="20"/>
          <w:szCs w:val="20"/>
        </w:rPr>
        <w:t>ECHA Guidance R.2-R.6</w:t>
      </w:r>
      <w:r w:rsidR="00C74CEB" w:rsidRPr="006A4E3F">
        <w:rPr>
          <w:rFonts w:ascii="Verdana" w:hAnsi="Verdana"/>
          <w:sz w:val="20"/>
          <w:szCs w:val="20"/>
        </w:rPr>
        <w:t xml:space="preserve"> </w:t>
      </w:r>
      <w:r w:rsidRPr="006A4E3F">
        <w:rPr>
          <w:rFonts w:ascii="Verdana" w:hAnsi="Verdana"/>
          <w:sz w:val="20"/>
          <w:szCs w:val="20"/>
        </w:rPr>
        <w:t>Overall framew</w:t>
      </w:r>
      <w:r w:rsidR="00C74CEB" w:rsidRPr="006A4E3F">
        <w:rPr>
          <w:rFonts w:ascii="Verdana" w:hAnsi="Verdana"/>
          <w:sz w:val="20"/>
          <w:szCs w:val="20"/>
        </w:rPr>
        <w:t>ork for meeting the information</w:t>
      </w:r>
      <w:r w:rsidR="00BC21BB" w:rsidRPr="006A4E3F">
        <w:rPr>
          <w:rFonts w:ascii="Verdana" w:hAnsi="Verdana"/>
          <w:sz w:val="20"/>
          <w:szCs w:val="20"/>
        </w:rPr>
        <w:t xml:space="preserve"> </w:t>
      </w:r>
      <w:r w:rsidRPr="006A4E3F">
        <w:rPr>
          <w:rFonts w:ascii="Verdana" w:hAnsi="Verdana"/>
          <w:sz w:val="20"/>
          <w:szCs w:val="20"/>
        </w:rPr>
        <w:t>requirements on intrinsic properties of substances (Chapter R.2), guidance on collection of available information (Chapter R.3), evaluation of informati</w:t>
      </w:r>
      <w:r w:rsidR="00C74CEB" w:rsidRPr="006A4E3F">
        <w:rPr>
          <w:rFonts w:ascii="Verdana" w:hAnsi="Verdana"/>
          <w:sz w:val="20"/>
          <w:szCs w:val="20"/>
        </w:rPr>
        <w:t>on</w:t>
      </w:r>
      <w:r w:rsidR="003B6E27" w:rsidRPr="006A4E3F">
        <w:rPr>
          <w:rFonts w:ascii="Verdana" w:hAnsi="Verdana"/>
          <w:sz w:val="20"/>
          <w:szCs w:val="20"/>
        </w:rPr>
        <w:t xml:space="preserve"> </w:t>
      </w:r>
      <w:r w:rsidRPr="006A4E3F">
        <w:rPr>
          <w:rFonts w:ascii="Verdana" w:hAnsi="Verdana"/>
          <w:sz w:val="20"/>
          <w:szCs w:val="20"/>
        </w:rPr>
        <w:t>(Chapter R.4)</w:t>
      </w:r>
    </w:p>
    <w:p w14:paraId="4DCB750F" w14:textId="243178D4" w:rsidR="009D3AA1" w:rsidRPr="006A4E3F" w:rsidRDefault="00C74CEB" w:rsidP="00BC21BB">
      <w:pPr>
        <w:ind w:left="720"/>
        <w:rPr>
          <w:rFonts w:ascii="Verdana" w:hAnsi="Verdana"/>
          <w:sz w:val="20"/>
          <w:szCs w:val="20"/>
        </w:rPr>
      </w:pPr>
      <w:r w:rsidRPr="006A4E3F">
        <w:rPr>
          <w:rFonts w:ascii="Verdana" w:hAnsi="Verdana"/>
          <w:sz w:val="20"/>
          <w:szCs w:val="20"/>
        </w:rPr>
        <w:t xml:space="preserve">ECHA Guidance R.8 </w:t>
      </w:r>
      <w:r w:rsidR="009D3AA1" w:rsidRPr="006A4E3F">
        <w:rPr>
          <w:rFonts w:ascii="Verdana" w:hAnsi="Verdana"/>
          <w:sz w:val="20"/>
          <w:szCs w:val="20"/>
        </w:rPr>
        <w:t xml:space="preserve">Determination of </w:t>
      </w:r>
      <w:r w:rsidR="009D3AA1" w:rsidRPr="006A4E3F">
        <w:rPr>
          <w:rFonts w:ascii="Verdana" w:hAnsi="Verdana"/>
          <w:iCs/>
          <w:sz w:val="20"/>
          <w:szCs w:val="20"/>
        </w:rPr>
        <w:t>Derived No-Effect-Levels</w:t>
      </w:r>
      <w:r w:rsidRPr="006A4E3F">
        <w:rPr>
          <w:rFonts w:ascii="Verdana" w:hAnsi="Verdana"/>
          <w:sz w:val="20"/>
          <w:szCs w:val="20"/>
        </w:rPr>
        <w:t xml:space="preserve"> (DNEL) (or other</w:t>
      </w:r>
      <w:r w:rsidR="003B6E27" w:rsidRPr="006A4E3F">
        <w:rPr>
          <w:rFonts w:ascii="Verdana" w:hAnsi="Verdana"/>
          <w:sz w:val="20"/>
          <w:szCs w:val="20"/>
        </w:rPr>
        <w:t xml:space="preserve"> </w:t>
      </w:r>
      <w:r w:rsidR="009D3AA1" w:rsidRPr="006A4E3F">
        <w:rPr>
          <w:rFonts w:ascii="Verdana" w:hAnsi="Verdana"/>
          <w:sz w:val="20"/>
          <w:szCs w:val="20"/>
        </w:rPr>
        <w:t>qualitative or semi-quantitative measures of potency of the substance)</w:t>
      </w:r>
    </w:p>
    <w:p w14:paraId="41C0422F" w14:textId="2F9925BB" w:rsidR="009D3AA1" w:rsidRPr="006A4E3F" w:rsidRDefault="00C74CEB" w:rsidP="00BC21BB">
      <w:pPr>
        <w:ind w:firstLine="720"/>
        <w:rPr>
          <w:rFonts w:ascii="Verdana" w:hAnsi="Verdana"/>
          <w:sz w:val="20"/>
          <w:szCs w:val="20"/>
        </w:rPr>
      </w:pPr>
      <w:r w:rsidRPr="006A4E3F">
        <w:rPr>
          <w:rFonts w:ascii="Verdana" w:hAnsi="Verdana"/>
          <w:sz w:val="20"/>
          <w:szCs w:val="20"/>
        </w:rPr>
        <w:t xml:space="preserve">ECHA Guidance R.19 </w:t>
      </w:r>
      <w:r w:rsidR="009D3AA1" w:rsidRPr="006A4E3F">
        <w:rPr>
          <w:rFonts w:ascii="Verdana" w:hAnsi="Verdana"/>
          <w:sz w:val="20"/>
          <w:szCs w:val="20"/>
        </w:rPr>
        <w:t>Uncertainty Analysis</w:t>
      </w:r>
    </w:p>
    <w:p w14:paraId="76596CAD" w14:textId="0776CAD3" w:rsidR="00A4392B" w:rsidRPr="006A4E3F" w:rsidRDefault="003A00F9" w:rsidP="00BC21BB">
      <w:pPr>
        <w:spacing w:after="240"/>
        <w:ind w:left="720"/>
        <w:rPr>
          <w:rFonts w:ascii="Verdana" w:hAnsi="Verdana"/>
          <w:sz w:val="20"/>
          <w:szCs w:val="20"/>
        </w:rPr>
      </w:pPr>
      <w:r w:rsidRPr="006A4E3F">
        <w:rPr>
          <w:rFonts w:ascii="Verdana" w:hAnsi="Verdana"/>
          <w:sz w:val="20"/>
          <w:szCs w:val="20"/>
        </w:rPr>
        <w:t xml:space="preserve">ECHA </w:t>
      </w:r>
      <w:r w:rsidR="00BC21BB" w:rsidRPr="006A4E3F">
        <w:rPr>
          <w:rFonts w:ascii="Verdana" w:hAnsi="Verdana"/>
          <w:sz w:val="20"/>
          <w:szCs w:val="20"/>
        </w:rPr>
        <w:t xml:space="preserve">RAAF </w:t>
      </w:r>
      <w:r w:rsidRPr="006A4E3F">
        <w:rPr>
          <w:rFonts w:ascii="Verdana" w:hAnsi="Verdana"/>
          <w:sz w:val="20"/>
          <w:szCs w:val="20"/>
        </w:rPr>
        <w:t xml:space="preserve">2017, Read-across assessment framework, available at: </w:t>
      </w:r>
      <w:hyperlink r:id="rId22" w:history="1">
        <w:r w:rsidRPr="006A4E3F">
          <w:rPr>
            <w:rStyle w:val="Hyperlink"/>
            <w:szCs w:val="20"/>
            <w:u w:val="none"/>
          </w:rPr>
          <w:t>https://echa.europa.eu/documents/10162/13628/raaf_en.pdf/614e5d61-891d-4154-8a47-87efebd1851a</w:t>
        </w:r>
      </w:hyperlink>
      <w:r w:rsidRPr="006A4E3F">
        <w:rPr>
          <w:rFonts w:ascii="Verdana" w:hAnsi="Verdana"/>
          <w:sz w:val="20"/>
          <w:szCs w:val="20"/>
        </w:rPr>
        <w:t xml:space="preserve"> </w:t>
      </w:r>
    </w:p>
    <w:p w14:paraId="7C91B807" w14:textId="5EDA659E" w:rsidR="009D3AA1" w:rsidRPr="006A4E3F" w:rsidRDefault="009D3AA1" w:rsidP="00105EA7">
      <w:pPr>
        <w:spacing w:after="240"/>
        <w:ind w:left="720"/>
        <w:rPr>
          <w:rFonts w:ascii="Verdana" w:hAnsi="Verdana"/>
          <w:sz w:val="20"/>
          <w:szCs w:val="20"/>
        </w:rPr>
      </w:pPr>
      <w:r w:rsidRPr="006A4E3F">
        <w:rPr>
          <w:rFonts w:ascii="Verdana" w:hAnsi="Verdana"/>
          <w:sz w:val="20"/>
          <w:szCs w:val="20"/>
        </w:rPr>
        <w:t>ECHA Guidance on the application of the CLP criteria</w:t>
      </w:r>
      <w:r w:rsidR="00155271" w:rsidRPr="006A4E3F">
        <w:rPr>
          <w:rFonts w:ascii="Verdana" w:hAnsi="Verdana"/>
          <w:sz w:val="20"/>
          <w:szCs w:val="20"/>
        </w:rPr>
        <w:t xml:space="preserve"> </w:t>
      </w:r>
      <w:hyperlink r:id="rId23" w:history="1">
        <w:r w:rsidR="00105EA7" w:rsidRPr="006A4E3F">
          <w:rPr>
            <w:rStyle w:val="Hyperlink"/>
            <w:szCs w:val="20"/>
            <w:u w:val="none"/>
          </w:rPr>
          <w:t>https://echa.europa.eu/guidance-documents/guidance-on-clp</w:t>
        </w:r>
      </w:hyperlink>
      <w:r w:rsidRPr="006A4E3F">
        <w:rPr>
          <w:rFonts w:ascii="Verdana" w:hAnsi="Verdana"/>
          <w:sz w:val="20"/>
          <w:szCs w:val="20"/>
        </w:rPr>
        <w:t xml:space="preserve"> </w:t>
      </w:r>
    </w:p>
    <w:p w14:paraId="44C085A1" w14:textId="77777777" w:rsidR="00105EA7" w:rsidRPr="006A4E3F" w:rsidRDefault="00105EA7" w:rsidP="00105EA7">
      <w:pPr>
        <w:spacing w:before="240" w:after="240"/>
        <w:rPr>
          <w:rFonts w:ascii="Verdana" w:hAnsi="Verdana"/>
          <w:color w:val="000000" w:themeColor="text1"/>
          <w:sz w:val="20"/>
          <w:szCs w:val="20"/>
          <w:lang w:val="fr-FR"/>
        </w:rPr>
      </w:pPr>
      <w:r w:rsidRPr="006A4E3F">
        <w:rPr>
          <w:rFonts w:ascii="Verdana" w:hAnsi="Verdana"/>
          <w:sz w:val="20"/>
          <w:szCs w:val="20"/>
          <w:lang w:eastAsia="en-GB"/>
        </w:rPr>
        <w:t>EFSA, 2010, Guidance for those carrying out systematic reviews</w:t>
      </w:r>
      <w:r w:rsidRPr="006A4E3F">
        <w:rPr>
          <w:rFonts w:ascii="Verdana" w:hAnsi="Verdana"/>
          <w:color w:val="000000" w:themeColor="text1"/>
          <w:sz w:val="20"/>
          <w:szCs w:val="20"/>
        </w:rPr>
        <w:t xml:space="preserve">. </w:t>
      </w:r>
      <w:r w:rsidRPr="006A4E3F">
        <w:rPr>
          <w:rFonts w:ascii="Verdana" w:hAnsi="Verdana"/>
          <w:sz w:val="20"/>
          <w:szCs w:val="20"/>
          <w:lang w:eastAsia="en-GB"/>
        </w:rPr>
        <w:t xml:space="preserve">Application of systematic review methodology to food and feed safety assessments to support decision making. </w:t>
      </w:r>
      <w:r w:rsidRPr="006A4E3F">
        <w:rPr>
          <w:rFonts w:ascii="Verdana" w:hAnsi="Verdana"/>
          <w:sz w:val="20"/>
          <w:szCs w:val="20"/>
          <w:lang w:val="fr-FR" w:eastAsia="en-GB"/>
        </w:rPr>
        <w:t xml:space="preserve">EFSA Journal 2010; 8(6):1637, </w:t>
      </w:r>
      <w:r w:rsidRPr="006A4E3F">
        <w:rPr>
          <w:rFonts w:ascii="Verdana" w:hAnsi="Verdana"/>
          <w:iCs/>
          <w:snapToGrid w:val="0"/>
          <w:sz w:val="20"/>
          <w:szCs w:val="20"/>
          <w:lang w:val="fr-FR" w:eastAsia="fi-FI"/>
        </w:rPr>
        <w:t>doi:</w:t>
      </w:r>
      <w:hyperlink r:id="rId24" w:tgtFrame="_blank" w:tooltip="Link to external resource: 10.2903/j.efsa.2010.1637" w:history="1">
        <w:r w:rsidRPr="006A4E3F">
          <w:rPr>
            <w:rFonts w:ascii="Verdana" w:hAnsi="Verdana"/>
            <w:snapToGrid w:val="0"/>
            <w:sz w:val="20"/>
            <w:szCs w:val="20"/>
            <w:lang w:val="fr-FR" w:eastAsia="fi-FI"/>
          </w:rPr>
          <w:t>10.2903/j.efsa.2010.1637</w:t>
        </w:r>
      </w:hyperlink>
      <w:r w:rsidRPr="006A4E3F">
        <w:rPr>
          <w:rFonts w:ascii="Verdana" w:hAnsi="Verdana"/>
          <w:snapToGrid w:val="0"/>
          <w:sz w:val="20"/>
          <w:szCs w:val="20"/>
          <w:lang w:val="fr-FR" w:eastAsia="fi-FI"/>
        </w:rPr>
        <w:t xml:space="preserve">, </w:t>
      </w:r>
      <w:hyperlink r:id="rId25" w:history="1">
        <w:r w:rsidRPr="006A4E3F">
          <w:rPr>
            <w:rStyle w:val="Hyperlink"/>
            <w:szCs w:val="20"/>
            <w:u w:val="none"/>
            <w:lang w:val="fr-FR" w:eastAsia="en-GB"/>
          </w:rPr>
          <w:t>http://onlinelibrary.wiley.com/doi/10.2903/j.efsa.2010.1637/epdf</w:t>
        </w:r>
      </w:hyperlink>
    </w:p>
    <w:p w14:paraId="05CD7586" w14:textId="25CDC361" w:rsidR="003B6E27" w:rsidRPr="006A4E3F" w:rsidRDefault="009D3AA1" w:rsidP="00BC21BB">
      <w:pPr>
        <w:rPr>
          <w:rFonts w:ascii="Verdana" w:hAnsi="Verdana"/>
          <w:sz w:val="20"/>
          <w:szCs w:val="20"/>
        </w:rPr>
      </w:pPr>
      <w:r w:rsidRPr="006A4E3F">
        <w:rPr>
          <w:rFonts w:ascii="Verdana" w:hAnsi="Verdana"/>
          <w:sz w:val="20"/>
          <w:szCs w:val="20"/>
        </w:rPr>
        <w:t>EFSA Guidance on Uncertainty in EFSA Scientific Assessments</w:t>
      </w:r>
      <w:r w:rsidR="00570E38" w:rsidRPr="006A4E3F">
        <w:rPr>
          <w:rFonts w:ascii="Verdana" w:hAnsi="Verdana"/>
          <w:sz w:val="20"/>
          <w:szCs w:val="20"/>
        </w:rPr>
        <w:t>,</w:t>
      </w:r>
      <w:r w:rsidR="003B7FEF" w:rsidRPr="006A4E3F">
        <w:rPr>
          <w:rFonts w:ascii="Verdana" w:hAnsi="Verdana"/>
          <w:sz w:val="20"/>
          <w:szCs w:val="20"/>
        </w:rPr>
        <w:t xml:space="preserve"> Draft:</w:t>
      </w:r>
      <w:r w:rsidR="00BC21BB" w:rsidRPr="006A4E3F">
        <w:rPr>
          <w:rFonts w:ascii="Verdana" w:hAnsi="Verdana"/>
          <w:sz w:val="20"/>
          <w:szCs w:val="20"/>
        </w:rPr>
        <w:t xml:space="preserve"> </w:t>
      </w:r>
      <w:hyperlink r:id="rId26" w:history="1">
        <w:r w:rsidRPr="006A4E3F">
          <w:rPr>
            <w:rStyle w:val="Hyperlink"/>
            <w:szCs w:val="20"/>
            <w:u w:val="none"/>
          </w:rPr>
          <w:t>http://www.efsa.europa.eu/sites/default/files/consultation/150618.pdf</w:t>
        </w:r>
      </w:hyperlink>
    </w:p>
    <w:p w14:paraId="4D520A79" w14:textId="77777777" w:rsidR="00105EA7" w:rsidRPr="006A4E3F" w:rsidRDefault="00105EA7" w:rsidP="00105EA7">
      <w:pPr>
        <w:pStyle w:val="NormalWeb"/>
        <w:rPr>
          <w:rFonts w:ascii="Verdana" w:hAnsi="Verdana"/>
          <w:snapToGrid w:val="0"/>
          <w:sz w:val="20"/>
          <w:szCs w:val="20"/>
          <w:lang w:eastAsia="fi-FI"/>
        </w:rPr>
      </w:pPr>
      <w:r w:rsidRPr="006A4E3F">
        <w:rPr>
          <w:rFonts w:ascii="Verdana" w:hAnsi="Verdana"/>
          <w:snapToGrid w:val="0"/>
          <w:sz w:val="20"/>
          <w:szCs w:val="20"/>
          <w:lang w:eastAsia="fi-FI"/>
        </w:rPr>
        <w:t>EFSA</w:t>
      </w:r>
      <w:r w:rsidRPr="006A4E3F">
        <w:rPr>
          <w:rFonts w:ascii="Verdana" w:hAnsi="Verdana"/>
          <w:iCs/>
          <w:snapToGrid w:val="0"/>
          <w:sz w:val="20"/>
          <w:szCs w:val="20"/>
          <w:lang w:eastAsia="fi-FI"/>
        </w:rPr>
        <w:t xml:space="preserve">, 2015a. </w:t>
      </w:r>
      <w:r w:rsidRPr="006A4E3F">
        <w:rPr>
          <w:rFonts w:ascii="Verdana" w:hAnsi="Verdana"/>
          <w:snapToGrid w:val="0"/>
          <w:sz w:val="20"/>
          <w:szCs w:val="20"/>
          <w:lang w:eastAsia="fi-FI"/>
        </w:rPr>
        <w:t>Scientific report on Principles and process for dealing with data and evidence in scientific assessments</w:t>
      </w:r>
      <w:r w:rsidRPr="006A4E3F">
        <w:rPr>
          <w:rFonts w:ascii="Verdana" w:hAnsi="Verdana"/>
          <w:iCs/>
          <w:snapToGrid w:val="0"/>
          <w:sz w:val="20"/>
          <w:szCs w:val="20"/>
          <w:lang w:eastAsia="fi-FI"/>
        </w:rPr>
        <w:t xml:space="preserve">. </w:t>
      </w:r>
      <w:r w:rsidRPr="006A4E3F">
        <w:rPr>
          <w:rFonts w:ascii="Verdana" w:hAnsi="Verdana"/>
          <w:snapToGrid w:val="0"/>
          <w:sz w:val="20"/>
          <w:szCs w:val="20"/>
          <w:lang w:eastAsia="fi-FI"/>
        </w:rPr>
        <w:t>EFSA Journal</w:t>
      </w:r>
      <w:r w:rsidRPr="006A4E3F">
        <w:rPr>
          <w:rFonts w:ascii="Verdana" w:hAnsi="Verdana"/>
          <w:iCs/>
          <w:snapToGrid w:val="0"/>
          <w:sz w:val="20"/>
          <w:szCs w:val="20"/>
          <w:lang w:eastAsia="fi-FI"/>
        </w:rPr>
        <w:t xml:space="preserve"> </w:t>
      </w:r>
      <w:r w:rsidRPr="006A4E3F">
        <w:rPr>
          <w:rFonts w:ascii="Verdana" w:hAnsi="Verdana"/>
          <w:snapToGrid w:val="0"/>
          <w:sz w:val="20"/>
          <w:szCs w:val="20"/>
          <w:lang w:eastAsia="fi-FI"/>
        </w:rPr>
        <w:t>2015</w:t>
      </w:r>
      <w:r w:rsidRPr="006A4E3F">
        <w:rPr>
          <w:rFonts w:ascii="Verdana" w:hAnsi="Verdana"/>
          <w:iCs/>
          <w:snapToGrid w:val="0"/>
          <w:sz w:val="20"/>
          <w:szCs w:val="20"/>
          <w:lang w:eastAsia="fi-FI"/>
        </w:rPr>
        <w:t xml:space="preserve">; </w:t>
      </w:r>
      <w:r w:rsidRPr="006A4E3F">
        <w:rPr>
          <w:rFonts w:ascii="Verdana" w:hAnsi="Verdana"/>
          <w:snapToGrid w:val="0"/>
          <w:sz w:val="20"/>
          <w:szCs w:val="20"/>
          <w:lang w:eastAsia="fi-FI"/>
        </w:rPr>
        <w:t>13</w:t>
      </w:r>
      <w:r w:rsidRPr="006A4E3F">
        <w:rPr>
          <w:rFonts w:ascii="Verdana" w:hAnsi="Verdana"/>
          <w:iCs/>
          <w:snapToGrid w:val="0"/>
          <w:sz w:val="20"/>
          <w:szCs w:val="20"/>
          <w:lang w:eastAsia="fi-FI"/>
        </w:rPr>
        <w:t>(</w:t>
      </w:r>
      <w:r w:rsidRPr="006A4E3F">
        <w:rPr>
          <w:rFonts w:ascii="Verdana" w:hAnsi="Verdana"/>
          <w:snapToGrid w:val="0"/>
          <w:sz w:val="20"/>
          <w:szCs w:val="20"/>
          <w:lang w:eastAsia="fi-FI"/>
        </w:rPr>
        <w:t>5</w:t>
      </w:r>
      <w:r w:rsidRPr="006A4E3F">
        <w:rPr>
          <w:rFonts w:ascii="Verdana" w:hAnsi="Verdana"/>
          <w:iCs/>
          <w:snapToGrid w:val="0"/>
          <w:sz w:val="20"/>
          <w:szCs w:val="20"/>
          <w:lang w:eastAsia="fi-FI"/>
        </w:rPr>
        <w:t>):4121, 35 pp. doi:</w:t>
      </w:r>
      <w:hyperlink r:id="rId27" w:tgtFrame="_blank" w:tooltip="Link to external resource: 10.2903/j.efsa.2015.4121" w:history="1">
        <w:r w:rsidRPr="006A4E3F">
          <w:rPr>
            <w:rFonts w:ascii="Verdana" w:hAnsi="Verdana"/>
            <w:snapToGrid w:val="0"/>
            <w:sz w:val="20"/>
            <w:szCs w:val="20"/>
            <w:lang w:eastAsia="fi-FI"/>
          </w:rPr>
          <w:t>10.2903/j.efsa.2015.4121</w:t>
        </w:r>
      </w:hyperlink>
      <w:r w:rsidRPr="006A4E3F">
        <w:rPr>
          <w:rFonts w:ascii="Verdana" w:hAnsi="Verdana"/>
          <w:iCs/>
          <w:snapToGrid w:val="0"/>
          <w:sz w:val="20"/>
          <w:szCs w:val="20"/>
          <w:lang w:eastAsia="fi-FI"/>
        </w:rPr>
        <w:t>”</w:t>
      </w:r>
    </w:p>
    <w:p w14:paraId="119F14BA" w14:textId="056ED9AD" w:rsidR="009D3AA1" w:rsidRPr="006A4E3F" w:rsidRDefault="009D3AA1" w:rsidP="00BC21BB">
      <w:pPr>
        <w:spacing w:before="240" w:after="240"/>
        <w:rPr>
          <w:rFonts w:ascii="Verdana" w:hAnsi="Verdana" w:cs="Arial"/>
          <w:bCs/>
          <w:sz w:val="20"/>
          <w:szCs w:val="20"/>
          <w:lang w:val="en"/>
        </w:rPr>
      </w:pPr>
      <w:r w:rsidRPr="006A4E3F">
        <w:rPr>
          <w:rFonts w:ascii="Verdana" w:hAnsi="Verdana" w:cs="Arial"/>
          <w:bCs/>
          <w:sz w:val="20"/>
          <w:szCs w:val="20"/>
          <w:lang w:val="en"/>
        </w:rPr>
        <w:t>EFSA</w:t>
      </w:r>
      <w:r w:rsidR="00105EA7" w:rsidRPr="006A4E3F">
        <w:rPr>
          <w:rFonts w:ascii="Verdana" w:hAnsi="Verdana" w:cs="Arial"/>
          <w:bCs/>
          <w:sz w:val="20"/>
          <w:szCs w:val="20"/>
          <w:lang w:val="en"/>
        </w:rPr>
        <w:t>, 2015b,</w:t>
      </w:r>
      <w:r w:rsidRPr="006A4E3F">
        <w:rPr>
          <w:rFonts w:ascii="Verdana" w:hAnsi="Verdana" w:cs="Arial"/>
          <w:bCs/>
          <w:sz w:val="20"/>
          <w:szCs w:val="20"/>
          <w:lang w:val="en"/>
        </w:rPr>
        <w:t xml:space="preserve"> Workshop on Increasing Robustness, Transparency and Ope</w:t>
      </w:r>
      <w:r w:rsidR="00A4392B" w:rsidRPr="006A4E3F">
        <w:rPr>
          <w:rFonts w:ascii="Verdana" w:hAnsi="Verdana" w:cs="Arial"/>
          <w:bCs/>
          <w:sz w:val="20"/>
          <w:szCs w:val="20"/>
          <w:lang w:val="en"/>
        </w:rPr>
        <w:t xml:space="preserve">nness of Scientific Assessments. </w:t>
      </w:r>
      <w:r w:rsidRPr="006A4E3F">
        <w:rPr>
          <w:rFonts w:ascii="Verdana" w:hAnsi="Verdana" w:cs="Arial"/>
          <w:bCs/>
          <w:sz w:val="20"/>
          <w:szCs w:val="20"/>
          <w:lang w:val="en"/>
        </w:rPr>
        <w:t>Workshop report available at:</w:t>
      </w:r>
      <w:r w:rsidRPr="006A4E3F">
        <w:rPr>
          <w:rFonts w:ascii="Verdana" w:hAnsi="Verdana"/>
          <w:sz w:val="20"/>
          <w:szCs w:val="20"/>
          <w:lang w:val="en"/>
        </w:rPr>
        <w:t xml:space="preserve"> </w:t>
      </w:r>
      <w:hyperlink r:id="rId28" w:history="1">
        <w:r w:rsidRPr="006A4E3F">
          <w:rPr>
            <w:rStyle w:val="Hyperlink"/>
            <w:szCs w:val="20"/>
            <w:u w:val="none"/>
          </w:rPr>
          <w:t>http://www.efsa.europa.eu/en/supporting/pub/913e</w:t>
        </w:r>
      </w:hyperlink>
      <w:r w:rsidRPr="006A4E3F">
        <w:rPr>
          <w:rFonts w:ascii="Verdana" w:hAnsi="Verdana"/>
          <w:sz w:val="20"/>
          <w:szCs w:val="20"/>
        </w:rPr>
        <w:t xml:space="preserve"> </w:t>
      </w:r>
    </w:p>
    <w:p w14:paraId="149A741D" w14:textId="77777777" w:rsidR="00105EA7" w:rsidRPr="006A4E3F" w:rsidRDefault="00105EA7" w:rsidP="00105EA7">
      <w:pPr>
        <w:rPr>
          <w:rFonts w:ascii="Verdana" w:hAnsi="Verdana"/>
          <w:sz w:val="20"/>
          <w:szCs w:val="20"/>
        </w:rPr>
      </w:pPr>
      <w:r w:rsidRPr="006A4E3F">
        <w:rPr>
          <w:rFonts w:ascii="Verdana" w:hAnsi="Verdana"/>
          <w:sz w:val="20"/>
          <w:szCs w:val="20"/>
        </w:rPr>
        <w:t xml:space="preserve">EFSA, 2017, Guidance on the use of the weight of evidence approach in scientific assessments, 3 August 2017, </w:t>
      </w:r>
      <w:hyperlink r:id="rId29" w:history="1">
        <w:r w:rsidRPr="006A4E3F">
          <w:rPr>
            <w:rFonts w:ascii="Verdana" w:hAnsi="Verdana"/>
            <w:sz w:val="20"/>
            <w:szCs w:val="20"/>
          </w:rPr>
          <w:t>http://onlinelibrary.wiley.com/doi/10.2903/j.efsa.2017.4971/full</w:t>
        </w:r>
      </w:hyperlink>
      <w:r w:rsidRPr="006A4E3F">
        <w:rPr>
          <w:rFonts w:ascii="Verdana" w:hAnsi="Verdana"/>
          <w:sz w:val="20"/>
          <w:szCs w:val="20"/>
        </w:rPr>
        <w:t xml:space="preserve"> </w:t>
      </w:r>
    </w:p>
    <w:p w14:paraId="735D2A78" w14:textId="2E3A0A5E" w:rsidR="00105EA7" w:rsidRPr="006A4E3F" w:rsidRDefault="006A4E3F" w:rsidP="00105EA7">
      <w:pPr>
        <w:spacing w:before="240" w:after="240"/>
        <w:rPr>
          <w:rFonts w:ascii="Verdana" w:hAnsi="Verdana"/>
          <w:sz w:val="20"/>
          <w:szCs w:val="20"/>
        </w:rPr>
      </w:pPr>
      <w:r>
        <w:rPr>
          <w:rFonts w:ascii="Verdana" w:hAnsi="Verdana"/>
          <w:sz w:val="20"/>
          <w:szCs w:val="20"/>
        </w:rPr>
        <w:t>GRADE, 2013</w:t>
      </w:r>
      <w:r w:rsidR="00105EA7" w:rsidRPr="006A4E3F">
        <w:rPr>
          <w:rFonts w:ascii="Verdana" w:hAnsi="Verdana"/>
          <w:sz w:val="20"/>
          <w:szCs w:val="20"/>
        </w:rPr>
        <w:t xml:space="preserve">, The Grading of Recommendations Assessment, Development and Evaluation approach (GRADE) for systematic assessment of the quality, strength and certainty of evidence: The GRADE Working Group. (2013). GRADE handbook for grading quality of evidence and strength of recommendations. (O. A. Schünemann H, Brożek J, Guyatt G, Ed.). Retrieved from </w:t>
      </w:r>
      <w:hyperlink r:id="rId30" w:history="1">
        <w:r w:rsidR="00105EA7" w:rsidRPr="006A4E3F">
          <w:rPr>
            <w:rStyle w:val="Hyperlink"/>
            <w:szCs w:val="20"/>
            <w:u w:val="none"/>
          </w:rPr>
          <w:t>http://gdt.guidelinedevelopment.org/central_prod/_design/client/handbook/handbook.html</w:t>
        </w:r>
      </w:hyperlink>
    </w:p>
    <w:p w14:paraId="054EE323" w14:textId="77777777" w:rsidR="00105EA7" w:rsidRPr="006A4E3F" w:rsidRDefault="00105EA7" w:rsidP="00105EA7">
      <w:pPr>
        <w:rPr>
          <w:rFonts w:ascii="Verdana" w:hAnsi="Verdana"/>
          <w:sz w:val="20"/>
          <w:szCs w:val="20"/>
        </w:rPr>
      </w:pPr>
      <w:r w:rsidRPr="006A4E3F">
        <w:rPr>
          <w:rFonts w:ascii="Verdana" w:hAnsi="Verdana"/>
          <w:sz w:val="20"/>
          <w:szCs w:val="20"/>
        </w:rPr>
        <w:t>Gross M., Green M. R., Weltje L., Wheeler R. J., Weight of Evidence approaches for the identification of endocrine disrupting properties of chemicals: Review and recommendations for EU regulatory application., Regulatory Toxicology and Pharmacology, 91 (2017) 20-28.</w:t>
      </w:r>
    </w:p>
    <w:p w14:paraId="504AE8F6" w14:textId="77777777" w:rsidR="00105EA7" w:rsidRPr="006A4E3F" w:rsidRDefault="00105EA7" w:rsidP="00105EA7">
      <w:pPr>
        <w:spacing w:before="240" w:after="240"/>
        <w:rPr>
          <w:rFonts w:ascii="Verdana" w:hAnsi="Verdana"/>
          <w:sz w:val="20"/>
          <w:szCs w:val="20"/>
          <w:lang w:eastAsia="en-GB"/>
        </w:rPr>
      </w:pPr>
      <w:r w:rsidRPr="006A4E3F">
        <w:rPr>
          <w:rFonts w:ascii="Verdana" w:hAnsi="Verdana"/>
          <w:sz w:val="20"/>
          <w:szCs w:val="20"/>
          <w:lang w:eastAsia="en-GB"/>
        </w:rPr>
        <w:t>Moermond, C. T. A., Kase, R., Korkaric, M., &amp; Agerstrandk, M. (2016). CRED: CRITERIA FOR REPORTING AND EVALUATING ECOTOXICITY DATA. Environmental Toxicology and Chemistry, 35(5), 1297-1309. doi:10.1002/etc.3259</w:t>
      </w:r>
    </w:p>
    <w:p w14:paraId="040901DB" w14:textId="20E61A78" w:rsidR="00570E38" w:rsidRPr="006A4E3F" w:rsidRDefault="001D6A14" w:rsidP="00BC21BB">
      <w:pPr>
        <w:spacing w:before="240" w:after="240"/>
        <w:rPr>
          <w:rFonts w:ascii="Verdana" w:hAnsi="Verdana"/>
          <w:sz w:val="20"/>
          <w:szCs w:val="20"/>
        </w:rPr>
      </w:pPr>
      <w:r w:rsidRPr="006A4E3F">
        <w:rPr>
          <w:rFonts w:ascii="Verdana" w:hAnsi="Verdana"/>
          <w:sz w:val="20"/>
          <w:szCs w:val="20"/>
        </w:rPr>
        <w:t>OECD AOP</w:t>
      </w:r>
      <w:r w:rsidR="00BC21BB" w:rsidRPr="006A4E3F">
        <w:rPr>
          <w:rFonts w:ascii="Verdana" w:hAnsi="Verdana"/>
          <w:sz w:val="20"/>
          <w:szCs w:val="20"/>
        </w:rPr>
        <w:t xml:space="preserve">, </w:t>
      </w:r>
      <w:r w:rsidRPr="006A4E3F">
        <w:rPr>
          <w:rFonts w:ascii="Verdana" w:hAnsi="Verdana"/>
          <w:sz w:val="20"/>
          <w:szCs w:val="20"/>
        </w:rPr>
        <w:t>Information and Guidance documents on AOPs available at:</w:t>
      </w:r>
      <w:r w:rsidR="00A4392B" w:rsidRPr="006A4E3F">
        <w:rPr>
          <w:rFonts w:ascii="Verdana" w:hAnsi="Verdana"/>
          <w:sz w:val="20"/>
          <w:szCs w:val="20"/>
        </w:rPr>
        <w:t xml:space="preserve"> </w:t>
      </w:r>
      <w:hyperlink r:id="rId31" w:history="1">
        <w:r w:rsidRPr="006A4E3F">
          <w:rPr>
            <w:rStyle w:val="Hyperlink"/>
            <w:szCs w:val="20"/>
            <w:u w:val="none"/>
          </w:rPr>
          <w:t>http://www.oecd.org/chemicalsafety/testing/adverse-outcome-pathways-molecular-screening-and-toxicogenomics.htm</w:t>
        </w:r>
      </w:hyperlink>
      <w:r w:rsidRPr="006A4E3F">
        <w:rPr>
          <w:rFonts w:ascii="Verdana" w:hAnsi="Verdana"/>
          <w:sz w:val="20"/>
          <w:szCs w:val="20"/>
        </w:rPr>
        <w:t xml:space="preserve"> </w:t>
      </w:r>
    </w:p>
    <w:p w14:paraId="4EC5E3EC" w14:textId="0ADEE443" w:rsidR="001D6A14" w:rsidRPr="006A4E3F" w:rsidRDefault="00BC21BB" w:rsidP="00BC21BB">
      <w:pPr>
        <w:spacing w:before="240" w:after="240"/>
        <w:rPr>
          <w:rFonts w:ascii="Verdana" w:hAnsi="Verdana"/>
          <w:sz w:val="20"/>
          <w:szCs w:val="20"/>
        </w:rPr>
      </w:pPr>
      <w:r w:rsidRPr="006A4E3F">
        <w:rPr>
          <w:rFonts w:ascii="Verdana" w:hAnsi="Verdana"/>
          <w:sz w:val="20"/>
          <w:szCs w:val="20"/>
        </w:rPr>
        <w:t xml:space="preserve">OECD IATA, </w:t>
      </w:r>
      <w:r w:rsidR="001D6A14" w:rsidRPr="006A4E3F">
        <w:rPr>
          <w:rFonts w:ascii="Verdana" w:hAnsi="Verdana"/>
          <w:sz w:val="20"/>
          <w:szCs w:val="20"/>
        </w:rPr>
        <w:t xml:space="preserve">IATA Guidance available at: </w:t>
      </w:r>
      <w:hyperlink r:id="rId32" w:history="1">
        <w:r w:rsidR="001D6A14" w:rsidRPr="006A4E3F">
          <w:rPr>
            <w:rStyle w:val="Hyperlink"/>
            <w:szCs w:val="20"/>
            <w:u w:val="none"/>
          </w:rPr>
          <w:t>http://www.oecd.org/chemicalsafety/risk-assessment/iata-integrated-approaches-to-testing-and-assessment.htm</w:t>
        </w:r>
      </w:hyperlink>
      <w:r w:rsidR="001D6A14" w:rsidRPr="006A4E3F">
        <w:rPr>
          <w:rFonts w:ascii="Verdana" w:hAnsi="Verdana"/>
          <w:sz w:val="20"/>
          <w:szCs w:val="20"/>
        </w:rPr>
        <w:t xml:space="preserve"> </w:t>
      </w:r>
    </w:p>
    <w:p w14:paraId="60C40143" w14:textId="77777777" w:rsidR="006A4E3F" w:rsidRPr="006A4E3F" w:rsidRDefault="006A4E3F" w:rsidP="006A4E3F">
      <w:pPr>
        <w:spacing w:before="240" w:after="240"/>
        <w:rPr>
          <w:rFonts w:ascii="Verdana" w:hAnsi="Verdana"/>
          <w:sz w:val="20"/>
          <w:szCs w:val="20"/>
        </w:rPr>
      </w:pPr>
      <w:r w:rsidRPr="006A4E3F">
        <w:rPr>
          <w:rFonts w:ascii="Verdana" w:hAnsi="Verdana"/>
          <w:sz w:val="20"/>
          <w:szCs w:val="20"/>
        </w:rPr>
        <w:t xml:space="preserve">OECD 2016a, Guidance document on the reporting of defined approaches to be used within integrated approaches to testing and assessment: </w:t>
      </w:r>
      <w:hyperlink r:id="rId33" w:history="1">
        <w:r w:rsidRPr="006A4E3F">
          <w:rPr>
            <w:rStyle w:val="Hyperlink"/>
            <w:szCs w:val="20"/>
            <w:u w:val="none"/>
          </w:rPr>
          <w:t>http://www.oecd.org/officialdocuments/publicdisplaydocumentpdf/?cote=env/jm/mono%282016%2928&amp;doclanguage=en</w:t>
        </w:r>
      </w:hyperlink>
      <w:r w:rsidRPr="006A4E3F">
        <w:rPr>
          <w:rFonts w:ascii="Verdana" w:hAnsi="Verdana"/>
          <w:sz w:val="20"/>
          <w:szCs w:val="20"/>
        </w:rPr>
        <w:t xml:space="preserve"> </w:t>
      </w:r>
    </w:p>
    <w:p w14:paraId="5A7155DC" w14:textId="77777777" w:rsidR="006A4E3F" w:rsidRPr="006A4E3F" w:rsidRDefault="006A4E3F" w:rsidP="006A4E3F">
      <w:pPr>
        <w:spacing w:before="240" w:after="240"/>
        <w:rPr>
          <w:rFonts w:ascii="Verdana" w:hAnsi="Verdana"/>
          <w:sz w:val="20"/>
          <w:szCs w:val="20"/>
        </w:rPr>
      </w:pPr>
      <w:r w:rsidRPr="006A4E3F">
        <w:rPr>
          <w:rFonts w:ascii="Verdana" w:hAnsi="Verdana"/>
          <w:sz w:val="20"/>
          <w:szCs w:val="20"/>
        </w:rPr>
        <w:t xml:space="preserve">OECD 2016b, Guidance document on the reporting of defined approaches and individual information sources to be used within integrated approaches to testing and assessment (IATA) for skin sensitisation: </w:t>
      </w:r>
      <w:hyperlink r:id="rId34" w:history="1">
        <w:r w:rsidRPr="006A4E3F">
          <w:rPr>
            <w:rStyle w:val="Hyperlink"/>
            <w:szCs w:val="20"/>
            <w:u w:val="none"/>
          </w:rPr>
          <w:t>http://www.oecd.org/officialdocuments/publicdisplaydocumentpdf/?cote=env/jm/mono%282016%2929&amp;doclanguage=en</w:t>
        </w:r>
      </w:hyperlink>
      <w:r w:rsidRPr="006A4E3F">
        <w:rPr>
          <w:rFonts w:ascii="Verdana" w:hAnsi="Verdana"/>
          <w:sz w:val="20"/>
          <w:szCs w:val="20"/>
        </w:rPr>
        <w:t>.</w:t>
      </w:r>
    </w:p>
    <w:p w14:paraId="570242C8" w14:textId="77777777" w:rsidR="00BC21BB" w:rsidRPr="006A4E3F" w:rsidRDefault="00BC21BB" w:rsidP="00BC21BB">
      <w:pPr>
        <w:spacing w:before="240" w:after="240"/>
        <w:rPr>
          <w:rStyle w:val="Hyperlink"/>
          <w:color w:val="000000" w:themeColor="text1"/>
          <w:szCs w:val="20"/>
          <w:u w:val="none"/>
        </w:rPr>
      </w:pPr>
      <w:r w:rsidRPr="006A4E3F">
        <w:rPr>
          <w:rFonts w:ascii="Verdana" w:hAnsi="Verdana"/>
          <w:color w:val="000000" w:themeColor="text1"/>
          <w:sz w:val="20"/>
          <w:szCs w:val="20"/>
        </w:rPr>
        <w:t xml:space="preserve">OECD Conceptual Framework for testing and assessment of endocrine disrupters available via: </w:t>
      </w:r>
      <w:hyperlink r:id="rId35" w:history="1">
        <w:r w:rsidRPr="006A4E3F">
          <w:rPr>
            <w:rStyle w:val="Hyperlink"/>
            <w:szCs w:val="20"/>
            <w:u w:val="none"/>
          </w:rPr>
          <w:t>http://www.oecd.org/env/ehs/testing/oecdworkrelatedtoendocrinedisrupters.htm</w:t>
        </w:r>
      </w:hyperlink>
    </w:p>
    <w:p w14:paraId="24570ADC" w14:textId="6A32B0F4" w:rsidR="003B6E27" w:rsidRPr="006A4E3F" w:rsidRDefault="00105EA7" w:rsidP="00105EA7">
      <w:pPr>
        <w:rPr>
          <w:rFonts w:ascii="Verdana" w:hAnsi="Verdana"/>
          <w:sz w:val="20"/>
          <w:szCs w:val="20"/>
        </w:rPr>
      </w:pPr>
      <w:r w:rsidRPr="006A4E3F">
        <w:rPr>
          <w:rFonts w:ascii="Verdana" w:hAnsi="Verdana"/>
          <w:sz w:val="20"/>
          <w:szCs w:val="20"/>
        </w:rPr>
        <w:t xml:space="preserve">OHAT, 2015: Handbook for conducting a literature-based health assessment using OHAT approach for systematic review and evidence integrati: </w:t>
      </w:r>
      <w:hyperlink r:id="rId36" w:history="1">
        <w:r w:rsidRPr="006A4E3F">
          <w:rPr>
            <w:rStyle w:val="Hyperlink"/>
            <w:szCs w:val="20"/>
            <w:u w:val="none"/>
          </w:rPr>
          <w:t>https://ntp.niehs.nih.gov/ntp/ohat/pubs/handbookjan2015_508.pdf</w:t>
        </w:r>
      </w:hyperlink>
    </w:p>
    <w:p w14:paraId="62012B3E" w14:textId="58CF5450" w:rsidR="003B6E27" w:rsidRPr="006A4E3F" w:rsidRDefault="001D6A14" w:rsidP="00105EA7">
      <w:pPr>
        <w:spacing w:before="240" w:after="240"/>
        <w:rPr>
          <w:rFonts w:ascii="Verdana" w:hAnsi="Verdana"/>
          <w:color w:val="000000" w:themeColor="text1"/>
          <w:sz w:val="20"/>
          <w:szCs w:val="20"/>
          <w:lang w:val="en-US"/>
        </w:rPr>
      </w:pPr>
      <w:r w:rsidRPr="006A4E3F">
        <w:rPr>
          <w:rFonts w:ascii="Verdana" w:hAnsi="Verdana"/>
          <w:color w:val="000000" w:themeColor="text1"/>
          <w:sz w:val="20"/>
          <w:szCs w:val="20"/>
          <w:lang w:val="en-US"/>
        </w:rPr>
        <w:t>Rhomberg LR, Hypothesis-based weight of evidence: an approach to assessing causation and its application to regulatory toxicology., 2015, Risk Anal. 35, 1114-24.</w:t>
      </w:r>
    </w:p>
    <w:p w14:paraId="1AC8600E" w14:textId="0B617D7D" w:rsidR="003B6E27" w:rsidRPr="006A4E3F" w:rsidRDefault="004C640C" w:rsidP="00105EA7">
      <w:pPr>
        <w:spacing w:before="240" w:after="240"/>
        <w:rPr>
          <w:rFonts w:ascii="Verdana" w:hAnsi="Verdana"/>
          <w:sz w:val="20"/>
          <w:szCs w:val="20"/>
        </w:rPr>
      </w:pPr>
      <w:r w:rsidRPr="006A4E3F">
        <w:rPr>
          <w:rFonts w:ascii="Verdana" w:hAnsi="Verdana"/>
          <w:smallCaps/>
          <w:sz w:val="20"/>
          <w:szCs w:val="20"/>
        </w:rPr>
        <w:t>SCENI</w:t>
      </w:r>
      <w:r w:rsidR="00F45063">
        <w:rPr>
          <w:rFonts w:ascii="Verdana" w:hAnsi="Verdana"/>
          <w:smallCaps/>
          <w:sz w:val="20"/>
          <w:szCs w:val="20"/>
        </w:rPr>
        <w:t>H</w:t>
      </w:r>
      <w:r w:rsidRPr="006A4E3F">
        <w:rPr>
          <w:rFonts w:ascii="Verdana" w:hAnsi="Verdana"/>
          <w:smallCaps/>
          <w:sz w:val="20"/>
          <w:szCs w:val="20"/>
        </w:rPr>
        <w:t>R</w:t>
      </w:r>
      <w:r w:rsidR="00A4392B" w:rsidRPr="006A4E3F">
        <w:rPr>
          <w:rFonts w:ascii="Verdana" w:hAnsi="Verdana"/>
          <w:sz w:val="20"/>
          <w:szCs w:val="20"/>
        </w:rPr>
        <w:t>,</w:t>
      </w:r>
      <w:r w:rsidR="003B7FEF" w:rsidRPr="006A4E3F">
        <w:rPr>
          <w:rFonts w:ascii="Verdana" w:hAnsi="Verdana"/>
          <w:sz w:val="20"/>
          <w:szCs w:val="20"/>
        </w:rPr>
        <w:t xml:space="preserve"> 2012,</w:t>
      </w:r>
      <w:r w:rsidR="00A4392B" w:rsidRPr="006A4E3F">
        <w:rPr>
          <w:rFonts w:ascii="Verdana" w:hAnsi="Verdana"/>
          <w:sz w:val="20"/>
          <w:szCs w:val="20"/>
        </w:rPr>
        <w:t xml:space="preserve"> </w:t>
      </w:r>
      <w:r w:rsidRPr="006A4E3F">
        <w:rPr>
          <w:rFonts w:ascii="Verdana" w:hAnsi="Verdana"/>
          <w:sz w:val="20"/>
          <w:szCs w:val="20"/>
        </w:rPr>
        <w:t>Memorandum on the use of the scientific literature for human health risk assessment purposes, weighing of evidence and expression of unce</w:t>
      </w:r>
      <w:r w:rsidR="00A4392B" w:rsidRPr="006A4E3F">
        <w:rPr>
          <w:rFonts w:ascii="Verdana" w:hAnsi="Verdana"/>
          <w:sz w:val="20"/>
          <w:szCs w:val="20"/>
        </w:rPr>
        <w:t xml:space="preserve">rtainty; available at: </w:t>
      </w:r>
      <w:hyperlink r:id="rId37" w:history="1">
        <w:r w:rsidRPr="006A4E3F">
          <w:rPr>
            <w:rStyle w:val="Hyperlink"/>
            <w:szCs w:val="20"/>
            <w:u w:val="none"/>
          </w:rPr>
          <w:t>http://ec.europa.eu/health/scientific_committees/emerging/docs/scenihr_s_001.pdf</w:t>
        </w:r>
      </w:hyperlink>
    </w:p>
    <w:p w14:paraId="68537167" w14:textId="10A62214" w:rsidR="001D6A14" w:rsidRPr="006A4E3F" w:rsidRDefault="001D6A14" w:rsidP="00BC21BB">
      <w:pPr>
        <w:spacing w:before="240" w:after="240"/>
        <w:rPr>
          <w:rFonts w:ascii="Verdana" w:hAnsi="Verdana"/>
          <w:sz w:val="20"/>
          <w:szCs w:val="20"/>
        </w:rPr>
      </w:pPr>
      <w:r w:rsidRPr="006A4E3F">
        <w:rPr>
          <w:rFonts w:ascii="Verdana" w:hAnsi="Verdana"/>
          <w:sz w:val="20"/>
          <w:szCs w:val="20"/>
        </w:rPr>
        <w:t>US OSHA</w:t>
      </w:r>
      <w:r w:rsidR="00A4392B" w:rsidRPr="006A4E3F">
        <w:rPr>
          <w:rFonts w:ascii="Verdana" w:hAnsi="Verdana"/>
          <w:sz w:val="20"/>
          <w:szCs w:val="20"/>
        </w:rPr>
        <w:t xml:space="preserve">, </w:t>
      </w:r>
      <w:r w:rsidR="006C0D19" w:rsidRPr="006A4E3F">
        <w:rPr>
          <w:rFonts w:ascii="Verdana" w:hAnsi="Verdana"/>
          <w:sz w:val="20"/>
          <w:szCs w:val="20"/>
        </w:rPr>
        <w:t xml:space="preserve">2012, </w:t>
      </w:r>
      <w:r w:rsidRPr="006A4E3F">
        <w:rPr>
          <w:rFonts w:ascii="Verdana" w:hAnsi="Verdana"/>
          <w:sz w:val="20"/>
          <w:szCs w:val="20"/>
        </w:rPr>
        <w:t>Guidance on Data Evaluation for W</w:t>
      </w:r>
      <w:r w:rsidR="00A4392B" w:rsidRPr="006A4E3F">
        <w:rPr>
          <w:rFonts w:ascii="Verdana" w:hAnsi="Verdana"/>
          <w:sz w:val="20"/>
          <w:szCs w:val="20"/>
        </w:rPr>
        <w:t xml:space="preserve">eight of Evidence Determination </w:t>
      </w:r>
      <w:hyperlink r:id="rId38" w:history="1">
        <w:r w:rsidRPr="006A4E3F">
          <w:rPr>
            <w:rStyle w:val="Hyperlink"/>
            <w:szCs w:val="20"/>
            <w:u w:val="none"/>
          </w:rPr>
          <w:t>https://www.osha.gov/weightofevidence/woe_guidance.pdf</w:t>
        </w:r>
      </w:hyperlink>
    </w:p>
    <w:p w14:paraId="616B4C8F" w14:textId="77777777" w:rsidR="00105EA7" w:rsidRPr="006A4E3F" w:rsidRDefault="00105EA7" w:rsidP="00105EA7">
      <w:pPr>
        <w:rPr>
          <w:rFonts w:ascii="Verdana" w:hAnsi="Verdana"/>
          <w:sz w:val="20"/>
          <w:szCs w:val="20"/>
        </w:rPr>
      </w:pPr>
      <w:r w:rsidRPr="006A4E3F">
        <w:rPr>
          <w:rFonts w:ascii="Verdana" w:hAnsi="Verdana"/>
          <w:sz w:val="20"/>
          <w:szCs w:val="20"/>
        </w:rPr>
        <w:t xml:space="preserve">Vandenberg, L. N., Ågerstrand, M., Beronius, A., Beausoleil, C., Bergman, Å., Bero, L. A., … Welshons, W. (2016). A proposed framework for the systematic review and integrated assessment (SYRINA) of endocrine disrupting chemicals. Environmental Health, 15(1), 74. </w:t>
      </w:r>
      <w:hyperlink r:id="rId39" w:history="1">
        <w:r w:rsidRPr="006A4E3F">
          <w:rPr>
            <w:rStyle w:val="Hyperlink"/>
            <w:szCs w:val="20"/>
            <w:u w:val="none"/>
          </w:rPr>
          <w:t>http://doi.org/10.1186/s12940-016-0156-6</w:t>
        </w:r>
      </w:hyperlink>
    </w:p>
    <w:p w14:paraId="718CD848" w14:textId="2728949F" w:rsidR="004C640C" w:rsidRPr="006A4E3F" w:rsidRDefault="00173404" w:rsidP="00BC21BB">
      <w:pPr>
        <w:pStyle w:val="NormalWeb"/>
        <w:spacing w:before="240" w:beforeAutospacing="0" w:after="240" w:afterAutospacing="0"/>
        <w:rPr>
          <w:rFonts w:ascii="Verdana" w:hAnsi="Verdana"/>
          <w:sz w:val="20"/>
          <w:szCs w:val="20"/>
        </w:rPr>
      </w:pPr>
      <w:r w:rsidRPr="006A4E3F">
        <w:rPr>
          <w:rStyle w:val="linkinfo"/>
          <w:rFonts w:ascii="Verdana" w:hAnsi="Verdana"/>
          <w:sz w:val="20"/>
          <w:szCs w:val="20"/>
        </w:rPr>
        <w:lastRenderedPageBreak/>
        <w:t xml:space="preserve">WHO/IPCS 2013, M. E. Meek, A. Boobis, I. Cote, V. Dellarco, G. Fotakis, S. Munn, J. Seed and C. Vickers. Article first published online: 25 October 2013 | DOI: 10.1002/jat.2949 </w:t>
      </w:r>
      <w:hyperlink r:id="rId40" w:history="1">
        <w:r w:rsidRPr="006A4E3F">
          <w:rPr>
            <w:rStyle w:val="Hyperlink"/>
            <w:rFonts w:eastAsiaTheme="minorHAnsi" w:cstheme="minorBidi"/>
            <w:szCs w:val="20"/>
            <w:u w:val="none"/>
            <w:lang w:eastAsia="en-US"/>
          </w:rPr>
          <w:t>http://onlinelibrary.wiley.com/doi/10.1002/jat.v34.1/issuetoc</w:t>
        </w:r>
      </w:hyperlink>
      <w:r w:rsidRPr="006A4E3F">
        <w:rPr>
          <w:rFonts w:ascii="Verdana" w:hAnsi="Verdana"/>
          <w:sz w:val="20"/>
          <w:szCs w:val="20"/>
        </w:rPr>
        <w:t xml:space="preserve"> </w:t>
      </w:r>
      <w:hyperlink r:id="rId41" w:history="1">
        <w:r w:rsidR="004C640C" w:rsidRPr="006A4E3F">
          <w:rPr>
            <w:rStyle w:val="Hyperlink"/>
            <w:szCs w:val="20"/>
            <w:u w:val="none"/>
            <w:lang w:val="en"/>
          </w:rPr>
          <w:t>http://www.who.int/ipcs/methods/harmonization/areas/cancer/en/</w:t>
        </w:r>
      </w:hyperlink>
    </w:p>
    <w:p w14:paraId="718CD84C" w14:textId="5D134655" w:rsidR="004C640C" w:rsidRPr="006A4E3F" w:rsidRDefault="00A4392B" w:rsidP="00BC21BB">
      <w:pPr>
        <w:spacing w:before="240" w:after="240"/>
        <w:rPr>
          <w:rStyle w:val="Hyperlink"/>
          <w:color w:val="auto"/>
          <w:szCs w:val="20"/>
          <w:u w:val="none"/>
        </w:rPr>
      </w:pPr>
      <w:r w:rsidRPr="006A4E3F">
        <w:rPr>
          <w:rFonts w:ascii="Verdana" w:hAnsi="Verdana"/>
          <w:sz w:val="20"/>
          <w:szCs w:val="20"/>
        </w:rPr>
        <w:t xml:space="preserve">WHO/IPCS </w:t>
      </w:r>
      <w:r w:rsidR="00173404" w:rsidRPr="006A4E3F">
        <w:rPr>
          <w:rFonts w:ascii="Verdana" w:hAnsi="Verdana"/>
          <w:sz w:val="20"/>
          <w:szCs w:val="20"/>
        </w:rPr>
        <w:t>2010</w:t>
      </w:r>
      <w:r w:rsidRPr="006A4E3F">
        <w:rPr>
          <w:rFonts w:ascii="Verdana" w:hAnsi="Verdana"/>
          <w:sz w:val="20"/>
          <w:szCs w:val="20"/>
        </w:rPr>
        <w:t xml:space="preserve">, </w:t>
      </w:r>
      <w:r w:rsidR="004C640C" w:rsidRPr="006A4E3F">
        <w:rPr>
          <w:rFonts w:ascii="Verdana" w:hAnsi="Verdana"/>
          <w:sz w:val="20"/>
          <w:szCs w:val="20"/>
        </w:rPr>
        <w:t>Guidance on principles of characterising and applying PBPK models in risk assessment</w:t>
      </w:r>
      <w:r w:rsidRPr="006A4E3F">
        <w:rPr>
          <w:rFonts w:ascii="Verdana" w:hAnsi="Verdana"/>
          <w:sz w:val="20"/>
          <w:szCs w:val="20"/>
        </w:rPr>
        <w:t xml:space="preserve"> </w:t>
      </w:r>
      <w:hyperlink r:id="rId42" w:history="1">
        <w:r w:rsidR="004C640C" w:rsidRPr="006A4E3F">
          <w:rPr>
            <w:rStyle w:val="Hyperlink"/>
            <w:szCs w:val="20"/>
            <w:u w:val="none"/>
          </w:rPr>
          <w:t>http://www.who.int/ipcs/methods/harmonization/areas/pbpk/en/</w:t>
        </w:r>
      </w:hyperlink>
    </w:p>
    <w:p w14:paraId="718CD850" w14:textId="21BD5C49" w:rsidR="004C640C" w:rsidRPr="006A4E3F" w:rsidRDefault="00A4392B" w:rsidP="00BC21BB">
      <w:pPr>
        <w:spacing w:before="240" w:after="240"/>
        <w:rPr>
          <w:rFonts w:ascii="Verdana" w:hAnsi="Verdana"/>
          <w:sz w:val="20"/>
          <w:szCs w:val="20"/>
        </w:rPr>
      </w:pPr>
      <w:r w:rsidRPr="006A4E3F">
        <w:rPr>
          <w:rFonts w:ascii="Verdana" w:hAnsi="Verdana"/>
          <w:sz w:val="20"/>
          <w:szCs w:val="20"/>
        </w:rPr>
        <w:t>WHO/IPCS</w:t>
      </w:r>
      <w:r w:rsidR="00173404" w:rsidRPr="006A4E3F">
        <w:rPr>
          <w:rFonts w:ascii="Verdana" w:hAnsi="Verdana"/>
          <w:sz w:val="20"/>
          <w:szCs w:val="20"/>
        </w:rPr>
        <w:t xml:space="preserve"> 2005,</w:t>
      </w:r>
      <w:r w:rsidRPr="006A4E3F">
        <w:rPr>
          <w:rFonts w:ascii="Verdana" w:hAnsi="Verdana"/>
          <w:sz w:val="20"/>
          <w:szCs w:val="20"/>
        </w:rPr>
        <w:t xml:space="preserve"> </w:t>
      </w:r>
      <w:r w:rsidR="004C640C" w:rsidRPr="006A4E3F">
        <w:rPr>
          <w:rFonts w:ascii="Verdana" w:hAnsi="Verdana"/>
          <w:sz w:val="20"/>
          <w:szCs w:val="20"/>
        </w:rPr>
        <w:t>Chemical specific adjustment factors for interspecies differences and human variability: Guidance document for use of data in dose/co</w:t>
      </w:r>
      <w:r w:rsidRPr="006A4E3F">
        <w:rPr>
          <w:rFonts w:ascii="Verdana" w:hAnsi="Verdana"/>
          <w:sz w:val="20"/>
          <w:szCs w:val="20"/>
        </w:rPr>
        <w:t xml:space="preserve">ncentration-response assessment </w:t>
      </w:r>
      <w:hyperlink r:id="rId43" w:history="1">
        <w:r w:rsidR="00173404" w:rsidRPr="006A4E3F">
          <w:rPr>
            <w:rStyle w:val="Hyperlink"/>
            <w:szCs w:val="20"/>
            <w:u w:val="none"/>
          </w:rPr>
          <w:t>http://www.who.int/ipcs/methods/harmonization/areas/csaf/en/</w:t>
        </w:r>
      </w:hyperlink>
      <w:r w:rsidR="00173404" w:rsidRPr="006A4E3F">
        <w:rPr>
          <w:rFonts w:ascii="Verdana" w:hAnsi="Verdana"/>
          <w:sz w:val="20"/>
          <w:szCs w:val="20"/>
        </w:rPr>
        <w:t xml:space="preserve"> </w:t>
      </w:r>
    </w:p>
    <w:p w14:paraId="718CD854" w14:textId="0004CE45" w:rsidR="004C640C" w:rsidRPr="006A4E3F" w:rsidRDefault="00A4392B" w:rsidP="00BC21BB">
      <w:pPr>
        <w:spacing w:before="240" w:after="240"/>
        <w:rPr>
          <w:rFonts w:ascii="Verdana" w:hAnsi="Verdana"/>
          <w:sz w:val="20"/>
          <w:szCs w:val="20"/>
        </w:rPr>
      </w:pPr>
      <w:r w:rsidRPr="006A4E3F">
        <w:rPr>
          <w:rFonts w:ascii="Verdana" w:hAnsi="Verdana"/>
          <w:sz w:val="20"/>
          <w:szCs w:val="20"/>
        </w:rPr>
        <w:t>WHO/IPCS</w:t>
      </w:r>
      <w:r w:rsidR="00173404" w:rsidRPr="006A4E3F">
        <w:rPr>
          <w:rFonts w:ascii="Verdana" w:hAnsi="Verdana"/>
          <w:sz w:val="20"/>
          <w:szCs w:val="20"/>
        </w:rPr>
        <w:t xml:space="preserve"> 2014, </w:t>
      </w:r>
      <w:r w:rsidR="004C640C" w:rsidRPr="006A4E3F">
        <w:rPr>
          <w:rFonts w:ascii="Verdana" w:hAnsi="Verdana"/>
          <w:sz w:val="20"/>
          <w:szCs w:val="20"/>
        </w:rPr>
        <w:t>Guidance on Evaluating and Expressing Uncertainty in Hazard Assessment is available in Harmonization Project Document No. 11</w:t>
      </w:r>
      <w:r w:rsidRPr="006A4E3F">
        <w:rPr>
          <w:rFonts w:ascii="Verdana" w:hAnsi="Verdana"/>
          <w:sz w:val="20"/>
          <w:szCs w:val="20"/>
        </w:rPr>
        <w:t xml:space="preserve"> </w:t>
      </w:r>
      <w:hyperlink r:id="rId44" w:history="1">
        <w:r w:rsidR="004C640C" w:rsidRPr="006A4E3F">
          <w:rPr>
            <w:rStyle w:val="Hyperlink"/>
            <w:szCs w:val="20"/>
            <w:u w:val="none"/>
          </w:rPr>
          <w:t>http://www.who.int/ipcs/methods/harmonization/areas/hazard_assessment/en/</w:t>
        </w:r>
      </w:hyperlink>
      <w:r w:rsidR="004C640C" w:rsidRPr="006A4E3F">
        <w:rPr>
          <w:rFonts w:ascii="Verdana" w:hAnsi="Verdana"/>
          <w:sz w:val="20"/>
          <w:szCs w:val="20"/>
        </w:rPr>
        <w:t xml:space="preserve"> </w:t>
      </w:r>
    </w:p>
    <w:p w14:paraId="718CD855" w14:textId="0CFD83BC" w:rsidR="00E436C3" w:rsidRDefault="00E436C3">
      <w:pPr>
        <w:rPr>
          <w:rFonts w:ascii="Verdana" w:hAnsi="Verdana"/>
          <w:sz w:val="20"/>
          <w:szCs w:val="20"/>
        </w:rPr>
      </w:pPr>
      <w:r>
        <w:rPr>
          <w:rFonts w:ascii="Verdana" w:hAnsi="Verdana"/>
          <w:sz w:val="20"/>
          <w:szCs w:val="20"/>
        </w:rPr>
        <w:br w:type="page"/>
      </w:r>
    </w:p>
    <w:p w14:paraId="74B37EC9" w14:textId="45B50977" w:rsidR="004C640C" w:rsidRPr="002B1CE8" w:rsidRDefault="00E436C3" w:rsidP="002B1CE8">
      <w:pPr>
        <w:pStyle w:val="Heading1"/>
        <w:widowControl w:val="0"/>
        <w:numPr>
          <w:ilvl w:val="0"/>
          <w:numId w:val="10"/>
        </w:numPr>
        <w:spacing w:before="360" w:after="240" w:line="240" w:lineRule="auto"/>
        <w:ind w:left="0" w:firstLine="0"/>
        <w:rPr>
          <w:rFonts w:ascii="Verdana" w:eastAsia="Times New Roman" w:hAnsi="Verdana" w:cs="Times New Roman"/>
          <w:b/>
          <w:snapToGrid w:val="0"/>
          <w:color w:val="0046AD"/>
          <w:sz w:val="28"/>
          <w:szCs w:val="24"/>
          <w:lang w:eastAsia="fr-FR"/>
        </w:rPr>
      </w:pPr>
      <w:bookmarkStart w:id="21" w:name="_Toc499654096"/>
      <w:r w:rsidRPr="002B1CE8">
        <w:rPr>
          <w:rFonts w:ascii="Verdana" w:eastAsia="Times New Roman" w:hAnsi="Verdana" w:cs="Times New Roman"/>
          <w:b/>
          <w:snapToGrid w:val="0"/>
          <w:color w:val="0046AD"/>
          <w:sz w:val="28"/>
          <w:szCs w:val="24"/>
          <w:lang w:eastAsia="fr-FR"/>
        </w:rPr>
        <w:lastRenderedPageBreak/>
        <w:t>Appendix</w:t>
      </w:r>
      <w:bookmarkEnd w:id="21"/>
    </w:p>
    <w:p w14:paraId="689C5A4D" w14:textId="2B294DC1" w:rsidR="00B371D3" w:rsidRPr="002B1CE8" w:rsidRDefault="00E436C3" w:rsidP="002B1CE8">
      <w:pPr>
        <w:pStyle w:val="Heading2"/>
        <w:rPr>
          <w:rFonts w:ascii="Verdana" w:eastAsia="Times New Roman" w:hAnsi="Verdana" w:cs="Arial"/>
          <w:b/>
          <w:snapToGrid w:val="0"/>
          <w:color w:val="0046AD"/>
          <w:sz w:val="24"/>
          <w:szCs w:val="22"/>
          <w:lang w:eastAsia="fr-FR"/>
        </w:rPr>
        <w:sectPr w:rsidR="00B371D3" w:rsidRPr="002B1CE8" w:rsidSect="000655E6">
          <w:headerReference w:type="default" r:id="rId45"/>
          <w:footerReference w:type="default" r:id="rId46"/>
          <w:headerReference w:type="first" r:id="rId47"/>
          <w:footerReference w:type="first" r:id="rId48"/>
          <w:pgSz w:w="11906" w:h="16838"/>
          <w:pgMar w:top="1440" w:right="1440" w:bottom="1440" w:left="1440" w:header="708" w:footer="708" w:gutter="0"/>
          <w:pgNumType w:start="0"/>
          <w:cols w:space="708"/>
          <w:titlePg/>
          <w:docGrid w:linePitch="360"/>
        </w:sectPr>
      </w:pPr>
      <w:bookmarkStart w:id="22" w:name="_Toc499654097"/>
      <w:r w:rsidRPr="002B1CE8">
        <w:rPr>
          <w:rFonts w:ascii="Verdana" w:eastAsia="Times New Roman" w:hAnsi="Verdana" w:cs="Arial"/>
          <w:b/>
          <w:snapToGrid w:val="0"/>
          <w:color w:val="0046AD"/>
          <w:sz w:val="24"/>
          <w:szCs w:val="22"/>
          <w:lang w:eastAsia="fr-FR"/>
        </w:rPr>
        <w:t>Example of use of the Weight of Evidence/Uncertainty Template for environmental hazard assessment</w:t>
      </w:r>
      <w:bookmarkEnd w:id="22"/>
    </w:p>
    <w:p w14:paraId="762E7EBA" w14:textId="77777777" w:rsidR="00B371D3" w:rsidRPr="005E233A" w:rsidRDefault="00B371D3" w:rsidP="00B371D3">
      <w:pPr>
        <w:rPr>
          <w:rFonts w:ascii="Verdana" w:hAnsi="Verdana"/>
          <w:b/>
          <w:sz w:val="24"/>
          <w:szCs w:val="24"/>
        </w:rPr>
      </w:pPr>
      <w:r w:rsidRPr="005E233A">
        <w:rPr>
          <w:rFonts w:ascii="Verdana" w:hAnsi="Verdana"/>
          <w:b/>
          <w:sz w:val="24"/>
          <w:szCs w:val="24"/>
        </w:rPr>
        <w:lastRenderedPageBreak/>
        <w:t>Foreword</w:t>
      </w:r>
    </w:p>
    <w:p w14:paraId="70C0A6D2" w14:textId="77777777" w:rsidR="00B371D3" w:rsidRPr="00404A18" w:rsidRDefault="00B371D3" w:rsidP="00B371D3">
      <w:pPr>
        <w:autoSpaceDE w:val="0"/>
        <w:autoSpaceDN w:val="0"/>
        <w:adjustRightInd w:val="0"/>
        <w:rPr>
          <w:rFonts w:cs="Verdana"/>
        </w:rPr>
      </w:pPr>
      <w:r w:rsidRPr="00F45C36">
        <w:rPr>
          <w:rFonts w:ascii="Verdana" w:hAnsi="Verdana"/>
          <w:sz w:val="20"/>
          <w:szCs w:val="20"/>
        </w:rPr>
        <w:t>The following example is</w:t>
      </w:r>
      <w:r>
        <w:rPr>
          <w:rFonts w:ascii="Verdana" w:hAnsi="Verdana"/>
          <w:sz w:val="20"/>
          <w:szCs w:val="20"/>
        </w:rPr>
        <w:t xml:space="preserve"> only</w:t>
      </w:r>
      <w:r w:rsidRPr="00F45C36">
        <w:rPr>
          <w:rFonts w:ascii="Verdana" w:hAnsi="Verdana"/>
          <w:sz w:val="20"/>
          <w:szCs w:val="20"/>
        </w:rPr>
        <w:t xml:space="preserve"> illustrative for a case of evaluation of Persistence of a substance </w:t>
      </w:r>
      <w:r>
        <w:rPr>
          <w:rFonts w:ascii="Verdana" w:hAnsi="Verdana"/>
          <w:sz w:val="20"/>
          <w:szCs w:val="20"/>
        </w:rPr>
        <w:t>(</w:t>
      </w:r>
      <w:r w:rsidRPr="00404A18">
        <w:rPr>
          <w:rFonts w:cs="Verdana"/>
        </w:rPr>
        <w:t>5-sec-butyl-2-(2,4-dimethylcyclohex-3-en-1-yl)-5-methyl-1,3-dioxane [1], 5-sec-butyl-2-(4,6-dimethylcyclohex-3-en-1-yl)-</w:t>
      </w:r>
      <w:r>
        <w:rPr>
          <w:rFonts w:cs="Verdana"/>
        </w:rPr>
        <w:t>5-methyl-1,3-dioxane [2] [covering any of the individual stereoisomers of [1] and [2] or any combination thereof])</w:t>
      </w:r>
    </w:p>
    <w:p w14:paraId="29CCBA81" w14:textId="77777777" w:rsidR="00B371D3" w:rsidRPr="00F45C36" w:rsidRDefault="00B371D3" w:rsidP="00B371D3">
      <w:pPr>
        <w:rPr>
          <w:rFonts w:ascii="Verdana" w:hAnsi="Verdana"/>
          <w:sz w:val="20"/>
          <w:szCs w:val="20"/>
        </w:rPr>
      </w:pPr>
      <w:r w:rsidRPr="00F45C36">
        <w:rPr>
          <w:rFonts w:ascii="Verdana" w:hAnsi="Verdana"/>
          <w:sz w:val="20"/>
          <w:szCs w:val="20"/>
        </w:rPr>
        <w:t>that has been assessed as Substance of Very High Concern because of its vPvB properties by the Member State Committee.</w:t>
      </w:r>
    </w:p>
    <w:p w14:paraId="2E1BB637" w14:textId="77777777" w:rsidR="00B371D3" w:rsidRPr="00C60020" w:rsidRDefault="00B371D3" w:rsidP="00B371D3">
      <w:r>
        <w:rPr>
          <w:rFonts w:ascii="Verdana" w:hAnsi="Verdana"/>
          <w:sz w:val="20"/>
          <w:szCs w:val="20"/>
        </w:rPr>
        <w:t xml:space="preserve">The data set and its assessment </w:t>
      </w:r>
      <w:r w:rsidRPr="00F45C36">
        <w:rPr>
          <w:rFonts w:ascii="Verdana" w:hAnsi="Verdana"/>
          <w:sz w:val="20"/>
          <w:szCs w:val="20"/>
        </w:rPr>
        <w:t xml:space="preserve">was taken from the Support Document for SVHC identification available at: </w:t>
      </w:r>
      <w:hyperlink r:id="rId49" w:history="1">
        <w:r w:rsidRPr="00C60020">
          <w:rPr>
            <w:rStyle w:val="Hyperlink"/>
            <w:szCs w:val="20"/>
          </w:rPr>
          <w:t>https://echa.europa.eu/documents/10162/ebe9403b-13e3-47da-b5a8-e83286f2fc30</w:t>
        </w:r>
      </w:hyperlink>
    </w:p>
    <w:p w14:paraId="782A1D2A" w14:textId="77777777" w:rsidR="00B371D3" w:rsidRDefault="00B371D3" w:rsidP="00B371D3">
      <w:pPr>
        <w:rPr>
          <w:rFonts w:ascii="Verdana" w:hAnsi="Verdana"/>
          <w:sz w:val="20"/>
          <w:szCs w:val="20"/>
        </w:rPr>
      </w:pPr>
      <w:r>
        <w:rPr>
          <w:rFonts w:ascii="Verdana" w:hAnsi="Verdana"/>
          <w:sz w:val="20"/>
          <w:szCs w:val="20"/>
        </w:rPr>
        <w:t xml:space="preserve">Modifications were made and the example is only presented to illustrate the use of the proposed template and its tables and does not necessarily reflect the actual assessment of </w:t>
      </w:r>
      <w:r w:rsidRPr="00F45C36">
        <w:rPr>
          <w:rFonts w:ascii="Verdana" w:hAnsi="Verdana"/>
          <w:b/>
          <w:sz w:val="20"/>
          <w:szCs w:val="20"/>
        </w:rPr>
        <w:t>this</w:t>
      </w:r>
      <w:r>
        <w:rPr>
          <w:rFonts w:ascii="Verdana" w:hAnsi="Verdana"/>
          <w:sz w:val="20"/>
          <w:szCs w:val="20"/>
        </w:rPr>
        <w:t xml:space="preserve"> substance for </w:t>
      </w:r>
      <w:r w:rsidRPr="00B2187E">
        <w:rPr>
          <w:rFonts w:ascii="Verdana" w:hAnsi="Verdana"/>
          <w:b/>
          <w:sz w:val="20"/>
          <w:szCs w:val="20"/>
        </w:rPr>
        <w:t>vP</w:t>
      </w:r>
      <w:r>
        <w:rPr>
          <w:rFonts w:ascii="Verdana" w:hAnsi="Verdana"/>
          <w:sz w:val="20"/>
          <w:szCs w:val="20"/>
        </w:rPr>
        <w:t>.</w:t>
      </w:r>
    </w:p>
    <w:p w14:paraId="02ADD583" w14:textId="77777777" w:rsidR="00B371D3" w:rsidRDefault="00B371D3" w:rsidP="00B371D3">
      <w:pPr>
        <w:rPr>
          <w:rFonts w:ascii="Verdana" w:hAnsi="Verdana"/>
          <w:sz w:val="20"/>
          <w:szCs w:val="20"/>
        </w:rPr>
      </w:pPr>
    </w:p>
    <w:p w14:paraId="61E4C2CD" w14:textId="77777777" w:rsidR="00B371D3" w:rsidRDefault="00B371D3" w:rsidP="00B371D3">
      <w:pPr>
        <w:rPr>
          <w:rFonts w:ascii="Verdana" w:hAnsi="Verdana"/>
          <w:b/>
          <w:sz w:val="20"/>
          <w:szCs w:val="20"/>
        </w:rPr>
      </w:pPr>
      <w:r>
        <w:rPr>
          <w:rFonts w:ascii="Verdana" w:hAnsi="Verdana"/>
          <w:b/>
          <w:sz w:val="20"/>
          <w:szCs w:val="20"/>
        </w:rPr>
        <w:br w:type="page"/>
      </w:r>
    </w:p>
    <w:p w14:paraId="201225DE" w14:textId="77777777" w:rsidR="00B371D3" w:rsidRPr="0094743C" w:rsidRDefault="00B371D3" w:rsidP="00233E2A">
      <w:pPr>
        <w:pStyle w:val="ListParagraph"/>
        <w:widowControl/>
        <w:numPr>
          <w:ilvl w:val="0"/>
          <w:numId w:val="31"/>
        </w:numPr>
        <w:spacing w:after="160" w:line="259" w:lineRule="auto"/>
        <w:rPr>
          <w:b/>
          <w:sz w:val="24"/>
          <w:szCs w:val="24"/>
        </w:rPr>
      </w:pPr>
      <w:r w:rsidRPr="0094743C">
        <w:rPr>
          <w:b/>
          <w:sz w:val="24"/>
          <w:szCs w:val="24"/>
        </w:rPr>
        <w:lastRenderedPageBreak/>
        <w:t>Problem Formulation</w:t>
      </w:r>
    </w:p>
    <w:p w14:paraId="734375A2"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 weight-of-evidence determination according to the provisions of Annex XIII of REACH is used to identify if the substance meets the criteria for vP. </w:t>
      </w:r>
    </w:p>
    <w:p w14:paraId="7E04CCB2" w14:textId="77777777" w:rsidR="00B371D3" w:rsidRDefault="00B371D3" w:rsidP="00B371D3">
      <w:pPr>
        <w:autoSpaceDE w:val="0"/>
        <w:autoSpaceDN w:val="0"/>
        <w:adjustRightInd w:val="0"/>
        <w:spacing w:after="0" w:line="240" w:lineRule="auto"/>
        <w:rPr>
          <w:rFonts w:ascii="Verdana" w:hAnsi="Verdana" w:cs="Verdana"/>
          <w:sz w:val="20"/>
          <w:szCs w:val="20"/>
        </w:rPr>
      </w:pPr>
    </w:p>
    <w:p w14:paraId="192DCAD1" w14:textId="77777777" w:rsidR="00B371D3" w:rsidRDefault="00B371D3" w:rsidP="00B371D3">
      <w:pPr>
        <w:autoSpaceDE w:val="0"/>
        <w:autoSpaceDN w:val="0"/>
        <w:adjustRightInd w:val="0"/>
        <w:spacing w:after="0" w:line="240" w:lineRule="auto"/>
        <w:rPr>
          <w:rFonts w:ascii="Verdana" w:hAnsi="Verdana" w:cs="Verdana"/>
          <w:sz w:val="20"/>
          <w:szCs w:val="20"/>
        </w:rPr>
      </w:pPr>
    </w:p>
    <w:p w14:paraId="0CCA7B09" w14:textId="77777777" w:rsidR="00B371D3" w:rsidRDefault="00B371D3" w:rsidP="00B371D3">
      <w:pPr>
        <w:autoSpaceDE w:val="0"/>
        <w:autoSpaceDN w:val="0"/>
        <w:adjustRightInd w:val="0"/>
        <w:spacing w:after="0" w:line="240" w:lineRule="auto"/>
        <w:rPr>
          <w:rFonts w:ascii="Verdana" w:hAnsi="Verdana" w:cs="Verdana"/>
          <w:sz w:val="20"/>
          <w:szCs w:val="20"/>
        </w:rPr>
      </w:pPr>
    </w:p>
    <w:p w14:paraId="4EDECA35" w14:textId="77777777" w:rsidR="00B371D3" w:rsidRPr="0094743C" w:rsidRDefault="00B371D3" w:rsidP="00233E2A">
      <w:pPr>
        <w:pStyle w:val="ListParagraph"/>
        <w:widowControl/>
        <w:numPr>
          <w:ilvl w:val="0"/>
          <w:numId w:val="31"/>
        </w:numPr>
        <w:autoSpaceDE w:val="0"/>
        <w:autoSpaceDN w:val="0"/>
        <w:adjustRightInd w:val="0"/>
        <w:rPr>
          <w:rFonts w:cs="Verdana"/>
          <w:b/>
          <w:sz w:val="24"/>
          <w:szCs w:val="24"/>
        </w:rPr>
      </w:pPr>
      <w:r w:rsidRPr="0094743C">
        <w:rPr>
          <w:rFonts w:cs="Verdana"/>
          <w:b/>
          <w:sz w:val="24"/>
          <w:szCs w:val="24"/>
        </w:rPr>
        <w:t>Collection</w:t>
      </w:r>
      <w:r>
        <w:rPr>
          <w:rFonts w:cs="Verdana"/>
          <w:b/>
          <w:sz w:val="24"/>
          <w:szCs w:val="24"/>
        </w:rPr>
        <w:t xml:space="preserve"> and Documentation of all information</w:t>
      </w:r>
    </w:p>
    <w:p w14:paraId="54002719" w14:textId="77777777" w:rsidR="00B371D3" w:rsidRDefault="00B371D3" w:rsidP="00B371D3">
      <w:pPr>
        <w:autoSpaceDE w:val="0"/>
        <w:autoSpaceDN w:val="0"/>
        <w:adjustRightInd w:val="0"/>
        <w:spacing w:after="0" w:line="240" w:lineRule="auto"/>
        <w:rPr>
          <w:rFonts w:ascii="Verdana" w:hAnsi="Verdana" w:cs="Verdana"/>
          <w:sz w:val="20"/>
          <w:szCs w:val="20"/>
        </w:rPr>
      </w:pPr>
    </w:p>
    <w:p w14:paraId="24E8CDBD"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Information/evidence used in the approach include:</w:t>
      </w:r>
    </w:p>
    <w:p w14:paraId="12299578" w14:textId="77777777" w:rsidR="00B371D3" w:rsidRPr="0046353E" w:rsidRDefault="00B371D3" w:rsidP="00233E2A">
      <w:pPr>
        <w:pStyle w:val="ListParagraph"/>
        <w:widowControl/>
        <w:numPr>
          <w:ilvl w:val="0"/>
          <w:numId w:val="32"/>
        </w:numPr>
        <w:autoSpaceDE w:val="0"/>
        <w:autoSpaceDN w:val="0"/>
        <w:adjustRightInd w:val="0"/>
        <w:rPr>
          <w:rFonts w:cs="Verdana"/>
        </w:rPr>
      </w:pPr>
      <w:r w:rsidRPr="0046353E">
        <w:rPr>
          <w:rFonts w:cs="Verdana"/>
        </w:rPr>
        <w:t>Experimental studies from Endpoint study records from corresponding IUCLID Registration Dossiers</w:t>
      </w:r>
    </w:p>
    <w:p w14:paraId="6057CCD9" w14:textId="77777777" w:rsidR="00B371D3" w:rsidRPr="0046353E" w:rsidRDefault="00B371D3" w:rsidP="00233E2A">
      <w:pPr>
        <w:pStyle w:val="ListParagraph"/>
        <w:widowControl/>
        <w:numPr>
          <w:ilvl w:val="0"/>
          <w:numId w:val="32"/>
        </w:numPr>
        <w:autoSpaceDE w:val="0"/>
        <w:autoSpaceDN w:val="0"/>
        <w:adjustRightInd w:val="0"/>
        <w:rPr>
          <w:rFonts w:cs="Verdana"/>
        </w:rPr>
      </w:pPr>
      <w:r w:rsidRPr="0046353E">
        <w:rPr>
          <w:rFonts w:cs="Verdana"/>
        </w:rPr>
        <w:t>QSAR Results</w:t>
      </w:r>
    </w:p>
    <w:p w14:paraId="235A79C6" w14:textId="77777777" w:rsidR="00B371D3" w:rsidRDefault="00B371D3" w:rsidP="00B371D3">
      <w:pPr>
        <w:autoSpaceDE w:val="0"/>
        <w:autoSpaceDN w:val="0"/>
        <w:adjustRightInd w:val="0"/>
        <w:spacing w:after="0" w:line="240" w:lineRule="auto"/>
        <w:rPr>
          <w:rFonts w:ascii="Verdana" w:hAnsi="Verdana" w:cs="Verdana"/>
          <w:sz w:val="20"/>
          <w:szCs w:val="20"/>
        </w:rPr>
      </w:pPr>
    </w:p>
    <w:p w14:paraId="60FE6BB5" w14:textId="77777777" w:rsidR="00B371D3" w:rsidRPr="009557C1" w:rsidRDefault="00B371D3" w:rsidP="00B371D3">
      <w:pPr>
        <w:autoSpaceDE w:val="0"/>
        <w:autoSpaceDN w:val="0"/>
        <w:adjustRightInd w:val="0"/>
        <w:spacing w:after="0" w:line="240" w:lineRule="auto"/>
        <w:rPr>
          <w:rFonts w:ascii="Verdana" w:hAnsi="Verdana" w:cs="Verdana"/>
          <w:b/>
          <w:sz w:val="20"/>
          <w:szCs w:val="20"/>
        </w:rPr>
      </w:pPr>
      <w:r w:rsidRPr="009557C1">
        <w:rPr>
          <w:rFonts w:ascii="Verdana" w:hAnsi="Verdana" w:cs="Verdana"/>
          <w:b/>
          <w:sz w:val="20"/>
          <w:szCs w:val="20"/>
        </w:rPr>
        <w:t>Abiotic Degradation/Hydrolysis</w:t>
      </w:r>
    </w:p>
    <w:p w14:paraId="1B76E33C" w14:textId="77777777" w:rsidR="00B371D3" w:rsidRDefault="00B371D3" w:rsidP="00B371D3">
      <w:pPr>
        <w:autoSpaceDE w:val="0"/>
        <w:autoSpaceDN w:val="0"/>
        <w:adjustRightInd w:val="0"/>
        <w:spacing w:after="0" w:line="240" w:lineRule="auto"/>
        <w:rPr>
          <w:rFonts w:ascii="Verdana" w:hAnsi="Verdana" w:cs="Verdana"/>
          <w:sz w:val="20"/>
          <w:szCs w:val="20"/>
        </w:rPr>
      </w:pPr>
    </w:p>
    <w:tbl>
      <w:tblPr>
        <w:tblStyle w:val="TableGrid"/>
        <w:tblW w:w="0" w:type="auto"/>
        <w:tblLook w:val="04A0" w:firstRow="1" w:lastRow="0" w:firstColumn="1" w:lastColumn="0" w:noHBand="0" w:noVBand="1"/>
      </w:tblPr>
      <w:tblGrid>
        <w:gridCol w:w="1754"/>
        <w:gridCol w:w="2577"/>
        <w:gridCol w:w="2105"/>
        <w:gridCol w:w="3236"/>
        <w:gridCol w:w="4276"/>
      </w:tblGrid>
      <w:tr w:rsidR="00B371D3" w:rsidRPr="006703F9" w14:paraId="2433C268" w14:textId="77777777" w:rsidTr="0010403B">
        <w:tc>
          <w:tcPr>
            <w:tcW w:w="1770" w:type="dxa"/>
            <w:shd w:val="clear" w:color="auto" w:fill="8496B0" w:themeFill="text2" w:themeFillTint="99"/>
          </w:tcPr>
          <w:p w14:paraId="3AF83E87" w14:textId="77777777" w:rsidR="00B371D3" w:rsidRDefault="00B371D3" w:rsidP="0010403B">
            <w:pPr>
              <w:rPr>
                <w:b/>
                <w:color w:val="FFFFFF" w:themeColor="background1"/>
                <w:sz w:val="16"/>
                <w:szCs w:val="16"/>
              </w:rPr>
            </w:pPr>
            <w:r w:rsidRPr="00074835">
              <w:rPr>
                <w:b/>
                <w:color w:val="FFFFFF" w:themeColor="background1"/>
                <w:sz w:val="16"/>
                <w:szCs w:val="16"/>
              </w:rPr>
              <w:t>Source Name</w:t>
            </w:r>
          </w:p>
          <w:p w14:paraId="608390B1" w14:textId="77777777" w:rsidR="00B371D3" w:rsidRDefault="00B371D3" w:rsidP="0010403B">
            <w:pPr>
              <w:rPr>
                <w:b/>
                <w:color w:val="FFFFFF" w:themeColor="background1"/>
                <w:sz w:val="16"/>
                <w:szCs w:val="16"/>
              </w:rPr>
            </w:pPr>
          </w:p>
          <w:p w14:paraId="3252B35D" w14:textId="77777777" w:rsidR="00B371D3" w:rsidRDefault="00B371D3" w:rsidP="0010403B">
            <w:pPr>
              <w:rPr>
                <w:b/>
                <w:color w:val="FFFFFF" w:themeColor="background1"/>
                <w:sz w:val="16"/>
                <w:szCs w:val="16"/>
              </w:rPr>
            </w:pPr>
          </w:p>
          <w:p w14:paraId="29B7C131" w14:textId="77777777" w:rsidR="00B371D3" w:rsidRPr="00074835" w:rsidRDefault="00B371D3" w:rsidP="0010403B">
            <w:pPr>
              <w:rPr>
                <w:b/>
                <w:color w:val="FFFFFF" w:themeColor="background1"/>
                <w:sz w:val="16"/>
                <w:szCs w:val="16"/>
              </w:rPr>
            </w:pPr>
          </w:p>
        </w:tc>
        <w:tc>
          <w:tcPr>
            <w:tcW w:w="2620" w:type="dxa"/>
            <w:shd w:val="clear" w:color="auto" w:fill="8496B0" w:themeFill="text2" w:themeFillTint="99"/>
          </w:tcPr>
          <w:p w14:paraId="097B3671" w14:textId="77777777" w:rsidR="00B371D3" w:rsidRPr="00074835" w:rsidRDefault="00B371D3" w:rsidP="0010403B">
            <w:pPr>
              <w:rPr>
                <w:b/>
                <w:color w:val="FFFFFF" w:themeColor="background1"/>
                <w:sz w:val="16"/>
                <w:szCs w:val="16"/>
              </w:rPr>
            </w:pPr>
            <w:r w:rsidRPr="00074835">
              <w:rPr>
                <w:b/>
                <w:color w:val="FFFFFF" w:themeColor="background1"/>
                <w:sz w:val="16"/>
                <w:szCs w:val="16"/>
              </w:rPr>
              <w:t>Date of search</w:t>
            </w:r>
          </w:p>
        </w:tc>
        <w:tc>
          <w:tcPr>
            <w:tcW w:w="2126" w:type="dxa"/>
            <w:shd w:val="clear" w:color="auto" w:fill="8496B0" w:themeFill="text2" w:themeFillTint="99"/>
          </w:tcPr>
          <w:p w14:paraId="56E44505" w14:textId="77777777" w:rsidR="00B371D3" w:rsidRPr="00074835" w:rsidRDefault="00B371D3" w:rsidP="0010403B">
            <w:pPr>
              <w:rPr>
                <w:b/>
                <w:color w:val="FFFFFF" w:themeColor="background1"/>
                <w:sz w:val="16"/>
                <w:szCs w:val="16"/>
              </w:rPr>
            </w:pPr>
            <w:r w:rsidRPr="00074835">
              <w:rPr>
                <w:b/>
                <w:color w:val="FFFFFF" w:themeColor="background1"/>
                <w:sz w:val="16"/>
                <w:szCs w:val="16"/>
              </w:rPr>
              <w:t>Type of evidence</w:t>
            </w:r>
          </w:p>
        </w:tc>
        <w:tc>
          <w:tcPr>
            <w:tcW w:w="2835" w:type="dxa"/>
            <w:shd w:val="clear" w:color="auto" w:fill="8496B0" w:themeFill="text2" w:themeFillTint="99"/>
          </w:tcPr>
          <w:p w14:paraId="0E38C4F5" w14:textId="77777777" w:rsidR="00B371D3" w:rsidRPr="00074835" w:rsidRDefault="00B371D3" w:rsidP="0010403B">
            <w:pPr>
              <w:rPr>
                <w:b/>
                <w:color w:val="FFFFFF" w:themeColor="background1"/>
                <w:sz w:val="16"/>
                <w:szCs w:val="16"/>
              </w:rPr>
            </w:pPr>
            <w:r w:rsidRPr="00074835">
              <w:rPr>
                <w:b/>
                <w:color w:val="FFFFFF" w:themeColor="background1"/>
                <w:sz w:val="16"/>
                <w:szCs w:val="16"/>
              </w:rPr>
              <w:t>Link/Reference</w:t>
            </w:r>
          </w:p>
        </w:tc>
        <w:tc>
          <w:tcPr>
            <w:tcW w:w="4394" w:type="dxa"/>
            <w:shd w:val="clear" w:color="auto" w:fill="8496B0" w:themeFill="text2" w:themeFillTint="99"/>
          </w:tcPr>
          <w:p w14:paraId="32E8B350" w14:textId="77777777" w:rsidR="00B371D3" w:rsidRPr="00074835" w:rsidRDefault="00B371D3" w:rsidP="0010403B">
            <w:pPr>
              <w:rPr>
                <w:b/>
                <w:color w:val="FFFFFF" w:themeColor="background1"/>
                <w:sz w:val="16"/>
                <w:szCs w:val="16"/>
              </w:rPr>
            </w:pPr>
            <w:r w:rsidRPr="00074835">
              <w:rPr>
                <w:b/>
                <w:color w:val="FFFFFF" w:themeColor="background1"/>
                <w:sz w:val="16"/>
                <w:szCs w:val="16"/>
              </w:rPr>
              <w:t>Reason for exclusion from WoE approach</w:t>
            </w:r>
          </w:p>
        </w:tc>
      </w:tr>
      <w:tr w:rsidR="00B371D3" w14:paraId="37F47251" w14:textId="77777777" w:rsidTr="0010403B">
        <w:tc>
          <w:tcPr>
            <w:tcW w:w="1770" w:type="dxa"/>
          </w:tcPr>
          <w:p w14:paraId="70B5C80D" w14:textId="77777777" w:rsidR="00B371D3" w:rsidRDefault="00B371D3" w:rsidP="0010403B">
            <w:pPr>
              <w:spacing w:after="200" w:line="276" w:lineRule="auto"/>
            </w:pPr>
            <w:r>
              <w:t>QSAR Toolbox v3.3 Hydrolysis simulator</w:t>
            </w:r>
          </w:p>
          <w:p w14:paraId="08C88460" w14:textId="77777777" w:rsidR="00B371D3" w:rsidRDefault="00B371D3" w:rsidP="0010403B">
            <w:pPr>
              <w:spacing w:after="200" w:line="276" w:lineRule="auto"/>
            </w:pPr>
          </w:p>
        </w:tc>
        <w:tc>
          <w:tcPr>
            <w:tcW w:w="2620" w:type="dxa"/>
          </w:tcPr>
          <w:p w14:paraId="0F8B0EDA" w14:textId="77777777" w:rsidR="00B371D3" w:rsidRDefault="00B371D3" w:rsidP="0010403B">
            <w:pPr>
              <w:spacing w:after="200" w:line="276" w:lineRule="auto"/>
            </w:pPr>
            <w:r>
              <w:t>02/06/2014</w:t>
            </w:r>
          </w:p>
        </w:tc>
        <w:tc>
          <w:tcPr>
            <w:tcW w:w="2126" w:type="dxa"/>
          </w:tcPr>
          <w:p w14:paraId="64C5689B" w14:textId="77777777" w:rsidR="00B371D3" w:rsidRDefault="00B371D3" w:rsidP="0010403B">
            <w:pPr>
              <w:spacing w:after="200" w:line="276" w:lineRule="auto"/>
            </w:pPr>
            <w:r>
              <w:t>Estimated /predicted</w:t>
            </w:r>
          </w:p>
        </w:tc>
        <w:tc>
          <w:tcPr>
            <w:tcW w:w="2835" w:type="dxa"/>
          </w:tcPr>
          <w:p w14:paraId="044AF0FB" w14:textId="77777777" w:rsidR="00B371D3" w:rsidRDefault="00482573" w:rsidP="0010403B">
            <w:pPr>
              <w:spacing w:after="200" w:line="276" w:lineRule="auto"/>
            </w:pPr>
            <w:hyperlink r:id="rId50" w:history="1">
              <w:r w:rsidR="00B371D3" w:rsidRPr="00283ED3">
                <w:rPr>
                  <w:rStyle w:val="Hyperlink"/>
                </w:rPr>
                <w:t>https://www.qsartoolbox.org/</w:t>
              </w:r>
            </w:hyperlink>
            <w:r w:rsidR="00B371D3">
              <w:t xml:space="preserve"> </w:t>
            </w:r>
          </w:p>
        </w:tc>
        <w:tc>
          <w:tcPr>
            <w:tcW w:w="4394" w:type="dxa"/>
          </w:tcPr>
          <w:p w14:paraId="4A0B8B86" w14:textId="77777777" w:rsidR="00B371D3" w:rsidRDefault="00B371D3" w:rsidP="0010403B">
            <w:pPr>
              <w:spacing w:after="200" w:line="276" w:lineRule="auto"/>
            </w:pPr>
            <w:r>
              <w:t>N/A</w:t>
            </w:r>
          </w:p>
        </w:tc>
      </w:tr>
      <w:tr w:rsidR="00B371D3" w14:paraId="62F6D41E" w14:textId="77777777" w:rsidTr="0010403B">
        <w:tc>
          <w:tcPr>
            <w:tcW w:w="1770" w:type="dxa"/>
          </w:tcPr>
          <w:p w14:paraId="37D250B6" w14:textId="77777777" w:rsidR="00B371D3" w:rsidRDefault="00B371D3" w:rsidP="0010403B">
            <w:pPr>
              <w:spacing w:after="200" w:line="276" w:lineRule="auto"/>
            </w:pPr>
            <w:r>
              <w:t>OECD TG 111 Key study</w:t>
            </w:r>
          </w:p>
        </w:tc>
        <w:tc>
          <w:tcPr>
            <w:tcW w:w="2620" w:type="dxa"/>
          </w:tcPr>
          <w:p w14:paraId="1A6F344E" w14:textId="77777777" w:rsidR="00B371D3" w:rsidRDefault="00B371D3" w:rsidP="0010403B">
            <w:pPr>
              <w:spacing w:after="200" w:line="276" w:lineRule="auto"/>
            </w:pPr>
            <w:r>
              <w:t>02/06/2014</w:t>
            </w:r>
          </w:p>
        </w:tc>
        <w:tc>
          <w:tcPr>
            <w:tcW w:w="2126" w:type="dxa"/>
          </w:tcPr>
          <w:p w14:paraId="3736542D" w14:textId="77777777" w:rsidR="00B371D3" w:rsidRDefault="00B371D3" w:rsidP="0010403B">
            <w:pPr>
              <w:spacing w:after="200" w:line="276" w:lineRule="auto"/>
            </w:pPr>
            <w:r>
              <w:t>Experimental Study</w:t>
            </w:r>
          </w:p>
        </w:tc>
        <w:tc>
          <w:tcPr>
            <w:tcW w:w="2835" w:type="dxa"/>
          </w:tcPr>
          <w:p w14:paraId="3A4812E5" w14:textId="77777777" w:rsidR="00B371D3" w:rsidRDefault="00B371D3" w:rsidP="0010403B">
            <w:pPr>
              <w:spacing w:after="200" w:line="276" w:lineRule="auto"/>
            </w:pPr>
            <w:r>
              <w:t>ECHA Dissemination website</w:t>
            </w:r>
          </w:p>
        </w:tc>
        <w:tc>
          <w:tcPr>
            <w:tcW w:w="4394" w:type="dxa"/>
          </w:tcPr>
          <w:p w14:paraId="7A09BF24" w14:textId="77777777" w:rsidR="00B371D3" w:rsidRDefault="00B371D3" w:rsidP="0010403B">
            <w:pPr>
              <w:spacing w:after="200" w:line="276" w:lineRule="auto"/>
            </w:pPr>
            <w:r>
              <w:t>N/A</w:t>
            </w:r>
          </w:p>
        </w:tc>
      </w:tr>
      <w:tr w:rsidR="00B371D3" w14:paraId="0549B255" w14:textId="77777777" w:rsidTr="0010403B">
        <w:tc>
          <w:tcPr>
            <w:tcW w:w="1770" w:type="dxa"/>
          </w:tcPr>
          <w:p w14:paraId="32346F78" w14:textId="77777777" w:rsidR="00B371D3" w:rsidRDefault="00B371D3" w:rsidP="0010403B">
            <w:pPr>
              <w:spacing w:after="200" w:line="276" w:lineRule="auto"/>
            </w:pPr>
            <w:r>
              <w:t>OECD TG 111 Supporting study</w:t>
            </w:r>
          </w:p>
        </w:tc>
        <w:tc>
          <w:tcPr>
            <w:tcW w:w="2620" w:type="dxa"/>
          </w:tcPr>
          <w:p w14:paraId="20A53001" w14:textId="77777777" w:rsidR="00B371D3" w:rsidRDefault="00B371D3" w:rsidP="0010403B">
            <w:pPr>
              <w:spacing w:after="200" w:line="276" w:lineRule="auto"/>
            </w:pPr>
            <w:r>
              <w:t>02/06/2014</w:t>
            </w:r>
          </w:p>
        </w:tc>
        <w:tc>
          <w:tcPr>
            <w:tcW w:w="2126" w:type="dxa"/>
          </w:tcPr>
          <w:p w14:paraId="7C2F4EEE" w14:textId="77777777" w:rsidR="00B371D3" w:rsidRDefault="00B371D3" w:rsidP="0010403B">
            <w:pPr>
              <w:spacing w:after="200" w:line="276" w:lineRule="auto"/>
            </w:pPr>
            <w:r>
              <w:t>Experimental Study</w:t>
            </w:r>
          </w:p>
        </w:tc>
        <w:tc>
          <w:tcPr>
            <w:tcW w:w="2835" w:type="dxa"/>
          </w:tcPr>
          <w:p w14:paraId="3DF405FC" w14:textId="77777777" w:rsidR="00B371D3" w:rsidRDefault="00B371D3" w:rsidP="0010403B">
            <w:pPr>
              <w:spacing w:after="200" w:line="276" w:lineRule="auto"/>
            </w:pPr>
            <w:r>
              <w:t>ECHA Dissemination website</w:t>
            </w:r>
          </w:p>
        </w:tc>
        <w:tc>
          <w:tcPr>
            <w:tcW w:w="4394" w:type="dxa"/>
          </w:tcPr>
          <w:p w14:paraId="55966265" w14:textId="77777777" w:rsidR="00B371D3" w:rsidRDefault="00B371D3" w:rsidP="0010403B">
            <w:pPr>
              <w:spacing w:after="200" w:line="276" w:lineRule="auto"/>
            </w:pPr>
            <w:r>
              <w:t>N/A</w:t>
            </w:r>
          </w:p>
        </w:tc>
      </w:tr>
    </w:tbl>
    <w:p w14:paraId="774B2118" w14:textId="77777777" w:rsidR="00B371D3" w:rsidRDefault="00B371D3" w:rsidP="00B371D3">
      <w:pPr>
        <w:autoSpaceDE w:val="0"/>
        <w:autoSpaceDN w:val="0"/>
        <w:adjustRightInd w:val="0"/>
        <w:spacing w:after="0" w:line="240" w:lineRule="auto"/>
        <w:rPr>
          <w:rFonts w:ascii="Verdana" w:hAnsi="Verdana" w:cs="Verdana"/>
          <w:sz w:val="20"/>
          <w:szCs w:val="20"/>
        </w:rPr>
      </w:pPr>
    </w:p>
    <w:p w14:paraId="18419B18" w14:textId="77777777" w:rsidR="00B371D3" w:rsidRDefault="00B371D3" w:rsidP="00B371D3">
      <w:pPr>
        <w:autoSpaceDE w:val="0"/>
        <w:autoSpaceDN w:val="0"/>
        <w:adjustRightInd w:val="0"/>
        <w:spacing w:after="0" w:line="240" w:lineRule="auto"/>
        <w:rPr>
          <w:rFonts w:ascii="Verdana" w:hAnsi="Verdana" w:cs="Verdana"/>
          <w:sz w:val="20"/>
          <w:szCs w:val="20"/>
        </w:rPr>
      </w:pPr>
    </w:p>
    <w:p w14:paraId="27E7A77C" w14:textId="77777777" w:rsidR="00B371D3" w:rsidRDefault="00B371D3" w:rsidP="00B371D3">
      <w:pPr>
        <w:autoSpaceDE w:val="0"/>
        <w:autoSpaceDN w:val="0"/>
        <w:adjustRightInd w:val="0"/>
        <w:spacing w:after="0" w:line="240" w:lineRule="auto"/>
        <w:rPr>
          <w:rFonts w:ascii="Verdana" w:hAnsi="Verdana" w:cs="Verdana"/>
          <w:sz w:val="20"/>
          <w:szCs w:val="20"/>
        </w:rPr>
      </w:pPr>
    </w:p>
    <w:p w14:paraId="7D1109A0" w14:textId="77777777" w:rsidR="00B371D3" w:rsidRDefault="00B371D3" w:rsidP="00B371D3">
      <w:pPr>
        <w:autoSpaceDE w:val="0"/>
        <w:autoSpaceDN w:val="0"/>
        <w:adjustRightInd w:val="0"/>
        <w:spacing w:after="0" w:line="240" w:lineRule="auto"/>
        <w:rPr>
          <w:rFonts w:ascii="Verdana" w:hAnsi="Verdana" w:cs="Verdana"/>
          <w:sz w:val="20"/>
          <w:szCs w:val="20"/>
        </w:rPr>
      </w:pPr>
    </w:p>
    <w:p w14:paraId="11AB2734" w14:textId="77777777" w:rsidR="00B371D3" w:rsidRDefault="00B371D3" w:rsidP="00B371D3">
      <w:pPr>
        <w:autoSpaceDE w:val="0"/>
        <w:autoSpaceDN w:val="0"/>
        <w:adjustRightInd w:val="0"/>
        <w:spacing w:after="0" w:line="240" w:lineRule="auto"/>
        <w:rPr>
          <w:rFonts w:ascii="Verdana" w:hAnsi="Verdana" w:cs="Verdana"/>
          <w:sz w:val="20"/>
          <w:szCs w:val="20"/>
        </w:rPr>
      </w:pPr>
    </w:p>
    <w:p w14:paraId="6E0BB4E7" w14:textId="77777777" w:rsidR="00B371D3" w:rsidRDefault="00B371D3" w:rsidP="00B371D3">
      <w:pPr>
        <w:autoSpaceDE w:val="0"/>
        <w:autoSpaceDN w:val="0"/>
        <w:adjustRightInd w:val="0"/>
        <w:spacing w:after="0" w:line="240" w:lineRule="auto"/>
        <w:rPr>
          <w:rFonts w:ascii="Verdana" w:hAnsi="Verdana" w:cs="Verdana"/>
          <w:sz w:val="20"/>
          <w:szCs w:val="20"/>
        </w:rPr>
      </w:pPr>
    </w:p>
    <w:p w14:paraId="5227F8E7" w14:textId="77777777" w:rsidR="00B371D3" w:rsidRDefault="00B371D3" w:rsidP="00B371D3">
      <w:pPr>
        <w:autoSpaceDE w:val="0"/>
        <w:autoSpaceDN w:val="0"/>
        <w:adjustRightInd w:val="0"/>
        <w:spacing w:after="0" w:line="240" w:lineRule="auto"/>
        <w:rPr>
          <w:rFonts w:ascii="Verdana" w:hAnsi="Verdana" w:cs="Verdana"/>
          <w:b/>
          <w:sz w:val="20"/>
          <w:szCs w:val="20"/>
        </w:rPr>
      </w:pPr>
      <w:r w:rsidRPr="009557C1">
        <w:rPr>
          <w:rFonts w:ascii="Verdana" w:hAnsi="Verdana" w:cs="Verdana"/>
          <w:b/>
          <w:sz w:val="20"/>
          <w:szCs w:val="20"/>
        </w:rPr>
        <w:t>Biodegradation in water</w:t>
      </w:r>
    </w:p>
    <w:p w14:paraId="6284A0D7" w14:textId="77777777" w:rsidR="00B371D3" w:rsidRPr="009557C1" w:rsidRDefault="00B371D3" w:rsidP="00B371D3">
      <w:pPr>
        <w:autoSpaceDE w:val="0"/>
        <w:autoSpaceDN w:val="0"/>
        <w:adjustRightInd w:val="0"/>
        <w:spacing w:after="0" w:line="240" w:lineRule="auto"/>
        <w:rPr>
          <w:rFonts w:ascii="Verdana" w:hAnsi="Verdana" w:cs="Verdana"/>
          <w:b/>
          <w:sz w:val="20"/>
          <w:szCs w:val="20"/>
        </w:rPr>
      </w:pPr>
    </w:p>
    <w:p w14:paraId="151B39AA" w14:textId="77777777" w:rsidR="00B371D3" w:rsidRDefault="00B371D3" w:rsidP="00B371D3">
      <w:pPr>
        <w:autoSpaceDE w:val="0"/>
        <w:autoSpaceDN w:val="0"/>
        <w:adjustRightInd w:val="0"/>
        <w:spacing w:after="0" w:line="240" w:lineRule="auto"/>
        <w:rPr>
          <w:rFonts w:ascii="Verdana" w:hAnsi="Verdana" w:cs="Verdana"/>
          <w:sz w:val="20"/>
          <w:szCs w:val="20"/>
        </w:rPr>
      </w:pPr>
    </w:p>
    <w:tbl>
      <w:tblPr>
        <w:tblStyle w:val="TableGrid"/>
        <w:tblW w:w="0" w:type="auto"/>
        <w:tblLook w:val="04A0" w:firstRow="1" w:lastRow="0" w:firstColumn="1" w:lastColumn="0" w:noHBand="0" w:noVBand="1"/>
      </w:tblPr>
      <w:tblGrid>
        <w:gridCol w:w="1753"/>
        <w:gridCol w:w="2133"/>
        <w:gridCol w:w="1889"/>
        <w:gridCol w:w="5038"/>
        <w:gridCol w:w="3135"/>
      </w:tblGrid>
      <w:tr w:rsidR="00B371D3" w:rsidRPr="0094743C" w14:paraId="0C62ACD0" w14:textId="77777777" w:rsidTr="0010403B">
        <w:tc>
          <w:tcPr>
            <w:tcW w:w="1770" w:type="dxa"/>
            <w:shd w:val="clear" w:color="auto" w:fill="8496B0" w:themeFill="text2" w:themeFillTint="99"/>
          </w:tcPr>
          <w:p w14:paraId="507FF544" w14:textId="77777777" w:rsidR="00B371D3" w:rsidRPr="0094743C" w:rsidRDefault="00B371D3" w:rsidP="0010403B">
            <w:pPr>
              <w:rPr>
                <w:b/>
                <w:color w:val="FFFFFF" w:themeColor="background1"/>
              </w:rPr>
            </w:pPr>
            <w:r w:rsidRPr="0094743C">
              <w:rPr>
                <w:b/>
                <w:color w:val="FFFFFF" w:themeColor="background1"/>
              </w:rPr>
              <w:t>Source Name</w:t>
            </w:r>
          </w:p>
          <w:p w14:paraId="57F1089E" w14:textId="77777777" w:rsidR="00B371D3" w:rsidRPr="0094743C" w:rsidRDefault="00B371D3" w:rsidP="0010403B">
            <w:pPr>
              <w:rPr>
                <w:b/>
                <w:color w:val="FFFFFF" w:themeColor="background1"/>
              </w:rPr>
            </w:pPr>
          </w:p>
          <w:p w14:paraId="54E48A36" w14:textId="77777777" w:rsidR="00B371D3" w:rsidRPr="0094743C" w:rsidRDefault="00B371D3" w:rsidP="0010403B">
            <w:pPr>
              <w:rPr>
                <w:b/>
                <w:color w:val="FFFFFF" w:themeColor="background1"/>
              </w:rPr>
            </w:pPr>
          </w:p>
          <w:p w14:paraId="5E971A46" w14:textId="77777777" w:rsidR="00B371D3" w:rsidRPr="0094743C" w:rsidRDefault="00B371D3" w:rsidP="0010403B">
            <w:pPr>
              <w:rPr>
                <w:b/>
                <w:color w:val="FFFFFF" w:themeColor="background1"/>
              </w:rPr>
            </w:pPr>
          </w:p>
        </w:tc>
        <w:tc>
          <w:tcPr>
            <w:tcW w:w="2620" w:type="dxa"/>
            <w:shd w:val="clear" w:color="auto" w:fill="8496B0" w:themeFill="text2" w:themeFillTint="99"/>
          </w:tcPr>
          <w:p w14:paraId="65D7D568" w14:textId="77777777" w:rsidR="00B371D3" w:rsidRPr="0094743C" w:rsidRDefault="00B371D3" w:rsidP="0010403B">
            <w:pPr>
              <w:rPr>
                <w:b/>
                <w:color w:val="FFFFFF" w:themeColor="background1"/>
              </w:rPr>
            </w:pPr>
            <w:r w:rsidRPr="0094743C">
              <w:rPr>
                <w:b/>
                <w:color w:val="FFFFFF" w:themeColor="background1"/>
              </w:rPr>
              <w:t>Date of search</w:t>
            </w:r>
          </w:p>
        </w:tc>
        <w:tc>
          <w:tcPr>
            <w:tcW w:w="2126" w:type="dxa"/>
            <w:shd w:val="clear" w:color="auto" w:fill="8496B0" w:themeFill="text2" w:themeFillTint="99"/>
          </w:tcPr>
          <w:p w14:paraId="2422D8CA" w14:textId="77777777" w:rsidR="00B371D3" w:rsidRPr="0094743C" w:rsidRDefault="00B371D3" w:rsidP="0010403B">
            <w:pPr>
              <w:rPr>
                <w:b/>
                <w:color w:val="FFFFFF" w:themeColor="background1"/>
              </w:rPr>
            </w:pPr>
            <w:r w:rsidRPr="0094743C">
              <w:rPr>
                <w:b/>
                <w:color w:val="FFFFFF" w:themeColor="background1"/>
              </w:rPr>
              <w:t>Type of evidence</w:t>
            </w:r>
          </w:p>
        </w:tc>
        <w:tc>
          <w:tcPr>
            <w:tcW w:w="2835" w:type="dxa"/>
            <w:shd w:val="clear" w:color="auto" w:fill="8496B0" w:themeFill="text2" w:themeFillTint="99"/>
          </w:tcPr>
          <w:p w14:paraId="67E38756" w14:textId="77777777" w:rsidR="00B371D3" w:rsidRPr="0094743C" w:rsidRDefault="00B371D3" w:rsidP="0010403B">
            <w:pPr>
              <w:rPr>
                <w:b/>
                <w:color w:val="FFFFFF" w:themeColor="background1"/>
              </w:rPr>
            </w:pPr>
            <w:r w:rsidRPr="0094743C">
              <w:rPr>
                <w:b/>
                <w:color w:val="FFFFFF" w:themeColor="background1"/>
              </w:rPr>
              <w:t>Link/Reference</w:t>
            </w:r>
          </w:p>
        </w:tc>
        <w:tc>
          <w:tcPr>
            <w:tcW w:w="4394" w:type="dxa"/>
            <w:shd w:val="clear" w:color="auto" w:fill="8496B0" w:themeFill="text2" w:themeFillTint="99"/>
          </w:tcPr>
          <w:p w14:paraId="1ECBD2CC" w14:textId="77777777" w:rsidR="00B371D3" w:rsidRPr="0094743C" w:rsidRDefault="00B371D3" w:rsidP="0010403B">
            <w:pPr>
              <w:rPr>
                <w:b/>
                <w:color w:val="FFFFFF" w:themeColor="background1"/>
              </w:rPr>
            </w:pPr>
            <w:r w:rsidRPr="0094743C">
              <w:rPr>
                <w:b/>
                <w:color w:val="FFFFFF" w:themeColor="background1"/>
              </w:rPr>
              <w:t>Reason for exclusion from WoE approach</w:t>
            </w:r>
          </w:p>
        </w:tc>
      </w:tr>
      <w:tr w:rsidR="00B371D3" w:rsidRPr="0094743C" w14:paraId="617D189C" w14:textId="77777777" w:rsidTr="0010403B">
        <w:tc>
          <w:tcPr>
            <w:tcW w:w="1770" w:type="dxa"/>
          </w:tcPr>
          <w:p w14:paraId="408C4CBA" w14:textId="77777777" w:rsidR="00B371D3" w:rsidRPr="0094743C" w:rsidRDefault="00B371D3" w:rsidP="0010403B">
            <w:pPr>
              <w:spacing w:after="200" w:line="276" w:lineRule="auto"/>
            </w:pPr>
            <w:r w:rsidRPr="0094743C">
              <w:t>EPIWIN</w:t>
            </w:r>
          </w:p>
          <w:p w14:paraId="61685901" w14:textId="77777777" w:rsidR="00B371D3" w:rsidRPr="0094743C" w:rsidRDefault="00B371D3" w:rsidP="0010403B">
            <w:pPr>
              <w:spacing w:after="200" w:line="276" w:lineRule="auto"/>
            </w:pPr>
          </w:p>
        </w:tc>
        <w:tc>
          <w:tcPr>
            <w:tcW w:w="2620" w:type="dxa"/>
          </w:tcPr>
          <w:p w14:paraId="7B2B689B" w14:textId="77777777" w:rsidR="00B371D3" w:rsidRPr="0094743C" w:rsidRDefault="00B371D3" w:rsidP="0010403B">
            <w:pPr>
              <w:spacing w:after="200" w:line="276" w:lineRule="auto"/>
            </w:pPr>
            <w:r>
              <w:t>02/06/2014</w:t>
            </w:r>
          </w:p>
        </w:tc>
        <w:tc>
          <w:tcPr>
            <w:tcW w:w="2126" w:type="dxa"/>
          </w:tcPr>
          <w:p w14:paraId="4B58FC11" w14:textId="77777777" w:rsidR="00B371D3" w:rsidRPr="0094743C" w:rsidRDefault="00B371D3" w:rsidP="0010403B">
            <w:pPr>
              <w:spacing w:after="200" w:line="276" w:lineRule="auto"/>
            </w:pPr>
            <w:r w:rsidRPr="0094743C">
              <w:t>Estimated /predicted</w:t>
            </w:r>
          </w:p>
        </w:tc>
        <w:tc>
          <w:tcPr>
            <w:tcW w:w="2835" w:type="dxa"/>
          </w:tcPr>
          <w:p w14:paraId="2FCAF876" w14:textId="77777777" w:rsidR="00B371D3" w:rsidRPr="0094743C" w:rsidRDefault="00482573" w:rsidP="0010403B">
            <w:pPr>
              <w:spacing w:after="200" w:line="276" w:lineRule="auto"/>
            </w:pPr>
            <w:hyperlink r:id="rId51" w:history="1">
              <w:r w:rsidR="00B371D3" w:rsidRPr="00283ED3">
                <w:rPr>
                  <w:rStyle w:val="Hyperlink"/>
                </w:rPr>
                <w:t>https://www.epa.gov/tsca-screening-tools/download-epi-suitetm-estimation-program-interface-v411</w:t>
              </w:r>
            </w:hyperlink>
            <w:r w:rsidR="00B371D3">
              <w:t xml:space="preserve"> </w:t>
            </w:r>
          </w:p>
        </w:tc>
        <w:tc>
          <w:tcPr>
            <w:tcW w:w="4394" w:type="dxa"/>
          </w:tcPr>
          <w:p w14:paraId="18AA8A01" w14:textId="77777777" w:rsidR="00B371D3" w:rsidRPr="0094743C" w:rsidRDefault="00B371D3" w:rsidP="0010403B">
            <w:pPr>
              <w:spacing w:after="200" w:line="276" w:lineRule="auto"/>
            </w:pPr>
            <w:r w:rsidRPr="0094743C">
              <w:t>N/A</w:t>
            </w:r>
          </w:p>
        </w:tc>
      </w:tr>
      <w:tr w:rsidR="00B371D3" w:rsidRPr="0094743C" w14:paraId="077C6B6E" w14:textId="77777777" w:rsidTr="0010403B">
        <w:tc>
          <w:tcPr>
            <w:tcW w:w="1770" w:type="dxa"/>
          </w:tcPr>
          <w:p w14:paraId="1726071E" w14:textId="77777777" w:rsidR="00B371D3" w:rsidRPr="0094743C" w:rsidRDefault="00B371D3" w:rsidP="0010403B">
            <w:pPr>
              <w:spacing w:after="200" w:line="276" w:lineRule="auto"/>
            </w:pPr>
            <w:r w:rsidRPr="0094743C">
              <w:t>CATABOL</w:t>
            </w:r>
          </w:p>
        </w:tc>
        <w:tc>
          <w:tcPr>
            <w:tcW w:w="2620" w:type="dxa"/>
          </w:tcPr>
          <w:p w14:paraId="28EBD9B3" w14:textId="77777777" w:rsidR="00B371D3" w:rsidRPr="0094743C" w:rsidRDefault="00B371D3" w:rsidP="0010403B">
            <w:pPr>
              <w:spacing w:after="200" w:line="276" w:lineRule="auto"/>
            </w:pPr>
            <w:r>
              <w:t>02/06/2014</w:t>
            </w:r>
          </w:p>
        </w:tc>
        <w:tc>
          <w:tcPr>
            <w:tcW w:w="2126" w:type="dxa"/>
          </w:tcPr>
          <w:p w14:paraId="7B0B6CA9" w14:textId="77777777" w:rsidR="00B371D3" w:rsidRPr="0094743C" w:rsidRDefault="00B371D3" w:rsidP="0010403B">
            <w:pPr>
              <w:spacing w:after="200" w:line="276" w:lineRule="auto"/>
            </w:pPr>
            <w:r w:rsidRPr="0094743C">
              <w:t>Estimated /predicted</w:t>
            </w:r>
          </w:p>
        </w:tc>
        <w:tc>
          <w:tcPr>
            <w:tcW w:w="2835" w:type="dxa"/>
          </w:tcPr>
          <w:p w14:paraId="005477EC" w14:textId="77777777" w:rsidR="00B371D3" w:rsidRPr="0094743C" w:rsidRDefault="00482573" w:rsidP="0010403B">
            <w:pPr>
              <w:spacing w:after="200" w:line="276" w:lineRule="auto"/>
            </w:pPr>
            <w:hyperlink r:id="rId52" w:history="1">
              <w:r w:rsidR="00B371D3" w:rsidRPr="00283ED3">
                <w:rPr>
                  <w:rStyle w:val="Hyperlink"/>
                </w:rPr>
                <w:t>http://oasis-lmc.org/products/models/environmental-fate-and-ecotoxicity/catabol-301c.aspx</w:t>
              </w:r>
            </w:hyperlink>
            <w:r w:rsidR="00B371D3">
              <w:t xml:space="preserve"> </w:t>
            </w:r>
          </w:p>
        </w:tc>
        <w:tc>
          <w:tcPr>
            <w:tcW w:w="4394" w:type="dxa"/>
          </w:tcPr>
          <w:p w14:paraId="43895B32" w14:textId="77777777" w:rsidR="00B371D3" w:rsidRPr="0094743C" w:rsidRDefault="00B371D3" w:rsidP="0010403B">
            <w:pPr>
              <w:spacing w:after="200" w:line="276" w:lineRule="auto"/>
            </w:pPr>
            <w:r w:rsidRPr="0094743C">
              <w:t>N/A</w:t>
            </w:r>
          </w:p>
        </w:tc>
      </w:tr>
      <w:tr w:rsidR="00B371D3" w:rsidRPr="0094743C" w14:paraId="74A95E7D" w14:textId="77777777" w:rsidTr="0010403B">
        <w:tc>
          <w:tcPr>
            <w:tcW w:w="1770" w:type="dxa"/>
          </w:tcPr>
          <w:p w14:paraId="4B3209CA" w14:textId="77777777" w:rsidR="00B371D3" w:rsidRPr="0094743C" w:rsidRDefault="00B371D3" w:rsidP="0010403B">
            <w:pPr>
              <w:spacing w:after="200" w:line="276" w:lineRule="auto"/>
            </w:pPr>
            <w:r w:rsidRPr="0094743C">
              <w:t>OECD QSAR Toolbox</w:t>
            </w:r>
          </w:p>
        </w:tc>
        <w:tc>
          <w:tcPr>
            <w:tcW w:w="2620" w:type="dxa"/>
          </w:tcPr>
          <w:p w14:paraId="59AE7860" w14:textId="77777777" w:rsidR="00B371D3" w:rsidRPr="0094743C" w:rsidRDefault="00B371D3" w:rsidP="0010403B">
            <w:pPr>
              <w:spacing w:after="200" w:line="276" w:lineRule="auto"/>
            </w:pPr>
            <w:r>
              <w:t>02/06/2014</w:t>
            </w:r>
          </w:p>
        </w:tc>
        <w:tc>
          <w:tcPr>
            <w:tcW w:w="2126" w:type="dxa"/>
          </w:tcPr>
          <w:p w14:paraId="154CED98" w14:textId="77777777" w:rsidR="00B371D3" w:rsidRPr="0094743C" w:rsidRDefault="00B371D3" w:rsidP="0010403B">
            <w:pPr>
              <w:spacing w:after="200" w:line="276" w:lineRule="auto"/>
            </w:pPr>
            <w:r w:rsidRPr="0094743C">
              <w:t>Estimated /predicted</w:t>
            </w:r>
          </w:p>
        </w:tc>
        <w:tc>
          <w:tcPr>
            <w:tcW w:w="2835" w:type="dxa"/>
          </w:tcPr>
          <w:p w14:paraId="43439737" w14:textId="77777777" w:rsidR="00B371D3" w:rsidRPr="0094743C" w:rsidRDefault="00482573" w:rsidP="0010403B">
            <w:pPr>
              <w:spacing w:after="200" w:line="276" w:lineRule="auto"/>
            </w:pPr>
            <w:hyperlink r:id="rId53" w:history="1">
              <w:r w:rsidR="00B371D3" w:rsidRPr="00283ED3">
                <w:rPr>
                  <w:rStyle w:val="Hyperlink"/>
                </w:rPr>
                <w:t>https://www.qsartoolbox.org/</w:t>
              </w:r>
            </w:hyperlink>
            <w:r w:rsidR="00B371D3">
              <w:t xml:space="preserve"> </w:t>
            </w:r>
          </w:p>
        </w:tc>
        <w:tc>
          <w:tcPr>
            <w:tcW w:w="4394" w:type="dxa"/>
          </w:tcPr>
          <w:p w14:paraId="130CFF43" w14:textId="77777777" w:rsidR="00B371D3" w:rsidRPr="0094743C" w:rsidRDefault="00B371D3" w:rsidP="0010403B">
            <w:pPr>
              <w:spacing w:after="200" w:line="276" w:lineRule="auto"/>
            </w:pPr>
            <w:r w:rsidRPr="0094743C">
              <w:t>N/A</w:t>
            </w:r>
          </w:p>
        </w:tc>
      </w:tr>
      <w:tr w:rsidR="00B371D3" w:rsidRPr="0094743C" w14:paraId="0346B306" w14:textId="77777777" w:rsidTr="0010403B">
        <w:tc>
          <w:tcPr>
            <w:tcW w:w="1770" w:type="dxa"/>
          </w:tcPr>
          <w:p w14:paraId="209AE79C" w14:textId="77777777" w:rsidR="00B371D3" w:rsidRPr="0094743C" w:rsidRDefault="00B371D3" w:rsidP="0010403B">
            <w:pPr>
              <w:spacing w:after="200" w:line="276" w:lineRule="auto"/>
            </w:pPr>
            <w:r w:rsidRPr="0094743C">
              <w:t>METEOR</w:t>
            </w:r>
          </w:p>
        </w:tc>
        <w:tc>
          <w:tcPr>
            <w:tcW w:w="2620" w:type="dxa"/>
          </w:tcPr>
          <w:p w14:paraId="71B40B6F" w14:textId="77777777" w:rsidR="00B371D3" w:rsidRPr="0094743C" w:rsidRDefault="00B371D3" w:rsidP="0010403B">
            <w:pPr>
              <w:spacing w:after="200" w:line="276" w:lineRule="auto"/>
            </w:pPr>
            <w:r>
              <w:t>02/06/2014</w:t>
            </w:r>
          </w:p>
        </w:tc>
        <w:tc>
          <w:tcPr>
            <w:tcW w:w="2126" w:type="dxa"/>
          </w:tcPr>
          <w:p w14:paraId="23279145" w14:textId="77777777" w:rsidR="00B371D3" w:rsidRPr="0094743C" w:rsidRDefault="00B371D3" w:rsidP="0010403B">
            <w:pPr>
              <w:spacing w:after="200" w:line="276" w:lineRule="auto"/>
            </w:pPr>
            <w:r w:rsidRPr="0094743C">
              <w:t>Estimated /predicted</w:t>
            </w:r>
          </w:p>
        </w:tc>
        <w:tc>
          <w:tcPr>
            <w:tcW w:w="2835" w:type="dxa"/>
          </w:tcPr>
          <w:p w14:paraId="3FFCC5EE" w14:textId="77777777" w:rsidR="00B371D3" w:rsidRPr="0094743C" w:rsidRDefault="00482573" w:rsidP="0010403B">
            <w:pPr>
              <w:spacing w:after="200" w:line="276" w:lineRule="auto"/>
            </w:pPr>
            <w:hyperlink r:id="rId54" w:history="1">
              <w:r w:rsidR="00B371D3" w:rsidRPr="00283ED3">
                <w:rPr>
                  <w:rStyle w:val="Hyperlink"/>
                </w:rPr>
                <w:t>https://www.lhasalimited.org/products/meteor-nexus.htm</w:t>
              </w:r>
            </w:hyperlink>
            <w:r w:rsidR="00B371D3">
              <w:t xml:space="preserve"> </w:t>
            </w:r>
          </w:p>
        </w:tc>
        <w:tc>
          <w:tcPr>
            <w:tcW w:w="4394" w:type="dxa"/>
          </w:tcPr>
          <w:p w14:paraId="5F420856" w14:textId="77777777" w:rsidR="00B371D3" w:rsidRPr="0094743C" w:rsidRDefault="00B371D3" w:rsidP="0010403B">
            <w:pPr>
              <w:spacing w:after="200" w:line="276" w:lineRule="auto"/>
            </w:pPr>
            <w:r w:rsidRPr="0094743C">
              <w:t>N/A</w:t>
            </w:r>
          </w:p>
        </w:tc>
      </w:tr>
      <w:tr w:rsidR="00B371D3" w:rsidRPr="0094743C" w14:paraId="455B0246" w14:textId="77777777" w:rsidTr="0010403B">
        <w:tc>
          <w:tcPr>
            <w:tcW w:w="1770" w:type="dxa"/>
          </w:tcPr>
          <w:p w14:paraId="4A4E903F" w14:textId="77777777" w:rsidR="00B371D3" w:rsidRPr="0094743C" w:rsidRDefault="00B371D3" w:rsidP="0010403B">
            <w:pPr>
              <w:spacing w:after="200" w:line="276" w:lineRule="auto"/>
            </w:pPr>
            <w:r w:rsidRPr="0094743C">
              <w:t>Biodegradation Screening test OECD TG 301B</w:t>
            </w:r>
          </w:p>
        </w:tc>
        <w:tc>
          <w:tcPr>
            <w:tcW w:w="2620" w:type="dxa"/>
          </w:tcPr>
          <w:p w14:paraId="43009B07" w14:textId="77777777" w:rsidR="00B371D3" w:rsidRPr="0094743C" w:rsidRDefault="00B371D3" w:rsidP="0010403B">
            <w:pPr>
              <w:spacing w:after="200" w:line="276" w:lineRule="auto"/>
            </w:pPr>
            <w:r>
              <w:t>02/06/2014</w:t>
            </w:r>
          </w:p>
        </w:tc>
        <w:tc>
          <w:tcPr>
            <w:tcW w:w="2126" w:type="dxa"/>
          </w:tcPr>
          <w:p w14:paraId="094839BB" w14:textId="77777777" w:rsidR="00B371D3" w:rsidRPr="0094743C" w:rsidRDefault="00B371D3" w:rsidP="0010403B">
            <w:pPr>
              <w:spacing w:after="200" w:line="276" w:lineRule="auto"/>
            </w:pPr>
            <w:r w:rsidRPr="0094743C">
              <w:t>Experimental Study</w:t>
            </w:r>
          </w:p>
        </w:tc>
        <w:tc>
          <w:tcPr>
            <w:tcW w:w="2835" w:type="dxa"/>
          </w:tcPr>
          <w:p w14:paraId="32DB7AC6" w14:textId="77777777" w:rsidR="00B371D3" w:rsidRPr="0094743C" w:rsidRDefault="00B371D3" w:rsidP="0010403B">
            <w:pPr>
              <w:spacing w:after="200" w:line="276" w:lineRule="auto"/>
            </w:pPr>
            <w:r>
              <w:t>ECHA Dissemination website</w:t>
            </w:r>
          </w:p>
        </w:tc>
        <w:tc>
          <w:tcPr>
            <w:tcW w:w="4394" w:type="dxa"/>
          </w:tcPr>
          <w:p w14:paraId="2901CE7B" w14:textId="77777777" w:rsidR="00B371D3" w:rsidRPr="0094743C" w:rsidRDefault="00B371D3" w:rsidP="0010403B">
            <w:pPr>
              <w:spacing w:after="200" w:line="276" w:lineRule="auto"/>
            </w:pPr>
            <w:r w:rsidRPr="0094743C">
              <w:t>N/A</w:t>
            </w:r>
          </w:p>
        </w:tc>
      </w:tr>
      <w:tr w:rsidR="00B371D3" w:rsidRPr="0094743C" w14:paraId="5C9AA8D7" w14:textId="77777777" w:rsidTr="0010403B">
        <w:tc>
          <w:tcPr>
            <w:tcW w:w="1770" w:type="dxa"/>
          </w:tcPr>
          <w:p w14:paraId="4F731D1B" w14:textId="77777777" w:rsidR="00B371D3" w:rsidRPr="0094743C" w:rsidRDefault="00B371D3" w:rsidP="0010403B">
            <w:pPr>
              <w:spacing w:after="200" w:line="276" w:lineRule="auto"/>
            </w:pPr>
            <w:r w:rsidRPr="0094743C">
              <w:t>Biodegradation Screening test OECD TG 301F</w:t>
            </w:r>
          </w:p>
        </w:tc>
        <w:tc>
          <w:tcPr>
            <w:tcW w:w="2620" w:type="dxa"/>
          </w:tcPr>
          <w:p w14:paraId="0E30814F" w14:textId="77777777" w:rsidR="00B371D3" w:rsidRPr="0094743C" w:rsidRDefault="00B371D3" w:rsidP="0010403B">
            <w:pPr>
              <w:spacing w:after="200" w:line="276" w:lineRule="auto"/>
            </w:pPr>
            <w:r>
              <w:t>02/06/2014</w:t>
            </w:r>
          </w:p>
        </w:tc>
        <w:tc>
          <w:tcPr>
            <w:tcW w:w="2126" w:type="dxa"/>
          </w:tcPr>
          <w:p w14:paraId="75DD67C5" w14:textId="77777777" w:rsidR="00B371D3" w:rsidRPr="0094743C" w:rsidRDefault="00B371D3" w:rsidP="0010403B">
            <w:pPr>
              <w:spacing w:after="200" w:line="276" w:lineRule="auto"/>
            </w:pPr>
            <w:r w:rsidRPr="0094743C">
              <w:t>Experimental Study</w:t>
            </w:r>
          </w:p>
        </w:tc>
        <w:tc>
          <w:tcPr>
            <w:tcW w:w="2835" w:type="dxa"/>
          </w:tcPr>
          <w:p w14:paraId="49E2F9FC" w14:textId="77777777" w:rsidR="00B371D3" w:rsidRPr="0094743C" w:rsidRDefault="00B371D3" w:rsidP="0010403B">
            <w:pPr>
              <w:spacing w:after="200" w:line="276" w:lineRule="auto"/>
            </w:pPr>
            <w:r>
              <w:t>ECHA Dissemination website</w:t>
            </w:r>
          </w:p>
        </w:tc>
        <w:tc>
          <w:tcPr>
            <w:tcW w:w="4394" w:type="dxa"/>
          </w:tcPr>
          <w:p w14:paraId="239D177C" w14:textId="77777777" w:rsidR="00B371D3" w:rsidRPr="0094743C" w:rsidRDefault="00B371D3" w:rsidP="0010403B">
            <w:pPr>
              <w:spacing w:after="200" w:line="276" w:lineRule="auto"/>
            </w:pPr>
            <w:r w:rsidRPr="0094743C">
              <w:t>N/A</w:t>
            </w:r>
          </w:p>
        </w:tc>
      </w:tr>
      <w:tr w:rsidR="00B371D3" w:rsidRPr="0094743C" w14:paraId="3B2EEB0A" w14:textId="77777777" w:rsidTr="0010403B">
        <w:tc>
          <w:tcPr>
            <w:tcW w:w="1770" w:type="dxa"/>
          </w:tcPr>
          <w:p w14:paraId="344C342C" w14:textId="77777777" w:rsidR="00B371D3" w:rsidRPr="0094743C" w:rsidRDefault="00B371D3" w:rsidP="0010403B">
            <w:pPr>
              <w:spacing w:after="200" w:line="276" w:lineRule="auto"/>
            </w:pPr>
            <w:r w:rsidRPr="0094743C">
              <w:t>Biodegradation Screening test</w:t>
            </w:r>
          </w:p>
        </w:tc>
        <w:tc>
          <w:tcPr>
            <w:tcW w:w="2620" w:type="dxa"/>
          </w:tcPr>
          <w:p w14:paraId="6A7A3D52" w14:textId="77777777" w:rsidR="00B371D3" w:rsidRPr="0094743C" w:rsidRDefault="00B371D3" w:rsidP="0010403B">
            <w:pPr>
              <w:spacing w:after="200" w:line="276" w:lineRule="auto"/>
            </w:pPr>
            <w:r>
              <w:t>02/06/2014</w:t>
            </w:r>
          </w:p>
        </w:tc>
        <w:tc>
          <w:tcPr>
            <w:tcW w:w="2126" w:type="dxa"/>
          </w:tcPr>
          <w:p w14:paraId="6E8F5B9C" w14:textId="77777777" w:rsidR="00B371D3" w:rsidRPr="0094743C" w:rsidRDefault="00B371D3" w:rsidP="0010403B">
            <w:pPr>
              <w:spacing w:after="200" w:line="276" w:lineRule="auto"/>
            </w:pPr>
            <w:r w:rsidRPr="0094743C">
              <w:t>Experimental Study</w:t>
            </w:r>
          </w:p>
        </w:tc>
        <w:tc>
          <w:tcPr>
            <w:tcW w:w="2835" w:type="dxa"/>
          </w:tcPr>
          <w:p w14:paraId="0CBA744C" w14:textId="77777777" w:rsidR="00B371D3" w:rsidRPr="0094743C" w:rsidRDefault="00B371D3" w:rsidP="0010403B">
            <w:pPr>
              <w:spacing w:after="200" w:line="276" w:lineRule="auto"/>
            </w:pPr>
            <w:r>
              <w:t>ECHA Dissemination website</w:t>
            </w:r>
          </w:p>
        </w:tc>
        <w:tc>
          <w:tcPr>
            <w:tcW w:w="4394" w:type="dxa"/>
          </w:tcPr>
          <w:p w14:paraId="680C4E90" w14:textId="77777777" w:rsidR="00B371D3" w:rsidRPr="0094743C" w:rsidRDefault="00B371D3" w:rsidP="0010403B">
            <w:pPr>
              <w:spacing w:after="200" w:line="276" w:lineRule="auto"/>
            </w:pPr>
            <w:r w:rsidRPr="0094743C">
              <w:t>N/A</w:t>
            </w:r>
          </w:p>
        </w:tc>
      </w:tr>
      <w:tr w:rsidR="00B371D3" w:rsidRPr="0094743C" w14:paraId="77D03C94" w14:textId="77777777" w:rsidTr="0010403B">
        <w:tc>
          <w:tcPr>
            <w:tcW w:w="1770" w:type="dxa"/>
          </w:tcPr>
          <w:p w14:paraId="11FBBAB9" w14:textId="77777777" w:rsidR="00B371D3" w:rsidRPr="0094743C" w:rsidRDefault="00B371D3" w:rsidP="0010403B">
            <w:pPr>
              <w:spacing w:after="200" w:line="276" w:lineRule="auto"/>
            </w:pPr>
            <w:r w:rsidRPr="0094743C">
              <w:lastRenderedPageBreak/>
              <w:t>Manometric Respirometry Study OECD TG 302C</w:t>
            </w:r>
          </w:p>
        </w:tc>
        <w:tc>
          <w:tcPr>
            <w:tcW w:w="2620" w:type="dxa"/>
          </w:tcPr>
          <w:p w14:paraId="013707C1" w14:textId="77777777" w:rsidR="00B371D3" w:rsidRPr="0094743C" w:rsidRDefault="00B371D3" w:rsidP="0010403B">
            <w:pPr>
              <w:spacing w:after="200" w:line="276" w:lineRule="auto"/>
            </w:pPr>
            <w:r>
              <w:t>02/06/2014</w:t>
            </w:r>
          </w:p>
        </w:tc>
        <w:tc>
          <w:tcPr>
            <w:tcW w:w="2126" w:type="dxa"/>
          </w:tcPr>
          <w:p w14:paraId="37312199" w14:textId="77777777" w:rsidR="00B371D3" w:rsidRPr="0094743C" w:rsidRDefault="00B371D3" w:rsidP="0010403B">
            <w:pPr>
              <w:spacing w:after="200" w:line="276" w:lineRule="auto"/>
            </w:pPr>
            <w:r w:rsidRPr="0094743C">
              <w:t>Experimental Study</w:t>
            </w:r>
          </w:p>
        </w:tc>
        <w:tc>
          <w:tcPr>
            <w:tcW w:w="2835" w:type="dxa"/>
          </w:tcPr>
          <w:p w14:paraId="72E2C40B" w14:textId="77777777" w:rsidR="00B371D3" w:rsidRPr="0094743C" w:rsidRDefault="00B371D3" w:rsidP="0010403B">
            <w:pPr>
              <w:spacing w:after="200" w:line="276" w:lineRule="auto"/>
            </w:pPr>
            <w:r>
              <w:t>ECHA Dissemination website</w:t>
            </w:r>
          </w:p>
        </w:tc>
        <w:tc>
          <w:tcPr>
            <w:tcW w:w="4394" w:type="dxa"/>
          </w:tcPr>
          <w:p w14:paraId="0087E105" w14:textId="77777777" w:rsidR="00B371D3" w:rsidRPr="0094743C" w:rsidRDefault="00B371D3" w:rsidP="0010403B">
            <w:pPr>
              <w:spacing w:after="200" w:line="276" w:lineRule="auto"/>
            </w:pPr>
            <w:r w:rsidRPr="0094743C">
              <w:t>N/A</w:t>
            </w:r>
          </w:p>
        </w:tc>
      </w:tr>
      <w:tr w:rsidR="00B371D3" w:rsidRPr="0094743C" w14:paraId="376857BA" w14:textId="77777777" w:rsidTr="0010403B">
        <w:tc>
          <w:tcPr>
            <w:tcW w:w="1770" w:type="dxa"/>
          </w:tcPr>
          <w:p w14:paraId="0AB0E9B7" w14:textId="77777777" w:rsidR="00B371D3" w:rsidRPr="0094743C" w:rsidRDefault="00B371D3" w:rsidP="0010403B">
            <w:pPr>
              <w:spacing w:after="200" w:line="276" w:lineRule="auto"/>
            </w:pPr>
            <w:r w:rsidRPr="0094743C">
              <w:t>Aerobic mineralisation study OECD TG 309</w:t>
            </w:r>
          </w:p>
        </w:tc>
        <w:tc>
          <w:tcPr>
            <w:tcW w:w="2620" w:type="dxa"/>
          </w:tcPr>
          <w:p w14:paraId="4002B85E" w14:textId="77777777" w:rsidR="00B371D3" w:rsidRPr="0094743C" w:rsidRDefault="00B371D3" w:rsidP="0010403B">
            <w:pPr>
              <w:spacing w:after="200" w:line="276" w:lineRule="auto"/>
            </w:pPr>
            <w:r>
              <w:t>02/06/2014</w:t>
            </w:r>
          </w:p>
        </w:tc>
        <w:tc>
          <w:tcPr>
            <w:tcW w:w="2126" w:type="dxa"/>
          </w:tcPr>
          <w:p w14:paraId="4367D267" w14:textId="77777777" w:rsidR="00B371D3" w:rsidRPr="0094743C" w:rsidRDefault="00B371D3" w:rsidP="0010403B">
            <w:pPr>
              <w:spacing w:after="200" w:line="276" w:lineRule="auto"/>
            </w:pPr>
            <w:r w:rsidRPr="0094743C">
              <w:t>Experimental Study</w:t>
            </w:r>
          </w:p>
        </w:tc>
        <w:tc>
          <w:tcPr>
            <w:tcW w:w="2835" w:type="dxa"/>
          </w:tcPr>
          <w:p w14:paraId="00FF949C" w14:textId="77777777" w:rsidR="00B371D3" w:rsidRPr="0094743C" w:rsidRDefault="00B371D3" w:rsidP="0010403B">
            <w:pPr>
              <w:spacing w:after="200" w:line="276" w:lineRule="auto"/>
            </w:pPr>
            <w:r>
              <w:t>ECHA Dissemination website</w:t>
            </w:r>
          </w:p>
        </w:tc>
        <w:tc>
          <w:tcPr>
            <w:tcW w:w="4394" w:type="dxa"/>
          </w:tcPr>
          <w:p w14:paraId="67F4DA52" w14:textId="77777777" w:rsidR="00B371D3" w:rsidRPr="0094743C" w:rsidRDefault="00B371D3" w:rsidP="0010403B">
            <w:pPr>
              <w:spacing w:after="200" w:line="276" w:lineRule="auto"/>
            </w:pPr>
            <w:r w:rsidRPr="0094743C">
              <w:t>N/A</w:t>
            </w:r>
          </w:p>
        </w:tc>
      </w:tr>
    </w:tbl>
    <w:p w14:paraId="38FA5B01" w14:textId="77777777" w:rsidR="00B371D3" w:rsidRDefault="00B371D3" w:rsidP="00B371D3">
      <w:pPr>
        <w:rPr>
          <w:rFonts w:ascii="Verdana" w:hAnsi="Verdana" w:cs="Verdana"/>
          <w:sz w:val="20"/>
          <w:szCs w:val="20"/>
        </w:rPr>
      </w:pPr>
    </w:p>
    <w:p w14:paraId="7782066F" w14:textId="77777777" w:rsidR="00B371D3" w:rsidRDefault="00B371D3" w:rsidP="00B371D3">
      <w:pPr>
        <w:rPr>
          <w:rFonts w:ascii="Verdana" w:hAnsi="Verdana"/>
          <w:b/>
          <w:sz w:val="20"/>
          <w:szCs w:val="20"/>
        </w:rPr>
      </w:pPr>
      <w:r>
        <w:rPr>
          <w:rFonts w:ascii="Verdana" w:hAnsi="Verdana"/>
          <w:b/>
          <w:sz w:val="20"/>
          <w:szCs w:val="20"/>
        </w:rPr>
        <w:br w:type="page"/>
      </w:r>
    </w:p>
    <w:p w14:paraId="523DBEB1" w14:textId="77777777" w:rsidR="00B371D3" w:rsidRPr="0094743C" w:rsidRDefault="00B371D3" w:rsidP="00233E2A">
      <w:pPr>
        <w:pStyle w:val="ListParagraph"/>
        <w:widowControl/>
        <w:numPr>
          <w:ilvl w:val="0"/>
          <w:numId w:val="31"/>
        </w:numPr>
        <w:spacing w:after="160" w:line="259" w:lineRule="auto"/>
        <w:rPr>
          <w:b/>
          <w:sz w:val="24"/>
          <w:szCs w:val="24"/>
        </w:rPr>
      </w:pPr>
      <w:r w:rsidRPr="0094743C">
        <w:rPr>
          <w:b/>
          <w:sz w:val="24"/>
          <w:szCs w:val="24"/>
        </w:rPr>
        <w:lastRenderedPageBreak/>
        <w:t xml:space="preserve">Assessment of quality of </w:t>
      </w:r>
      <w:r>
        <w:rPr>
          <w:b/>
          <w:sz w:val="24"/>
          <w:szCs w:val="24"/>
        </w:rPr>
        <w:t xml:space="preserve">individual </w:t>
      </w:r>
      <w:r w:rsidRPr="0094743C">
        <w:rPr>
          <w:b/>
          <w:sz w:val="24"/>
          <w:szCs w:val="24"/>
        </w:rPr>
        <w:t>evidence</w:t>
      </w:r>
    </w:p>
    <w:p w14:paraId="25C97B92" w14:textId="77777777" w:rsidR="00B371D3" w:rsidRPr="004364A8" w:rsidRDefault="00B371D3" w:rsidP="00B371D3">
      <w:pPr>
        <w:rPr>
          <w:rFonts w:ascii="Verdana" w:hAnsi="Verdana"/>
          <w:sz w:val="20"/>
          <w:szCs w:val="20"/>
        </w:rPr>
      </w:pPr>
      <w:r w:rsidRPr="004364A8">
        <w:rPr>
          <w:rFonts w:ascii="Verdana" w:hAnsi="Verdana"/>
          <w:sz w:val="20"/>
          <w:szCs w:val="20"/>
        </w:rPr>
        <w:t xml:space="preserve">The evidence used in the assessment of persistence are examined regarding their quality by using the ECHA Guidance </w:t>
      </w:r>
      <w:r>
        <w:rPr>
          <w:rFonts w:ascii="Verdana" w:hAnsi="Verdana"/>
          <w:sz w:val="20"/>
          <w:szCs w:val="20"/>
        </w:rPr>
        <w:t>R.4.</w:t>
      </w:r>
    </w:p>
    <w:p w14:paraId="3D965FC3" w14:textId="77777777" w:rsidR="00B371D3" w:rsidRDefault="00B371D3" w:rsidP="00B371D3">
      <w:pPr>
        <w:rPr>
          <w:rFonts w:ascii="Verdana" w:hAnsi="Verdana"/>
          <w:sz w:val="20"/>
          <w:szCs w:val="20"/>
        </w:rPr>
      </w:pPr>
      <w:r w:rsidRPr="004364A8">
        <w:rPr>
          <w:rFonts w:ascii="Verdana" w:hAnsi="Verdana"/>
          <w:sz w:val="20"/>
          <w:szCs w:val="20"/>
        </w:rPr>
        <w:t>For the experimental studies available, the Klimisch scoring is used for assessment of reliability.</w:t>
      </w:r>
    </w:p>
    <w:p w14:paraId="4CE49FDE" w14:textId="77777777" w:rsidR="00B371D3" w:rsidRDefault="00B371D3" w:rsidP="00B371D3">
      <w:pPr>
        <w:rPr>
          <w:rFonts w:ascii="Verdana" w:hAnsi="Verdana"/>
          <w:sz w:val="20"/>
          <w:szCs w:val="20"/>
        </w:rPr>
      </w:pPr>
      <w:r>
        <w:rPr>
          <w:rFonts w:ascii="Verdana" w:hAnsi="Verdana"/>
          <w:sz w:val="20"/>
          <w:szCs w:val="20"/>
        </w:rPr>
        <w:t xml:space="preserve">For the estimated properties (QSAR results) the principles for evaluation of estimated results generated with QSAR approaches as described within ECHA Guidance has been followed. The QMRF/QPRF for each model are not presented in this example.  </w:t>
      </w:r>
    </w:p>
    <w:p w14:paraId="79D5F44B" w14:textId="77777777" w:rsidR="00B371D3" w:rsidRPr="004364A8" w:rsidRDefault="00B371D3" w:rsidP="00B371D3">
      <w:pPr>
        <w:rPr>
          <w:rFonts w:ascii="Verdana" w:hAnsi="Verdana"/>
          <w:sz w:val="20"/>
          <w:szCs w:val="20"/>
        </w:rPr>
      </w:pPr>
      <w:r>
        <w:rPr>
          <w:rFonts w:ascii="Verdana" w:hAnsi="Verdana"/>
          <w:sz w:val="20"/>
          <w:szCs w:val="20"/>
        </w:rPr>
        <w:t>In addition, it is considered more appropriate to evaluate the quality of these evidence within the integration and weighing of evidence, using plausibility and consistency as measures of quality.</w:t>
      </w:r>
    </w:p>
    <w:p w14:paraId="2009C9A0" w14:textId="77777777" w:rsidR="00B371D3" w:rsidRDefault="00B371D3" w:rsidP="00B371D3">
      <w:pPr>
        <w:rPr>
          <w:rFonts w:ascii="Verdana" w:hAnsi="Verdana"/>
          <w:b/>
          <w:sz w:val="20"/>
          <w:szCs w:val="20"/>
        </w:rPr>
      </w:pPr>
    </w:p>
    <w:p w14:paraId="3288B3A7" w14:textId="77777777" w:rsidR="00B371D3" w:rsidRDefault="00B371D3" w:rsidP="00B371D3">
      <w:pPr>
        <w:rPr>
          <w:rFonts w:ascii="Verdana" w:hAnsi="Verdana"/>
          <w:b/>
          <w:sz w:val="20"/>
          <w:szCs w:val="20"/>
        </w:rPr>
      </w:pPr>
      <w:r>
        <w:rPr>
          <w:rFonts w:ascii="Verdana" w:hAnsi="Verdana"/>
          <w:b/>
          <w:sz w:val="20"/>
          <w:szCs w:val="20"/>
        </w:rPr>
        <w:t>3.1 Abiotic Degradation / Hydrolysis</w:t>
      </w:r>
    </w:p>
    <w:tbl>
      <w:tblPr>
        <w:tblStyle w:val="TableGrid"/>
        <w:tblW w:w="0" w:type="auto"/>
        <w:tblLook w:val="04A0" w:firstRow="1" w:lastRow="0" w:firstColumn="1" w:lastColumn="0" w:noHBand="0" w:noVBand="1"/>
      </w:tblPr>
      <w:tblGrid>
        <w:gridCol w:w="3397"/>
        <w:gridCol w:w="2552"/>
        <w:gridCol w:w="2551"/>
        <w:gridCol w:w="3544"/>
      </w:tblGrid>
      <w:tr w:rsidR="00B371D3" w:rsidRPr="0094743C" w14:paraId="5352926B" w14:textId="77777777" w:rsidTr="0010403B">
        <w:tc>
          <w:tcPr>
            <w:tcW w:w="3397" w:type="dxa"/>
            <w:shd w:val="clear" w:color="auto" w:fill="8496B0" w:themeFill="text2" w:themeFillTint="99"/>
          </w:tcPr>
          <w:p w14:paraId="4160CDCF" w14:textId="77777777" w:rsidR="00B371D3" w:rsidRPr="0094743C" w:rsidRDefault="00B371D3" w:rsidP="0010403B">
            <w:pPr>
              <w:rPr>
                <w:b/>
                <w:color w:val="FFFFFF" w:themeColor="background1"/>
              </w:rPr>
            </w:pPr>
          </w:p>
          <w:p w14:paraId="39C44442" w14:textId="77777777" w:rsidR="00B371D3" w:rsidRPr="0094743C" w:rsidRDefault="00B371D3" w:rsidP="0010403B">
            <w:pPr>
              <w:rPr>
                <w:b/>
                <w:color w:val="FFFFFF" w:themeColor="background1"/>
              </w:rPr>
            </w:pPr>
            <w:r w:rsidRPr="0094743C">
              <w:rPr>
                <w:b/>
                <w:color w:val="FFFFFF" w:themeColor="background1"/>
              </w:rPr>
              <w:t>Type of Evidence / Data Source - Reference</w:t>
            </w:r>
          </w:p>
        </w:tc>
        <w:tc>
          <w:tcPr>
            <w:tcW w:w="2552" w:type="dxa"/>
            <w:shd w:val="clear" w:color="auto" w:fill="8496B0" w:themeFill="text2" w:themeFillTint="99"/>
          </w:tcPr>
          <w:p w14:paraId="397B6B73" w14:textId="77777777" w:rsidR="00B371D3" w:rsidRPr="0094743C" w:rsidRDefault="00B371D3" w:rsidP="0010403B">
            <w:pPr>
              <w:rPr>
                <w:b/>
                <w:color w:val="FFFFFF" w:themeColor="background1"/>
              </w:rPr>
            </w:pPr>
          </w:p>
          <w:p w14:paraId="4ED5DB97" w14:textId="77777777" w:rsidR="00B371D3" w:rsidRPr="0094743C" w:rsidRDefault="00B371D3" w:rsidP="0010403B">
            <w:pPr>
              <w:rPr>
                <w:b/>
                <w:color w:val="FFFFFF" w:themeColor="background1"/>
              </w:rPr>
            </w:pPr>
            <w:r w:rsidRPr="0094743C">
              <w:rPr>
                <w:b/>
                <w:color w:val="FFFFFF" w:themeColor="background1"/>
              </w:rPr>
              <w:t>Relevance</w:t>
            </w:r>
          </w:p>
        </w:tc>
        <w:tc>
          <w:tcPr>
            <w:tcW w:w="2551" w:type="dxa"/>
            <w:shd w:val="clear" w:color="auto" w:fill="8496B0" w:themeFill="text2" w:themeFillTint="99"/>
          </w:tcPr>
          <w:p w14:paraId="7D560E43" w14:textId="77777777" w:rsidR="00B371D3" w:rsidRPr="0094743C" w:rsidRDefault="00B371D3" w:rsidP="0010403B">
            <w:pPr>
              <w:rPr>
                <w:b/>
                <w:color w:val="FFFFFF" w:themeColor="background1"/>
              </w:rPr>
            </w:pPr>
          </w:p>
          <w:p w14:paraId="696E1B72" w14:textId="77777777" w:rsidR="00B371D3" w:rsidRPr="0094743C" w:rsidRDefault="00B371D3" w:rsidP="0010403B">
            <w:pPr>
              <w:rPr>
                <w:b/>
                <w:color w:val="FFFFFF" w:themeColor="background1"/>
              </w:rPr>
            </w:pPr>
            <w:r w:rsidRPr="0094743C">
              <w:rPr>
                <w:b/>
                <w:color w:val="FFFFFF" w:themeColor="background1"/>
              </w:rPr>
              <w:t xml:space="preserve">Reliability </w:t>
            </w:r>
          </w:p>
        </w:tc>
        <w:tc>
          <w:tcPr>
            <w:tcW w:w="3544" w:type="dxa"/>
            <w:shd w:val="clear" w:color="auto" w:fill="8496B0" w:themeFill="text2" w:themeFillTint="99"/>
          </w:tcPr>
          <w:p w14:paraId="401FCF0A" w14:textId="77777777" w:rsidR="00B371D3" w:rsidRPr="0094743C" w:rsidRDefault="00B371D3" w:rsidP="0010403B">
            <w:pPr>
              <w:rPr>
                <w:b/>
                <w:color w:val="FFFFFF" w:themeColor="background1"/>
              </w:rPr>
            </w:pPr>
          </w:p>
          <w:p w14:paraId="1F567852" w14:textId="77777777" w:rsidR="00B371D3" w:rsidRPr="0094743C" w:rsidRDefault="00B371D3" w:rsidP="0010403B">
            <w:pPr>
              <w:rPr>
                <w:b/>
                <w:color w:val="FFFFFF" w:themeColor="background1"/>
              </w:rPr>
            </w:pPr>
            <w:r w:rsidRPr="0094743C">
              <w:rPr>
                <w:b/>
                <w:color w:val="FFFFFF" w:themeColor="background1"/>
              </w:rPr>
              <w:t>Adequacy</w:t>
            </w:r>
          </w:p>
        </w:tc>
      </w:tr>
      <w:tr w:rsidR="00B371D3" w:rsidRPr="0094743C" w14:paraId="5F6A5604" w14:textId="77777777" w:rsidTr="0010403B">
        <w:trPr>
          <w:trHeight w:val="522"/>
        </w:trPr>
        <w:tc>
          <w:tcPr>
            <w:tcW w:w="3397" w:type="dxa"/>
          </w:tcPr>
          <w:p w14:paraId="21C7E84B" w14:textId="77777777" w:rsidR="00B371D3" w:rsidRPr="0094743C" w:rsidRDefault="00B371D3" w:rsidP="0010403B"/>
          <w:p w14:paraId="0D273B6C" w14:textId="77777777" w:rsidR="00B371D3" w:rsidRPr="0094743C" w:rsidRDefault="00B371D3" w:rsidP="0010403B">
            <w:r>
              <w:t>OECD TG 111 Key study</w:t>
            </w:r>
          </w:p>
        </w:tc>
        <w:tc>
          <w:tcPr>
            <w:tcW w:w="2552" w:type="dxa"/>
          </w:tcPr>
          <w:p w14:paraId="351F5E39" w14:textId="77777777" w:rsidR="00B371D3" w:rsidRPr="0094743C" w:rsidRDefault="00B371D3" w:rsidP="0010403B">
            <w:r>
              <w:t>Study appropriate for investigation of hydrolysis as function of pH</w:t>
            </w:r>
          </w:p>
        </w:tc>
        <w:tc>
          <w:tcPr>
            <w:tcW w:w="2551" w:type="dxa"/>
          </w:tcPr>
          <w:p w14:paraId="0F6E8F32" w14:textId="77777777" w:rsidR="00B371D3" w:rsidRPr="0094743C" w:rsidRDefault="00B371D3" w:rsidP="0010403B">
            <w:r>
              <w:t>Klimisch score 2</w:t>
            </w:r>
          </w:p>
        </w:tc>
        <w:tc>
          <w:tcPr>
            <w:tcW w:w="3544" w:type="dxa"/>
          </w:tcPr>
          <w:p w14:paraId="1F782684" w14:textId="77777777" w:rsidR="00B371D3" w:rsidRPr="0094743C" w:rsidRDefault="00B371D3" w:rsidP="0010403B">
            <w:r>
              <w:t>Adequate on basis of high reliability and high relevance</w:t>
            </w:r>
          </w:p>
        </w:tc>
      </w:tr>
      <w:tr w:rsidR="00B371D3" w:rsidRPr="0094743C" w14:paraId="6CA1ADEF" w14:textId="77777777" w:rsidTr="0010403B">
        <w:tc>
          <w:tcPr>
            <w:tcW w:w="3397" w:type="dxa"/>
          </w:tcPr>
          <w:p w14:paraId="0D72BCE9" w14:textId="77777777" w:rsidR="00B371D3" w:rsidRPr="0094743C" w:rsidRDefault="00B371D3" w:rsidP="0010403B"/>
          <w:p w14:paraId="05C5E7E0" w14:textId="77777777" w:rsidR="00B371D3" w:rsidRPr="0094743C" w:rsidRDefault="00B371D3" w:rsidP="0010403B">
            <w:r>
              <w:t>OECD TG 111 Supporting study</w:t>
            </w:r>
          </w:p>
        </w:tc>
        <w:tc>
          <w:tcPr>
            <w:tcW w:w="2552" w:type="dxa"/>
          </w:tcPr>
          <w:p w14:paraId="145D3CD1" w14:textId="77777777" w:rsidR="00B371D3" w:rsidRPr="0094743C" w:rsidRDefault="00B371D3" w:rsidP="0010403B">
            <w:r>
              <w:t>Relevant protocol but critical parameters influencing evaluation not considered adequately</w:t>
            </w:r>
          </w:p>
        </w:tc>
        <w:tc>
          <w:tcPr>
            <w:tcW w:w="2551" w:type="dxa"/>
          </w:tcPr>
          <w:p w14:paraId="57F2D97E" w14:textId="77777777" w:rsidR="00B371D3" w:rsidRPr="0094743C" w:rsidRDefault="00B371D3" w:rsidP="0010403B">
            <w:r>
              <w:t>Klimisch score 3</w:t>
            </w:r>
          </w:p>
        </w:tc>
        <w:tc>
          <w:tcPr>
            <w:tcW w:w="3544" w:type="dxa"/>
          </w:tcPr>
          <w:p w14:paraId="1A8EA020" w14:textId="77777777" w:rsidR="00B371D3" w:rsidRPr="0094743C" w:rsidRDefault="00B371D3" w:rsidP="0010403B">
            <w:r>
              <w:t>Adequacy to be considered within integration of evidence</w:t>
            </w:r>
          </w:p>
        </w:tc>
      </w:tr>
    </w:tbl>
    <w:p w14:paraId="119AA084" w14:textId="77777777" w:rsidR="00B371D3" w:rsidRDefault="00B371D3" w:rsidP="00B371D3">
      <w:pPr>
        <w:rPr>
          <w:rFonts w:ascii="Verdana" w:hAnsi="Verdana"/>
          <w:b/>
          <w:sz w:val="20"/>
          <w:szCs w:val="20"/>
        </w:rPr>
      </w:pPr>
    </w:p>
    <w:p w14:paraId="740C90A3" w14:textId="77777777" w:rsidR="00B371D3" w:rsidRDefault="00B371D3" w:rsidP="00B371D3">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The hydrolysis simulator of the OECD QSAR toolbox (v3.3) shows the possibility of acid catalysed hydrolysis, without providing any indication of a rate of hydrolysis. The predicted mechanism of hydrolysis is identical for both positional isomers with undefined stereochemistry. Therefore, the figures below depict only one of the two positional isomers. As shown in Figure 1, hydrolysis would start with the opening of the 1,3-dioxane ring and yields, after cleavage of the ring and subsequent dehydrogenation, hydrolysis product 4, which is a pre-registered substance known as 2,4-dimethylcyclohex-3-ene-1-carbaldehyde (CAS number 68039-49-6). Hydrolysis under neutral or basic conditions is not predicted by the hydrolysis simulator. Thus, based on these QSAR estimates hydrolysis of the substance seems plausible at low pH values, but not likely under environmentally relevant pH values.</w:t>
      </w:r>
    </w:p>
    <w:p w14:paraId="2115AF42" w14:textId="77777777" w:rsidR="00B371D3" w:rsidRDefault="00B371D3" w:rsidP="00B371D3">
      <w:pPr>
        <w:autoSpaceDE w:val="0"/>
        <w:autoSpaceDN w:val="0"/>
        <w:adjustRightInd w:val="0"/>
        <w:spacing w:after="0" w:line="240" w:lineRule="auto"/>
        <w:rPr>
          <w:rFonts w:ascii="Verdana" w:hAnsi="Verdana" w:cs="Verdana"/>
          <w:color w:val="000000"/>
          <w:sz w:val="20"/>
          <w:szCs w:val="20"/>
        </w:rPr>
      </w:pPr>
    </w:p>
    <w:p w14:paraId="57F13C22"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Two GLP-compliant studies are available that investigated hydrolysis of the substance as a function of pH according to OECD TG 111. Both studies were conducted with nonradiolabelled substance. The registrant reported for the key study a half-life of 738.9 hours at pH 4 and 25 °C ], and in the supporting study a half-life of &gt; 275 &lt; 830 hours at pH 4 and 25 °C .</w:t>
      </w:r>
    </w:p>
    <w:p w14:paraId="5C9CD74A"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supporting study investigated the hydrolysis of non-radiolabelled substance in buffered aqueous solutions of pH 4, 7 and 9 at 50 and 55°C for up to 5 days. Hydrolysis at pH 4 was additionally also investigated at 65°C for up to 42 hours. In all tests, a trend of time related decrease of the substance was observed. For pH 7 and pH 9, a DT</w:t>
      </w:r>
      <w:r>
        <w:rPr>
          <w:rFonts w:ascii="Verdana" w:hAnsi="Verdana" w:cs="Verdana"/>
          <w:sz w:val="13"/>
          <w:szCs w:val="13"/>
        </w:rPr>
        <w:t xml:space="preserve">50 </w:t>
      </w:r>
      <w:r>
        <w:rPr>
          <w:rFonts w:ascii="Verdana" w:hAnsi="Verdana" w:cs="Verdana"/>
          <w:sz w:val="20"/>
          <w:szCs w:val="20"/>
        </w:rPr>
        <w:t>could not be calculated due to irregularities of the log (relative) concentration versus time curves. For pH 4, the registrant estimated a DT</w:t>
      </w:r>
      <w:r>
        <w:rPr>
          <w:rFonts w:ascii="Verdana" w:hAnsi="Verdana" w:cs="Verdana"/>
          <w:sz w:val="13"/>
          <w:szCs w:val="13"/>
        </w:rPr>
        <w:t xml:space="preserve">50 </w:t>
      </w:r>
      <w:r>
        <w:rPr>
          <w:rFonts w:ascii="Verdana" w:hAnsi="Verdana" w:cs="Verdana"/>
          <w:sz w:val="20"/>
          <w:szCs w:val="20"/>
        </w:rPr>
        <w:t>at 25 °C of 275-830 hours following extrapolation. However, inspection of the chromatograms by the evaluating MSCA showed that the peak corresponding to hydrolysis product 4 (see Figure 1) was absent in all samples. As non-radio-labelled material was used, a mass-balance could not be obtained, and dissipation by e.g. volatilisation cannot be ruled out. Considering theabove remarks, this study is considered unreliable by the eMSCA, and is assigned a Klimisch score of 3.</w:t>
      </w:r>
    </w:p>
    <w:p w14:paraId="07FC2427" w14:textId="77777777" w:rsidR="00B371D3" w:rsidRDefault="00B371D3" w:rsidP="00B371D3">
      <w:pPr>
        <w:autoSpaceDE w:val="0"/>
        <w:autoSpaceDN w:val="0"/>
        <w:adjustRightInd w:val="0"/>
        <w:spacing w:after="0" w:line="240" w:lineRule="auto"/>
        <w:rPr>
          <w:rFonts w:ascii="Verdana" w:hAnsi="Verdana" w:cs="Verdana"/>
          <w:sz w:val="20"/>
          <w:szCs w:val="20"/>
        </w:rPr>
      </w:pPr>
    </w:p>
    <w:p w14:paraId="6F039FB7"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key study also investigated hydrolysis of non-radiolabelled substance in buffered aqueous solutions of pH 4, 7 and 9, but the test setup was more extensive as for each pH tests were conducted at 50, 60 and 70 °C for up to 11 days. Furthermore, this study also investigated hydrolysis in 0.22 μm filtered Rhône water (pH 8.2) that was collected upstream of Givaudan activity, at 50 °C for 11 days. In a non-GLP part of the study, hydrolysis products were identified for a single sample (pH 4, 60 °C, 144 h). Hydrolysis product 4 and another highly similar hydrolysis product were detected. Quantification of hydrolysis products (hydrolysis products 3 and 4 from Figure 1, as well as the reduction/oxidation products of hydrolysis product 4 shown in Figure 2) was conducted for the test at pH 4 and 70 °C. Only hydrolysis product 4 could be detected. Concentration of hydrolysis product 4 increased limitedly with time, while the concentration of the substance decreased rapidly especially at the start of the test. This shows that while hydrolysis under acid conditions occurs, other processes, such as binding to the test vessel and/or volatilization, also contributed to the reduced substance levels in the aqueous phase. Consequently, hydrolysis of the substance was most likely overestimated.</w:t>
      </w:r>
    </w:p>
    <w:p w14:paraId="79132E7B" w14:textId="77777777" w:rsidR="00B371D3" w:rsidRDefault="00B371D3" w:rsidP="00B371D3">
      <w:pPr>
        <w:autoSpaceDE w:val="0"/>
        <w:autoSpaceDN w:val="0"/>
        <w:adjustRightInd w:val="0"/>
        <w:spacing w:after="0" w:line="240" w:lineRule="auto"/>
        <w:rPr>
          <w:rFonts w:ascii="Verdana" w:hAnsi="Verdana" w:cs="Verdana"/>
          <w:sz w:val="20"/>
          <w:szCs w:val="20"/>
        </w:rPr>
      </w:pPr>
    </w:p>
    <w:p w14:paraId="6FEB2063"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registrant reported for the substance a DT</w:t>
      </w:r>
      <w:r>
        <w:rPr>
          <w:rFonts w:ascii="Verdana" w:hAnsi="Verdana" w:cs="Verdana"/>
          <w:sz w:val="13"/>
          <w:szCs w:val="13"/>
        </w:rPr>
        <w:t xml:space="preserve">50 </w:t>
      </w:r>
      <w:r>
        <w:rPr>
          <w:rFonts w:ascii="Verdana" w:hAnsi="Verdana" w:cs="Verdana"/>
          <w:sz w:val="20"/>
          <w:szCs w:val="20"/>
        </w:rPr>
        <w:t>of 738.9h at pH 4 following extrapolation to 25 °C. The evaluating MSCA reassessed the data and calculated a DT</w:t>
      </w:r>
      <w:r>
        <w:rPr>
          <w:rFonts w:ascii="Verdana" w:hAnsi="Verdana" w:cs="Verdana"/>
          <w:sz w:val="13"/>
          <w:szCs w:val="13"/>
        </w:rPr>
        <w:t>50</w:t>
      </w:r>
      <w:r>
        <w:rPr>
          <w:rFonts w:ascii="Verdana" w:hAnsi="Verdana" w:cs="Verdana"/>
          <w:sz w:val="20"/>
          <w:szCs w:val="20"/>
        </w:rPr>
        <w:t xml:space="preserve"> of 1830h at pH 4 following extrapolation to 12 °C. This shows that even at acidic conditions hydrolysis of the substance is very slow at an EU relevant environmental temperature. For pH 7 and 9, DT</w:t>
      </w:r>
      <w:r>
        <w:rPr>
          <w:rFonts w:ascii="Verdana" w:hAnsi="Verdana" w:cs="Verdana"/>
          <w:sz w:val="13"/>
          <w:szCs w:val="13"/>
        </w:rPr>
        <w:t xml:space="preserve">50 </w:t>
      </w:r>
      <w:r>
        <w:rPr>
          <w:rFonts w:ascii="Verdana" w:hAnsi="Verdana" w:cs="Verdana"/>
          <w:sz w:val="20"/>
          <w:szCs w:val="20"/>
        </w:rPr>
        <w:t>values could not be extrapolated to 12 °C, due to the irregularities of the log (relative) concentration versus time curves. For river water with pH 8.2, a DT</w:t>
      </w:r>
      <w:r>
        <w:rPr>
          <w:rFonts w:ascii="Verdana" w:hAnsi="Verdana" w:cs="Verdana"/>
          <w:sz w:val="13"/>
          <w:szCs w:val="13"/>
        </w:rPr>
        <w:t xml:space="preserve">50 </w:t>
      </w:r>
      <w:r>
        <w:rPr>
          <w:rFonts w:ascii="Verdana" w:hAnsi="Verdana" w:cs="Verdana"/>
          <w:sz w:val="20"/>
          <w:szCs w:val="20"/>
        </w:rPr>
        <w:t>of 241 h was calculated at 50 °C, demonstrating that at 50 °C dissipation in the hydrolysis test occurs almost a factor two slower at pH 8.2 compared to pH 4.</w:t>
      </w:r>
    </w:p>
    <w:p w14:paraId="2A4671F9" w14:textId="77777777" w:rsidR="00B371D3" w:rsidRDefault="00B371D3" w:rsidP="00B371D3">
      <w:pPr>
        <w:autoSpaceDE w:val="0"/>
        <w:autoSpaceDN w:val="0"/>
        <w:adjustRightInd w:val="0"/>
        <w:spacing w:after="0" w:line="240" w:lineRule="auto"/>
        <w:rPr>
          <w:rFonts w:ascii="Verdana" w:hAnsi="Verdana" w:cs="Verdana"/>
          <w:sz w:val="20"/>
          <w:szCs w:val="20"/>
        </w:rPr>
      </w:pPr>
    </w:p>
    <w:p w14:paraId="6B8F289C"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key study strongly indicates that hydrolysis half-life at environmentally relevant pH and temperature will be considerably longer than 1830 hours. Thus, even though this study was not conducted with radiolabelled material, which most likely overestimated hydrolysis of the substance, it has been demonstrated that hydrolysis of the substance is at most very limited at relevant environmental conditions. The results from this study are considered reliable with restrictions, and are assigned a Klimisch score of 2.</w:t>
      </w:r>
    </w:p>
    <w:p w14:paraId="6E15C9A0" w14:textId="77777777" w:rsidR="00B371D3" w:rsidRDefault="00B371D3" w:rsidP="00B371D3">
      <w:pPr>
        <w:rPr>
          <w:rFonts w:ascii="Verdana" w:hAnsi="Verdana"/>
          <w:b/>
          <w:sz w:val="20"/>
          <w:szCs w:val="20"/>
        </w:rPr>
      </w:pPr>
    </w:p>
    <w:p w14:paraId="54E50120" w14:textId="77777777" w:rsidR="00B371D3" w:rsidRDefault="00B371D3" w:rsidP="00B371D3">
      <w:pPr>
        <w:rPr>
          <w:rFonts w:ascii="Verdana" w:hAnsi="Verdana"/>
          <w:b/>
          <w:sz w:val="20"/>
          <w:szCs w:val="20"/>
        </w:rPr>
      </w:pPr>
    </w:p>
    <w:p w14:paraId="70690828" w14:textId="77777777" w:rsidR="00B371D3" w:rsidRDefault="00B371D3" w:rsidP="00B371D3">
      <w:pPr>
        <w:rPr>
          <w:rFonts w:ascii="Verdana" w:hAnsi="Verdana"/>
          <w:b/>
          <w:sz w:val="20"/>
          <w:szCs w:val="20"/>
        </w:rPr>
      </w:pPr>
      <w:r>
        <w:rPr>
          <w:rFonts w:ascii="Verdana" w:hAnsi="Verdana"/>
          <w:b/>
          <w:sz w:val="20"/>
          <w:szCs w:val="20"/>
        </w:rPr>
        <w:lastRenderedPageBreak/>
        <w:t>3.2 Biodegradation in water</w:t>
      </w:r>
    </w:p>
    <w:p w14:paraId="086AD714" w14:textId="77777777" w:rsidR="00B371D3" w:rsidRDefault="00B371D3" w:rsidP="00B371D3">
      <w:pPr>
        <w:rPr>
          <w:rFonts w:ascii="Verdana" w:hAnsi="Verdana"/>
          <w:b/>
          <w:sz w:val="20"/>
          <w:szCs w:val="20"/>
        </w:rPr>
      </w:pPr>
      <w:r>
        <w:rPr>
          <w:rFonts w:ascii="Verdana" w:hAnsi="Verdana"/>
          <w:b/>
          <w:sz w:val="20"/>
          <w:szCs w:val="20"/>
        </w:rPr>
        <w:t>Experimental data: Screenings tests &amp; Simulation tests (water and sediment)</w:t>
      </w:r>
    </w:p>
    <w:tbl>
      <w:tblPr>
        <w:tblStyle w:val="TableGrid"/>
        <w:tblW w:w="0" w:type="auto"/>
        <w:tblLook w:val="04A0" w:firstRow="1" w:lastRow="0" w:firstColumn="1" w:lastColumn="0" w:noHBand="0" w:noVBand="1"/>
      </w:tblPr>
      <w:tblGrid>
        <w:gridCol w:w="3397"/>
        <w:gridCol w:w="2552"/>
        <w:gridCol w:w="2551"/>
        <w:gridCol w:w="3544"/>
      </w:tblGrid>
      <w:tr w:rsidR="00B371D3" w:rsidRPr="0094743C" w14:paraId="03F8CAEA" w14:textId="77777777" w:rsidTr="0010403B">
        <w:tc>
          <w:tcPr>
            <w:tcW w:w="3397" w:type="dxa"/>
            <w:shd w:val="clear" w:color="auto" w:fill="8496B0" w:themeFill="text2" w:themeFillTint="99"/>
          </w:tcPr>
          <w:p w14:paraId="05C9C727" w14:textId="77777777" w:rsidR="00B371D3" w:rsidRPr="0094743C" w:rsidRDefault="00B371D3" w:rsidP="0010403B">
            <w:pPr>
              <w:rPr>
                <w:b/>
                <w:color w:val="FFFFFF" w:themeColor="background1"/>
              </w:rPr>
            </w:pPr>
          </w:p>
          <w:p w14:paraId="28E9CF14" w14:textId="77777777" w:rsidR="00B371D3" w:rsidRPr="0094743C" w:rsidRDefault="00B371D3" w:rsidP="0010403B">
            <w:pPr>
              <w:rPr>
                <w:b/>
                <w:color w:val="FFFFFF" w:themeColor="background1"/>
              </w:rPr>
            </w:pPr>
            <w:r w:rsidRPr="0094743C">
              <w:rPr>
                <w:b/>
                <w:color w:val="FFFFFF" w:themeColor="background1"/>
              </w:rPr>
              <w:t>Type of Evidence / Data Source - Reference</w:t>
            </w:r>
          </w:p>
        </w:tc>
        <w:tc>
          <w:tcPr>
            <w:tcW w:w="2552" w:type="dxa"/>
            <w:shd w:val="clear" w:color="auto" w:fill="8496B0" w:themeFill="text2" w:themeFillTint="99"/>
          </w:tcPr>
          <w:p w14:paraId="2CB9F6AD" w14:textId="77777777" w:rsidR="00B371D3" w:rsidRPr="0094743C" w:rsidRDefault="00B371D3" w:rsidP="0010403B">
            <w:pPr>
              <w:rPr>
                <w:b/>
                <w:color w:val="FFFFFF" w:themeColor="background1"/>
              </w:rPr>
            </w:pPr>
          </w:p>
          <w:p w14:paraId="75391E77" w14:textId="77777777" w:rsidR="00B371D3" w:rsidRPr="0094743C" w:rsidRDefault="00B371D3" w:rsidP="0010403B">
            <w:pPr>
              <w:rPr>
                <w:b/>
                <w:color w:val="FFFFFF" w:themeColor="background1"/>
              </w:rPr>
            </w:pPr>
            <w:r w:rsidRPr="0094743C">
              <w:rPr>
                <w:b/>
                <w:color w:val="FFFFFF" w:themeColor="background1"/>
              </w:rPr>
              <w:t>Relevance</w:t>
            </w:r>
          </w:p>
        </w:tc>
        <w:tc>
          <w:tcPr>
            <w:tcW w:w="2551" w:type="dxa"/>
            <w:shd w:val="clear" w:color="auto" w:fill="8496B0" w:themeFill="text2" w:themeFillTint="99"/>
          </w:tcPr>
          <w:p w14:paraId="2B52B058" w14:textId="77777777" w:rsidR="00B371D3" w:rsidRPr="0094743C" w:rsidRDefault="00B371D3" w:rsidP="0010403B">
            <w:pPr>
              <w:rPr>
                <w:b/>
                <w:color w:val="FFFFFF" w:themeColor="background1"/>
              </w:rPr>
            </w:pPr>
          </w:p>
          <w:p w14:paraId="1E43F637" w14:textId="77777777" w:rsidR="00B371D3" w:rsidRPr="0094743C" w:rsidRDefault="00B371D3" w:rsidP="0010403B">
            <w:pPr>
              <w:rPr>
                <w:b/>
                <w:color w:val="FFFFFF" w:themeColor="background1"/>
              </w:rPr>
            </w:pPr>
            <w:r w:rsidRPr="0094743C">
              <w:rPr>
                <w:b/>
                <w:color w:val="FFFFFF" w:themeColor="background1"/>
              </w:rPr>
              <w:t xml:space="preserve">Reliability </w:t>
            </w:r>
          </w:p>
        </w:tc>
        <w:tc>
          <w:tcPr>
            <w:tcW w:w="3544" w:type="dxa"/>
            <w:shd w:val="clear" w:color="auto" w:fill="8496B0" w:themeFill="text2" w:themeFillTint="99"/>
          </w:tcPr>
          <w:p w14:paraId="30495214" w14:textId="77777777" w:rsidR="00B371D3" w:rsidRPr="0094743C" w:rsidRDefault="00B371D3" w:rsidP="0010403B">
            <w:pPr>
              <w:rPr>
                <w:b/>
                <w:color w:val="FFFFFF" w:themeColor="background1"/>
              </w:rPr>
            </w:pPr>
          </w:p>
          <w:p w14:paraId="07DEA8A7" w14:textId="77777777" w:rsidR="00B371D3" w:rsidRPr="0094743C" w:rsidRDefault="00B371D3" w:rsidP="0010403B">
            <w:pPr>
              <w:rPr>
                <w:b/>
                <w:color w:val="FFFFFF" w:themeColor="background1"/>
              </w:rPr>
            </w:pPr>
            <w:r w:rsidRPr="0094743C">
              <w:rPr>
                <w:b/>
                <w:color w:val="FFFFFF" w:themeColor="background1"/>
              </w:rPr>
              <w:t>Adequacy</w:t>
            </w:r>
          </w:p>
        </w:tc>
      </w:tr>
      <w:tr w:rsidR="00B371D3" w:rsidRPr="0094743C" w14:paraId="06AA4519" w14:textId="77777777" w:rsidTr="0010403B">
        <w:trPr>
          <w:trHeight w:val="522"/>
        </w:trPr>
        <w:tc>
          <w:tcPr>
            <w:tcW w:w="3397" w:type="dxa"/>
          </w:tcPr>
          <w:p w14:paraId="7A8D27FB" w14:textId="77777777" w:rsidR="00B371D3" w:rsidRPr="0094743C" w:rsidRDefault="00B371D3" w:rsidP="0010403B">
            <w:pPr>
              <w:spacing w:after="200" w:line="276" w:lineRule="auto"/>
            </w:pPr>
            <w:r w:rsidRPr="0094743C">
              <w:t>Biodegradation Screening test OECD TG 301B</w:t>
            </w:r>
          </w:p>
        </w:tc>
        <w:tc>
          <w:tcPr>
            <w:tcW w:w="2552" w:type="dxa"/>
          </w:tcPr>
          <w:p w14:paraId="1443B223" w14:textId="77777777" w:rsidR="00B371D3" w:rsidRPr="0094743C" w:rsidRDefault="00B371D3" w:rsidP="0010403B">
            <w:r>
              <w:t xml:space="preserve">Yes, according to test guideline protocol covering parameters required for assessment. </w:t>
            </w:r>
          </w:p>
        </w:tc>
        <w:tc>
          <w:tcPr>
            <w:tcW w:w="2551" w:type="dxa"/>
          </w:tcPr>
          <w:p w14:paraId="04159633" w14:textId="77777777" w:rsidR="00B371D3" w:rsidRPr="0094743C" w:rsidRDefault="00B371D3" w:rsidP="0010403B">
            <w:r>
              <w:t>Klimisch score 2</w:t>
            </w:r>
          </w:p>
        </w:tc>
        <w:tc>
          <w:tcPr>
            <w:tcW w:w="3544" w:type="dxa"/>
          </w:tcPr>
          <w:p w14:paraId="4B2FDFD1" w14:textId="77777777" w:rsidR="00B371D3" w:rsidRPr="0094743C" w:rsidRDefault="00B371D3" w:rsidP="0010403B">
            <w:r>
              <w:t>Adequate study for biodegradation in water</w:t>
            </w:r>
          </w:p>
        </w:tc>
      </w:tr>
      <w:tr w:rsidR="00B371D3" w:rsidRPr="0094743C" w14:paraId="578312A7" w14:textId="77777777" w:rsidTr="0010403B">
        <w:tc>
          <w:tcPr>
            <w:tcW w:w="3397" w:type="dxa"/>
          </w:tcPr>
          <w:p w14:paraId="4D298056" w14:textId="77777777" w:rsidR="00B371D3" w:rsidRPr="0094743C" w:rsidRDefault="00B371D3" w:rsidP="0010403B">
            <w:pPr>
              <w:spacing w:after="200" w:line="276" w:lineRule="auto"/>
            </w:pPr>
            <w:r w:rsidRPr="0094743C">
              <w:t>Biodegradation Screening test OECD TG 301F</w:t>
            </w:r>
          </w:p>
        </w:tc>
        <w:tc>
          <w:tcPr>
            <w:tcW w:w="2552" w:type="dxa"/>
          </w:tcPr>
          <w:p w14:paraId="4C2D3C2F" w14:textId="77777777" w:rsidR="00B371D3" w:rsidRPr="0094743C" w:rsidRDefault="00B371D3" w:rsidP="0010403B">
            <w:r>
              <w:t>Yes, according to test guideline protocol covering parameters required for assessment.</w:t>
            </w:r>
          </w:p>
        </w:tc>
        <w:tc>
          <w:tcPr>
            <w:tcW w:w="2551" w:type="dxa"/>
          </w:tcPr>
          <w:p w14:paraId="7E6AA1D9" w14:textId="77777777" w:rsidR="00B371D3" w:rsidRPr="0094743C" w:rsidRDefault="00B371D3" w:rsidP="0010403B">
            <w:r>
              <w:t>Klimisch score 1</w:t>
            </w:r>
          </w:p>
        </w:tc>
        <w:tc>
          <w:tcPr>
            <w:tcW w:w="3544" w:type="dxa"/>
          </w:tcPr>
          <w:p w14:paraId="5BD00CAC" w14:textId="77777777" w:rsidR="00B371D3" w:rsidRPr="0094743C" w:rsidRDefault="00B371D3" w:rsidP="0010403B">
            <w:r>
              <w:t>Adequate study for biodegradation in water</w:t>
            </w:r>
          </w:p>
        </w:tc>
      </w:tr>
      <w:tr w:rsidR="00B371D3" w:rsidRPr="0094743C" w14:paraId="6D6623B4" w14:textId="77777777" w:rsidTr="0010403B">
        <w:tc>
          <w:tcPr>
            <w:tcW w:w="3397" w:type="dxa"/>
          </w:tcPr>
          <w:p w14:paraId="5A6F6749" w14:textId="77777777" w:rsidR="00B371D3" w:rsidRPr="0094743C" w:rsidRDefault="00B371D3" w:rsidP="0010403B">
            <w:pPr>
              <w:spacing w:after="200" w:line="276" w:lineRule="auto"/>
            </w:pPr>
            <w:r w:rsidRPr="0094743C">
              <w:t>Biodegradation Screening test</w:t>
            </w:r>
            <w:r>
              <w:t xml:space="preserve"> </w:t>
            </w:r>
            <w:r w:rsidRPr="0094743C">
              <w:t>OECD TG 301</w:t>
            </w:r>
          </w:p>
        </w:tc>
        <w:tc>
          <w:tcPr>
            <w:tcW w:w="2552" w:type="dxa"/>
          </w:tcPr>
          <w:p w14:paraId="7EDA3475" w14:textId="77777777" w:rsidR="00B371D3" w:rsidRPr="0094743C" w:rsidRDefault="00B371D3" w:rsidP="0010403B">
            <w:r>
              <w:t>Yes, according to test guideline protocol covering parameters required for assessment.</w:t>
            </w:r>
          </w:p>
        </w:tc>
        <w:tc>
          <w:tcPr>
            <w:tcW w:w="2551" w:type="dxa"/>
          </w:tcPr>
          <w:p w14:paraId="141B5DA6" w14:textId="77777777" w:rsidR="00B371D3" w:rsidRPr="0094743C" w:rsidRDefault="00B371D3" w:rsidP="0010403B">
            <w:r>
              <w:t>Klimisch score 1</w:t>
            </w:r>
          </w:p>
        </w:tc>
        <w:tc>
          <w:tcPr>
            <w:tcW w:w="3544" w:type="dxa"/>
          </w:tcPr>
          <w:p w14:paraId="78E46791" w14:textId="77777777" w:rsidR="00B371D3" w:rsidRPr="0094743C" w:rsidRDefault="00B371D3" w:rsidP="0010403B">
            <w:r>
              <w:t>Adequate study for biodegradation in water</w:t>
            </w:r>
          </w:p>
        </w:tc>
      </w:tr>
      <w:tr w:rsidR="00B371D3" w:rsidRPr="0094743C" w14:paraId="69172541" w14:textId="77777777" w:rsidTr="0010403B">
        <w:tc>
          <w:tcPr>
            <w:tcW w:w="3397" w:type="dxa"/>
          </w:tcPr>
          <w:p w14:paraId="02749E51" w14:textId="77777777" w:rsidR="00B371D3" w:rsidRPr="0094743C" w:rsidRDefault="00B371D3" w:rsidP="0010403B">
            <w:pPr>
              <w:spacing w:after="200" w:line="276" w:lineRule="auto"/>
            </w:pPr>
            <w:r w:rsidRPr="0094743C">
              <w:t>Manometric Respirometry Study OECD TG 302C</w:t>
            </w:r>
          </w:p>
        </w:tc>
        <w:tc>
          <w:tcPr>
            <w:tcW w:w="2552" w:type="dxa"/>
          </w:tcPr>
          <w:p w14:paraId="4EEA2885" w14:textId="77777777" w:rsidR="00B371D3" w:rsidRPr="0094743C" w:rsidRDefault="00B371D3" w:rsidP="0010403B">
            <w:r>
              <w:t>Yes, according to test guideline protocol covering parameters required for assessment.</w:t>
            </w:r>
          </w:p>
        </w:tc>
        <w:tc>
          <w:tcPr>
            <w:tcW w:w="2551" w:type="dxa"/>
          </w:tcPr>
          <w:p w14:paraId="08215EC6" w14:textId="77777777" w:rsidR="00B371D3" w:rsidRPr="0094743C" w:rsidRDefault="00B371D3" w:rsidP="0010403B">
            <w:r>
              <w:t>Klimisch score 1</w:t>
            </w:r>
          </w:p>
        </w:tc>
        <w:tc>
          <w:tcPr>
            <w:tcW w:w="3544" w:type="dxa"/>
          </w:tcPr>
          <w:p w14:paraId="033D7DFE" w14:textId="77777777" w:rsidR="00B371D3" w:rsidRPr="0094743C" w:rsidRDefault="00B371D3" w:rsidP="0010403B">
            <w:r>
              <w:t>Adequate study for biodegradation in water</w:t>
            </w:r>
          </w:p>
        </w:tc>
      </w:tr>
      <w:tr w:rsidR="00B371D3" w:rsidRPr="0094743C" w14:paraId="03BF6E5D" w14:textId="77777777" w:rsidTr="0010403B">
        <w:tc>
          <w:tcPr>
            <w:tcW w:w="3397" w:type="dxa"/>
          </w:tcPr>
          <w:p w14:paraId="37FD205C" w14:textId="77777777" w:rsidR="00B371D3" w:rsidRPr="0094743C" w:rsidRDefault="00B371D3" w:rsidP="0010403B">
            <w:pPr>
              <w:spacing w:after="200" w:line="276" w:lineRule="auto"/>
            </w:pPr>
            <w:r w:rsidRPr="0094743C">
              <w:t>Aerobic mineralisation study OECD TG 309</w:t>
            </w:r>
          </w:p>
        </w:tc>
        <w:tc>
          <w:tcPr>
            <w:tcW w:w="2552" w:type="dxa"/>
          </w:tcPr>
          <w:p w14:paraId="04CF2990" w14:textId="77777777" w:rsidR="00B371D3" w:rsidRPr="0094743C" w:rsidRDefault="00B371D3" w:rsidP="0010403B">
            <w:r>
              <w:t>Yes, according to test guideline protocol covering parameters required for assessment.</w:t>
            </w:r>
          </w:p>
        </w:tc>
        <w:tc>
          <w:tcPr>
            <w:tcW w:w="2551" w:type="dxa"/>
          </w:tcPr>
          <w:p w14:paraId="1A7A3F60" w14:textId="77777777" w:rsidR="00B371D3" w:rsidRPr="0094743C" w:rsidRDefault="00B371D3" w:rsidP="0010403B">
            <w:r>
              <w:t>Klimisch score 2</w:t>
            </w:r>
          </w:p>
        </w:tc>
        <w:tc>
          <w:tcPr>
            <w:tcW w:w="3544" w:type="dxa"/>
          </w:tcPr>
          <w:p w14:paraId="5EDDF2FB" w14:textId="77777777" w:rsidR="00B371D3" w:rsidRPr="0094743C" w:rsidRDefault="00B371D3" w:rsidP="0010403B">
            <w:r>
              <w:t>Adequate study for biodegradation in water</w:t>
            </w:r>
          </w:p>
        </w:tc>
      </w:tr>
    </w:tbl>
    <w:p w14:paraId="61F99DD4" w14:textId="77777777" w:rsidR="00B371D3" w:rsidRDefault="00B371D3" w:rsidP="00B371D3">
      <w:pPr>
        <w:rPr>
          <w:rFonts w:ascii="Verdana" w:hAnsi="Verdana"/>
          <w:b/>
          <w:sz w:val="20"/>
          <w:szCs w:val="20"/>
        </w:rPr>
      </w:pPr>
    </w:p>
    <w:p w14:paraId="4028C920"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There are four biodegradation screening studies available for the substance, of which three are available on the public dissemination site. All three studies were considered key studies by the registrant.</w:t>
      </w:r>
    </w:p>
    <w:p w14:paraId="77B894CF" w14:textId="77777777" w:rsidR="00B371D3" w:rsidRDefault="00B371D3" w:rsidP="00B371D3">
      <w:pPr>
        <w:autoSpaceDE w:val="0"/>
        <w:autoSpaceDN w:val="0"/>
        <w:adjustRightInd w:val="0"/>
        <w:spacing w:after="0" w:line="240" w:lineRule="auto"/>
        <w:rPr>
          <w:rFonts w:ascii="Verdana" w:hAnsi="Verdana" w:cs="Verdana"/>
          <w:sz w:val="20"/>
          <w:szCs w:val="20"/>
        </w:rPr>
      </w:pPr>
    </w:p>
    <w:p w14:paraId="7F31AE46"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The GLP-compliant Modified Sturm (CO</w:t>
      </w:r>
      <w:r>
        <w:rPr>
          <w:rFonts w:ascii="Verdana" w:hAnsi="Verdana" w:cs="Verdana"/>
          <w:sz w:val="13"/>
          <w:szCs w:val="13"/>
        </w:rPr>
        <w:t>2</w:t>
      </w:r>
      <w:r>
        <w:rPr>
          <w:rFonts w:ascii="Verdana" w:hAnsi="Verdana" w:cs="Verdana"/>
          <w:sz w:val="20"/>
          <w:szCs w:val="20"/>
        </w:rPr>
        <w:t>-evolution) study according to OECD TG 301B showed that the substance is not-ready biodegradable ]. In this ready biodegradability study with non-adapted activated sludge, degradation of the substance amounted to 12 and 34% in the 10 and 20 mg/L treatments after 28 days, respectively. A toxicity control was lacking. Therefore, the results from this study are considered reliable with restrictions and are assigned a Klimisch score of 2.</w:t>
      </w:r>
    </w:p>
    <w:p w14:paraId="2FF7B4FB" w14:textId="77777777" w:rsidR="00B371D3" w:rsidRDefault="00B371D3" w:rsidP="00B371D3">
      <w:pPr>
        <w:autoSpaceDE w:val="0"/>
        <w:autoSpaceDN w:val="0"/>
        <w:adjustRightInd w:val="0"/>
        <w:spacing w:after="0" w:line="240" w:lineRule="auto"/>
        <w:rPr>
          <w:rFonts w:ascii="Verdana" w:hAnsi="Verdana" w:cs="Verdana"/>
          <w:sz w:val="20"/>
          <w:szCs w:val="20"/>
        </w:rPr>
      </w:pPr>
    </w:p>
    <w:p w14:paraId="4CE6DD45"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GLP-compliant Manometric Respirometry study according to the OECD TG 301F showed that the substance is not ready biodegradable, with degradation after 50 days amounting to a maximum of 2% in spite of using enhanced substance application methods, and the prolonged study duration. Study details are available on the ECHA dissemination website of the substance corresponding to the name Reaction mass of 5-[(2R)-butan-2-yl]-2-[(1R,2R)-2,4-dimethylcyclohex-3-en-1-yl]-5-methyl-1,3-dioxane and 5-[(2R)-butan-2-yl]-2-[(1R,6R)-4,6-dimethylcyclohex-3-en-1-yl]-5-methyl-1,3- dioxane and 5-[(2S)-butan-2-yl]-2-[(1R,2R)-2,4-dimethylcyclohex-3-en-1-yl]-5-methyl- 1,3-dioxane and 5-[(2S)-butan-2-yl]-2-[(1S,2R)-2,4-dimethylcyclohex-3-en-1-yl]-5- methyl-1,3-dioxane and 5-[(2S)-butan-2-yl]-2-[(1S,6R)-4,6-dimethylcyclohex-3-en-1- yl]-5-methyl-1,3-dioxane. Inoculum was freshly activated sludge collected from a predominantly domestic WWTP that was washed three times prior to application, and had a suspended solid concentration of 30 mg/L (dry weight). Test concentration was 100 mg/L. Duplicate test flasks were prepared with direct addition, as well as two enhanced methods, i.e. the use of ultrasound to disperse the test substance and application of the test substance in silicone oil. Oxygen consumption was monitored daily and expressed as percentage of theoretical oxygen demand (ThOD). Since the substance is volatile, evolved carbon dioxide was absorbed to soda lime pellets. Inoculum blank and a toxicity control with the reference substance sodium benzoate were included. The registrant of the substance corresponding to the name Reaction mass of 5-[(2R)-butan- 2-yl]-2-[(1R,2R)-2,4-dimethylcyclohex-3-en-1-yl]-5-methyl-1,3-dioxane and 5-[(2R)- butan-2-yl]-2-[(1R,6R)-4,6-dimethylcyclohex-3-en-1-yl]-5-methyl-1,3-dioxane and 5- [(2S)-butan-2-yl]-2-[(1R,2R)-2,4-dimethylcyclohex-3-en-1-yl]-5-methyl-1,3-dioxane and 5-[(2S)-butan-2-yl]-2-[(1S,2R)-2,4-dimethylcyclohex-3-en-1-yl]-5-methyl-1,3- dioxane and 5-[(2S)-butan-2-yl]-2-[(1S,6R)-4,6-dimethylcyclohex-3-en-1-yl]-5-methyl- 1,3-dioxane noted that an abiotic control was not needed, as the substance is not expected to hydrolyse.. The validity criteria were met. Degradation of the substance amounted 1% after 50 days with direct addition. The use of ultrasound to disperse the substance did not improve biodegradation after 28 days, and increased mineralization only marginally to a total of 2% after 50 days.  Application of silicone oils also did not improve biodegradation (mineralization was decreased by 2%) after 28 and 50 days.</w:t>
      </w:r>
    </w:p>
    <w:p w14:paraId="4FC382F9"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There was no toxic effect to the inoculum, as sodium benzoate biodegradation was not altered by the addition of the substance. The results from this study are considered reliable without restrictions and are assigned a Klimisch score of 1. It should be noted that in addition to the two enhanced application methods discussed above, another three enhanced methods were applied using the same test setup, but reported in a separate study report. The results from the latter study are not available on the public dissemination site. This study was considered reliable without restrictions and showed that the three additional enhanced application methods also did not result in degradation of the substance. The fourth study, a GLP-compliant Manometric Respirometry study according to the</w:t>
      </w:r>
    </w:p>
    <w:p w14:paraId="1A845B4F"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OECD TG 302C showed that the substance is not inherently biodegradable, with degradation amounting to 12 and 18% based on O</w:t>
      </w:r>
      <w:r>
        <w:rPr>
          <w:rFonts w:ascii="Verdana" w:hAnsi="Verdana" w:cs="Verdana"/>
          <w:sz w:val="13"/>
          <w:szCs w:val="13"/>
        </w:rPr>
        <w:t xml:space="preserve">2 </w:t>
      </w:r>
      <w:r>
        <w:rPr>
          <w:rFonts w:ascii="Verdana" w:hAnsi="Verdana" w:cs="Verdana"/>
          <w:sz w:val="20"/>
          <w:szCs w:val="20"/>
        </w:rPr>
        <w:t>consumption, after 28 and 50 days, respectively. The test was conducted with non-adapted activated sludge from a domestic WWTP, and a test concentration of 30 mg/L. The results from this study are considered reliable without restrictions and are assigned a Klimisch score of 1.</w:t>
      </w:r>
    </w:p>
    <w:p w14:paraId="62AF98CC" w14:textId="77777777" w:rsidR="00B371D3" w:rsidRDefault="00B371D3" w:rsidP="00B371D3">
      <w:pPr>
        <w:autoSpaceDE w:val="0"/>
        <w:autoSpaceDN w:val="0"/>
        <w:adjustRightInd w:val="0"/>
        <w:spacing w:after="0" w:line="240" w:lineRule="auto"/>
        <w:rPr>
          <w:rFonts w:ascii="Verdana" w:hAnsi="Verdana" w:cs="Verdana"/>
          <w:sz w:val="20"/>
          <w:szCs w:val="20"/>
        </w:rPr>
      </w:pPr>
    </w:p>
    <w:p w14:paraId="0585C5AC" w14:textId="77777777" w:rsidR="00B371D3" w:rsidRPr="00495CD1" w:rsidRDefault="00B371D3" w:rsidP="00B371D3">
      <w:pPr>
        <w:autoSpaceDE w:val="0"/>
        <w:autoSpaceDN w:val="0"/>
        <w:adjustRightInd w:val="0"/>
        <w:spacing w:after="0" w:line="240" w:lineRule="auto"/>
        <w:rPr>
          <w:rFonts w:ascii="Verdana" w:hAnsi="Verdana" w:cs="Verdana"/>
          <w:b/>
          <w:sz w:val="20"/>
          <w:szCs w:val="20"/>
        </w:rPr>
      </w:pPr>
      <w:r w:rsidRPr="00495CD1">
        <w:rPr>
          <w:rFonts w:ascii="Verdana" w:hAnsi="Verdana" w:cs="Verdana"/>
          <w:b/>
          <w:sz w:val="20"/>
          <w:szCs w:val="20"/>
        </w:rPr>
        <w:t>Simulation Tests</w:t>
      </w:r>
    </w:p>
    <w:p w14:paraId="77FCF8C0"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A GLP-compliant aerobic mineralisation study in surface water according to OECD TG 309 is available for the substance. This 60-day study was conducted with natural water and an initial nominal test concentration of 60 μg/L at 22 °C. The registrant reported a halflife of 395 h for the substance at 22 °C, based on (pseudo-) first order kinetics. The registrant did not indicate the reliability of the study.</w:t>
      </w:r>
    </w:p>
    <w:p w14:paraId="3EDFD077"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evaluating MSCA conducted a thorough reassessment of this study, as several deviations from OECD TG 309 were observed.</w:t>
      </w:r>
    </w:p>
    <w:p w14:paraId="2B4D42AB"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According to the original study report, the initial nominal test concentration was 50 μg/L, and not 60 μg/L as reported on the public dissemination site. The OECD TG 309 recommends the use of two test concentrations that differ from each other by a factor of 5 to 10, with the higher and lower test concentration not exceeding 100 and 10 μg/L, respectively. As indicated in the test guideline, there is a risk when testing high concentrations that degradation will not follow first order kinetics and that the first order degradation constant and half-life cannot be estimated. Fortunately, in this study, degradation did seem to follow first order kinetics, and a half-life was derived for the substance.</w:t>
      </w:r>
    </w:p>
    <w:p w14:paraId="4E036101"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OECD TG 309 prescribes the inclusion of a blank control, solvent control, sterile control and reference control in the test design. The registrant only included a sterile control. Since the reference control was missing, the viability of the microbial community could not be determined. Considering that the water used in the study was sampled upstream of the registrants activities from an unpolluted river, that the only treatment of the natural water was filtration through a course filter of 100 μm and finally, that the natural water was used on the same day as sampled, the evaluating MSCA supposes that a viable microbial community was present in the water. The registrant also did not assess the toxicity of the substance to the microbial community. Considering that in the above discussed GLP-compliant Manometric Respirometry study, the substance displayed no toxic effects on the inoculum, this is not considered critical. The registrant also did not include a solvent control, but did indicate that the final concentration of the solvent carrier was 0.01% (v/v). Therefore, while the registrant did not include the necessary controls, careful consideration by the evaluating MSCA led to the conclusion that this does not invalidate the study, it merely lowers the reliability. There are two issues that complicated the interpretation of this water simulation study. Firstly, the study was conducted at 22 °C, while the substance is used and released within the context of the REACH Regulation in the EU. The temperature of 12 °C is a default value used in current risk assessment to reflect the average environmental conditions in the EU, and therefore the test should preferably be conducted at 12 °C. Nevertheless, using the Arrhenius equation a DT</w:t>
      </w:r>
      <w:r>
        <w:rPr>
          <w:rFonts w:ascii="Verdana" w:hAnsi="Verdana" w:cs="Verdana"/>
          <w:sz w:val="13"/>
          <w:szCs w:val="13"/>
        </w:rPr>
        <w:t xml:space="preserve">50 </w:t>
      </w:r>
      <w:r>
        <w:rPr>
          <w:rFonts w:ascii="Verdana" w:hAnsi="Verdana" w:cs="Verdana"/>
          <w:sz w:val="20"/>
          <w:szCs w:val="20"/>
        </w:rPr>
        <w:t>at 12 °C can be extrapolated, and the results can be interpreted. Secondly, the registrant did not use radiolabelled test material. While this is not required by OECD TG 309, it is recommended as a massbalance can be obtained. As no mass balance was available, it remains unclear to what extent the test substance degraded and to what extent it disappeared from the aqueous phase due to evaporation, binding to organic matter in the (turbid) aqueous phase and/or binding to the surface of the test vessels. The study did, however, meet the recovery criterion of 70-110% of nominal at the start of the experiment, and sterile controls were analysed throughout the experiment to quantify disappearance due to processes other than biodegradation. Comparison of the residual concentrations in the test vessels and sterile controls shows that they differed less than 10% for t = 0 h up to and including t = 504 h. This indicates that dissipation up to 504 h was predominantly abiotic. The recently conducted hydrolysis study shows that hydrolysis of the substance in water from the same source (pH 8.2) is slow, as the DT</w:t>
      </w:r>
      <w:r>
        <w:rPr>
          <w:rFonts w:ascii="Verdana" w:hAnsi="Verdana" w:cs="Verdana"/>
          <w:sz w:val="13"/>
          <w:szCs w:val="13"/>
        </w:rPr>
        <w:t xml:space="preserve">50 </w:t>
      </w:r>
      <w:r>
        <w:rPr>
          <w:rFonts w:ascii="Verdana" w:hAnsi="Verdana" w:cs="Verdana"/>
          <w:sz w:val="20"/>
          <w:szCs w:val="20"/>
        </w:rPr>
        <w:t>at 50 °C amounted to 241 h. Therefore, the evaluating MSCA concludes that the disappearance is most likely due to binding and/or volatilisation of the substance, instead of abiotic degradation.</w:t>
      </w:r>
    </w:p>
    <w:p w14:paraId="72AD36C1"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registrant estimated a DT</w:t>
      </w:r>
      <w:r>
        <w:rPr>
          <w:rFonts w:ascii="Verdana" w:hAnsi="Verdana" w:cs="Verdana"/>
          <w:sz w:val="13"/>
          <w:szCs w:val="13"/>
        </w:rPr>
        <w:t xml:space="preserve">50 </w:t>
      </w:r>
      <w:r>
        <w:rPr>
          <w:rFonts w:ascii="Verdana" w:hAnsi="Verdana" w:cs="Verdana"/>
          <w:sz w:val="20"/>
          <w:szCs w:val="20"/>
        </w:rPr>
        <w:t xml:space="preserve">of 395 h by excluding data points as being in the lag and tailing phase, using only the measurements after 264, 504 and 696 h. This strategy is not supported by the data. Moreover, the tailing phase as referred to in the OECD TG 309, is only applicable to residual activity, in the case of the use of a radiotracer, because of the incorporation of labelled carbon into biomass. The application of this tailing phase to the disappearance of the parent compound is thus not in agreement with the guideline. The </w:t>
      </w:r>
      <w:r>
        <w:rPr>
          <w:rFonts w:ascii="Verdana" w:hAnsi="Verdana" w:cs="Verdana"/>
          <w:sz w:val="20"/>
          <w:szCs w:val="20"/>
        </w:rPr>
        <w:lastRenderedPageBreak/>
        <w:t xml:space="preserve">evaluating MSCA plotted the natural logarithm of the concentration of the substance in both the sterile controls and in the biotic test vessels against time (Figure 8). The data showed that only when t = 0 is included the plot was not linear for the biotic test vessels, indicating higher than average removal during the first day, i.e. no lag phase. Further, Figure 8 shows that there is no lag phase and no tailing phase. Linear regression with GraphPad Prism (v.6.04) of the data from day 1 until day 60 yielded a </w:t>
      </w:r>
      <w:r>
        <w:rPr>
          <w:rFonts w:ascii="Verdana,Italic" w:hAnsi="Verdana,Italic" w:cs="Verdana,Italic"/>
          <w:i/>
          <w:iCs/>
          <w:sz w:val="20"/>
          <w:szCs w:val="20"/>
        </w:rPr>
        <w:t>k</w:t>
      </w:r>
      <w:r>
        <w:rPr>
          <w:rFonts w:ascii="Verdana" w:hAnsi="Verdana" w:cs="Verdana"/>
          <w:sz w:val="20"/>
          <w:szCs w:val="20"/>
        </w:rPr>
        <w:t xml:space="preserve"> of 0.022 (r</w:t>
      </w:r>
      <w:r>
        <w:rPr>
          <w:rFonts w:ascii="Verdana" w:hAnsi="Verdana" w:cs="Verdana"/>
          <w:sz w:val="13"/>
          <w:szCs w:val="13"/>
        </w:rPr>
        <w:t xml:space="preserve">2 </w:t>
      </w:r>
      <w:r>
        <w:rPr>
          <w:rFonts w:ascii="Verdana" w:hAnsi="Verdana" w:cs="Verdana"/>
          <w:sz w:val="20"/>
          <w:szCs w:val="20"/>
        </w:rPr>
        <w:t>= 0.92) for the biotic test vessels, which corresponds to a DT</w:t>
      </w:r>
      <w:r>
        <w:rPr>
          <w:rFonts w:ascii="Verdana" w:hAnsi="Verdana" w:cs="Verdana"/>
          <w:sz w:val="13"/>
          <w:szCs w:val="13"/>
        </w:rPr>
        <w:t xml:space="preserve">50 </w:t>
      </w:r>
      <w:r>
        <w:rPr>
          <w:rFonts w:ascii="Verdana" w:hAnsi="Verdana" w:cs="Verdana"/>
          <w:sz w:val="20"/>
          <w:szCs w:val="20"/>
        </w:rPr>
        <w:t xml:space="preserve">of 31 days at 22°C. The data for the abiotic controls were rather irregular, however, a </w:t>
      </w:r>
      <w:r>
        <w:rPr>
          <w:rFonts w:ascii="Verdana,Italic" w:hAnsi="Verdana,Italic" w:cs="Verdana,Italic"/>
          <w:i/>
          <w:iCs/>
          <w:sz w:val="20"/>
          <w:szCs w:val="20"/>
        </w:rPr>
        <w:t xml:space="preserve">k </w:t>
      </w:r>
      <w:r>
        <w:rPr>
          <w:rFonts w:ascii="Verdana" w:hAnsi="Verdana" w:cs="Verdana"/>
          <w:sz w:val="20"/>
          <w:szCs w:val="20"/>
        </w:rPr>
        <w:t>of 0.010 could be determined (r</w:t>
      </w:r>
      <w:r>
        <w:rPr>
          <w:rFonts w:ascii="Verdana" w:hAnsi="Verdana" w:cs="Verdana"/>
          <w:sz w:val="13"/>
          <w:szCs w:val="13"/>
        </w:rPr>
        <w:t xml:space="preserve">2 </w:t>
      </w:r>
      <w:r>
        <w:rPr>
          <w:rFonts w:ascii="Verdana" w:hAnsi="Verdana" w:cs="Verdana"/>
          <w:sz w:val="20"/>
          <w:szCs w:val="20"/>
        </w:rPr>
        <w:t>= 0.68), which corresponds to a DT</w:t>
      </w:r>
      <w:r>
        <w:rPr>
          <w:rFonts w:ascii="Verdana" w:hAnsi="Verdana" w:cs="Verdana"/>
          <w:sz w:val="13"/>
          <w:szCs w:val="13"/>
        </w:rPr>
        <w:t xml:space="preserve">50 </w:t>
      </w:r>
      <w:r>
        <w:rPr>
          <w:rFonts w:ascii="Verdana" w:hAnsi="Verdana" w:cs="Verdana"/>
          <w:sz w:val="20"/>
          <w:szCs w:val="20"/>
        </w:rPr>
        <w:t>of 68 days at 22°C. For both abiotic and biotic test vessels, half-lives are increasing if data from the beginning of the test are omitted from the regression. If the rate constant for the abiotic controls is subtracted from the rate constant for the biotic test, a value of 0.012 remains, which corresponds to a DT</w:t>
      </w:r>
      <w:r>
        <w:rPr>
          <w:rFonts w:ascii="Verdana" w:hAnsi="Verdana" w:cs="Verdana"/>
          <w:sz w:val="13"/>
          <w:szCs w:val="13"/>
        </w:rPr>
        <w:t xml:space="preserve">50 </w:t>
      </w:r>
      <w:r>
        <w:rPr>
          <w:rFonts w:ascii="Verdana" w:hAnsi="Verdana" w:cs="Verdana"/>
          <w:sz w:val="20"/>
          <w:szCs w:val="20"/>
        </w:rPr>
        <w:t>of 56 days at 22 °C estimated to be only due to biodegradation. Thus, even if all dissipation observed in the test could be attributed to either biotic or abiotic degradation, it is highly likely that at a relevant temperature of 12 °C the DT</w:t>
      </w:r>
      <w:r>
        <w:rPr>
          <w:rFonts w:ascii="Verdana" w:hAnsi="Verdana" w:cs="Verdana"/>
          <w:sz w:val="13"/>
          <w:szCs w:val="13"/>
        </w:rPr>
        <w:t>50</w:t>
      </w:r>
      <w:r>
        <w:rPr>
          <w:rFonts w:ascii="Verdana" w:hAnsi="Verdana" w:cs="Verdana"/>
          <w:sz w:val="20"/>
          <w:szCs w:val="20"/>
        </w:rPr>
        <w:t xml:space="preserve"> would exceed the vP criterion of 60 days. The median value for an extrapolation of halflives of pesticides in soil to a temperature 10 °C lower is a factor of 2.58 (EFSA, 2007). Applying this default factor yields an estimated DT</w:t>
      </w:r>
      <w:r>
        <w:rPr>
          <w:rFonts w:ascii="Verdana" w:hAnsi="Verdana" w:cs="Verdana"/>
          <w:sz w:val="13"/>
          <w:szCs w:val="13"/>
        </w:rPr>
        <w:t xml:space="preserve">50 </w:t>
      </w:r>
      <w:r>
        <w:rPr>
          <w:rFonts w:ascii="Verdana" w:hAnsi="Verdana" w:cs="Verdana"/>
          <w:sz w:val="20"/>
          <w:szCs w:val="20"/>
        </w:rPr>
        <w:t>in freshwater due to degradation of 145 days at 12 °C.</w:t>
      </w:r>
    </w:p>
    <w:p w14:paraId="7A1A90AE"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above DT</w:t>
      </w:r>
      <w:r>
        <w:rPr>
          <w:rFonts w:ascii="Verdana" w:hAnsi="Verdana" w:cs="Verdana"/>
          <w:sz w:val="13"/>
          <w:szCs w:val="13"/>
        </w:rPr>
        <w:t xml:space="preserve">50 </w:t>
      </w:r>
      <w:r>
        <w:rPr>
          <w:rFonts w:ascii="Verdana" w:hAnsi="Verdana" w:cs="Verdana"/>
          <w:sz w:val="20"/>
          <w:szCs w:val="20"/>
        </w:rPr>
        <w:t>of 145 days at 12 °C is a realistic estimation for biodegradation in freshwater. However, this DT</w:t>
      </w:r>
      <w:r>
        <w:rPr>
          <w:rFonts w:ascii="Verdana" w:hAnsi="Verdana" w:cs="Verdana"/>
          <w:sz w:val="13"/>
          <w:szCs w:val="13"/>
        </w:rPr>
        <w:t xml:space="preserve">50 </w:t>
      </w:r>
      <w:r>
        <w:rPr>
          <w:rFonts w:ascii="Verdana" w:hAnsi="Verdana" w:cs="Verdana"/>
          <w:sz w:val="20"/>
          <w:szCs w:val="20"/>
        </w:rPr>
        <w:t>should be considered indicative, since this study had several limitations, i.e. degradation was monitored only at one test concentration, distinction between degradation and dissipation was hampered by the use of nonlabelled test material, and the experiment was conducted at 22 °C. Therefore, in addition to the realistic DT</w:t>
      </w:r>
      <w:r>
        <w:rPr>
          <w:rFonts w:ascii="Verdana" w:hAnsi="Verdana" w:cs="Verdana"/>
          <w:sz w:val="13"/>
          <w:szCs w:val="13"/>
        </w:rPr>
        <w:t xml:space="preserve">50 </w:t>
      </w:r>
      <w:r>
        <w:rPr>
          <w:rFonts w:ascii="Verdana" w:hAnsi="Verdana" w:cs="Verdana"/>
          <w:sz w:val="20"/>
          <w:szCs w:val="20"/>
        </w:rPr>
        <w:t>the evaluating MSCA also calculated a best-case DegT</w:t>
      </w:r>
      <w:r>
        <w:rPr>
          <w:rFonts w:ascii="Verdana" w:hAnsi="Verdana" w:cs="Verdana"/>
          <w:sz w:val="13"/>
          <w:szCs w:val="13"/>
        </w:rPr>
        <w:t xml:space="preserve">50 </w:t>
      </w:r>
      <w:r>
        <w:rPr>
          <w:rFonts w:ascii="Verdana" w:hAnsi="Verdana" w:cs="Verdana"/>
          <w:sz w:val="20"/>
          <w:szCs w:val="20"/>
        </w:rPr>
        <w:t xml:space="preserve">in freshwater for the substance, including the possibility of abiotic hydrolysis. Firstly, the half-life for hydrolysis at 12 °C was calculated. For the process of hydrolysis, a default factor of 2.2 has been proposed for extrapolation to a 10 °C lower temperature, the corresponding formula being: t½ (X°C) = t½ * e </w:t>
      </w:r>
      <w:r>
        <w:rPr>
          <w:rFonts w:ascii="Verdana" w:hAnsi="Verdana" w:cs="Verdana"/>
          <w:sz w:val="13"/>
          <w:szCs w:val="13"/>
        </w:rPr>
        <w:t>(0.08 (T – X))</w:t>
      </w:r>
      <w:r>
        <w:rPr>
          <w:rFonts w:ascii="Verdana" w:hAnsi="Verdana" w:cs="Verdana"/>
          <w:sz w:val="20"/>
          <w:szCs w:val="20"/>
        </w:rPr>
        <w:t>) (ECHA, 2014a). Using this default factor and assuming that all of the loss processes in the abiotic controls are accounted for by hydrolysis, the half-life for hydrolysis at 12 °C was estimated to be 152 days compared to 68 days at 22 °C. The degradation in the biotic vessels was subsequently obtained by summing the rate constant for biodegradation at 12 °C (0.0048 d</w:t>
      </w:r>
      <w:r>
        <w:rPr>
          <w:rFonts w:ascii="Verdana" w:hAnsi="Verdana" w:cs="Verdana"/>
          <w:sz w:val="13"/>
          <w:szCs w:val="13"/>
        </w:rPr>
        <w:t>-1</w:t>
      </w:r>
      <w:r>
        <w:rPr>
          <w:rFonts w:ascii="Verdana" w:hAnsi="Verdana" w:cs="Verdana"/>
          <w:sz w:val="20"/>
          <w:szCs w:val="20"/>
        </w:rPr>
        <w:t>) and hydrolysis (0.0046 d</w:t>
      </w:r>
      <w:r>
        <w:rPr>
          <w:rFonts w:ascii="Verdana" w:hAnsi="Verdana" w:cs="Verdana"/>
          <w:sz w:val="13"/>
          <w:szCs w:val="13"/>
        </w:rPr>
        <w:t>-1</w:t>
      </w:r>
      <w:r>
        <w:rPr>
          <w:rFonts w:ascii="Verdana" w:hAnsi="Verdana" w:cs="Verdana"/>
          <w:sz w:val="20"/>
          <w:szCs w:val="20"/>
        </w:rPr>
        <w:t>) yielding an overall rate constant of 0.0093 d</w:t>
      </w:r>
      <w:r>
        <w:rPr>
          <w:rFonts w:ascii="Verdana" w:hAnsi="Verdana" w:cs="Verdana"/>
          <w:sz w:val="13"/>
          <w:szCs w:val="13"/>
        </w:rPr>
        <w:t>-1</w:t>
      </w:r>
      <w:r>
        <w:rPr>
          <w:rFonts w:ascii="Verdana" w:hAnsi="Verdana" w:cs="Verdana"/>
          <w:sz w:val="20"/>
          <w:szCs w:val="20"/>
        </w:rPr>
        <w:t>. This corresponds to a best-case degradation half-life of 74 days at 12 °C. It should be noted that the assumption that all abiotic loss processes are due to hydrolysis is most probably a strong overestimation of the real hydrolysis rate. Another indication for this, comes from the chromatograms presented in the report, that do not show the appearance of the chromatographic peaks of any of the hydrolysis products, probably indicating the complete absence of hydrolysis at ambient temperature and at neutral pH.</w:t>
      </w:r>
    </w:p>
    <w:p w14:paraId="682D6C1A"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Concluding, the evaluating MSCA reassessed the water simulation study, and while deviations from OECD TG 309 were detected, these were not considered sufficiently critical to invalidate the study results. The results are considered valid with restrictions and are assigned a Klimisch score of 2. The realistic DT</w:t>
      </w:r>
      <w:r>
        <w:rPr>
          <w:rFonts w:ascii="Verdana" w:hAnsi="Verdana" w:cs="Verdana"/>
          <w:sz w:val="13"/>
          <w:szCs w:val="13"/>
        </w:rPr>
        <w:t xml:space="preserve">50 </w:t>
      </w:r>
      <w:r>
        <w:rPr>
          <w:rFonts w:ascii="Verdana" w:hAnsi="Verdana" w:cs="Verdana"/>
          <w:sz w:val="20"/>
          <w:szCs w:val="20"/>
        </w:rPr>
        <w:t>in freshwater for the substance was estimated to be 145 days at 12 °C, while the best-case DT</w:t>
      </w:r>
      <w:r>
        <w:rPr>
          <w:rFonts w:ascii="Verdana" w:hAnsi="Verdana" w:cs="Verdana"/>
          <w:sz w:val="13"/>
          <w:szCs w:val="13"/>
        </w:rPr>
        <w:t xml:space="preserve">50 </w:t>
      </w:r>
      <w:r>
        <w:rPr>
          <w:rFonts w:ascii="Verdana" w:hAnsi="Verdana" w:cs="Verdana"/>
          <w:sz w:val="20"/>
          <w:szCs w:val="20"/>
        </w:rPr>
        <w:t>in freshwater was estimated to be 74 days at 12 °C.</w:t>
      </w:r>
    </w:p>
    <w:p w14:paraId="31991C41" w14:textId="77777777" w:rsidR="00B371D3" w:rsidRDefault="00B371D3" w:rsidP="00B371D3">
      <w:pPr>
        <w:rPr>
          <w:rFonts w:ascii="Verdana" w:hAnsi="Verdana"/>
          <w:b/>
          <w:sz w:val="20"/>
          <w:szCs w:val="20"/>
        </w:rPr>
      </w:pPr>
    </w:p>
    <w:p w14:paraId="59DDB849" w14:textId="77777777" w:rsidR="00B371D3" w:rsidRDefault="00B371D3" w:rsidP="00B371D3">
      <w:pPr>
        <w:rPr>
          <w:rFonts w:ascii="Verdana" w:hAnsi="Verdana"/>
          <w:b/>
          <w:sz w:val="20"/>
          <w:szCs w:val="20"/>
        </w:rPr>
      </w:pPr>
    </w:p>
    <w:p w14:paraId="29F3BE15" w14:textId="77777777" w:rsidR="00B371D3" w:rsidRDefault="00B371D3" w:rsidP="00B371D3">
      <w:pPr>
        <w:rPr>
          <w:rFonts w:ascii="Verdana" w:hAnsi="Verdana"/>
          <w:b/>
          <w:sz w:val="20"/>
          <w:szCs w:val="20"/>
        </w:rPr>
      </w:pPr>
    </w:p>
    <w:p w14:paraId="06D0053F" w14:textId="77777777" w:rsidR="00B371D3" w:rsidRDefault="00B371D3" w:rsidP="00B371D3">
      <w:pPr>
        <w:rPr>
          <w:rFonts w:ascii="Verdana" w:hAnsi="Verdana"/>
          <w:b/>
          <w:sz w:val="20"/>
          <w:szCs w:val="20"/>
        </w:rPr>
      </w:pPr>
    </w:p>
    <w:p w14:paraId="7565FEA7" w14:textId="77777777" w:rsidR="00B371D3" w:rsidRDefault="00B371D3" w:rsidP="00B371D3">
      <w:pPr>
        <w:rPr>
          <w:rFonts w:ascii="Verdana" w:hAnsi="Verdana"/>
          <w:b/>
          <w:sz w:val="20"/>
          <w:szCs w:val="20"/>
        </w:rPr>
      </w:pPr>
    </w:p>
    <w:p w14:paraId="64E7326B" w14:textId="77777777" w:rsidR="00B371D3" w:rsidRDefault="00B371D3" w:rsidP="00B371D3">
      <w:pPr>
        <w:rPr>
          <w:rFonts w:ascii="Verdana" w:hAnsi="Verdana"/>
          <w:b/>
          <w:sz w:val="20"/>
          <w:szCs w:val="20"/>
        </w:rPr>
      </w:pPr>
    </w:p>
    <w:p w14:paraId="1486267D" w14:textId="77777777" w:rsidR="00B371D3" w:rsidRDefault="00B371D3" w:rsidP="00B371D3">
      <w:pPr>
        <w:rPr>
          <w:rFonts w:ascii="Verdana" w:hAnsi="Verdana"/>
          <w:b/>
          <w:sz w:val="20"/>
          <w:szCs w:val="20"/>
        </w:rPr>
      </w:pPr>
      <w:r>
        <w:rPr>
          <w:rFonts w:ascii="Verdana" w:hAnsi="Verdana"/>
          <w:b/>
          <w:sz w:val="20"/>
          <w:szCs w:val="20"/>
        </w:rPr>
        <w:t>Estimated / Predicted data</w:t>
      </w:r>
    </w:p>
    <w:tbl>
      <w:tblPr>
        <w:tblStyle w:val="TableGrid"/>
        <w:tblW w:w="0" w:type="auto"/>
        <w:tblLook w:val="04A0" w:firstRow="1" w:lastRow="0" w:firstColumn="1" w:lastColumn="0" w:noHBand="0" w:noVBand="1"/>
      </w:tblPr>
      <w:tblGrid>
        <w:gridCol w:w="3397"/>
        <w:gridCol w:w="2552"/>
        <w:gridCol w:w="2551"/>
        <w:gridCol w:w="3544"/>
      </w:tblGrid>
      <w:tr w:rsidR="00B371D3" w:rsidRPr="0094743C" w14:paraId="0FE01D3E" w14:textId="77777777" w:rsidTr="0010403B">
        <w:tc>
          <w:tcPr>
            <w:tcW w:w="3397" w:type="dxa"/>
            <w:shd w:val="clear" w:color="auto" w:fill="8496B0" w:themeFill="text2" w:themeFillTint="99"/>
          </w:tcPr>
          <w:p w14:paraId="797F474C" w14:textId="77777777" w:rsidR="00B371D3" w:rsidRPr="0094743C" w:rsidRDefault="00B371D3" w:rsidP="0010403B">
            <w:pPr>
              <w:rPr>
                <w:b/>
                <w:color w:val="FFFFFF" w:themeColor="background1"/>
              </w:rPr>
            </w:pPr>
          </w:p>
          <w:p w14:paraId="22DF302A" w14:textId="77777777" w:rsidR="00B371D3" w:rsidRPr="0094743C" w:rsidRDefault="00B371D3" w:rsidP="0010403B">
            <w:pPr>
              <w:rPr>
                <w:b/>
                <w:color w:val="FFFFFF" w:themeColor="background1"/>
              </w:rPr>
            </w:pPr>
            <w:r w:rsidRPr="0094743C">
              <w:rPr>
                <w:b/>
                <w:color w:val="FFFFFF" w:themeColor="background1"/>
              </w:rPr>
              <w:t>Type of Evidence / Data Source - Reference</w:t>
            </w:r>
          </w:p>
        </w:tc>
        <w:tc>
          <w:tcPr>
            <w:tcW w:w="2552" w:type="dxa"/>
            <w:shd w:val="clear" w:color="auto" w:fill="8496B0" w:themeFill="text2" w:themeFillTint="99"/>
          </w:tcPr>
          <w:p w14:paraId="674770FB" w14:textId="77777777" w:rsidR="00B371D3" w:rsidRPr="0094743C" w:rsidRDefault="00B371D3" w:rsidP="0010403B">
            <w:pPr>
              <w:rPr>
                <w:b/>
                <w:color w:val="FFFFFF" w:themeColor="background1"/>
              </w:rPr>
            </w:pPr>
          </w:p>
          <w:p w14:paraId="3AC63017" w14:textId="77777777" w:rsidR="00B371D3" w:rsidRPr="0094743C" w:rsidRDefault="00B371D3" w:rsidP="0010403B">
            <w:pPr>
              <w:rPr>
                <w:b/>
                <w:color w:val="FFFFFF" w:themeColor="background1"/>
              </w:rPr>
            </w:pPr>
            <w:r w:rsidRPr="0094743C">
              <w:rPr>
                <w:b/>
                <w:color w:val="FFFFFF" w:themeColor="background1"/>
              </w:rPr>
              <w:t>Relevance</w:t>
            </w:r>
          </w:p>
        </w:tc>
        <w:tc>
          <w:tcPr>
            <w:tcW w:w="2551" w:type="dxa"/>
            <w:shd w:val="clear" w:color="auto" w:fill="8496B0" w:themeFill="text2" w:themeFillTint="99"/>
          </w:tcPr>
          <w:p w14:paraId="602FB334" w14:textId="77777777" w:rsidR="00B371D3" w:rsidRPr="0094743C" w:rsidRDefault="00B371D3" w:rsidP="0010403B">
            <w:pPr>
              <w:rPr>
                <w:b/>
                <w:color w:val="FFFFFF" w:themeColor="background1"/>
              </w:rPr>
            </w:pPr>
          </w:p>
          <w:p w14:paraId="20FAAB5B" w14:textId="77777777" w:rsidR="00B371D3" w:rsidRPr="0094743C" w:rsidRDefault="00B371D3" w:rsidP="0010403B">
            <w:pPr>
              <w:rPr>
                <w:b/>
                <w:color w:val="FFFFFF" w:themeColor="background1"/>
              </w:rPr>
            </w:pPr>
            <w:r w:rsidRPr="0094743C">
              <w:rPr>
                <w:b/>
                <w:color w:val="FFFFFF" w:themeColor="background1"/>
              </w:rPr>
              <w:t xml:space="preserve">Reliability </w:t>
            </w:r>
          </w:p>
        </w:tc>
        <w:tc>
          <w:tcPr>
            <w:tcW w:w="3544" w:type="dxa"/>
            <w:shd w:val="clear" w:color="auto" w:fill="8496B0" w:themeFill="text2" w:themeFillTint="99"/>
          </w:tcPr>
          <w:p w14:paraId="4B8C9740" w14:textId="77777777" w:rsidR="00B371D3" w:rsidRPr="0094743C" w:rsidRDefault="00B371D3" w:rsidP="0010403B">
            <w:pPr>
              <w:rPr>
                <w:b/>
                <w:color w:val="FFFFFF" w:themeColor="background1"/>
              </w:rPr>
            </w:pPr>
          </w:p>
          <w:p w14:paraId="6B93603E" w14:textId="77777777" w:rsidR="00B371D3" w:rsidRPr="0094743C" w:rsidRDefault="00B371D3" w:rsidP="0010403B">
            <w:pPr>
              <w:rPr>
                <w:b/>
                <w:color w:val="FFFFFF" w:themeColor="background1"/>
              </w:rPr>
            </w:pPr>
            <w:r w:rsidRPr="0094743C">
              <w:rPr>
                <w:b/>
                <w:color w:val="FFFFFF" w:themeColor="background1"/>
              </w:rPr>
              <w:t>Adequacy</w:t>
            </w:r>
          </w:p>
        </w:tc>
      </w:tr>
      <w:tr w:rsidR="00B371D3" w:rsidRPr="0094743C" w14:paraId="03DF7B85" w14:textId="77777777" w:rsidTr="0010403B">
        <w:trPr>
          <w:trHeight w:val="522"/>
        </w:trPr>
        <w:tc>
          <w:tcPr>
            <w:tcW w:w="3397" w:type="dxa"/>
          </w:tcPr>
          <w:p w14:paraId="23CE8A99" w14:textId="77777777" w:rsidR="00B371D3" w:rsidRPr="0094743C" w:rsidRDefault="00B371D3" w:rsidP="0010403B">
            <w:pPr>
              <w:spacing w:after="200" w:line="276" w:lineRule="auto"/>
            </w:pPr>
            <w:r w:rsidRPr="0094743C">
              <w:t>EPIWIN</w:t>
            </w:r>
            <w:r>
              <w:t xml:space="preserve"> BioWin v.4.10</w:t>
            </w:r>
          </w:p>
          <w:p w14:paraId="45A7D677" w14:textId="77777777" w:rsidR="00B371D3" w:rsidRPr="0094743C" w:rsidRDefault="00B371D3" w:rsidP="0010403B">
            <w:pPr>
              <w:spacing w:after="200" w:line="276" w:lineRule="auto"/>
            </w:pPr>
          </w:p>
        </w:tc>
        <w:tc>
          <w:tcPr>
            <w:tcW w:w="2552" w:type="dxa"/>
          </w:tcPr>
          <w:p w14:paraId="52DB66A0" w14:textId="77777777" w:rsidR="00B371D3" w:rsidRPr="0094743C" w:rsidRDefault="00B371D3" w:rsidP="0010403B">
            <w:r>
              <w:t>Considered in integration step</w:t>
            </w:r>
          </w:p>
        </w:tc>
        <w:tc>
          <w:tcPr>
            <w:tcW w:w="2551" w:type="dxa"/>
          </w:tcPr>
          <w:p w14:paraId="45FCE855" w14:textId="77777777" w:rsidR="00B371D3" w:rsidRPr="0094743C" w:rsidRDefault="00B371D3" w:rsidP="0010403B">
            <w:r>
              <w:t>Yes, on basis of QSAR assessment of the predictivity of the model taking into account ECHA Guidance provisions for use of this model</w:t>
            </w:r>
          </w:p>
        </w:tc>
        <w:tc>
          <w:tcPr>
            <w:tcW w:w="3544" w:type="dxa"/>
          </w:tcPr>
          <w:p w14:paraId="1269E76A" w14:textId="77777777" w:rsidR="00B371D3" w:rsidRPr="0094743C" w:rsidRDefault="00B371D3" w:rsidP="0010403B">
            <w:r>
              <w:t xml:space="preserve">Adequate as useful in WoE approach to characterise Biodegradation. </w:t>
            </w:r>
          </w:p>
        </w:tc>
      </w:tr>
      <w:tr w:rsidR="00B371D3" w:rsidRPr="0094743C" w14:paraId="181E5A22" w14:textId="77777777" w:rsidTr="0010403B">
        <w:tc>
          <w:tcPr>
            <w:tcW w:w="3397" w:type="dxa"/>
          </w:tcPr>
          <w:p w14:paraId="2F923EA9" w14:textId="77777777" w:rsidR="00B371D3" w:rsidRPr="0094743C" w:rsidRDefault="00B371D3" w:rsidP="0010403B">
            <w:pPr>
              <w:spacing w:after="200" w:line="276" w:lineRule="auto"/>
            </w:pPr>
            <w:r w:rsidRPr="0094743C">
              <w:t>CATABOL</w:t>
            </w:r>
          </w:p>
        </w:tc>
        <w:tc>
          <w:tcPr>
            <w:tcW w:w="2552" w:type="dxa"/>
          </w:tcPr>
          <w:p w14:paraId="187AACB8" w14:textId="77777777" w:rsidR="00B371D3" w:rsidRPr="0094743C" w:rsidRDefault="00B371D3" w:rsidP="0010403B">
            <w:r>
              <w:t>Considered in integration step</w:t>
            </w:r>
          </w:p>
        </w:tc>
        <w:tc>
          <w:tcPr>
            <w:tcW w:w="2551" w:type="dxa"/>
          </w:tcPr>
          <w:p w14:paraId="3540C1B9" w14:textId="77777777" w:rsidR="00B371D3" w:rsidRPr="0094743C" w:rsidRDefault="00B371D3" w:rsidP="0010403B">
            <w:r>
              <w:t>Considered in integration step</w:t>
            </w:r>
          </w:p>
        </w:tc>
        <w:tc>
          <w:tcPr>
            <w:tcW w:w="3544" w:type="dxa"/>
          </w:tcPr>
          <w:p w14:paraId="10549680" w14:textId="77777777" w:rsidR="00B371D3" w:rsidRPr="0094743C" w:rsidRDefault="00B371D3" w:rsidP="0010403B">
            <w:r>
              <w:t>Adequate as useful in WoE approach for estimation of percentage of mineralisation in OECD TG 301C or 301F tests</w:t>
            </w:r>
          </w:p>
        </w:tc>
      </w:tr>
      <w:tr w:rsidR="00B371D3" w:rsidRPr="0094743C" w14:paraId="26BA04C0" w14:textId="77777777" w:rsidTr="0010403B">
        <w:tc>
          <w:tcPr>
            <w:tcW w:w="3397" w:type="dxa"/>
          </w:tcPr>
          <w:p w14:paraId="5F749594" w14:textId="77777777" w:rsidR="00B371D3" w:rsidRPr="0094743C" w:rsidRDefault="00B371D3" w:rsidP="0010403B">
            <w:pPr>
              <w:spacing w:after="200" w:line="276" w:lineRule="auto"/>
            </w:pPr>
            <w:r w:rsidRPr="0094743C">
              <w:t>OECD QSAR Toolbox</w:t>
            </w:r>
          </w:p>
        </w:tc>
        <w:tc>
          <w:tcPr>
            <w:tcW w:w="2552" w:type="dxa"/>
          </w:tcPr>
          <w:p w14:paraId="169B36B2" w14:textId="77777777" w:rsidR="00B371D3" w:rsidRPr="0094743C" w:rsidRDefault="00B371D3" w:rsidP="0010403B">
            <w:r>
              <w:t>Considered in integration step</w:t>
            </w:r>
          </w:p>
        </w:tc>
        <w:tc>
          <w:tcPr>
            <w:tcW w:w="2551" w:type="dxa"/>
          </w:tcPr>
          <w:p w14:paraId="5B8DFBAA" w14:textId="77777777" w:rsidR="00B371D3" w:rsidRPr="0094743C" w:rsidRDefault="00B371D3" w:rsidP="0010403B">
            <w:r>
              <w:t>Considered in integration step</w:t>
            </w:r>
          </w:p>
        </w:tc>
        <w:tc>
          <w:tcPr>
            <w:tcW w:w="3544" w:type="dxa"/>
          </w:tcPr>
          <w:p w14:paraId="70FCA104" w14:textId="77777777" w:rsidR="00B371D3" w:rsidRPr="0094743C" w:rsidRDefault="00B371D3" w:rsidP="0010403B">
            <w:r>
              <w:t>Adequate as useful in WoE approach for predicting biotic degradation pathway</w:t>
            </w:r>
          </w:p>
        </w:tc>
      </w:tr>
      <w:tr w:rsidR="00B371D3" w:rsidRPr="0094743C" w14:paraId="56FDD7E5" w14:textId="77777777" w:rsidTr="0010403B">
        <w:tc>
          <w:tcPr>
            <w:tcW w:w="3397" w:type="dxa"/>
          </w:tcPr>
          <w:p w14:paraId="4954FB9D" w14:textId="77777777" w:rsidR="00B371D3" w:rsidRPr="0094743C" w:rsidRDefault="00B371D3" w:rsidP="0010403B">
            <w:pPr>
              <w:spacing w:after="200" w:line="276" w:lineRule="auto"/>
            </w:pPr>
            <w:r w:rsidRPr="0094743C">
              <w:t>METEOR</w:t>
            </w:r>
          </w:p>
        </w:tc>
        <w:tc>
          <w:tcPr>
            <w:tcW w:w="2552" w:type="dxa"/>
          </w:tcPr>
          <w:p w14:paraId="5C4582E9" w14:textId="77777777" w:rsidR="00B371D3" w:rsidRPr="0094743C" w:rsidRDefault="00B371D3" w:rsidP="0010403B">
            <w:r>
              <w:t>Considered in integration step</w:t>
            </w:r>
          </w:p>
        </w:tc>
        <w:tc>
          <w:tcPr>
            <w:tcW w:w="2551" w:type="dxa"/>
          </w:tcPr>
          <w:p w14:paraId="71BC0C6B" w14:textId="77777777" w:rsidR="00B371D3" w:rsidRPr="0094743C" w:rsidRDefault="00B371D3" w:rsidP="0010403B">
            <w:r>
              <w:t>Considered in integration step</w:t>
            </w:r>
          </w:p>
        </w:tc>
        <w:tc>
          <w:tcPr>
            <w:tcW w:w="3544" w:type="dxa"/>
          </w:tcPr>
          <w:p w14:paraId="563554AA" w14:textId="77777777" w:rsidR="00B371D3" w:rsidRPr="0094743C" w:rsidRDefault="00B371D3" w:rsidP="0010403B">
            <w:r>
              <w:t>Adequate as useful in WoE approach for predicting biotic degradation pathway</w:t>
            </w:r>
          </w:p>
        </w:tc>
      </w:tr>
      <w:tr w:rsidR="00B371D3" w:rsidRPr="0094743C" w14:paraId="5547F546" w14:textId="77777777" w:rsidTr="0010403B">
        <w:tc>
          <w:tcPr>
            <w:tcW w:w="3397" w:type="dxa"/>
          </w:tcPr>
          <w:p w14:paraId="635059BC" w14:textId="77777777" w:rsidR="00B371D3" w:rsidRPr="0094743C" w:rsidRDefault="00B371D3" w:rsidP="0010403B">
            <w:pPr>
              <w:spacing w:after="200" w:line="276" w:lineRule="auto"/>
            </w:pPr>
            <w:r>
              <w:t>EAWAG-BBD Pathway Prediction System</w:t>
            </w:r>
          </w:p>
        </w:tc>
        <w:tc>
          <w:tcPr>
            <w:tcW w:w="2552" w:type="dxa"/>
          </w:tcPr>
          <w:p w14:paraId="1C8F7091" w14:textId="77777777" w:rsidR="00B371D3" w:rsidRPr="0094743C" w:rsidRDefault="00B371D3" w:rsidP="0010403B">
            <w:r>
              <w:t>Considered in integration step</w:t>
            </w:r>
          </w:p>
        </w:tc>
        <w:tc>
          <w:tcPr>
            <w:tcW w:w="2551" w:type="dxa"/>
          </w:tcPr>
          <w:p w14:paraId="45DE3A66" w14:textId="77777777" w:rsidR="00B371D3" w:rsidRPr="0094743C" w:rsidRDefault="00B371D3" w:rsidP="0010403B">
            <w:r>
              <w:t>Considered in integration step</w:t>
            </w:r>
          </w:p>
        </w:tc>
        <w:tc>
          <w:tcPr>
            <w:tcW w:w="3544" w:type="dxa"/>
          </w:tcPr>
          <w:p w14:paraId="79733F15" w14:textId="77777777" w:rsidR="00B371D3" w:rsidRPr="0094743C" w:rsidRDefault="00B371D3" w:rsidP="0010403B">
            <w:r>
              <w:t>Adequate as useful in WoE approach for predicting biotic degradation pathway</w:t>
            </w:r>
          </w:p>
        </w:tc>
      </w:tr>
    </w:tbl>
    <w:p w14:paraId="449966F4" w14:textId="77777777" w:rsidR="00B371D3" w:rsidRDefault="00B371D3" w:rsidP="00B371D3">
      <w:pPr>
        <w:rPr>
          <w:rFonts w:ascii="Verdana" w:hAnsi="Verdana"/>
          <w:b/>
          <w:sz w:val="20"/>
          <w:szCs w:val="20"/>
        </w:rPr>
      </w:pPr>
    </w:p>
    <w:p w14:paraId="4C0F8764" w14:textId="77777777" w:rsidR="00B371D3" w:rsidRDefault="00B371D3" w:rsidP="00B371D3">
      <w:pPr>
        <w:rPr>
          <w:rFonts w:ascii="Verdana" w:hAnsi="Verdana"/>
          <w:sz w:val="20"/>
          <w:szCs w:val="20"/>
        </w:rPr>
      </w:pPr>
      <w:r>
        <w:rPr>
          <w:rFonts w:ascii="Verdana" w:hAnsi="Verdana"/>
          <w:sz w:val="20"/>
          <w:szCs w:val="20"/>
        </w:rPr>
        <w:t xml:space="preserve">Relevance and reliability are not specifically assessed for the estimated data at this step but the overall quality is further assessed in the next step of weighing the evidence and integration. </w:t>
      </w:r>
    </w:p>
    <w:p w14:paraId="0AC9DEA0"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For both positional isomers with undefined stereochemistry, biodegradation and</w:t>
      </w:r>
    </w:p>
    <w:p w14:paraId="7D6E44B0"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metabolism were estimated using the QSARs listed below. The obtained predictions did</w:t>
      </w:r>
    </w:p>
    <w:p w14:paraId="0A4E065B"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not differ. </w:t>
      </w:r>
    </w:p>
    <w:p w14:paraId="6E56929E"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0A43B522"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62888508"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2A648024"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6C949EB2"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1C9906A8"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35A11567"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7FBED6FF" w14:textId="77777777" w:rsidR="00B371D3" w:rsidRDefault="00B371D3" w:rsidP="00B371D3">
      <w:pPr>
        <w:autoSpaceDE w:val="0"/>
        <w:autoSpaceDN w:val="0"/>
        <w:adjustRightInd w:val="0"/>
        <w:spacing w:after="0" w:line="240" w:lineRule="auto"/>
        <w:rPr>
          <w:rFonts w:ascii="Verdana" w:hAnsi="Verdana" w:cs="Verdana"/>
          <w:b/>
          <w:sz w:val="20"/>
          <w:szCs w:val="20"/>
        </w:rPr>
      </w:pPr>
    </w:p>
    <w:p w14:paraId="574AF8E2" w14:textId="77777777" w:rsidR="00B371D3" w:rsidRPr="00B0299D" w:rsidRDefault="00B371D3" w:rsidP="00B371D3">
      <w:pPr>
        <w:autoSpaceDE w:val="0"/>
        <w:autoSpaceDN w:val="0"/>
        <w:adjustRightInd w:val="0"/>
        <w:spacing w:after="0" w:line="240" w:lineRule="auto"/>
        <w:rPr>
          <w:rFonts w:ascii="Verdana" w:hAnsi="Verdana" w:cs="Verdana"/>
          <w:b/>
          <w:sz w:val="20"/>
          <w:szCs w:val="20"/>
        </w:rPr>
      </w:pPr>
      <w:r w:rsidRPr="00B0299D">
        <w:rPr>
          <w:rFonts w:ascii="Verdana" w:hAnsi="Verdana" w:cs="Verdana"/>
          <w:b/>
          <w:sz w:val="20"/>
          <w:szCs w:val="20"/>
        </w:rPr>
        <w:t>EPIWIN</w:t>
      </w:r>
    </w:p>
    <w:p w14:paraId="723AE6DE"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Biodegradation can be estimated by the EPIWIN program BioWin v.4.10. The outcome for the Biowin 2 model is 0.0001 and the outcome for the Biowin 6 model 0.0186, which means that the substance is predicted to be not inherently, nor readily degradable respectively. The outcome of the Biowin 3 model for ultimate biodegradation is 2.3809, which corresponds to an estimated mineralization half-life of weeks to months. The exact value would correspond to a half-life in water of 40 days (Aronson et al., 2006). ECHA Guidance on Information Requirements and Chemical Safety Assessment, Chapter R.11, states that a substance is considered as potentially persistent if the value for Biowin 2 or 6 is below 0.5, and the value for Biowin 3 is below 2.25. Borderline cases with Biowin 3 between 2.25 and 2.75 should be carefully examined (ECHA, 2014b).</w:t>
      </w:r>
    </w:p>
    <w:p w14:paraId="58B7BAA6" w14:textId="77777777" w:rsidR="00B371D3" w:rsidRDefault="00B371D3" w:rsidP="00B371D3">
      <w:pPr>
        <w:rPr>
          <w:rFonts w:ascii="Verdana" w:hAnsi="Verdana" w:cs="Verdana"/>
          <w:sz w:val="20"/>
          <w:szCs w:val="20"/>
        </w:rPr>
      </w:pPr>
    </w:p>
    <w:p w14:paraId="1B8050A4" w14:textId="77777777" w:rsidR="00B371D3" w:rsidRPr="00B0299D" w:rsidRDefault="00B371D3" w:rsidP="00B371D3">
      <w:pPr>
        <w:autoSpaceDE w:val="0"/>
        <w:autoSpaceDN w:val="0"/>
        <w:adjustRightInd w:val="0"/>
        <w:spacing w:after="0" w:line="240" w:lineRule="auto"/>
        <w:rPr>
          <w:rFonts w:ascii="Verdana" w:hAnsi="Verdana" w:cs="Verdana"/>
          <w:b/>
          <w:sz w:val="20"/>
          <w:szCs w:val="20"/>
        </w:rPr>
      </w:pPr>
      <w:r w:rsidRPr="00B0299D">
        <w:rPr>
          <w:rFonts w:ascii="Verdana" w:hAnsi="Verdana" w:cs="Verdana"/>
          <w:b/>
          <w:sz w:val="20"/>
          <w:szCs w:val="20"/>
        </w:rPr>
        <w:t>CATABOL</w:t>
      </w:r>
    </w:p>
    <w:p w14:paraId="24A2715B"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Another program to assess biodegradability is CATABOL. This program estimates the percentage of mineralization in OECD TG 301C or 301F tests. The outcome of the model is 20.8% degradation after 28 days, which means that under the conditions of the OECD 301 tests the substance will only be partly degraded. However, it predicts that primary degradations occur within 28 days, starting with epoxidation of the double bond. It should be noted that 20% mineralization as an experimental result in the OECD 302 series of test guidelines is considered as no mineralization (OECD, 2006). Values between 20-50% ThOD are considered partly mineralized (stable metabolites formed). </w:t>
      </w:r>
    </w:p>
    <w:p w14:paraId="06E3785E" w14:textId="77777777" w:rsidR="00B371D3" w:rsidRDefault="00B371D3" w:rsidP="00B371D3">
      <w:pPr>
        <w:autoSpaceDE w:val="0"/>
        <w:autoSpaceDN w:val="0"/>
        <w:adjustRightInd w:val="0"/>
        <w:spacing w:after="0" w:line="240" w:lineRule="auto"/>
        <w:rPr>
          <w:rFonts w:ascii="Verdana" w:hAnsi="Verdana" w:cs="Verdana"/>
          <w:sz w:val="20"/>
          <w:szCs w:val="20"/>
        </w:rPr>
      </w:pPr>
    </w:p>
    <w:p w14:paraId="5F8D6C7D" w14:textId="77777777" w:rsidR="00B371D3" w:rsidRPr="00B0299D" w:rsidRDefault="00B371D3" w:rsidP="00B371D3">
      <w:pPr>
        <w:autoSpaceDE w:val="0"/>
        <w:autoSpaceDN w:val="0"/>
        <w:adjustRightInd w:val="0"/>
        <w:spacing w:after="0" w:line="240" w:lineRule="auto"/>
        <w:rPr>
          <w:rFonts w:ascii="Verdana" w:hAnsi="Verdana" w:cs="Verdana"/>
          <w:b/>
          <w:sz w:val="20"/>
          <w:szCs w:val="20"/>
        </w:rPr>
      </w:pPr>
      <w:r w:rsidRPr="00B0299D">
        <w:rPr>
          <w:rFonts w:ascii="Verdana" w:hAnsi="Verdana" w:cs="Verdana"/>
          <w:b/>
          <w:sz w:val="20"/>
          <w:szCs w:val="20"/>
        </w:rPr>
        <w:t>OECD QSAR Toolbox</w:t>
      </w:r>
    </w:p>
    <w:p w14:paraId="4F87D60B"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predictions for biotic degradation pathways (microbial) in the OECD QSAR Toolbox (v3.3) show a myriad of possibilities yielding up to 134 possible metabolites. The majority of these metabolites are formed following oxidation of the ring, and/or the alkyl substitution of carbon atoms at different positions. There is no indication of the likelihood of any of these possible transformations given in the Toolbox.</w:t>
      </w:r>
    </w:p>
    <w:p w14:paraId="292B4DA6" w14:textId="77777777" w:rsidR="00B371D3" w:rsidRDefault="00B371D3" w:rsidP="00B371D3">
      <w:pPr>
        <w:autoSpaceDE w:val="0"/>
        <w:autoSpaceDN w:val="0"/>
        <w:adjustRightInd w:val="0"/>
        <w:spacing w:after="0" w:line="240" w:lineRule="auto"/>
        <w:rPr>
          <w:rFonts w:ascii="Verdana" w:hAnsi="Verdana" w:cs="Verdana"/>
          <w:sz w:val="20"/>
          <w:szCs w:val="20"/>
        </w:rPr>
      </w:pPr>
    </w:p>
    <w:p w14:paraId="7D4E911F" w14:textId="77777777" w:rsidR="00B371D3" w:rsidRPr="00B0299D" w:rsidRDefault="00B371D3" w:rsidP="00B371D3">
      <w:pPr>
        <w:autoSpaceDE w:val="0"/>
        <w:autoSpaceDN w:val="0"/>
        <w:adjustRightInd w:val="0"/>
        <w:spacing w:after="0" w:line="240" w:lineRule="auto"/>
        <w:rPr>
          <w:rFonts w:ascii="Verdana" w:hAnsi="Verdana" w:cs="Verdana"/>
          <w:b/>
          <w:sz w:val="20"/>
          <w:szCs w:val="20"/>
        </w:rPr>
      </w:pPr>
      <w:r w:rsidRPr="00B0299D">
        <w:rPr>
          <w:rFonts w:ascii="Verdana" w:hAnsi="Verdana" w:cs="Verdana"/>
          <w:b/>
          <w:sz w:val="20"/>
          <w:szCs w:val="20"/>
        </w:rPr>
        <w:t>METEOR</w:t>
      </w:r>
    </w:p>
    <w:p w14:paraId="4A225ED4"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METEOR is a rule-based expert system used to predict the metabolic fate of a query </w:t>
      </w:r>
      <w:r w:rsidRPr="00B0299D">
        <w:rPr>
          <w:rFonts w:ascii="Verdana" w:hAnsi="Verdana" w:cs="Verdana"/>
          <w:sz w:val="20"/>
          <w:szCs w:val="20"/>
        </w:rPr>
        <w:t xml:space="preserve">chemical structure (Marchant et al., 2008). </w:t>
      </w:r>
      <w:r>
        <w:rPr>
          <w:rFonts w:ascii="Verdana" w:hAnsi="Verdana" w:cs="Verdana"/>
          <w:sz w:val="20"/>
          <w:szCs w:val="20"/>
        </w:rPr>
        <w:t>METEOR predicts the oxidation (-OH) of the hexene-ring system and the methyl substituents as most probable (first pass) metabolites for the substance, which is in line with the OECD QSAR Toolbox predictions for microbial metabolism. Dioxane ring opening, through hydrolysis, was not predicted. Plausible metabolites are indicated by a yellow header in the metabolic scheme below, and are for clarity also shown enlarged.</w:t>
      </w:r>
    </w:p>
    <w:p w14:paraId="239CBB91" w14:textId="77777777" w:rsidR="00B371D3" w:rsidRDefault="00B371D3" w:rsidP="00B371D3">
      <w:pPr>
        <w:rPr>
          <w:rFonts w:ascii="Verdana" w:hAnsi="Verdana" w:cs="Verdana"/>
          <w:sz w:val="20"/>
          <w:szCs w:val="20"/>
        </w:rPr>
      </w:pPr>
      <w:r>
        <w:rPr>
          <w:rFonts w:ascii="Verdana" w:hAnsi="Verdana" w:cs="Verdana"/>
          <w:sz w:val="20"/>
          <w:szCs w:val="20"/>
        </w:rPr>
        <w:lastRenderedPageBreak/>
        <w:br w:type="page"/>
      </w:r>
    </w:p>
    <w:p w14:paraId="4ED46744" w14:textId="77777777" w:rsidR="00B371D3" w:rsidRPr="00B0299D" w:rsidRDefault="00B371D3" w:rsidP="00B371D3">
      <w:pPr>
        <w:autoSpaceDE w:val="0"/>
        <w:autoSpaceDN w:val="0"/>
        <w:adjustRightInd w:val="0"/>
        <w:spacing w:after="0" w:line="240" w:lineRule="auto"/>
        <w:rPr>
          <w:rFonts w:ascii="Verdana" w:hAnsi="Verdana" w:cs="Verdana"/>
          <w:b/>
          <w:sz w:val="20"/>
          <w:szCs w:val="20"/>
        </w:rPr>
      </w:pPr>
      <w:r w:rsidRPr="00B0299D">
        <w:rPr>
          <w:rFonts w:ascii="Verdana" w:hAnsi="Verdana" w:cs="Verdana"/>
          <w:b/>
          <w:sz w:val="20"/>
          <w:szCs w:val="20"/>
        </w:rPr>
        <w:lastRenderedPageBreak/>
        <w:t>EAWAG-BBD Pathway Prediction System</w:t>
      </w:r>
    </w:p>
    <w:p w14:paraId="458A8161"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The most detailed prediction of microbial degradation is given by the Pathway Prediction System of the University of Minnesota Biodegradation and Bioremedation Database which now is now hosted at EAWAG, Switzerland (EAWAG-BBD PPS) (Gao et al., 2010). This prediction system shows the most likely (aerobic) degradation pathway to start with oxidation and subsequent ring opening of the 1,3-dioxane ring. The first step, i.e. oxidation in the </w:t>
      </w:r>
      <w:r>
        <w:rPr>
          <w:rFonts w:ascii="Verdana,Italic" w:hAnsi="Verdana,Italic" w:cs="Verdana,Italic"/>
          <w:i/>
          <w:iCs/>
          <w:sz w:val="20"/>
          <w:szCs w:val="20"/>
        </w:rPr>
        <w:t xml:space="preserve">ortho </w:t>
      </w:r>
      <w:r>
        <w:rPr>
          <w:rFonts w:ascii="Verdana" w:hAnsi="Verdana" w:cs="Verdana"/>
          <w:sz w:val="20"/>
          <w:szCs w:val="20"/>
        </w:rPr>
        <w:t>position to the ring oxygen, is thought to be the crucial (rate limiting) step, as the subsequent ring opening steps are considered to be more likely to occur.</w:t>
      </w:r>
    </w:p>
    <w:p w14:paraId="6D9252BB" w14:textId="77777777" w:rsidR="00B371D3" w:rsidRDefault="00B371D3" w:rsidP="00B371D3">
      <w:pPr>
        <w:rPr>
          <w:rFonts w:ascii="Verdana" w:hAnsi="Verdana" w:cs="Verdana"/>
          <w:sz w:val="20"/>
          <w:szCs w:val="20"/>
        </w:rPr>
      </w:pPr>
      <w:r>
        <w:rPr>
          <w:rFonts w:ascii="Verdana" w:hAnsi="Verdana" w:cs="Verdana"/>
          <w:sz w:val="20"/>
          <w:szCs w:val="20"/>
        </w:rPr>
        <w:t>The likelihood of the EAWAG-BBD PPS predicted first step is indicated to be “neutral”.</w:t>
      </w:r>
    </w:p>
    <w:p w14:paraId="217CD0BD"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prediction for the transformation of the 1,3-dioxane ring is predominantly based on the observed microbial transformation of 1,4-dioxane, as documented in Mahendra et al. (2007) (Figure 5). Although the mineralization in the laboratory of 1,4-dioxane is observed in “reinkultures” of monooxygenase expressing bacteria, both in growth supporting as well as co-metabolic mechanisms, this does not necessarily mean that this transformation will also occur in the environment.</w:t>
      </w:r>
    </w:p>
    <w:p w14:paraId="4C609F6D" w14:textId="77777777" w:rsidR="00B371D3" w:rsidRDefault="00B371D3" w:rsidP="00B371D3">
      <w:pPr>
        <w:rPr>
          <w:rFonts w:ascii="Verdana" w:hAnsi="Verdana" w:cs="Verdana"/>
          <w:sz w:val="20"/>
          <w:szCs w:val="20"/>
        </w:rPr>
      </w:pPr>
    </w:p>
    <w:p w14:paraId="31D0FE5A"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On the ECHA dissemination website two ready biodegradability studies are available for 1,4-dioxane (CAS number 123-91-1; EC number 204-661-8). In the Manometric Respirometry test according to OECD TG 301F less than 10% of 1,4-dioxane degraded after 29 days based on oxygen consumption, while in the Headspace Test according to OECD TG 310 less than 5% degraded after 60 days based on CO</w:t>
      </w:r>
      <w:r>
        <w:rPr>
          <w:rFonts w:ascii="Verdana" w:hAnsi="Verdana" w:cs="Verdana"/>
          <w:sz w:val="13"/>
          <w:szCs w:val="13"/>
        </w:rPr>
        <w:t xml:space="preserve">2 </w:t>
      </w:r>
      <w:r>
        <w:rPr>
          <w:rFonts w:ascii="Verdana" w:hAnsi="Verdana" w:cs="Verdana"/>
          <w:sz w:val="20"/>
          <w:szCs w:val="20"/>
        </w:rPr>
        <w:t>evolution. These studies are reliable, with the first study being assigned a Klimisch score of 2 by the registrants as it was not GLP-compliant, and the latter GLP-compliant test a Klimisch score of 1. From these studies, it can be concluded that 1,4-dioxane is not ready biodegradable. In fact, 1,4-dioxane appears to be poorly biodegradable even after prolonged test duration. In a literature study, the biodegradation potential of 1,4-dioxane in river (n=4), soil (n=13) and activated sludge (n=3) samples was investigated (Sei et al., 2010). Biodegradation of 1,4-dioxane was observed in five out of six soil samples derived from the drainage area of a chemical factory producing 1,4-dioxane (&lt;LOD within 33 days), and in one activated sludge sample via cometabolic degradation in the presence tetrahydrofuran (69% within 14 days). However, the majority of the samples, i.e. 14 out of 20, were not able to degrade 1,4-dioxane at all. Thus, it can be concluded that the potential for 1,4-dioxane degradation is not ubiquitously distributed in natural environment. Based on the above biodegradation studies with 1,4-dioxane, it seems likely that the same holds true for the biodegradation potential of 1,3 dioxane and substituted 1,3- dioxane substances like the substance, as these are thought to biodegrade via the same pathways. Furthermore, the bulky branched alkane substituents at the 5-position (-5- methane-5-butan-2-yl) present in the substance might also form a steric hindrance to the monoxygenase enzyme responsible for the first dioxane ring oxidation step.</w:t>
      </w:r>
    </w:p>
    <w:p w14:paraId="39BA8FCC" w14:textId="77777777" w:rsidR="00B371D3" w:rsidRDefault="00B371D3" w:rsidP="00B371D3">
      <w:pPr>
        <w:autoSpaceDE w:val="0"/>
        <w:autoSpaceDN w:val="0"/>
        <w:adjustRightInd w:val="0"/>
        <w:spacing w:after="0" w:line="240" w:lineRule="auto"/>
        <w:rPr>
          <w:rFonts w:ascii="Verdana" w:hAnsi="Verdana" w:cs="Verdana"/>
          <w:sz w:val="20"/>
          <w:szCs w:val="20"/>
        </w:rPr>
      </w:pPr>
    </w:p>
    <w:p w14:paraId="452B5B6D"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EAWAG-BBD PPS predicted next step is the actual ring opening catalyzed by an isomerase enzyme (not hydrolysis) of the 1,3-dioxane ring, which is indicated to be “very likely”. Following the above described initial oxidation of the 1,3-dioxane ring (step 1), and subsequent ring opening (step 2), the next step (step 3) is another hemiacetal to alcohol and aldehyde transformation by another isomerase enzyme. The remains of the opened 1,3-dioxane ring are split off from the cyclohexene ring in this step.</w:t>
      </w:r>
    </w:p>
    <w:p w14:paraId="2B5F4807"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Based on the above discussion, it is clear that although microbial degradation is possible and observed in lab-studies, the biodegradation studies for 1,4-dioxane show that the oxidation, and subsequent ring opening of cyclic ethers (such as 1,4-dioxane and 1,3- dioxane, and </w:t>
      </w:r>
      <w:r>
        <w:rPr>
          <w:rFonts w:ascii="Verdana" w:hAnsi="Verdana" w:cs="Verdana"/>
          <w:sz w:val="20"/>
          <w:szCs w:val="20"/>
        </w:rPr>
        <w:lastRenderedPageBreak/>
        <w:t>the substance) is not expected to occur in biodegradation simulation studies or to yield significant mineralization rates in the environment.</w:t>
      </w:r>
    </w:p>
    <w:p w14:paraId="015B0FCF" w14:textId="77777777" w:rsidR="00B371D3" w:rsidRDefault="00B371D3" w:rsidP="00B371D3">
      <w:pPr>
        <w:rPr>
          <w:rFonts w:ascii="Verdana" w:hAnsi="Verdana"/>
          <w:b/>
          <w:sz w:val="20"/>
          <w:szCs w:val="20"/>
        </w:rPr>
      </w:pPr>
      <w:r>
        <w:rPr>
          <w:rFonts w:ascii="Verdana" w:hAnsi="Verdana"/>
          <w:b/>
          <w:sz w:val="20"/>
          <w:szCs w:val="20"/>
        </w:rPr>
        <w:br w:type="page"/>
      </w:r>
    </w:p>
    <w:p w14:paraId="1D7A34D2" w14:textId="77777777" w:rsidR="00B371D3" w:rsidRDefault="00B371D3" w:rsidP="00233E2A">
      <w:pPr>
        <w:pStyle w:val="ListParagraph"/>
        <w:widowControl/>
        <w:numPr>
          <w:ilvl w:val="0"/>
          <w:numId w:val="31"/>
        </w:numPr>
        <w:spacing w:after="160" w:line="259" w:lineRule="auto"/>
        <w:rPr>
          <w:b/>
          <w:sz w:val="24"/>
          <w:szCs w:val="24"/>
        </w:rPr>
      </w:pPr>
      <w:r w:rsidRPr="0094743C">
        <w:rPr>
          <w:b/>
          <w:sz w:val="24"/>
          <w:szCs w:val="24"/>
        </w:rPr>
        <w:lastRenderedPageBreak/>
        <w:t xml:space="preserve">Integration </w:t>
      </w:r>
      <w:r>
        <w:rPr>
          <w:b/>
          <w:sz w:val="24"/>
          <w:szCs w:val="24"/>
        </w:rPr>
        <w:t>and Weighing of Evidence &amp; Application of Levels of Confidence</w:t>
      </w:r>
    </w:p>
    <w:p w14:paraId="74490DBD" w14:textId="77777777" w:rsidR="00B371D3" w:rsidRDefault="00B371D3" w:rsidP="00B371D3">
      <w:pPr>
        <w:rPr>
          <w:rFonts w:ascii="Verdana" w:hAnsi="Verdana"/>
          <w:b/>
          <w:sz w:val="24"/>
          <w:szCs w:val="24"/>
        </w:rPr>
      </w:pPr>
    </w:p>
    <w:p w14:paraId="31A112DF" w14:textId="77777777" w:rsidR="00B371D3" w:rsidRDefault="00B371D3" w:rsidP="00B371D3">
      <w:pPr>
        <w:rPr>
          <w:rFonts w:ascii="Verdana" w:hAnsi="Verdana"/>
          <w:b/>
          <w:sz w:val="24"/>
          <w:szCs w:val="24"/>
        </w:rPr>
      </w:pPr>
      <w:r>
        <w:rPr>
          <w:rFonts w:ascii="Verdana" w:hAnsi="Verdana"/>
          <w:b/>
          <w:sz w:val="24"/>
          <w:szCs w:val="24"/>
        </w:rPr>
        <w:t>4.1 Abiotic Degradation / Hydrolysis</w:t>
      </w:r>
    </w:p>
    <w:p w14:paraId="0B5DB2FB" w14:textId="77777777" w:rsidR="00B371D3" w:rsidRDefault="00B371D3" w:rsidP="00B371D3">
      <w:pPr>
        <w:autoSpaceDE w:val="0"/>
        <w:autoSpaceDN w:val="0"/>
        <w:adjustRightInd w:val="0"/>
        <w:spacing w:after="0" w:line="240" w:lineRule="auto"/>
        <w:rPr>
          <w:rFonts w:ascii="Verdana" w:hAnsi="Verdana" w:cs="Verdana"/>
          <w:sz w:val="20"/>
          <w:szCs w:val="20"/>
        </w:rPr>
      </w:pPr>
    </w:p>
    <w:p w14:paraId="24A802FA"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Overall, the results from the two hydrolysis studies confirm the QSAR predictions that hydrolysis of the substance can occur under acid conditions. </w:t>
      </w:r>
    </w:p>
    <w:p w14:paraId="5C8708B6"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However, this process is very slow. The DT</w:t>
      </w:r>
      <w:r>
        <w:rPr>
          <w:rFonts w:ascii="Verdana" w:hAnsi="Verdana" w:cs="Verdana"/>
          <w:sz w:val="13"/>
          <w:szCs w:val="13"/>
        </w:rPr>
        <w:t xml:space="preserve">50 </w:t>
      </w:r>
      <w:r>
        <w:rPr>
          <w:rFonts w:ascii="Verdana" w:hAnsi="Verdana" w:cs="Verdana"/>
          <w:sz w:val="20"/>
          <w:szCs w:val="20"/>
        </w:rPr>
        <w:t>at pH 4 and 12 °C is 1830 hours (76 days), but this dissipation may also include other losses such as volatilisation and sorption. The rate of hydrolysis under environmentally relevant pH and temperature could not be determined, most probably because hydrolysis of the substance under these conditions is at best very limited. This was confirmed by the test with river water of pH 8.2 where dissipation in the hydrolysis test at 50 °C was almost a factor two slower than at pH 4. Therefore, the substance is considered to be not hydrolysable, or at most hydrolysis has to be considered negligible under environmental conditions.</w:t>
      </w:r>
    </w:p>
    <w:p w14:paraId="43660A6E" w14:textId="77777777" w:rsidR="00B371D3" w:rsidRDefault="00B371D3" w:rsidP="00B371D3">
      <w:pPr>
        <w:autoSpaceDE w:val="0"/>
        <w:autoSpaceDN w:val="0"/>
        <w:adjustRightInd w:val="0"/>
        <w:spacing w:after="0" w:line="240" w:lineRule="auto"/>
        <w:rPr>
          <w:rFonts w:ascii="Verdana" w:hAnsi="Verdana" w:cs="Verdana"/>
          <w:sz w:val="20"/>
          <w:szCs w:val="20"/>
        </w:rPr>
      </w:pPr>
    </w:p>
    <w:p w14:paraId="3CAAEF69" w14:textId="77777777" w:rsidR="00B371D3" w:rsidRDefault="00B371D3" w:rsidP="00B371D3">
      <w:pPr>
        <w:autoSpaceDE w:val="0"/>
        <w:autoSpaceDN w:val="0"/>
        <w:adjustRightInd w:val="0"/>
        <w:spacing w:after="0" w:line="240" w:lineRule="auto"/>
        <w:rPr>
          <w:rFonts w:ascii="Verdana" w:hAnsi="Verdana" w:cs="Verdana"/>
          <w:sz w:val="20"/>
          <w:szCs w:val="20"/>
        </w:rPr>
      </w:pPr>
    </w:p>
    <w:p w14:paraId="04AF53A2" w14:textId="77777777" w:rsidR="00B371D3" w:rsidRDefault="00B371D3" w:rsidP="00B371D3">
      <w:pPr>
        <w:autoSpaceDE w:val="0"/>
        <w:autoSpaceDN w:val="0"/>
        <w:adjustRightInd w:val="0"/>
        <w:spacing w:after="0" w:line="240" w:lineRule="auto"/>
        <w:rPr>
          <w:rFonts w:ascii="Verdana" w:hAnsi="Verdana" w:cs="Verdana"/>
          <w:sz w:val="20"/>
          <w:szCs w:val="20"/>
        </w:rPr>
      </w:pPr>
    </w:p>
    <w:p w14:paraId="55282213" w14:textId="77777777" w:rsidR="00B371D3" w:rsidRDefault="00B371D3" w:rsidP="00B371D3">
      <w:pPr>
        <w:autoSpaceDE w:val="0"/>
        <w:autoSpaceDN w:val="0"/>
        <w:adjustRightInd w:val="0"/>
        <w:spacing w:after="0" w:line="240" w:lineRule="auto"/>
        <w:rPr>
          <w:rFonts w:ascii="Verdana" w:hAnsi="Verdana" w:cs="Verdana"/>
          <w:sz w:val="20"/>
          <w:szCs w:val="20"/>
        </w:rPr>
      </w:pPr>
    </w:p>
    <w:p w14:paraId="7FB023E4" w14:textId="77777777" w:rsidR="00B371D3" w:rsidRDefault="00B371D3" w:rsidP="00B371D3">
      <w:pPr>
        <w:autoSpaceDE w:val="0"/>
        <w:autoSpaceDN w:val="0"/>
        <w:adjustRightInd w:val="0"/>
        <w:spacing w:after="0" w:line="240" w:lineRule="auto"/>
        <w:rPr>
          <w:rFonts w:ascii="Verdana" w:hAnsi="Verdana" w:cs="Verdana"/>
          <w:sz w:val="20"/>
          <w:szCs w:val="20"/>
        </w:rPr>
      </w:pPr>
    </w:p>
    <w:p w14:paraId="235DDEBC" w14:textId="77777777" w:rsidR="00B371D3" w:rsidRDefault="00B371D3" w:rsidP="00B371D3">
      <w:pPr>
        <w:autoSpaceDE w:val="0"/>
        <w:autoSpaceDN w:val="0"/>
        <w:adjustRightInd w:val="0"/>
        <w:spacing w:after="0" w:line="240" w:lineRule="auto"/>
        <w:rPr>
          <w:rFonts w:ascii="Verdana" w:hAnsi="Verdana" w:cs="Verdana"/>
          <w:sz w:val="20"/>
          <w:szCs w:val="20"/>
        </w:rPr>
      </w:pPr>
    </w:p>
    <w:p w14:paraId="6336A457" w14:textId="77777777" w:rsidR="00B371D3" w:rsidRDefault="00B371D3" w:rsidP="00B371D3">
      <w:pPr>
        <w:autoSpaceDE w:val="0"/>
        <w:autoSpaceDN w:val="0"/>
        <w:adjustRightInd w:val="0"/>
        <w:spacing w:after="0" w:line="240" w:lineRule="auto"/>
        <w:rPr>
          <w:rFonts w:ascii="Verdana" w:hAnsi="Verdana" w:cs="Verdana"/>
          <w:sz w:val="20"/>
          <w:szCs w:val="20"/>
        </w:rPr>
      </w:pPr>
    </w:p>
    <w:p w14:paraId="424B99D6" w14:textId="77777777" w:rsidR="00B371D3" w:rsidRDefault="00B371D3" w:rsidP="00B371D3">
      <w:pPr>
        <w:autoSpaceDE w:val="0"/>
        <w:autoSpaceDN w:val="0"/>
        <w:adjustRightInd w:val="0"/>
        <w:spacing w:after="0" w:line="240" w:lineRule="auto"/>
        <w:rPr>
          <w:rFonts w:ascii="Verdana" w:hAnsi="Verdana" w:cs="Verdana"/>
          <w:sz w:val="20"/>
          <w:szCs w:val="20"/>
        </w:rPr>
      </w:pPr>
    </w:p>
    <w:p w14:paraId="695986B9" w14:textId="77777777" w:rsidR="00B371D3" w:rsidRDefault="00B371D3" w:rsidP="00B371D3">
      <w:pPr>
        <w:autoSpaceDE w:val="0"/>
        <w:autoSpaceDN w:val="0"/>
        <w:adjustRightInd w:val="0"/>
        <w:spacing w:after="0" w:line="240" w:lineRule="auto"/>
        <w:rPr>
          <w:rFonts w:ascii="Verdana" w:hAnsi="Verdana" w:cs="Verdana"/>
          <w:sz w:val="20"/>
          <w:szCs w:val="20"/>
        </w:rPr>
      </w:pPr>
    </w:p>
    <w:p w14:paraId="2A925B33" w14:textId="77777777" w:rsidR="00B371D3" w:rsidRDefault="00B371D3" w:rsidP="00B371D3">
      <w:pPr>
        <w:autoSpaceDE w:val="0"/>
        <w:autoSpaceDN w:val="0"/>
        <w:adjustRightInd w:val="0"/>
        <w:spacing w:after="0" w:line="240" w:lineRule="auto"/>
        <w:rPr>
          <w:rFonts w:ascii="Verdana" w:hAnsi="Verdana" w:cs="Verdana"/>
          <w:sz w:val="20"/>
          <w:szCs w:val="20"/>
        </w:rPr>
      </w:pPr>
    </w:p>
    <w:p w14:paraId="4BC16DE5" w14:textId="77777777" w:rsidR="00B371D3" w:rsidRDefault="00B371D3" w:rsidP="00B371D3">
      <w:pPr>
        <w:autoSpaceDE w:val="0"/>
        <w:autoSpaceDN w:val="0"/>
        <w:adjustRightInd w:val="0"/>
        <w:spacing w:after="0" w:line="240" w:lineRule="auto"/>
        <w:rPr>
          <w:rFonts w:ascii="Verdana" w:hAnsi="Verdana" w:cs="Verdana"/>
          <w:sz w:val="20"/>
          <w:szCs w:val="20"/>
        </w:rPr>
      </w:pPr>
    </w:p>
    <w:p w14:paraId="56A1D723" w14:textId="77777777" w:rsidR="00B371D3" w:rsidRDefault="00B371D3" w:rsidP="00B371D3">
      <w:pPr>
        <w:autoSpaceDE w:val="0"/>
        <w:autoSpaceDN w:val="0"/>
        <w:adjustRightInd w:val="0"/>
        <w:spacing w:after="0" w:line="240" w:lineRule="auto"/>
        <w:rPr>
          <w:rFonts w:ascii="Verdana" w:hAnsi="Verdana" w:cs="Verdana"/>
          <w:sz w:val="20"/>
          <w:szCs w:val="20"/>
        </w:rPr>
      </w:pPr>
    </w:p>
    <w:p w14:paraId="19C7379A" w14:textId="77777777" w:rsidR="00B371D3" w:rsidRDefault="00B371D3" w:rsidP="00B371D3">
      <w:pPr>
        <w:autoSpaceDE w:val="0"/>
        <w:autoSpaceDN w:val="0"/>
        <w:adjustRightInd w:val="0"/>
        <w:spacing w:after="0" w:line="240" w:lineRule="auto"/>
        <w:rPr>
          <w:rFonts w:ascii="Verdana" w:hAnsi="Verdana" w:cs="Verdana"/>
          <w:sz w:val="20"/>
          <w:szCs w:val="20"/>
        </w:rPr>
      </w:pPr>
    </w:p>
    <w:p w14:paraId="0AACD947" w14:textId="77777777" w:rsidR="00B371D3" w:rsidRDefault="00B371D3" w:rsidP="00B371D3">
      <w:pPr>
        <w:autoSpaceDE w:val="0"/>
        <w:autoSpaceDN w:val="0"/>
        <w:adjustRightInd w:val="0"/>
        <w:spacing w:after="0" w:line="240" w:lineRule="auto"/>
        <w:rPr>
          <w:rFonts w:ascii="Verdana" w:hAnsi="Verdana" w:cs="Verdana"/>
          <w:sz w:val="20"/>
          <w:szCs w:val="20"/>
        </w:rPr>
      </w:pPr>
    </w:p>
    <w:p w14:paraId="24183377" w14:textId="77777777" w:rsidR="00B371D3" w:rsidRDefault="00B371D3" w:rsidP="00B371D3">
      <w:pPr>
        <w:autoSpaceDE w:val="0"/>
        <w:autoSpaceDN w:val="0"/>
        <w:adjustRightInd w:val="0"/>
        <w:spacing w:after="0" w:line="240" w:lineRule="auto"/>
        <w:rPr>
          <w:rFonts w:ascii="Verdana" w:hAnsi="Verdana" w:cs="Verdana"/>
          <w:sz w:val="20"/>
          <w:szCs w:val="20"/>
        </w:rPr>
      </w:pPr>
    </w:p>
    <w:p w14:paraId="4F7B1853" w14:textId="77777777" w:rsidR="00B371D3" w:rsidRDefault="00B371D3" w:rsidP="00B371D3">
      <w:pPr>
        <w:autoSpaceDE w:val="0"/>
        <w:autoSpaceDN w:val="0"/>
        <w:adjustRightInd w:val="0"/>
        <w:spacing w:after="0" w:line="240" w:lineRule="auto"/>
        <w:rPr>
          <w:rFonts w:ascii="Verdana" w:hAnsi="Verdana" w:cs="Verdana"/>
          <w:sz w:val="20"/>
          <w:szCs w:val="20"/>
        </w:rPr>
      </w:pPr>
    </w:p>
    <w:p w14:paraId="4060F58E" w14:textId="77777777" w:rsidR="00B371D3" w:rsidRDefault="00B371D3" w:rsidP="00B371D3">
      <w:pPr>
        <w:autoSpaceDE w:val="0"/>
        <w:autoSpaceDN w:val="0"/>
        <w:adjustRightInd w:val="0"/>
        <w:spacing w:after="0" w:line="240" w:lineRule="auto"/>
        <w:rPr>
          <w:rFonts w:ascii="Verdana" w:hAnsi="Verdana" w:cs="Verdana"/>
          <w:sz w:val="20"/>
          <w:szCs w:val="20"/>
        </w:rPr>
      </w:pPr>
    </w:p>
    <w:p w14:paraId="62B91469" w14:textId="77777777" w:rsidR="00B371D3" w:rsidRDefault="00B371D3" w:rsidP="00B371D3">
      <w:pPr>
        <w:autoSpaceDE w:val="0"/>
        <w:autoSpaceDN w:val="0"/>
        <w:adjustRightInd w:val="0"/>
        <w:spacing w:after="0" w:line="240" w:lineRule="auto"/>
        <w:rPr>
          <w:rFonts w:ascii="Verdana" w:hAnsi="Verdana" w:cs="Verdana"/>
          <w:sz w:val="20"/>
          <w:szCs w:val="20"/>
        </w:rPr>
      </w:pPr>
    </w:p>
    <w:p w14:paraId="7150F973" w14:textId="77777777" w:rsidR="00B371D3" w:rsidRDefault="00B371D3" w:rsidP="00B371D3">
      <w:pPr>
        <w:autoSpaceDE w:val="0"/>
        <w:autoSpaceDN w:val="0"/>
        <w:adjustRightInd w:val="0"/>
        <w:spacing w:after="0" w:line="240" w:lineRule="auto"/>
        <w:rPr>
          <w:rFonts w:ascii="Verdana" w:hAnsi="Verdana" w:cs="Verdana"/>
          <w:sz w:val="20"/>
          <w:szCs w:val="20"/>
        </w:rPr>
      </w:pPr>
    </w:p>
    <w:p w14:paraId="4A7EB3E7" w14:textId="77777777" w:rsidR="00B371D3" w:rsidRDefault="00B371D3" w:rsidP="00B371D3">
      <w:pPr>
        <w:autoSpaceDE w:val="0"/>
        <w:autoSpaceDN w:val="0"/>
        <w:adjustRightInd w:val="0"/>
        <w:spacing w:after="0" w:line="240" w:lineRule="auto"/>
        <w:rPr>
          <w:rFonts w:ascii="Verdana" w:hAnsi="Verdana" w:cs="Verdana"/>
          <w:sz w:val="20"/>
          <w:szCs w:val="20"/>
        </w:rPr>
      </w:pPr>
    </w:p>
    <w:p w14:paraId="79C879F5" w14:textId="77777777" w:rsidR="00B371D3" w:rsidRPr="00FC41B5" w:rsidRDefault="00B371D3" w:rsidP="00B371D3">
      <w:pPr>
        <w:autoSpaceDE w:val="0"/>
        <w:autoSpaceDN w:val="0"/>
        <w:adjustRightInd w:val="0"/>
        <w:spacing w:after="0" w:line="240" w:lineRule="auto"/>
        <w:rPr>
          <w:rFonts w:ascii="Verdana" w:hAnsi="Verdana" w:cs="Verdana"/>
          <w:sz w:val="20"/>
          <w:szCs w:val="20"/>
        </w:rPr>
      </w:pPr>
    </w:p>
    <w:tbl>
      <w:tblPr>
        <w:tblStyle w:val="TableGrid"/>
        <w:tblpPr w:leftFromText="180" w:rightFromText="180" w:vertAnchor="text" w:horzAnchor="margin" w:tblpY="230"/>
        <w:tblW w:w="12469" w:type="dxa"/>
        <w:tblLayout w:type="fixed"/>
        <w:tblLook w:val="04A0" w:firstRow="1" w:lastRow="0" w:firstColumn="1" w:lastColumn="0" w:noHBand="0" w:noVBand="1"/>
      </w:tblPr>
      <w:tblGrid>
        <w:gridCol w:w="1668"/>
        <w:gridCol w:w="1842"/>
        <w:gridCol w:w="1347"/>
        <w:gridCol w:w="1417"/>
        <w:gridCol w:w="2652"/>
        <w:gridCol w:w="3543"/>
      </w:tblGrid>
      <w:tr w:rsidR="00B371D3" w:rsidRPr="0094743C" w14:paraId="606F19ED" w14:textId="77777777" w:rsidTr="0010403B">
        <w:trPr>
          <w:trHeight w:val="1289"/>
        </w:trPr>
        <w:tc>
          <w:tcPr>
            <w:tcW w:w="1668" w:type="dxa"/>
            <w:tcBorders>
              <w:bottom w:val="single" w:sz="4" w:space="0" w:color="auto"/>
            </w:tcBorders>
            <w:shd w:val="clear" w:color="auto" w:fill="8496B0" w:themeFill="text2" w:themeFillTint="99"/>
          </w:tcPr>
          <w:p w14:paraId="1AFBB26E" w14:textId="77777777" w:rsidR="00B371D3" w:rsidRPr="0094743C" w:rsidRDefault="00B371D3" w:rsidP="0010403B">
            <w:pPr>
              <w:rPr>
                <w:b/>
                <w:color w:val="FFFFFF" w:themeColor="background1"/>
              </w:rPr>
            </w:pPr>
          </w:p>
          <w:p w14:paraId="44F8D457" w14:textId="77777777" w:rsidR="00B371D3" w:rsidRPr="0094743C" w:rsidRDefault="00B371D3" w:rsidP="0010403B">
            <w:pPr>
              <w:rPr>
                <w:b/>
                <w:color w:val="FFFFFF" w:themeColor="background1"/>
              </w:rPr>
            </w:pPr>
            <w:r w:rsidRPr="0094743C">
              <w:rPr>
                <w:b/>
                <w:color w:val="FFFFFF" w:themeColor="background1"/>
              </w:rPr>
              <w:t>Type of Evidence</w:t>
            </w:r>
          </w:p>
        </w:tc>
        <w:tc>
          <w:tcPr>
            <w:tcW w:w="1842" w:type="dxa"/>
            <w:shd w:val="clear" w:color="auto" w:fill="8496B0" w:themeFill="text2" w:themeFillTint="99"/>
          </w:tcPr>
          <w:p w14:paraId="18F6F828" w14:textId="77777777" w:rsidR="00B371D3" w:rsidRPr="0094743C" w:rsidRDefault="00B371D3" w:rsidP="0010403B">
            <w:pPr>
              <w:rPr>
                <w:b/>
                <w:color w:val="FFFFFF" w:themeColor="background1"/>
              </w:rPr>
            </w:pPr>
            <w:r w:rsidRPr="0094743C">
              <w:rPr>
                <w:b/>
                <w:color w:val="FFFFFF" w:themeColor="background1"/>
              </w:rPr>
              <w:t>Consistency &amp; Specificity</w:t>
            </w:r>
          </w:p>
          <w:p w14:paraId="559AD53F" w14:textId="77777777" w:rsidR="00B371D3" w:rsidRPr="0094743C" w:rsidRDefault="00B371D3" w:rsidP="0010403B">
            <w:pPr>
              <w:rPr>
                <w:b/>
                <w:color w:val="FFFFFF" w:themeColor="background1"/>
              </w:rPr>
            </w:pPr>
          </w:p>
        </w:tc>
        <w:tc>
          <w:tcPr>
            <w:tcW w:w="1347" w:type="dxa"/>
            <w:shd w:val="clear" w:color="auto" w:fill="8496B0" w:themeFill="text2" w:themeFillTint="99"/>
          </w:tcPr>
          <w:p w14:paraId="2FF3AD00" w14:textId="77777777" w:rsidR="00B371D3" w:rsidRPr="0094743C" w:rsidRDefault="00B371D3" w:rsidP="0010403B">
            <w:pPr>
              <w:rPr>
                <w:b/>
                <w:color w:val="FFFFFF" w:themeColor="background1"/>
              </w:rPr>
            </w:pPr>
            <w:r w:rsidRPr="0094743C">
              <w:rPr>
                <w:b/>
                <w:color w:val="FFFFFF" w:themeColor="background1"/>
              </w:rPr>
              <w:t>Likelihood/</w:t>
            </w:r>
          </w:p>
          <w:p w14:paraId="3240AE0B" w14:textId="77777777" w:rsidR="00B371D3" w:rsidRPr="0094743C" w:rsidRDefault="00B371D3" w:rsidP="0010403B">
            <w:pPr>
              <w:rPr>
                <w:b/>
                <w:color w:val="FFFFFF" w:themeColor="background1"/>
              </w:rPr>
            </w:pPr>
            <w:r w:rsidRPr="0094743C">
              <w:rPr>
                <w:b/>
                <w:color w:val="FFFFFF" w:themeColor="background1"/>
              </w:rPr>
              <w:t>Biological Plausibility</w:t>
            </w:r>
          </w:p>
          <w:p w14:paraId="7661BC0D" w14:textId="77777777" w:rsidR="00B371D3" w:rsidRPr="0094743C" w:rsidRDefault="00B371D3" w:rsidP="0010403B">
            <w:pPr>
              <w:rPr>
                <w:b/>
                <w:color w:val="FFFFFF" w:themeColor="background1"/>
              </w:rPr>
            </w:pPr>
          </w:p>
        </w:tc>
        <w:tc>
          <w:tcPr>
            <w:tcW w:w="1417" w:type="dxa"/>
            <w:shd w:val="clear" w:color="auto" w:fill="8496B0" w:themeFill="text2" w:themeFillTint="99"/>
          </w:tcPr>
          <w:p w14:paraId="1E7839AF" w14:textId="77777777" w:rsidR="00B371D3" w:rsidRPr="0094743C" w:rsidRDefault="00B371D3" w:rsidP="0010403B">
            <w:pPr>
              <w:rPr>
                <w:b/>
                <w:color w:val="FFFFFF" w:themeColor="background1"/>
              </w:rPr>
            </w:pPr>
            <w:r w:rsidRPr="0094743C">
              <w:rPr>
                <w:b/>
                <w:color w:val="FFFFFF" w:themeColor="background1"/>
              </w:rPr>
              <w:t>Temporality</w:t>
            </w:r>
          </w:p>
        </w:tc>
        <w:tc>
          <w:tcPr>
            <w:tcW w:w="2652" w:type="dxa"/>
            <w:shd w:val="clear" w:color="auto" w:fill="8496B0" w:themeFill="text2" w:themeFillTint="99"/>
          </w:tcPr>
          <w:p w14:paraId="0549A4E7" w14:textId="77777777" w:rsidR="00B371D3" w:rsidRPr="0094743C" w:rsidRDefault="00B371D3" w:rsidP="0010403B">
            <w:pPr>
              <w:rPr>
                <w:b/>
                <w:color w:val="FFFFFF" w:themeColor="background1"/>
              </w:rPr>
            </w:pPr>
            <w:r w:rsidRPr="0094743C">
              <w:rPr>
                <w:b/>
                <w:color w:val="FFFFFF" w:themeColor="background1"/>
              </w:rPr>
              <w:t>Confidence / Strength of Evidence</w:t>
            </w:r>
          </w:p>
        </w:tc>
        <w:tc>
          <w:tcPr>
            <w:tcW w:w="3543" w:type="dxa"/>
            <w:shd w:val="clear" w:color="auto" w:fill="8496B0" w:themeFill="text2" w:themeFillTint="99"/>
          </w:tcPr>
          <w:p w14:paraId="7547D97A" w14:textId="77777777" w:rsidR="00B371D3" w:rsidRPr="0094743C" w:rsidRDefault="00B371D3" w:rsidP="0010403B">
            <w:pPr>
              <w:rPr>
                <w:b/>
                <w:color w:val="FFFFFF" w:themeColor="background1"/>
              </w:rPr>
            </w:pPr>
            <w:r w:rsidRPr="0094743C">
              <w:rPr>
                <w:b/>
                <w:color w:val="FFFFFF" w:themeColor="background1"/>
              </w:rPr>
              <w:t>Remaining Uncertainty</w:t>
            </w:r>
          </w:p>
        </w:tc>
      </w:tr>
      <w:tr w:rsidR="00B371D3" w:rsidRPr="0094743C" w14:paraId="0C0FFC54" w14:textId="77777777" w:rsidTr="0010403B">
        <w:trPr>
          <w:trHeight w:val="1099"/>
        </w:trPr>
        <w:tc>
          <w:tcPr>
            <w:tcW w:w="1668" w:type="dxa"/>
            <w:shd w:val="clear" w:color="auto" w:fill="8496B0" w:themeFill="text2" w:themeFillTint="99"/>
          </w:tcPr>
          <w:p w14:paraId="214275A3" w14:textId="77777777" w:rsidR="00B371D3" w:rsidRPr="00852CB4" w:rsidRDefault="00B371D3" w:rsidP="0010403B">
            <w:pPr>
              <w:spacing w:after="200" w:line="276" w:lineRule="auto"/>
              <w:rPr>
                <w:color w:val="FFFFFF" w:themeColor="background1"/>
              </w:rPr>
            </w:pPr>
            <w:r w:rsidRPr="00852CB4">
              <w:rPr>
                <w:color w:val="FFFFFF" w:themeColor="background1"/>
              </w:rPr>
              <w:t>QSAR To</w:t>
            </w:r>
            <w:r>
              <w:rPr>
                <w:color w:val="FFFFFF" w:themeColor="background1"/>
              </w:rPr>
              <w:t>olbox v3.3 Hydrolysis simulator</w:t>
            </w:r>
          </w:p>
        </w:tc>
        <w:tc>
          <w:tcPr>
            <w:tcW w:w="1842" w:type="dxa"/>
          </w:tcPr>
          <w:p w14:paraId="0DA7AE35" w14:textId="77777777" w:rsidR="00B371D3" w:rsidRPr="0094743C" w:rsidRDefault="00B371D3" w:rsidP="0010403B">
            <w:r>
              <w:t>Consisted prediction with the experimental findings</w:t>
            </w:r>
          </w:p>
          <w:p w14:paraId="74D2DF5F" w14:textId="77777777" w:rsidR="00B371D3" w:rsidRPr="0094743C" w:rsidRDefault="00B371D3" w:rsidP="0010403B"/>
        </w:tc>
        <w:tc>
          <w:tcPr>
            <w:tcW w:w="1347" w:type="dxa"/>
          </w:tcPr>
          <w:p w14:paraId="58D04196" w14:textId="77777777" w:rsidR="00B371D3" w:rsidRPr="0094743C" w:rsidRDefault="00B371D3" w:rsidP="0010403B">
            <w:r>
              <w:t>Plausible</w:t>
            </w:r>
          </w:p>
        </w:tc>
        <w:tc>
          <w:tcPr>
            <w:tcW w:w="1417" w:type="dxa"/>
          </w:tcPr>
          <w:p w14:paraId="4870FDEB" w14:textId="77777777" w:rsidR="00B371D3" w:rsidRPr="0094743C" w:rsidRDefault="00B371D3" w:rsidP="0010403B">
            <w:r>
              <w:t>Not relevant</w:t>
            </w:r>
          </w:p>
        </w:tc>
        <w:tc>
          <w:tcPr>
            <w:tcW w:w="2652" w:type="dxa"/>
          </w:tcPr>
          <w:p w14:paraId="31CA05D3" w14:textId="77777777" w:rsidR="00B371D3" w:rsidRPr="0094743C" w:rsidRDefault="00B371D3" w:rsidP="0010403B">
            <w:r>
              <w:t>Medium</w:t>
            </w:r>
          </w:p>
        </w:tc>
        <w:tc>
          <w:tcPr>
            <w:tcW w:w="3543" w:type="dxa"/>
          </w:tcPr>
          <w:p w14:paraId="2E4E473F" w14:textId="77777777" w:rsidR="00B371D3" w:rsidRPr="0094743C" w:rsidRDefault="00B371D3" w:rsidP="0010403B">
            <w:r>
              <w:t>Low</w:t>
            </w:r>
          </w:p>
        </w:tc>
      </w:tr>
      <w:tr w:rsidR="00B371D3" w:rsidRPr="0094743C" w14:paraId="1280AF03" w14:textId="77777777" w:rsidTr="0010403B">
        <w:tc>
          <w:tcPr>
            <w:tcW w:w="1668" w:type="dxa"/>
            <w:shd w:val="clear" w:color="auto" w:fill="8496B0" w:themeFill="text2" w:themeFillTint="99"/>
          </w:tcPr>
          <w:p w14:paraId="5C4FDE15" w14:textId="77777777" w:rsidR="00B371D3" w:rsidRPr="00852CB4" w:rsidRDefault="00B371D3" w:rsidP="0010403B">
            <w:pPr>
              <w:spacing w:after="200" w:line="276" w:lineRule="auto"/>
              <w:rPr>
                <w:color w:val="FFFFFF" w:themeColor="background1"/>
              </w:rPr>
            </w:pPr>
            <w:r w:rsidRPr="00852CB4">
              <w:rPr>
                <w:color w:val="FFFFFF" w:themeColor="background1"/>
              </w:rPr>
              <w:t>OECD TG 111 Key study</w:t>
            </w:r>
          </w:p>
        </w:tc>
        <w:tc>
          <w:tcPr>
            <w:tcW w:w="1842" w:type="dxa"/>
          </w:tcPr>
          <w:p w14:paraId="7F07B4F9" w14:textId="77777777" w:rsidR="00B371D3" w:rsidRPr="0094743C" w:rsidRDefault="00B371D3" w:rsidP="0010403B">
            <w:r>
              <w:t>Consistent experimental studies indicating negligible abiotic degradation</w:t>
            </w:r>
          </w:p>
        </w:tc>
        <w:tc>
          <w:tcPr>
            <w:tcW w:w="1347" w:type="dxa"/>
          </w:tcPr>
          <w:p w14:paraId="65B6C37E" w14:textId="77777777" w:rsidR="00B371D3" w:rsidRPr="0094743C" w:rsidRDefault="00B371D3" w:rsidP="0010403B">
            <w:r>
              <w:t>Plausible</w:t>
            </w:r>
          </w:p>
        </w:tc>
        <w:tc>
          <w:tcPr>
            <w:tcW w:w="1417" w:type="dxa"/>
          </w:tcPr>
          <w:p w14:paraId="2F76AF89" w14:textId="77777777" w:rsidR="00B371D3" w:rsidRPr="0094743C" w:rsidRDefault="00B371D3" w:rsidP="0010403B">
            <w:r>
              <w:t>Not relevant</w:t>
            </w:r>
          </w:p>
        </w:tc>
        <w:tc>
          <w:tcPr>
            <w:tcW w:w="2652" w:type="dxa"/>
          </w:tcPr>
          <w:p w14:paraId="7738F0C9" w14:textId="77777777" w:rsidR="00B371D3" w:rsidRPr="0094743C" w:rsidRDefault="00B371D3" w:rsidP="0010403B">
            <w:r>
              <w:t>High</w:t>
            </w:r>
          </w:p>
        </w:tc>
        <w:tc>
          <w:tcPr>
            <w:tcW w:w="3543" w:type="dxa"/>
          </w:tcPr>
          <w:p w14:paraId="5E7A3CF0" w14:textId="77777777" w:rsidR="00B371D3" w:rsidRPr="0094743C" w:rsidRDefault="00B371D3" w:rsidP="0010403B">
            <w:r>
              <w:t>Low</w:t>
            </w:r>
          </w:p>
        </w:tc>
      </w:tr>
      <w:tr w:rsidR="00B371D3" w:rsidRPr="0094743C" w14:paraId="1A117D19" w14:textId="77777777" w:rsidTr="0010403B">
        <w:tc>
          <w:tcPr>
            <w:tcW w:w="1668" w:type="dxa"/>
            <w:shd w:val="clear" w:color="auto" w:fill="8496B0" w:themeFill="text2" w:themeFillTint="99"/>
          </w:tcPr>
          <w:p w14:paraId="6DC6C82D" w14:textId="77777777" w:rsidR="00B371D3" w:rsidRPr="00852CB4" w:rsidRDefault="00B371D3" w:rsidP="0010403B">
            <w:pPr>
              <w:spacing w:after="200" w:line="276" w:lineRule="auto"/>
              <w:rPr>
                <w:color w:val="FFFFFF" w:themeColor="background1"/>
              </w:rPr>
            </w:pPr>
            <w:r w:rsidRPr="00852CB4">
              <w:rPr>
                <w:color w:val="FFFFFF" w:themeColor="background1"/>
              </w:rPr>
              <w:t>OECD TG 111 Supporting study</w:t>
            </w:r>
          </w:p>
        </w:tc>
        <w:tc>
          <w:tcPr>
            <w:tcW w:w="1842" w:type="dxa"/>
          </w:tcPr>
          <w:p w14:paraId="7DFA4820" w14:textId="77777777" w:rsidR="00B371D3" w:rsidRPr="0094743C" w:rsidRDefault="00B371D3" w:rsidP="0010403B">
            <w:r>
              <w:t>Consistent experimental studies indicating negligible abiotic degradation</w:t>
            </w:r>
          </w:p>
        </w:tc>
        <w:tc>
          <w:tcPr>
            <w:tcW w:w="1347" w:type="dxa"/>
          </w:tcPr>
          <w:p w14:paraId="05ADF57B" w14:textId="77777777" w:rsidR="00B371D3" w:rsidRPr="0094743C" w:rsidRDefault="00B371D3" w:rsidP="0010403B">
            <w:r>
              <w:t>Plausible</w:t>
            </w:r>
          </w:p>
        </w:tc>
        <w:tc>
          <w:tcPr>
            <w:tcW w:w="1417" w:type="dxa"/>
          </w:tcPr>
          <w:p w14:paraId="7DAF1AEA" w14:textId="77777777" w:rsidR="00B371D3" w:rsidRPr="0094743C" w:rsidRDefault="00B371D3" w:rsidP="0010403B">
            <w:r>
              <w:t>Not relevant</w:t>
            </w:r>
          </w:p>
        </w:tc>
        <w:tc>
          <w:tcPr>
            <w:tcW w:w="2652" w:type="dxa"/>
          </w:tcPr>
          <w:p w14:paraId="41A87BCB" w14:textId="77777777" w:rsidR="00B371D3" w:rsidRPr="0094743C" w:rsidRDefault="00B371D3" w:rsidP="0010403B">
            <w:r>
              <w:t>Medium</w:t>
            </w:r>
          </w:p>
        </w:tc>
        <w:tc>
          <w:tcPr>
            <w:tcW w:w="3543" w:type="dxa"/>
          </w:tcPr>
          <w:p w14:paraId="77A1ED17" w14:textId="77777777" w:rsidR="00B371D3" w:rsidRPr="0094743C" w:rsidRDefault="00B371D3" w:rsidP="0010403B">
            <w:r>
              <w:t>Low</w:t>
            </w:r>
          </w:p>
        </w:tc>
      </w:tr>
      <w:tr w:rsidR="00B371D3" w:rsidRPr="0094743C" w14:paraId="2EA14C39" w14:textId="77777777" w:rsidTr="0010403B">
        <w:trPr>
          <w:trHeight w:val="464"/>
        </w:trPr>
        <w:tc>
          <w:tcPr>
            <w:tcW w:w="1668" w:type="dxa"/>
            <w:shd w:val="clear" w:color="auto" w:fill="8496B0" w:themeFill="text2" w:themeFillTint="99"/>
          </w:tcPr>
          <w:p w14:paraId="2BF8F7BB" w14:textId="77777777" w:rsidR="00B371D3" w:rsidRPr="0094743C" w:rsidRDefault="00B371D3" w:rsidP="0010403B">
            <w:pPr>
              <w:rPr>
                <w:b/>
                <w:color w:val="FFFFFF" w:themeColor="background1"/>
              </w:rPr>
            </w:pPr>
          </w:p>
          <w:p w14:paraId="09449E00" w14:textId="77777777" w:rsidR="00B371D3" w:rsidRPr="0094743C" w:rsidRDefault="00B371D3" w:rsidP="0010403B">
            <w:pPr>
              <w:rPr>
                <w:b/>
                <w:color w:val="FFFFFF" w:themeColor="background1"/>
              </w:rPr>
            </w:pPr>
            <w:r w:rsidRPr="0094743C">
              <w:rPr>
                <w:b/>
                <w:color w:val="FFFFFF" w:themeColor="background1"/>
              </w:rPr>
              <w:t>Conclusion from overall confidence</w:t>
            </w:r>
          </w:p>
        </w:tc>
        <w:tc>
          <w:tcPr>
            <w:tcW w:w="10801" w:type="dxa"/>
            <w:gridSpan w:val="5"/>
          </w:tcPr>
          <w:p w14:paraId="286E0A0B" w14:textId="77777777" w:rsidR="00B371D3" w:rsidRPr="0094743C" w:rsidRDefault="00B371D3" w:rsidP="0010403B"/>
          <w:p w14:paraId="208409A3" w14:textId="77777777" w:rsidR="00B371D3" w:rsidRPr="0094743C" w:rsidRDefault="00B371D3" w:rsidP="0010403B">
            <w:r>
              <w:t xml:space="preserve">High/Medium Confidence </w:t>
            </w:r>
          </w:p>
          <w:p w14:paraId="04726A31" w14:textId="77777777" w:rsidR="00B371D3" w:rsidRPr="0094743C" w:rsidRDefault="00B371D3" w:rsidP="0010403B"/>
          <w:p w14:paraId="34608137" w14:textId="77777777" w:rsidR="00B371D3" w:rsidRPr="0094743C" w:rsidRDefault="00B371D3" w:rsidP="0010403B"/>
          <w:p w14:paraId="7549E349" w14:textId="77777777" w:rsidR="00B371D3" w:rsidRPr="0094743C" w:rsidRDefault="00B371D3" w:rsidP="0010403B"/>
        </w:tc>
      </w:tr>
    </w:tbl>
    <w:p w14:paraId="7CF60557" w14:textId="77777777" w:rsidR="00B371D3" w:rsidRDefault="00B371D3" w:rsidP="00B371D3">
      <w:pPr>
        <w:rPr>
          <w:rFonts w:ascii="Verdana,Bold" w:hAnsi="Verdana,Bold" w:cs="Verdana,Bold"/>
          <w:b/>
          <w:bCs/>
          <w:sz w:val="20"/>
          <w:szCs w:val="20"/>
        </w:rPr>
      </w:pPr>
    </w:p>
    <w:p w14:paraId="0537C442" w14:textId="77777777" w:rsidR="00B371D3" w:rsidRDefault="00B371D3" w:rsidP="00B371D3">
      <w:pPr>
        <w:rPr>
          <w:rFonts w:ascii="Verdana,Bold" w:hAnsi="Verdana,Bold" w:cs="Verdana,Bold"/>
          <w:b/>
          <w:bCs/>
          <w:sz w:val="20"/>
          <w:szCs w:val="20"/>
        </w:rPr>
      </w:pPr>
    </w:p>
    <w:p w14:paraId="4770CFF3" w14:textId="77777777" w:rsidR="00B371D3" w:rsidRDefault="00B371D3" w:rsidP="00B371D3">
      <w:pPr>
        <w:rPr>
          <w:rFonts w:ascii="Verdana,Bold" w:hAnsi="Verdana,Bold" w:cs="Verdana,Bold"/>
          <w:b/>
          <w:bCs/>
          <w:sz w:val="20"/>
          <w:szCs w:val="20"/>
        </w:rPr>
      </w:pPr>
    </w:p>
    <w:p w14:paraId="4DE66B0D" w14:textId="77777777" w:rsidR="00B371D3" w:rsidRDefault="00B371D3" w:rsidP="00B371D3">
      <w:pPr>
        <w:rPr>
          <w:rFonts w:ascii="Verdana,Bold" w:hAnsi="Verdana,Bold" w:cs="Verdana,Bold"/>
          <w:b/>
          <w:bCs/>
          <w:sz w:val="20"/>
          <w:szCs w:val="20"/>
        </w:rPr>
      </w:pPr>
    </w:p>
    <w:p w14:paraId="1BA5C065" w14:textId="77777777" w:rsidR="00B371D3" w:rsidRDefault="00B371D3" w:rsidP="00B371D3">
      <w:pPr>
        <w:rPr>
          <w:rFonts w:ascii="Verdana,Bold" w:hAnsi="Verdana,Bold" w:cs="Verdana,Bold"/>
          <w:b/>
          <w:bCs/>
          <w:sz w:val="20"/>
          <w:szCs w:val="20"/>
        </w:rPr>
      </w:pPr>
    </w:p>
    <w:p w14:paraId="40D2A108" w14:textId="77777777" w:rsidR="00B371D3" w:rsidRDefault="00B371D3" w:rsidP="00B371D3">
      <w:pPr>
        <w:rPr>
          <w:rFonts w:ascii="Verdana,Bold" w:hAnsi="Verdana,Bold" w:cs="Verdana,Bold"/>
          <w:b/>
          <w:bCs/>
          <w:sz w:val="20"/>
          <w:szCs w:val="20"/>
        </w:rPr>
      </w:pPr>
    </w:p>
    <w:p w14:paraId="6B788E8A" w14:textId="77777777" w:rsidR="00B371D3" w:rsidRDefault="00B371D3" w:rsidP="00B371D3">
      <w:pPr>
        <w:rPr>
          <w:rFonts w:ascii="Verdana,Bold" w:hAnsi="Verdana,Bold" w:cs="Verdana,Bold"/>
          <w:b/>
          <w:bCs/>
          <w:sz w:val="20"/>
          <w:szCs w:val="20"/>
        </w:rPr>
      </w:pPr>
    </w:p>
    <w:p w14:paraId="0B012DC9" w14:textId="77777777" w:rsidR="00B371D3" w:rsidRDefault="00B371D3" w:rsidP="00B371D3">
      <w:pPr>
        <w:rPr>
          <w:rFonts w:ascii="Verdana,Bold" w:hAnsi="Verdana,Bold" w:cs="Verdana,Bold"/>
          <w:b/>
          <w:bCs/>
          <w:sz w:val="20"/>
          <w:szCs w:val="20"/>
        </w:rPr>
      </w:pPr>
    </w:p>
    <w:p w14:paraId="47462FFE" w14:textId="77777777" w:rsidR="00B371D3" w:rsidRDefault="00B371D3" w:rsidP="00B371D3">
      <w:pPr>
        <w:rPr>
          <w:rFonts w:ascii="Verdana,Bold" w:hAnsi="Verdana,Bold" w:cs="Verdana,Bold"/>
          <w:b/>
          <w:bCs/>
          <w:sz w:val="20"/>
          <w:szCs w:val="20"/>
        </w:rPr>
      </w:pPr>
    </w:p>
    <w:p w14:paraId="6AABF10C" w14:textId="77777777" w:rsidR="00B371D3" w:rsidRDefault="00B371D3" w:rsidP="00B371D3">
      <w:pPr>
        <w:rPr>
          <w:rFonts w:ascii="Verdana,Bold" w:hAnsi="Verdana,Bold" w:cs="Verdana,Bold"/>
          <w:b/>
          <w:bCs/>
          <w:sz w:val="20"/>
          <w:szCs w:val="20"/>
        </w:rPr>
      </w:pPr>
    </w:p>
    <w:p w14:paraId="614B4807" w14:textId="77777777" w:rsidR="00B371D3" w:rsidRDefault="00B371D3" w:rsidP="00B371D3">
      <w:pPr>
        <w:rPr>
          <w:rFonts w:ascii="Verdana,Bold" w:hAnsi="Verdana,Bold" w:cs="Verdana,Bold"/>
          <w:b/>
          <w:bCs/>
          <w:sz w:val="20"/>
          <w:szCs w:val="20"/>
        </w:rPr>
      </w:pPr>
    </w:p>
    <w:p w14:paraId="20171940" w14:textId="77777777" w:rsidR="00B371D3" w:rsidRDefault="00B371D3" w:rsidP="00B371D3">
      <w:pPr>
        <w:rPr>
          <w:rFonts w:ascii="Verdana,Bold" w:hAnsi="Verdana,Bold" w:cs="Verdana,Bold"/>
          <w:b/>
          <w:bCs/>
          <w:sz w:val="20"/>
          <w:szCs w:val="20"/>
        </w:rPr>
      </w:pPr>
    </w:p>
    <w:p w14:paraId="31306486" w14:textId="77777777" w:rsidR="00B371D3" w:rsidRDefault="00B371D3" w:rsidP="00B371D3">
      <w:pPr>
        <w:rPr>
          <w:rFonts w:ascii="Verdana,Bold" w:hAnsi="Verdana,Bold" w:cs="Verdana,Bold"/>
          <w:b/>
          <w:bCs/>
          <w:sz w:val="20"/>
          <w:szCs w:val="20"/>
        </w:rPr>
      </w:pPr>
    </w:p>
    <w:p w14:paraId="288D2BF8" w14:textId="77777777" w:rsidR="00B371D3" w:rsidRDefault="00B371D3" w:rsidP="00B371D3">
      <w:pPr>
        <w:rPr>
          <w:rFonts w:ascii="Verdana,Bold" w:hAnsi="Verdana,Bold" w:cs="Verdana,Bold"/>
          <w:b/>
          <w:bCs/>
          <w:sz w:val="20"/>
          <w:szCs w:val="20"/>
        </w:rPr>
      </w:pPr>
    </w:p>
    <w:p w14:paraId="4ADC80EA" w14:textId="77777777" w:rsidR="00B371D3" w:rsidRDefault="00B371D3" w:rsidP="00B371D3">
      <w:pPr>
        <w:rPr>
          <w:rFonts w:ascii="Verdana,Bold" w:hAnsi="Verdana,Bold" w:cs="Verdana,Bold"/>
          <w:b/>
          <w:bCs/>
          <w:sz w:val="20"/>
          <w:szCs w:val="20"/>
        </w:rPr>
      </w:pPr>
    </w:p>
    <w:p w14:paraId="084A7737" w14:textId="77777777" w:rsidR="00B371D3" w:rsidRDefault="00B371D3" w:rsidP="00B371D3">
      <w:pPr>
        <w:rPr>
          <w:rFonts w:ascii="Verdana,Bold" w:hAnsi="Verdana,Bold" w:cs="Verdana,Bold"/>
          <w:b/>
          <w:bCs/>
          <w:sz w:val="20"/>
          <w:szCs w:val="20"/>
        </w:rPr>
      </w:pPr>
    </w:p>
    <w:p w14:paraId="2BCC232B" w14:textId="77777777" w:rsidR="00B371D3" w:rsidRPr="00B95345" w:rsidRDefault="00B371D3" w:rsidP="00B371D3">
      <w:pPr>
        <w:rPr>
          <w:rFonts w:ascii="Verdana" w:hAnsi="Verdana" w:cs="Verdana,Bold"/>
          <w:bCs/>
          <w:sz w:val="20"/>
          <w:szCs w:val="20"/>
        </w:rPr>
      </w:pPr>
      <w:r w:rsidRPr="00B95345">
        <w:rPr>
          <w:rFonts w:ascii="Verdana" w:hAnsi="Verdana" w:cs="Verdana,Bold"/>
          <w:bCs/>
          <w:sz w:val="20"/>
          <w:szCs w:val="20"/>
        </w:rPr>
        <w:t>Confidence level for the QSAR prediction was medium to account for remaining uncertainty for using predicting data as standalone. This does not affect the overall confidence when the prediction is used together with the experimental studies.</w:t>
      </w:r>
    </w:p>
    <w:p w14:paraId="516DE636" w14:textId="77777777" w:rsidR="00B371D3" w:rsidRPr="00B95345" w:rsidRDefault="00B371D3" w:rsidP="00B371D3">
      <w:pPr>
        <w:rPr>
          <w:rFonts w:ascii="Verdana" w:hAnsi="Verdana" w:cs="Verdana,Bold"/>
          <w:bCs/>
          <w:sz w:val="20"/>
          <w:szCs w:val="20"/>
        </w:rPr>
      </w:pPr>
      <w:r w:rsidRPr="00B95345">
        <w:rPr>
          <w:rFonts w:ascii="Verdana" w:hAnsi="Verdana" w:cs="Verdana,Bold"/>
          <w:bCs/>
          <w:sz w:val="20"/>
          <w:szCs w:val="20"/>
        </w:rPr>
        <w:lastRenderedPageBreak/>
        <w:t xml:space="preserve">Confidence level for the experimental supporting study was medium for reasons outlined in the assessment of the quality of evidence (Klismisch score 3); however, due to consistency with the remaining evidence for this endpoint the confidence level can be regarded as medium. </w:t>
      </w:r>
    </w:p>
    <w:p w14:paraId="00258B4D" w14:textId="77777777" w:rsidR="00B371D3" w:rsidRPr="00B95345" w:rsidRDefault="00B371D3" w:rsidP="00B371D3">
      <w:pPr>
        <w:rPr>
          <w:rFonts w:ascii="Verdana" w:hAnsi="Verdana" w:cs="Verdana,Bold"/>
          <w:bCs/>
          <w:sz w:val="20"/>
          <w:szCs w:val="20"/>
        </w:rPr>
      </w:pPr>
      <w:r w:rsidRPr="00B95345">
        <w:rPr>
          <w:rFonts w:ascii="Verdana" w:hAnsi="Verdana" w:cs="Verdana,Bold"/>
          <w:bCs/>
          <w:sz w:val="20"/>
          <w:szCs w:val="20"/>
        </w:rPr>
        <w:t xml:space="preserve">Overall the available evidence supports one conclusion (no hydrolysis expected under environmental conditions) with high/medium confidence. The interpretation of the available evidence is in line with general principles of chemistry. </w:t>
      </w:r>
    </w:p>
    <w:p w14:paraId="3B5DA8BE" w14:textId="77777777" w:rsidR="00B371D3" w:rsidRDefault="00B371D3" w:rsidP="00B371D3">
      <w:pPr>
        <w:rPr>
          <w:rFonts w:ascii="Verdana,Bold" w:hAnsi="Verdana,Bold" w:cs="Verdana,Bold"/>
          <w:b/>
          <w:bCs/>
          <w:sz w:val="20"/>
          <w:szCs w:val="20"/>
        </w:rPr>
      </w:pPr>
    </w:p>
    <w:p w14:paraId="131F5B77" w14:textId="77777777" w:rsidR="00B371D3" w:rsidRPr="0076316A" w:rsidRDefault="00B371D3" w:rsidP="00B371D3">
      <w:pPr>
        <w:rPr>
          <w:rFonts w:ascii="Verdana,Bold" w:hAnsi="Verdana,Bold" w:cs="Verdana,Bold"/>
          <w:b/>
          <w:bCs/>
          <w:sz w:val="24"/>
          <w:szCs w:val="24"/>
        </w:rPr>
      </w:pPr>
      <w:r w:rsidRPr="0076316A">
        <w:rPr>
          <w:rFonts w:ascii="Verdana,Bold" w:hAnsi="Verdana,Bold" w:cs="Verdana,Bold"/>
          <w:b/>
          <w:bCs/>
          <w:sz w:val="24"/>
          <w:szCs w:val="24"/>
        </w:rPr>
        <w:t>4.2 Biodegradation in water</w:t>
      </w:r>
    </w:p>
    <w:p w14:paraId="3504AF4F"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Concluding, the screening and inherent biodegradation tests showed that the substance is neither readily nor inherently biodegradable.</w:t>
      </w:r>
    </w:p>
    <w:p w14:paraId="0FC643B1" w14:textId="77777777" w:rsidR="00B371D3" w:rsidRDefault="00B371D3" w:rsidP="00B371D3">
      <w:pPr>
        <w:autoSpaceDE w:val="0"/>
        <w:autoSpaceDN w:val="0"/>
        <w:adjustRightInd w:val="0"/>
        <w:spacing w:after="0" w:line="240" w:lineRule="auto"/>
        <w:rPr>
          <w:rFonts w:ascii="Verdana" w:hAnsi="Verdana" w:cs="Verdana"/>
          <w:sz w:val="20"/>
          <w:szCs w:val="20"/>
        </w:rPr>
      </w:pPr>
    </w:p>
    <w:p w14:paraId="441F968C"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Hydrolysis of the substance is at the best very slow, with an estimated DT</w:t>
      </w:r>
      <w:r>
        <w:rPr>
          <w:rFonts w:ascii="Verdana" w:hAnsi="Verdana" w:cs="Verdana"/>
          <w:sz w:val="13"/>
          <w:szCs w:val="13"/>
        </w:rPr>
        <w:t xml:space="preserve">50 </w:t>
      </w:r>
      <w:r>
        <w:rPr>
          <w:rFonts w:ascii="Verdana" w:hAnsi="Verdana" w:cs="Verdana"/>
          <w:sz w:val="20"/>
          <w:szCs w:val="20"/>
        </w:rPr>
        <w:t>of 76 days at pH 4 and 12.5 °C. Hydrolysis at pH 7 and 9 showed an irregular pattern and no DT</w:t>
      </w:r>
      <w:r>
        <w:rPr>
          <w:rFonts w:ascii="Verdana" w:hAnsi="Verdana" w:cs="Verdana"/>
          <w:sz w:val="13"/>
          <w:szCs w:val="13"/>
        </w:rPr>
        <w:t>50</w:t>
      </w:r>
      <w:r>
        <w:rPr>
          <w:rFonts w:ascii="Verdana" w:hAnsi="Verdana" w:cs="Verdana"/>
          <w:sz w:val="20"/>
          <w:szCs w:val="20"/>
        </w:rPr>
        <w:t xml:space="preserve"> could be derived for 12 °C. An additional test showed that at 50 °C dissipation in a hydrolysis test at an environmentally relevant pH of 8.2 (river water) was almost a factor 2 slower than at pH 4. It should be noted that the presented hydrolysis study had shortcomings, as the test material was not radio-labelled. Consequently, hydrolysis was most likely overestimated. This was evident from the test conducted at pH 4 and 70 °C where the substance concentration rapidly decreased in the first 24 hours, while the concentration of the proposed hydrolysis product 4 (see Figure 1) only limitedly increased in the same time period. The substance is therefore considered to be only slightly hydrolysable and most likely restricted to acidic conditions only.</w:t>
      </w:r>
    </w:p>
    <w:p w14:paraId="0ADF4A03" w14:textId="77777777" w:rsidR="00B371D3" w:rsidRDefault="00B371D3" w:rsidP="00B371D3">
      <w:pPr>
        <w:autoSpaceDE w:val="0"/>
        <w:autoSpaceDN w:val="0"/>
        <w:adjustRightInd w:val="0"/>
        <w:spacing w:after="0" w:line="240" w:lineRule="auto"/>
        <w:rPr>
          <w:rFonts w:ascii="Verdana" w:hAnsi="Verdana" w:cs="Verdana"/>
          <w:sz w:val="20"/>
          <w:szCs w:val="20"/>
        </w:rPr>
      </w:pPr>
    </w:p>
    <w:p w14:paraId="3326FDB4"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Although some biodegradation is predicted by QSAR models, the experimental data show that this partial degradation is very limited. The highest percentage mineralization was observed in the OECD 301B test, but the amount was rather variable (12 to 34% after 28 days). However, it should be realised that this test is in itself not very suitable for a relatively volatile substance such as the substance, although in principle this would result in a lower observed amount of CO</w:t>
      </w:r>
      <w:r>
        <w:rPr>
          <w:rFonts w:ascii="Verdana" w:hAnsi="Verdana" w:cs="Verdana"/>
          <w:sz w:val="13"/>
          <w:szCs w:val="13"/>
        </w:rPr>
        <w:t>2</w:t>
      </w:r>
      <w:r>
        <w:rPr>
          <w:rFonts w:ascii="Verdana" w:hAnsi="Verdana" w:cs="Verdana"/>
          <w:sz w:val="20"/>
          <w:szCs w:val="20"/>
        </w:rPr>
        <w:t xml:space="preserve">-evolution. In a more recent OECD 301F test including bioavailability enhancements, the amount of mineralization after both 28 and 50 days, is virtually zero, varying between -2 and +2%. In an inherent test according to OECD guideline 302C there was 12% mineralization after 28 days and 18% mineralization after 50 days. These tests show that if mineralization occurs it will still be rather limited, even under the more favourable conditions of the inherent degradability test. The substance is therefore considered to meet the screening criteria for P/vP substances. </w:t>
      </w:r>
    </w:p>
    <w:p w14:paraId="79DFA719" w14:textId="77777777" w:rsidR="00B371D3" w:rsidRDefault="00B371D3" w:rsidP="00B371D3">
      <w:pPr>
        <w:autoSpaceDE w:val="0"/>
        <w:autoSpaceDN w:val="0"/>
        <w:adjustRightInd w:val="0"/>
        <w:spacing w:after="0" w:line="240" w:lineRule="auto"/>
        <w:rPr>
          <w:rFonts w:ascii="Verdana" w:hAnsi="Verdana" w:cs="Verdana"/>
          <w:sz w:val="20"/>
          <w:szCs w:val="20"/>
        </w:rPr>
      </w:pPr>
    </w:p>
    <w:p w14:paraId="141A5994" w14:textId="77777777" w:rsidR="00B371D3" w:rsidRDefault="00B371D3" w:rsidP="00B371D3">
      <w:pPr>
        <w:autoSpaceDE w:val="0"/>
        <w:autoSpaceDN w:val="0"/>
        <w:adjustRightInd w:val="0"/>
        <w:spacing w:after="0" w:line="240" w:lineRule="auto"/>
        <w:rPr>
          <w:rFonts w:ascii="Verdana" w:hAnsi="Verdana" w:cs="Verdana"/>
          <w:sz w:val="20"/>
          <w:szCs w:val="20"/>
        </w:rPr>
      </w:pPr>
      <w:r>
        <w:rPr>
          <w:rFonts w:ascii="Verdana" w:hAnsi="Verdana" w:cs="Verdana"/>
          <w:sz w:val="20"/>
          <w:szCs w:val="20"/>
        </w:rPr>
        <w:t>Aerobic degradation of the substance was studied in river water with a pH of 8.2. This study has several shortcomings, i.e. some controls were missing, only one concentration was tested, distinction between biodegradation and dissipation was difficult as the test material was not radio-labelled, and the experiment was conducted at 22 °C. Since the substance is used and released within the context of the REACH Regulation in the EU, the test should preferably be conducted at 12 °C, which is considered to reflect the average environmental conditions in the EU. Nevertheless, a thorough reassessment by the evaluating MSCA showed that the results from this study are reliable with restrictions. This study showed that the substance is slowly biodegraded with the DT</w:t>
      </w:r>
      <w:r>
        <w:rPr>
          <w:rFonts w:ascii="Verdana" w:hAnsi="Verdana" w:cs="Verdana"/>
          <w:sz w:val="13"/>
          <w:szCs w:val="13"/>
        </w:rPr>
        <w:t xml:space="preserve">50 </w:t>
      </w:r>
      <w:r>
        <w:rPr>
          <w:rFonts w:ascii="Verdana" w:hAnsi="Verdana" w:cs="Verdana"/>
          <w:sz w:val="20"/>
          <w:szCs w:val="20"/>
        </w:rPr>
        <w:t>at 22 °C amounting to 56 days. Extrapolated to an EU relevant environmental temperature of 12 °C a realistic DT</w:t>
      </w:r>
      <w:r>
        <w:rPr>
          <w:rFonts w:ascii="Verdana" w:hAnsi="Verdana" w:cs="Verdana"/>
          <w:sz w:val="13"/>
          <w:szCs w:val="13"/>
        </w:rPr>
        <w:t xml:space="preserve">50 </w:t>
      </w:r>
      <w:r>
        <w:rPr>
          <w:rFonts w:ascii="Verdana" w:hAnsi="Verdana" w:cs="Verdana"/>
          <w:sz w:val="20"/>
          <w:szCs w:val="20"/>
        </w:rPr>
        <w:t xml:space="preserve">of 145 days was obtained. Even though there were no indications </w:t>
      </w:r>
      <w:r>
        <w:rPr>
          <w:rFonts w:ascii="Verdana" w:hAnsi="Verdana" w:cs="Verdana"/>
          <w:sz w:val="20"/>
          <w:szCs w:val="20"/>
        </w:rPr>
        <w:lastRenderedPageBreak/>
        <w:t>of any significant hydrolysis in this test with river water at slightly alkaline conditions and ambient temperature, a best-case DT</w:t>
      </w:r>
      <w:r>
        <w:rPr>
          <w:rFonts w:ascii="Verdana" w:hAnsi="Verdana" w:cs="Verdana"/>
          <w:sz w:val="13"/>
          <w:szCs w:val="13"/>
        </w:rPr>
        <w:t xml:space="preserve">50 </w:t>
      </w:r>
      <w:r>
        <w:rPr>
          <w:rFonts w:ascii="Verdana" w:hAnsi="Verdana" w:cs="Verdana"/>
          <w:sz w:val="20"/>
          <w:szCs w:val="20"/>
        </w:rPr>
        <w:t>was also calculated by assuming that all dissipation is caused by either biodegradation or hydrolysis. This yielded a best case DT</w:t>
      </w:r>
      <w:r>
        <w:rPr>
          <w:rFonts w:ascii="Verdana" w:hAnsi="Verdana" w:cs="Verdana"/>
          <w:sz w:val="13"/>
          <w:szCs w:val="13"/>
        </w:rPr>
        <w:t xml:space="preserve">50 </w:t>
      </w:r>
      <w:r>
        <w:rPr>
          <w:rFonts w:ascii="Verdana" w:hAnsi="Verdana" w:cs="Verdana"/>
          <w:sz w:val="20"/>
          <w:szCs w:val="20"/>
        </w:rPr>
        <w:t>at 12 °C of 74 days.</w:t>
      </w:r>
    </w:p>
    <w:p w14:paraId="51EB4108" w14:textId="77777777" w:rsidR="00B371D3" w:rsidRDefault="00B371D3" w:rsidP="00B371D3">
      <w:pPr>
        <w:autoSpaceDE w:val="0"/>
        <w:autoSpaceDN w:val="0"/>
        <w:adjustRightInd w:val="0"/>
        <w:spacing w:after="0" w:line="240" w:lineRule="auto"/>
        <w:rPr>
          <w:rFonts w:ascii="Verdana" w:hAnsi="Verdana" w:cs="Verdana"/>
          <w:sz w:val="20"/>
          <w:szCs w:val="20"/>
        </w:rPr>
      </w:pPr>
    </w:p>
    <w:p w14:paraId="492AA792" w14:textId="77777777" w:rsidR="00B371D3" w:rsidRDefault="00B371D3" w:rsidP="00B371D3">
      <w:pPr>
        <w:autoSpaceDE w:val="0"/>
        <w:autoSpaceDN w:val="0"/>
        <w:adjustRightInd w:val="0"/>
        <w:spacing w:after="0" w:line="240" w:lineRule="auto"/>
        <w:rPr>
          <w:rFonts w:ascii="Verdana" w:hAnsi="Verdana" w:cs="Verdana"/>
          <w:sz w:val="20"/>
          <w:szCs w:val="20"/>
        </w:rPr>
      </w:pPr>
    </w:p>
    <w:p w14:paraId="046B79D0" w14:textId="77777777" w:rsidR="00B371D3" w:rsidRPr="00FC41B5" w:rsidRDefault="00B371D3" w:rsidP="00B371D3">
      <w:pPr>
        <w:autoSpaceDE w:val="0"/>
        <w:autoSpaceDN w:val="0"/>
        <w:adjustRightInd w:val="0"/>
        <w:spacing w:after="0" w:line="240" w:lineRule="auto"/>
        <w:rPr>
          <w:rFonts w:ascii="Verdana" w:hAnsi="Verdana" w:cs="Verdana"/>
          <w:sz w:val="20"/>
          <w:szCs w:val="20"/>
        </w:rPr>
      </w:pPr>
    </w:p>
    <w:tbl>
      <w:tblPr>
        <w:tblStyle w:val="TableGrid"/>
        <w:tblpPr w:leftFromText="180" w:rightFromText="180" w:vertAnchor="text" w:horzAnchor="margin" w:tblpY="230"/>
        <w:tblW w:w="12469" w:type="dxa"/>
        <w:tblLayout w:type="fixed"/>
        <w:tblLook w:val="04A0" w:firstRow="1" w:lastRow="0" w:firstColumn="1" w:lastColumn="0" w:noHBand="0" w:noVBand="1"/>
      </w:tblPr>
      <w:tblGrid>
        <w:gridCol w:w="1668"/>
        <w:gridCol w:w="1842"/>
        <w:gridCol w:w="1347"/>
        <w:gridCol w:w="1417"/>
        <w:gridCol w:w="2652"/>
        <w:gridCol w:w="3543"/>
      </w:tblGrid>
      <w:tr w:rsidR="00B371D3" w:rsidRPr="0094743C" w14:paraId="69CA55D5" w14:textId="77777777" w:rsidTr="0010403B">
        <w:trPr>
          <w:trHeight w:val="1289"/>
        </w:trPr>
        <w:tc>
          <w:tcPr>
            <w:tcW w:w="1668" w:type="dxa"/>
            <w:tcBorders>
              <w:bottom w:val="single" w:sz="4" w:space="0" w:color="auto"/>
            </w:tcBorders>
            <w:shd w:val="clear" w:color="auto" w:fill="8496B0" w:themeFill="text2" w:themeFillTint="99"/>
          </w:tcPr>
          <w:p w14:paraId="2A2CD803" w14:textId="77777777" w:rsidR="00B371D3" w:rsidRPr="0094743C" w:rsidRDefault="00B371D3" w:rsidP="0010403B">
            <w:pPr>
              <w:rPr>
                <w:b/>
                <w:color w:val="FFFFFF" w:themeColor="background1"/>
              </w:rPr>
            </w:pPr>
          </w:p>
          <w:p w14:paraId="1567AE74" w14:textId="77777777" w:rsidR="00B371D3" w:rsidRPr="0094743C" w:rsidRDefault="00B371D3" w:rsidP="0010403B">
            <w:pPr>
              <w:rPr>
                <w:b/>
                <w:color w:val="FFFFFF" w:themeColor="background1"/>
              </w:rPr>
            </w:pPr>
            <w:r w:rsidRPr="0094743C">
              <w:rPr>
                <w:b/>
                <w:color w:val="FFFFFF" w:themeColor="background1"/>
              </w:rPr>
              <w:t>Type of Evidence</w:t>
            </w:r>
          </w:p>
        </w:tc>
        <w:tc>
          <w:tcPr>
            <w:tcW w:w="1842" w:type="dxa"/>
            <w:shd w:val="clear" w:color="auto" w:fill="8496B0" w:themeFill="text2" w:themeFillTint="99"/>
          </w:tcPr>
          <w:p w14:paraId="459C56EE" w14:textId="77777777" w:rsidR="00B371D3" w:rsidRPr="0094743C" w:rsidRDefault="00B371D3" w:rsidP="0010403B">
            <w:pPr>
              <w:rPr>
                <w:b/>
                <w:color w:val="FFFFFF" w:themeColor="background1"/>
              </w:rPr>
            </w:pPr>
            <w:r w:rsidRPr="0094743C">
              <w:rPr>
                <w:b/>
                <w:color w:val="FFFFFF" w:themeColor="background1"/>
              </w:rPr>
              <w:t>Consistency &amp; Specificity</w:t>
            </w:r>
          </w:p>
          <w:p w14:paraId="19BFCA8B" w14:textId="77777777" w:rsidR="00B371D3" w:rsidRPr="0094743C" w:rsidRDefault="00B371D3" w:rsidP="0010403B">
            <w:pPr>
              <w:rPr>
                <w:b/>
                <w:color w:val="FFFFFF" w:themeColor="background1"/>
              </w:rPr>
            </w:pPr>
          </w:p>
        </w:tc>
        <w:tc>
          <w:tcPr>
            <w:tcW w:w="1347" w:type="dxa"/>
            <w:shd w:val="clear" w:color="auto" w:fill="8496B0" w:themeFill="text2" w:themeFillTint="99"/>
          </w:tcPr>
          <w:p w14:paraId="6DCA076B" w14:textId="77777777" w:rsidR="00B371D3" w:rsidRPr="0094743C" w:rsidRDefault="00B371D3" w:rsidP="0010403B">
            <w:pPr>
              <w:rPr>
                <w:b/>
                <w:color w:val="FFFFFF" w:themeColor="background1"/>
              </w:rPr>
            </w:pPr>
            <w:r w:rsidRPr="0094743C">
              <w:rPr>
                <w:b/>
                <w:color w:val="FFFFFF" w:themeColor="background1"/>
              </w:rPr>
              <w:t>Likelihood/</w:t>
            </w:r>
          </w:p>
          <w:p w14:paraId="7A8B744D" w14:textId="77777777" w:rsidR="00B371D3" w:rsidRPr="0094743C" w:rsidRDefault="00B371D3" w:rsidP="0010403B">
            <w:pPr>
              <w:rPr>
                <w:b/>
                <w:color w:val="FFFFFF" w:themeColor="background1"/>
              </w:rPr>
            </w:pPr>
            <w:r w:rsidRPr="0094743C">
              <w:rPr>
                <w:b/>
                <w:color w:val="FFFFFF" w:themeColor="background1"/>
              </w:rPr>
              <w:t>Biological Plausibility</w:t>
            </w:r>
          </w:p>
          <w:p w14:paraId="52F9A57C" w14:textId="77777777" w:rsidR="00B371D3" w:rsidRPr="0094743C" w:rsidRDefault="00B371D3" w:rsidP="0010403B">
            <w:pPr>
              <w:rPr>
                <w:b/>
                <w:color w:val="FFFFFF" w:themeColor="background1"/>
              </w:rPr>
            </w:pPr>
          </w:p>
        </w:tc>
        <w:tc>
          <w:tcPr>
            <w:tcW w:w="1417" w:type="dxa"/>
            <w:shd w:val="clear" w:color="auto" w:fill="8496B0" w:themeFill="text2" w:themeFillTint="99"/>
          </w:tcPr>
          <w:p w14:paraId="4E4E5518" w14:textId="77777777" w:rsidR="00B371D3" w:rsidRPr="0094743C" w:rsidRDefault="00B371D3" w:rsidP="0010403B">
            <w:pPr>
              <w:rPr>
                <w:b/>
                <w:color w:val="FFFFFF" w:themeColor="background1"/>
              </w:rPr>
            </w:pPr>
            <w:r w:rsidRPr="0094743C">
              <w:rPr>
                <w:b/>
                <w:color w:val="FFFFFF" w:themeColor="background1"/>
              </w:rPr>
              <w:t>Temporality</w:t>
            </w:r>
          </w:p>
        </w:tc>
        <w:tc>
          <w:tcPr>
            <w:tcW w:w="2652" w:type="dxa"/>
            <w:shd w:val="clear" w:color="auto" w:fill="8496B0" w:themeFill="text2" w:themeFillTint="99"/>
          </w:tcPr>
          <w:p w14:paraId="2E236BC3" w14:textId="77777777" w:rsidR="00B371D3" w:rsidRPr="0094743C" w:rsidRDefault="00B371D3" w:rsidP="0010403B">
            <w:pPr>
              <w:rPr>
                <w:b/>
                <w:color w:val="FFFFFF" w:themeColor="background1"/>
              </w:rPr>
            </w:pPr>
            <w:r w:rsidRPr="0094743C">
              <w:rPr>
                <w:b/>
                <w:color w:val="FFFFFF" w:themeColor="background1"/>
              </w:rPr>
              <w:t>Confidence / Strength of Evidence</w:t>
            </w:r>
          </w:p>
        </w:tc>
        <w:tc>
          <w:tcPr>
            <w:tcW w:w="3543" w:type="dxa"/>
            <w:shd w:val="clear" w:color="auto" w:fill="8496B0" w:themeFill="text2" w:themeFillTint="99"/>
          </w:tcPr>
          <w:p w14:paraId="1FE9DCDA" w14:textId="77777777" w:rsidR="00B371D3" w:rsidRPr="0094743C" w:rsidRDefault="00B371D3" w:rsidP="0010403B">
            <w:pPr>
              <w:rPr>
                <w:b/>
                <w:color w:val="FFFFFF" w:themeColor="background1"/>
              </w:rPr>
            </w:pPr>
            <w:r w:rsidRPr="0094743C">
              <w:rPr>
                <w:b/>
                <w:color w:val="FFFFFF" w:themeColor="background1"/>
              </w:rPr>
              <w:t>Remaining Uncertainty</w:t>
            </w:r>
          </w:p>
        </w:tc>
      </w:tr>
      <w:tr w:rsidR="00B371D3" w:rsidRPr="0094743C" w14:paraId="494F2317" w14:textId="77777777" w:rsidTr="0010403B">
        <w:trPr>
          <w:trHeight w:val="1099"/>
        </w:trPr>
        <w:tc>
          <w:tcPr>
            <w:tcW w:w="1668" w:type="dxa"/>
            <w:shd w:val="clear" w:color="auto" w:fill="8496B0" w:themeFill="text2" w:themeFillTint="99"/>
          </w:tcPr>
          <w:p w14:paraId="124BC6E4" w14:textId="77777777" w:rsidR="00B371D3" w:rsidRPr="005E233A" w:rsidRDefault="00B371D3" w:rsidP="0010403B">
            <w:pPr>
              <w:spacing w:after="200" w:line="276" w:lineRule="auto"/>
              <w:rPr>
                <w:color w:val="FFFFFF" w:themeColor="background1"/>
              </w:rPr>
            </w:pPr>
            <w:r w:rsidRPr="005E233A">
              <w:rPr>
                <w:color w:val="FFFFFF" w:themeColor="background1"/>
              </w:rPr>
              <w:t>Biodegradation Screening test OECD TG 301B</w:t>
            </w:r>
          </w:p>
        </w:tc>
        <w:tc>
          <w:tcPr>
            <w:tcW w:w="1842" w:type="dxa"/>
          </w:tcPr>
          <w:p w14:paraId="0019CBA2" w14:textId="77777777" w:rsidR="00B371D3" w:rsidRPr="0094743C" w:rsidRDefault="00B371D3" w:rsidP="0010403B">
            <w:r>
              <w:t>Consistent experimental study indicating the substance is not readily biodegradable</w:t>
            </w:r>
          </w:p>
        </w:tc>
        <w:tc>
          <w:tcPr>
            <w:tcW w:w="1347" w:type="dxa"/>
          </w:tcPr>
          <w:p w14:paraId="78A5BF2B" w14:textId="77777777" w:rsidR="00B371D3" w:rsidRPr="0094743C" w:rsidRDefault="00B371D3" w:rsidP="0010403B">
            <w:r>
              <w:t>Plausible</w:t>
            </w:r>
          </w:p>
        </w:tc>
        <w:tc>
          <w:tcPr>
            <w:tcW w:w="1417" w:type="dxa"/>
          </w:tcPr>
          <w:p w14:paraId="09A3D31B" w14:textId="77777777" w:rsidR="00B371D3" w:rsidRPr="0094743C" w:rsidRDefault="00B371D3" w:rsidP="0010403B">
            <w:r>
              <w:t>Not relevant</w:t>
            </w:r>
          </w:p>
        </w:tc>
        <w:tc>
          <w:tcPr>
            <w:tcW w:w="2652" w:type="dxa"/>
          </w:tcPr>
          <w:p w14:paraId="6CE66515" w14:textId="77777777" w:rsidR="00B371D3" w:rsidRPr="0094743C" w:rsidRDefault="00B371D3" w:rsidP="0010403B">
            <w:r>
              <w:t>Medium</w:t>
            </w:r>
          </w:p>
        </w:tc>
        <w:tc>
          <w:tcPr>
            <w:tcW w:w="3543" w:type="dxa"/>
          </w:tcPr>
          <w:p w14:paraId="5DC0D242" w14:textId="77777777" w:rsidR="00B371D3" w:rsidRPr="0094743C" w:rsidRDefault="00B371D3" w:rsidP="0010403B">
            <w:r>
              <w:t>Low</w:t>
            </w:r>
          </w:p>
        </w:tc>
      </w:tr>
      <w:tr w:rsidR="00B371D3" w:rsidRPr="0094743C" w14:paraId="54D2C205" w14:textId="77777777" w:rsidTr="0010403B">
        <w:tc>
          <w:tcPr>
            <w:tcW w:w="1668" w:type="dxa"/>
            <w:shd w:val="clear" w:color="auto" w:fill="8496B0" w:themeFill="text2" w:themeFillTint="99"/>
          </w:tcPr>
          <w:p w14:paraId="7C01FF85" w14:textId="77777777" w:rsidR="00B371D3" w:rsidRPr="005E233A" w:rsidRDefault="00B371D3" w:rsidP="0010403B">
            <w:pPr>
              <w:spacing w:after="200" w:line="276" w:lineRule="auto"/>
              <w:rPr>
                <w:color w:val="FFFFFF" w:themeColor="background1"/>
              </w:rPr>
            </w:pPr>
            <w:r w:rsidRPr="005E233A">
              <w:rPr>
                <w:color w:val="FFFFFF" w:themeColor="background1"/>
              </w:rPr>
              <w:t>Biodegradation Screening test OECD TG 301F</w:t>
            </w:r>
          </w:p>
        </w:tc>
        <w:tc>
          <w:tcPr>
            <w:tcW w:w="1842" w:type="dxa"/>
          </w:tcPr>
          <w:p w14:paraId="73B48D2C" w14:textId="77777777" w:rsidR="00B371D3" w:rsidRPr="0094743C" w:rsidRDefault="00B371D3" w:rsidP="0010403B">
            <w:r>
              <w:t>Consistent experimental study indicating the substance is not readily biodegradable</w:t>
            </w:r>
          </w:p>
        </w:tc>
        <w:tc>
          <w:tcPr>
            <w:tcW w:w="1347" w:type="dxa"/>
          </w:tcPr>
          <w:p w14:paraId="7098B490" w14:textId="77777777" w:rsidR="00B371D3" w:rsidRPr="0094743C" w:rsidRDefault="00B371D3" w:rsidP="0010403B">
            <w:r>
              <w:t>Plausible</w:t>
            </w:r>
          </w:p>
        </w:tc>
        <w:tc>
          <w:tcPr>
            <w:tcW w:w="1417" w:type="dxa"/>
          </w:tcPr>
          <w:p w14:paraId="2D53E197" w14:textId="77777777" w:rsidR="00B371D3" w:rsidRPr="0094743C" w:rsidRDefault="00B371D3" w:rsidP="0010403B">
            <w:r>
              <w:t>Not relevant</w:t>
            </w:r>
          </w:p>
        </w:tc>
        <w:tc>
          <w:tcPr>
            <w:tcW w:w="2652" w:type="dxa"/>
          </w:tcPr>
          <w:p w14:paraId="06021947" w14:textId="77777777" w:rsidR="00B371D3" w:rsidRPr="0094743C" w:rsidRDefault="00B371D3" w:rsidP="0010403B">
            <w:r>
              <w:t>High</w:t>
            </w:r>
          </w:p>
        </w:tc>
        <w:tc>
          <w:tcPr>
            <w:tcW w:w="3543" w:type="dxa"/>
          </w:tcPr>
          <w:p w14:paraId="19906DD8" w14:textId="77777777" w:rsidR="00B371D3" w:rsidRPr="0094743C" w:rsidRDefault="00B371D3" w:rsidP="0010403B">
            <w:r>
              <w:t>Low</w:t>
            </w:r>
          </w:p>
        </w:tc>
      </w:tr>
      <w:tr w:rsidR="00B371D3" w:rsidRPr="0094743C" w14:paraId="5BD4ED92" w14:textId="77777777" w:rsidTr="0010403B">
        <w:tc>
          <w:tcPr>
            <w:tcW w:w="1668" w:type="dxa"/>
            <w:shd w:val="clear" w:color="auto" w:fill="8496B0" w:themeFill="text2" w:themeFillTint="99"/>
          </w:tcPr>
          <w:p w14:paraId="346A2FC1" w14:textId="77777777" w:rsidR="00B371D3" w:rsidRPr="005E233A" w:rsidRDefault="00B371D3" w:rsidP="0010403B">
            <w:pPr>
              <w:spacing w:after="200" w:line="276" w:lineRule="auto"/>
              <w:rPr>
                <w:color w:val="FFFFFF" w:themeColor="background1"/>
              </w:rPr>
            </w:pPr>
            <w:r w:rsidRPr="005E233A">
              <w:rPr>
                <w:color w:val="FFFFFF" w:themeColor="background1"/>
              </w:rPr>
              <w:t>Biodegradation Screening test</w:t>
            </w:r>
            <w:r>
              <w:rPr>
                <w:color w:val="FFFFFF" w:themeColor="background1"/>
              </w:rPr>
              <w:t xml:space="preserve"> (OECD TG 301)</w:t>
            </w:r>
          </w:p>
        </w:tc>
        <w:tc>
          <w:tcPr>
            <w:tcW w:w="1842" w:type="dxa"/>
          </w:tcPr>
          <w:p w14:paraId="68B6D534" w14:textId="77777777" w:rsidR="00B371D3" w:rsidRPr="0094743C" w:rsidRDefault="00B371D3" w:rsidP="0010403B">
            <w:r>
              <w:t>Consistent experimental study indicating the substance is not readily biodegradable</w:t>
            </w:r>
          </w:p>
        </w:tc>
        <w:tc>
          <w:tcPr>
            <w:tcW w:w="1347" w:type="dxa"/>
          </w:tcPr>
          <w:p w14:paraId="491E20C7" w14:textId="77777777" w:rsidR="00B371D3" w:rsidRPr="0094743C" w:rsidRDefault="00B371D3" w:rsidP="0010403B">
            <w:r>
              <w:t>Plausible</w:t>
            </w:r>
          </w:p>
        </w:tc>
        <w:tc>
          <w:tcPr>
            <w:tcW w:w="1417" w:type="dxa"/>
          </w:tcPr>
          <w:p w14:paraId="23DC59EC" w14:textId="77777777" w:rsidR="00B371D3" w:rsidRPr="0094743C" w:rsidRDefault="00B371D3" w:rsidP="0010403B">
            <w:r>
              <w:t>Not relevant</w:t>
            </w:r>
          </w:p>
        </w:tc>
        <w:tc>
          <w:tcPr>
            <w:tcW w:w="2652" w:type="dxa"/>
          </w:tcPr>
          <w:p w14:paraId="57726E3A" w14:textId="77777777" w:rsidR="00B371D3" w:rsidRPr="0094743C" w:rsidRDefault="00B371D3" w:rsidP="0010403B">
            <w:r>
              <w:t>High</w:t>
            </w:r>
          </w:p>
        </w:tc>
        <w:tc>
          <w:tcPr>
            <w:tcW w:w="3543" w:type="dxa"/>
          </w:tcPr>
          <w:p w14:paraId="5BFB8973" w14:textId="77777777" w:rsidR="00B371D3" w:rsidRPr="0094743C" w:rsidRDefault="00B371D3" w:rsidP="0010403B">
            <w:r>
              <w:t>Low</w:t>
            </w:r>
          </w:p>
        </w:tc>
      </w:tr>
      <w:tr w:rsidR="00B371D3" w:rsidRPr="0094743C" w14:paraId="5D5AC40F" w14:textId="77777777" w:rsidTr="0010403B">
        <w:tc>
          <w:tcPr>
            <w:tcW w:w="1668" w:type="dxa"/>
            <w:shd w:val="clear" w:color="auto" w:fill="8496B0" w:themeFill="text2" w:themeFillTint="99"/>
          </w:tcPr>
          <w:p w14:paraId="12AAF05B" w14:textId="77777777" w:rsidR="00B371D3" w:rsidRPr="005E233A" w:rsidRDefault="00B371D3" w:rsidP="0010403B">
            <w:pPr>
              <w:spacing w:after="200" w:line="276" w:lineRule="auto"/>
              <w:rPr>
                <w:color w:val="FFFFFF" w:themeColor="background1"/>
              </w:rPr>
            </w:pPr>
            <w:r w:rsidRPr="005E233A">
              <w:rPr>
                <w:color w:val="FFFFFF" w:themeColor="background1"/>
              </w:rPr>
              <w:t>Manometric Respirometry Study OECD TG 302C</w:t>
            </w:r>
          </w:p>
        </w:tc>
        <w:tc>
          <w:tcPr>
            <w:tcW w:w="1842" w:type="dxa"/>
          </w:tcPr>
          <w:p w14:paraId="42D37F44" w14:textId="77777777" w:rsidR="00B371D3" w:rsidRPr="0094743C" w:rsidRDefault="00B371D3" w:rsidP="0010403B">
            <w:r>
              <w:t xml:space="preserve">Consistent experimental study indicating the substance is not </w:t>
            </w:r>
            <w:r>
              <w:lastRenderedPageBreak/>
              <w:t>inherently biodegradable</w:t>
            </w:r>
          </w:p>
        </w:tc>
        <w:tc>
          <w:tcPr>
            <w:tcW w:w="1347" w:type="dxa"/>
          </w:tcPr>
          <w:p w14:paraId="46C633FC" w14:textId="77777777" w:rsidR="00B371D3" w:rsidRPr="0094743C" w:rsidRDefault="00B371D3" w:rsidP="0010403B">
            <w:r>
              <w:lastRenderedPageBreak/>
              <w:t>Plausible</w:t>
            </w:r>
          </w:p>
        </w:tc>
        <w:tc>
          <w:tcPr>
            <w:tcW w:w="1417" w:type="dxa"/>
          </w:tcPr>
          <w:p w14:paraId="3CC5340C" w14:textId="77777777" w:rsidR="00B371D3" w:rsidRPr="0094743C" w:rsidRDefault="00B371D3" w:rsidP="0010403B">
            <w:r>
              <w:t>Not relevant</w:t>
            </w:r>
          </w:p>
        </w:tc>
        <w:tc>
          <w:tcPr>
            <w:tcW w:w="2652" w:type="dxa"/>
          </w:tcPr>
          <w:p w14:paraId="746A809B" w14:textId="77777777" w:rsidR="00B371D3" w:rsidRPr="0094743C" w:rsidRDefault="00B371D3" w:rsidP="0010403B">
            <w:r>
              <w:t>High</w:t>
            </w:r>
          </w:p>
        </w:tc>
        <w:tc>
          <w:tcPr>
            <w:tcW w:w="3543" w:type="dxa"/>
          </w:tcPr>
          <w:p w14:paraId="34D4A8C1" w14:textId="77777777" w:rsidR="00B371D3" w:rsidRPr="0094743C" w:rsidRDefault="00B371D3" w:rsidP="0010403B">
            <w:r>
              <w:t>Low</w:t>
            </w:r>
          </w:p>
        </w:tc>
      </w:tr>
      <w:tr w:rsidR="00B371D3" w:rsidRPr="0094743C" w14:paraId="687D0BF1" w14:textId="77777777" w:rsidTr="0010403B">
        <w:tc>
          <w:tcPr>
            <w:tcW w:w="1668" w:type="dxa"/>
            <w:shd w:val="clear" w:color="auto" w:fill="8496B0" w:themeFill="text2" w:themeFillTint="99"/>
          </w:tcPr>
          <w:p w14:paraId="7E206C61" w14:textId="77777777" w:rsidR="00B371D3" w:rsidRPr="005E233A" w:rsidRDefault="00B371D3" w:rsidP="0010403B">
            <w:pPr>
              <w:spacing w:after="200" w:line="276" w:lineRule="auto"/>
              <w:rPr>
                <w:color w:val="FFFFFF" w:themeColor="background1"/>
              </w:rPr>
            </w:pPr>
            <w:r w:rsidRPr="005E233A">
              <w:rPr>
                <w:color w:val="FFFFFF" w:themeColor="background1"/>
              </w:rPr>
              <w:t>Aerobic mineralisation study OECD TG 309</w:t>
            </w:r>
          </w:p>
        </w:tc>
        <w:tc>
          <w:tcPr>
            <w:tcW w:w="1842" w:type="dxa"/>
          </w:tcPr>
          <w:p w14:paraId="3CEACBE3" w14:textId="77777777" w:rsidR="00B371D3" w:rsidRPr="0094743C" w:rsidRDefault="00B371D3" w:rsidP="0010403B">
            <w:r>
              <w:t>Consistent experimental study indicating the substance is very persistent in water</w:t>
            </w:r>
          </w:p>
        </w:tc>
        <w:tc>
          <w:tcPr>
            <w:tcW w:w="1347" w:type="dxa"/>
          </w:tcPr>
          <w:p w14:paraId="169C86AE" w14:textId="77777777" w:rsidR="00B371D3" w:rsidRPr="0094743C" w:rsidRDefault="00B371D3" w:rsidP="0010403B">
            <w:r>
              <w:t>Plausible</w:t>
            </w:r>
          </w:p>
        </w:tc>
        <w:tc>
          <w:tcPr>
            <w:tcW w:w="1417" w:type="dxa"/>
          </w:tcPr>
          <w:p w14:paraId="0DE77211" w14:textId="77777777" w:rsidR="00B371D3" w:rsidRPr="0094743C" w:rsidRDefault="00B371D3" w:rsidP="0010403B">
            <w:r>
              <w:t>Not relevant</w:t>
            </w:r>
          </w:p>
        </w:tc>
        <w:tc>
          <w:tcPr>
            <w:tcW w:w="2652" w:type="dxa"/>
          </w:tcPr>
          <w:p w14:paraId="030FBA24" w14:textId="77777777" w:rsidR="00B371D3" w:rsidRPr="0094743C" w:rsidRDefault="00B371D3" w:rsidP="0010403B">
            <w:r>
              <w:t>Medium</w:t>
            </w:r>
          </w:p>
        </w:tc>
        <w:tc>
          <w:tcPr>
            <w:tcW w:w="3543" w:type="dxa"/>
          </w:tcPr>
          <w:p w14:paraId="0D64A0E4" w14:textId="77777777" w:rsidR="00B371D3" w:rsidRPr="0094743C" w:rsidRDefault="00B371D3" w:rsidP="0010403B">
            <w:r>
              <w:t>Low</w:t>
            </w:r>
          </w:p>
        </w:tc>
      </w:tr>
      <w:tr w:rsidR="00B371D3" w:rsidRPr="0094743C" w14:paraId="4C3401D1" w14:textId="77777777" w:rsidTr="0010403B">
        <w:tc>
          <w:tcPr>
            <w:tcW w:w="1668" w:type="dxa"/>
            <w:shd w:val="clear" w:color="auto" w:fill="8496B0" w:themeFill="text2" w:themeFillTint="99"/>
          </w:tcPr>
          <w:p w14:paraId="2040077A" w14:textId="77777777" w:rsidR="00B371D3" w:rsidRPr="005E233A" w:rsidRDefault="00B371D3" w:rsidP="0010403B">
            <w:pPr>
              <w:spacing w:after="200" w:line="276" w:lineRule="auto"/>
              <w:rPr>
                <w:color w:val="FFFFFF" w:themeColor="background1"/>
              </w:rPr>
            </w:pPr>
            <w:r w:rsidRPr="005E233A">
              <w:rPr>
                <w:color w:val="FFFFFF" w:themeColor="background1"/>
              </w:rPr>
              <w:t>EPIWIN BioWin v.4.10</w:t>
            </w:r>
          </w:p>
          <w:p w14:paraId="536B8E83" w14:textId="77777777" w:rsidR="00B371D3" w:rsidRPr="005E233A" w:rsidRDefault="00B371D3" w:rsidP="0010403B">
            <w:pPr>
              <w:spacing w:after="200" w:line="276" w:lineRule="auto"/>
              <w:rPr>
                <w:color w:val="FFFFFF" w:themeColor="background1"/>
              </w:rPr>
            </w:pPr>
          </w:p>
        </w:tc>
        <w:tc>
          <w:tcPr>
            <w:tcW w:w="1842" w:type="dxa"/>
          </w:tcPr>
          <w:p w14:paraId="60472476" w14:textId="77777777" w:rsidR="00B371D3" w:rsidRPr="0094743C" w:rsidRDefault="00B371D3" w:rsidP="0010403B">
            <w:r>
              <w:t xml:space="preserve">Consisted prediction with the experimental findings. The </w:t>
            </w:r>
            <w:r w:rsidRPr="00133CBD">
              <w:t xml:space="preserve">substance </w:t>
            </w:r>
            <w:r>
              <w:t>does not biodegrade fast.</w:t>
            </w:r>
          </w:p>
        </w:tc>
        <w:tc>
          <w:tcPr>
            <w:tcW w:w="1347" w:type="dxa"/>
          </w:tcPr>
          <w:p w14:paraId="244E99C9" w14:textId="77777777" w:rsidR="00B371D3" w:rsidRPr="0094743C" w:rsidRDefault="00B371D3" w:rsidP="0010403B">
            <w:r>
              <w:t>Plausible</w:t>
            </w:r>
          </w:p>
        </w:tc>
        <w:tc>
          <w:tcPr>
            <w:tcW w:w="1417" w:type="dxa"/>
          </w:tcPr>
          <w:p w14:paraId="766E8277" w14:textId="77777777" w:rsidR="00B371D3" w:rsidRPr="0094743C" w:rsidRDefault="00B371D3" w:rsidP="0010403B">
            <w:r>
              <w:t>Not relevant</w:t>
            </w:r>
          </w:p>
        </w:tc>
        <w:tc>
          <w:tcPr>
            <w:tcW w:w="2652" w:type="dxa"/>
          </w:tcPr>
          <w:p w14:paraId="08901641" w14:textId="77777777" w:rsidR="00B371D3" w:rsidRPr="0094743C" w:rsidRDefault="00B371D3" w:rsidP="0010403B">
            <w:r>
              <w:t>Medium</w:t>
            </w:r>
          </w:p>
        </w:tc>
        <w:tc>
          <w:tcPr>
            <w:tcW w:w="3543" w:type="dxa"/>
          </w:tcPr>
          <w:p w14:paraId="1AB27B61" w14:textId="77777777" w:rsidR="00B371D3" w:rsidRPr="0094743C" w:rsidRDefault="00B371D3" w:rsidP="0010403B">
            <w:r>
              <w:t>Low</w:t>
            </w:r>
          </w:p>
        </w:tc>
      </w:tr>
      <w:tr w:rsidR="00B371D3" w:rsidRPr="0094743C" w14:paraId="5CB3589E" w14:textId="77777777" w:rsidTr="0010403B">
        <w:tc>
          <w:tcPr>
            <w:tcW w:w="1668" w:type="dxa"/>
            <w:shd w:val="clear" w:color="auto" w:fill="8496B0" w:themeFill="text2" w:themeFillTint="99"/>
          </w:tcPr>
          <w:p w14:paraId="02369701" w14:textId="77777777" w:rsidR="00B371D3" w:rsidRPr="005E233A" w:rsidRDefault="00B371D3" w:rsidP="0010403B">
            <w:pPr>
              <w:spacing w:after="200" w:line="276" w:lineRule="auto"/>
              <w:rPr>
                <w:color w:val="FFFFFF" w:themeColor="background1"/>
              </w:rPr>
            </w:pPr>
            <w:r w:rsidRPr="005E233A">
              <w:rPr>
                <w:color w:val="FFFFFF" w:themeColor="background1"/>
              </w:rPr>
              <w:t>CATABOL</w:t>
            </w:r>
          </w:p>
        </w:tc>
        <w:tc>
          <w:tcPr>
            <w:tcW w:w="1842" w:type="dxa"/>
          </w:tcPr>
          <w:p w14:paraId="034BC04F" w14:textId="77777777" w:rsidR="00B371D3" w:rsidRPr="0094743C" w:rsidRDefault="00B371D3" w:rsidP="0010403B">
            <w:r>
              <w:t>Predictions for partial mineralisation (stable metabolite formed).</w:t>
            </w:r>
          </w:p>
        </w:tc>
        <w:tc>
          <w:tcPr>
            <w:tcW w:w="1347" w:type="dxa"/>
          </w:tcPr>
          <w:p w14:paraId="0C1D39FF" w14:textId="77777777" w:rsidR="00B371D3" w:rsidRPr="0094743C" w:rsidRDefault="00B371D3" w:rsidP="0010403B">
            <w:r>
              <w:t>Plausible but experimental data show that partial degradation is very limited.</w:t>
            </w:r>
          </w:p>
        </w:tc>
        <w:tc>
          <w:tcPr>
            <w:tcW w:w="1417" w:type="dxa"/>
          </w:tcPr>
          <w:p w14:paraId="5846A4F3" w14:textId="77777777" w:rsidR="00B371D3" w:rsidRPr="0094743C" w:rsidRDefault="00B371D3" w:rsidP="0010403B">
            <w:r>
              <w:t>Not relevant</w:t>
            </w:r>
          </w:p>
        </w:tc>
        <w:tc>
          <w:tcPr>
            <w:tcW w:w="2652" w:type="dxa"/>
          </w:tcPr>
          <w:p w14:paraId="2932F522" w14:textId="77777777" w:rsidR="00B371D3" w:rsidRPr="0094743C" w:rsidRDefault="00B371D3" w:rsidP="0010403B">
            <w:r>
              <w:t>Low</w:t>
            </w:r>
          </w:p>
        </w:tc>
        <w:tc>
          <w:tcPr>
            <w:tcW w:w="3543" w:type="dxa"/>
          </w:tcPr>
          <w:p w14:paraId="22F2EE79" w14:textId="77777777" w:rsidR="00B371D3" w:rsidRPr="0094743C" w:rsidRDefault="00B371D3" w:rsidP="0010403B">
            <w:r>
              <w:t>Low</w:t>
            </w:r>
          </w:p>
        </w:tc>
      </w:tr>
      <w:tr w:rsidR="00B371D3" w:rsidRPr="0094743C" w14:paraId="623380FA" w14:textId="77777777" w:rsidTr="0010403B">
        <w:tc>
          <w:tcPr>
            <w:tcW w:w="1668" w:type="dxa"/>
            <w:shd w:val="clear" w:color="auto" w:fill="8496B0" w:themeFill="text2" w:themeFillTint="99"/>
          </w:tcPr>
          <w:p w14:paraId="675B9C3C" w14:textId="77777777" w:rsidR="00B371D3" w:rsidRPr="005E233A" w:rsidRDefault="00B371D3" w:rsidP="0010403B">
            <w:pPr>
              <w:spacing w:after="200" w:line="276" w:lineRule="auto"/>
              <w:rPr>
                <w:color w:val="FFFFFF" w:themeColor="background1"/>
              </w:rPr>
            </w:pPr>
            <w:r w:rsidRPr="005E233A">
              <w:rPr>
                <w:color w:val="FFFFFF" w:themeColor="background1"/>
              </w:rPr>
              <w:t>OECD QSAR Toolbox</w:t>
            </w:r>
          </w:p>
        </w:tc>
        <w:tc>
          <w:tcPr>
            <w:tcW w:w="1842" w:type="dxa"/>
          </w:tcPr>
          <w:p w14:paraId="408586C8" w14:textId="77777777" w:rsidR="00B371D3" w:rsidRPr="0094743C" w:rsidRDefault="00B371D3" w:rsidP="0010403B">
            <w:r>
              <w:t>Predictions for microbial metabolism.</w:t>
            </w:r>
          </w:p>
        </w:tc>
        <w:tc>
          <w:tcPr>
            <w:tcW w:w="1347" w:type="dxa"/>
          </w:tcPr>
          <w:p w14:paraId="5D909074" w14:textId="77777777" w:rsidR="00B371D3" w:rsidRPr="0094743C" w:rsidRDefault="00B371D3" w:rsidP="0010403B">
            <w:r>
              <w:t>Plausible but experimental data show that partial degradation is very limited.</w:t>
            </w:r>
          </w:p>
        </w:tc>
        <w:tc>
          <w:tcPr>
            <w:tcW w:w="1417" w:type="dxa"/>
          </w:tcPr>
          <w:p w14:paraId="0E029E44" w14:textId="77777777" w:rsidR="00B371D3" w:rsidRPr="0094743C" w:rsidRDefault="00B371D3" w:rsidP="0010403B">
            <w:r>
              <w:t>Not relevant</w:t>
            </w:r>
          </w:p>
        </w:tc>
        <w:tc>
          <w:tcPr>
            <w:tcW w:w="2652" w:type="dxa"/>
          </w:tcPr>
          <w:p w14:paraId="157E4E4E" w14:textId="77777777" w:rsidR="00B371D3" w:rsidRPr="0094743C" w:rsidRDefault="00B371D3" w:rsidP="0010403B">
            <w:r>
              <w:t>Low</w:t>
            </w:r>
          </w:p>
        </w:tc>
        <w:tc>
          <w:tcPr>
            <w:tcW w:w="3543" w:type="dxa"/>
          </w:tcPr>
          <w:p w14:paraId="298EB146" w14:textId="77777777" w:rsidR="00B371D3" w:rsidRPr="0094743C" w:rsidRDefault="00B371D3" w:rsidP="0010403B">
            <w:r>
              <w:t>Low</w:t>
            </w:r>
          </w:p>
        </w:tc>
      </w:tr>
      <w:tr w:rsidR="00B371D3" w:rsidRPr="0094743C" w14:paraId="7AC87A05" w14:textId="77777777" w:rsidTr="0010403B">
        <w:tc>
          <w:tcPr>
            <w:tcW w:w="1668" w:type="dxa"/>
            <w:shd w:val="clear" w:color="auto" w:fill="8496B0" w:themeFill="text2" w:themeFillTint="99"/>
          </w:tcPr>
          <w:p w14:paraId="6CE7D9A6" w14:textId="77777777" w:rsidR="00B371D3" w:rsidRPr="005E233A" w:rsidRDefault="00B371D3" w:rsidP="0010403B">
            <w:pPr>
              <w:spacing w:after="200" w:line="276" w:lineRule="auto"/>
              <w:rPr>
                <w:color w:val="FFFFFF" w:themeColor="background1"/>
              </w:rPr>
            </w:pPr>
            <w:r w:rsidRPr="005E233A">
              <w:rPr>
                <w:color w:val="FFFFFF" w:themeColor="background1"/>
              </w:rPr>
              <w:lastRenderedPageBreak/>
              <w:t>METEOR</w:t>
            </w:r>
          </w:p>
        </w:tc>
        <w:tc>
          <w:tcPr>
            <w:tcW w:w="1842" w:type="dxa"/>
          </w:tcPr>
          <w:p w14:paraId="1595A58D" w14:textId="77777777" w:rsidR="00B371D3" w:rsidRPr="0094743C" w:rsidRDefault="00B371D3" w:rsidP="0010403B">
            <w:r>
              <w:t>Predictions for microbial metabolism.</w:t>
            </w:r>
          </w:p>
        </w:tc>
        <w:tc>
          <w:tcPr>
            <w:tcW w:w="1347" w:type="dxa"/>
          </w:tcPr>
          <w:p w14:paraId="28FCC999" w14:textId="77777777" w:rsidR="00B371D3" w:rsidRPr="0094743C" w:rsidRDefault="00B371D3" w:rsidP="0010403B">
            <w:r>
              <w:t>Plausible but experimental data show that partial degradation is very limited.</w:t>
            </w:r>
          </w:p>
        </w:tc>
        <w:tc>
          <w:tcPr>
            <w:tcW w:w="1417" w:type="dxa"/>
          </w:tcPr>
          <w:p w14:paraId="04CEAEFA" w14:textId="77777777" w:rsidR="00B371D3" w:rsidRPr="0094743C" w:rsidRDefault="00B371D3" w:rsidP="0010403B">
            <w:r>
              <w:t>Not relevant</w:t>
            </w:r>
          </w:p>
        </w:tc>
        <w:tc>
          <w:tcPr>
            <w:tcW w:w="2652" w:type="dxa"/>
          </w:tcPr>
          <w:p w14:paraId="081B6FBC" w14:textId="77777777" w:rsidR="00B371D3" w:rsidRPr="0094743C" w:rsidRDefault="00B371D3" w:rsidP="0010403B">
            <w:r>
              <w:t>Low</w:t>
            </w:r>
          </w:p>
        </w:tc>
        <w:tc>
          <w:tcPr>
            <w:tcW w:w="3543" w:type="dxa"/>
          </w:tcPr>
          <w:p w14:paraId="1F9A3AA4" w14:textId="77777777" w:rsidR="00B371D3" w:rsidRPr="0094743C" w:rsidRDefault="00B371D3" w:rsidP="0010403B">
            <w:r>
              <w:t>Low</w:t>
            </w:r>
          </w:p>
        </w:tc>
      </w:tr>
      <w:tr w:rsidR="00B371D3" w:rsidRPr="0094743C" w14:paraId="7BC634AE" w14:textId="77777777" w:rsidTr="0010403B">
        <w:tc>
          <w:tcPr>
            <w:tcW w:w="1668" w:type="dxa"/>
            <w:shd w:val="clear" w:color="auto" w:fill="8496B0" w:themeFill="text2" w:themeFillTint="99"/>
          </w:tcPr>
          <w:p w14:paraId="77FE06DA" w14:textId="77777777" w:rsidR="00B371D3" w:rsidRPr="005E233A" w:rsidRDefault="00B371D3" w:rsidP="0010403B">
            <w:pPr>
              <w:spacing w:after="200" w:line="276" w:lineRule="auto"/>
              <w:rPr>
                <w:color w:val="FFFFFF" w:themeColor="background1"/>
              </w:rPr>
            </w:pPr>
            <w:r w:rsidRPr="005E233A">
              <w:rPr>
                <w:color w:val="FFFFFF" w:themeColor="background1"/>
              </w:rPr>
              <w:t>EAWAG-BBD Pathway Prediction System</w:t>
            </w:r>
          </w:p>
        </w:tc>
        <w:tc>
          <w:tcPr>
            <w:tcW w:w="1842" w:type="dxa"/>
          </w:tcPr>
          <w:p w14:paraId="6759CEE8" w14:textId="77777777" w:rsidR="00B371D3" w:rsidRPr="0094743C" w:rsidRDefault="00B371D3" w:rsidP="0010403B">
            <w:r>
              <w:t>Predictions for microbial metabolism.</w:t>
            </w:r>
          </w:p>
        </w:tc>
        <w:tc>
          <w:tcPr>
            <w:tcW w:w="1347" w:type="dxa"/>
          </w:tcPr>
          <w:p w14:paraId="7B6381E7" w14:textId="77777777" w:rsidR="00B371D3" w:rsidRPr="0094743C" w:rsidRDefault="00B371D3" w:rsidP="0010403B">
            <w:r>
              <w:t>Plausible but experimental data show that partial degradation is very limited.</w:t>
            </w:r>
          </w:p>
        </w:tc>
        <w:tc>
          <w:tcPr>
            <w:tcW w:w="1417" w:type="dxa"/>
          </w:tcPr>
          <w:p w14:paraId="337B8324" w14:textId="77777777" w:rsidR="00B371D3" w:rsidRPr="0094743C" w:rsidRDefault="00B371D3" w:rsidP="0010403B">
            <w:r>
              <w:t>Not relevant</w:t>
            </w:r>
          </w:p>
        </w:tc>
        <w:tc>
          <w:tcPr>
            <w:tcW w:w="2652" w:type="dxa"/>
          </w:tcPr>
          <w:p w14:paraId="2462B83F" w14:textId="77777777" w:rsidR="00B371D3" w:rsidRPr="0094743C" w:rsidRDefault="00B371D3" w:rsidP="0010403B">
            <w:r>
              <w:t>Low</w:t>
            </w:r>
          </w:p>
        </w:tc>
        <w:tc>
          <w:tcPr>
            <w:tcW w:w="3543" w:type="dxa"/>
          </w:tcPr>
          <w:p w14:paraId="7A431D41" w14:textId="77777777" w:rsidR="00B371D3" w:rsidRPr="0094743C" w:rsidRDefault="00B371D3" w:rsidP="0010403B">
            <w:r>
              <w:t>Low</w:t>
            </w:r>
          </w:p>
        </w:tc>
      </w:tr>
      <w:tr w:rsidR="00B371D3" w:rsidRPr="0094743C" w14:paraId="2B0487D5" w14:textId="77777777" w:rsidTr="0010403B">
        <w:trPr>
          <w:trHeight w:val="464"/>
        </w:trPr>
        <w:tc>
          <w:tcPr>
            <w:tcW w:w="1668" w:type="dxa"/>
            <w:shd w:val="clear" w:color="auto" w:fill="8496B0" w:themeFill="text2" w:themeFillTint="99"/>
          </w:tcPr>
          <w:p w14:paraId="7DDFF0F7" w14:textId="77777777" w:rsidR="00B371D3" w:rsidRPr="0094743C" w:rsidRDefault="00B371D3" w:rsidP="0010403B">
            <w:pPr>
              <w:rPr>
                <w:b/>
                <w:color w:val="FFFFFF" w:themeColor="background1"/>
              </w:rPr>
            </w:pPr>
          </w:p>
          <w:p w14:paraId="132C3A61" w14:textId="77777777" w:rsidR="00B371D3" w:rsidRPr="0094743C" w:rsidRDefault="00B371D3" w:rsidP="0010403B">
            <w:pPr>
              <w:rPr>
                <w:b/>
                <w:color w:val="FFFFFF" w:themeColor="background1"/>
              </w:rPr>
            </w:pPr>
            <w:r w:rsidRPr="0094743C">
              <w:rPr>
                <w:b/>
                <w:color w:val="FFFFFF" w:themeColor="background1"/>
              </w:rPr>
              <w:t>Conclusion from overall confidence</w:t>
            </w:r>
          </w:p>
        </w:tc>
        <w:tc>
          <w:tcPr>
            <w:tcW w:w="10801" w:type="dxa"/>
            <w:gridSpan w:val="5"/>
          </w:tcPr>
          <w:p w14:paraId="22C85E73" w14:textId="77777777" w:rsidR="00B371D3" w:rsidRDefault="00B371D3" w:rsidP="0010403B"/>
          <w:p w14:paraId="7BDC38FE" w14:textId="77777777" w:rsidR="00B371D3" w:rsidRDefault="00B371D3" w:rsidP="0010403B"/>
          <w:p w14:paraId="4A835299" w14:textId="77777777" w:rsidR="00B371D3" w:rsidRPr="0094743C" w:rsidRDefault="00B371D3" w:rsidP="0010403B">
            <w:r>
              <w:t>High/Medium Confidence</w:t>
            </w:r>
          </w:p>
        </w:tc>
      </w:tr>
    </w:tbl>
    <w:p w14:paraId="67DBBE75" w14:textId="77777777" w:rsidR="00B371D3" w:rsidRDefault="00B371D3" w:rsidP="00B371D3">
      <w:pPr>
        <w:rPr>
          <w:rFonts w:ascii="Verdana,Bold" w:hAnsi="Verdana,Bold" w:cs="Verdana,Bold"/>
          <w:b/>
          <w:bCs/>
          <w:sz w:val="20"/>
          <w:szCs w:val="20"/>
        </w:rPr>
      </w:pPr>
      <w:r>
        <w:rPr>
          <w:rFonts w:ascii="Verdana,Bold" w:hAnsi="Verdana,Bold" w:cs="Verdana,Bold"/>
          <w:b/>
          <w:bCs/>
          <w:sz w:val="20"/>
          <w:szCs w:val="20"/>
        </w:rPr>
        <w:br w:type="page"/>
      </w:r>
    </w:p>
    <w:p w14:paraId="742684AA" w14:textId="77777777" w:rsidR="00B371D3" w:rsidRPr="00B95345" w:rsidRDefault="00B371D3" w:rsidP="00B371D3">
      <w:pPr>
        <w:rPr>
          <w:rFonts w:ascii="Verdana" w:hAnsi="Verdana" w:cs="Verdana,Bold"/>
          <w:bCs/>
          <w:sz w:val="20"/>
          <w:szCs w:val="20"/>
        </w:rPr>
      </w:pPr>
      <w:r w:rsidRPr="00B95345">
        <w:rPr>
          <w:rFonts w:ascii="Verdana" w:hAnsi="Verdana" w:cs="Verdana,Bold"/>
          <w:bCs/>
          <w:sz w:val="20"/>
          <w:szCs w:val="20"/>
        </w:rPr>
        <w:lastRenderedPageBreak/>
        <w:t>Confidence level for th</w:t>
      </w:r>
      <w:r>
        <w:rPr>
          <w:rFonts w:ascii="Verdana" w:hAnsi="Verdana" w:cs="Verdana,Bold"/>
          <w:bCs/>
          <w:sz w:val="20"/>
          <w:szCs w:val="20"/>
        </w:rPr>
        <w:t xml:space="preserve">e experimental study (OECD TG 301B) </w:t>
      </w:r>
      <w:r w:rsidRPr="00B95345">
        <w:rPr>
          <w:rFonts w:ascii="Verdana" w:hAnsi="Verdana" w:cs="Verdana,Bold"/>
          <w:bCs/>
          <w:sz w:val="20"/>
          <w:szCs w:val="20"/>
        </w:rPr>
        <w:t xml:space="preserve">was medium for reasons outlined in the assessment of the quality of evidence (Klismisch score </w:t>
      </w:r>
      <w:r>
        <w:rPr>
          <w:rFonts w:ascii="Verdana" w:hAnsi="Verdana" w:cs="Verdana,Bold"/>
          <w:bCs/>
          <w:sz w:val="20"/>
          <w:szCs w:val="20"/>
        </w:rPr>
        <w:t>2</w:t>
      </w:r>
      <w:r w:rsidRPr="00B95345">
        <w:rPr>
          <w:rFonts w:ascii="Verdana" w:hAnsi="Verdana" w:cs="Verdana,Bold"/>
          <w:bCs/>
          <w:sz w:val="20"/>
          <w:szCs w:val="20"/>
        </w:rPr>
        <w:t xml:space="preserve">); however, due to consistency with the remaining evidence for this endpoint the confidence level can be regarded as medium. </w:t>
      </w:r>
    </w:p>
    <w:p w14:paraId="04BC58C2" w14:textId="77777777" w:rsidR="00B371D3" w:rsidRPr="00B95345" w:rsidRDefault="00B371D3" w:rsidP="00B371D3">
      <w:pPr>
        <w:rPr>
          <w:rFonts w:ascii="Verdana" w:hAnsi="Verdana" w:cs="Verdana,Bold"/>
          <w:bCs/>
          <w:sz w:val="20"/>
          <w:szCs w:val="20"/>
        </w:rPr>
      </w:pPr>
      <w:r w:rsidRPr="00B95345">
        <w:rPr>
          <w:rFonts w:ascii="Verdana" w:hAnsi="Verdana" w:cs="Verdana,Bold"/>
          <w:bCs/>
          <w:sz w:val="20"/>
          <w:szCs w:val="20"/>
        </w:rPr>
        <w:t>Confidence level for th</w:t>
      </w:r>
      <w:r>
        <w:rPr>
          <w:rFonts w:ascii="Verdana" w:hAnsi="Verdana" w:cs="Verdana,Bold"/>
          <w:bCs/>
          <w:sz w:val="20"/>
          <w:szCs w:val="20"/>
        </w:rPr>
        <w:t xml:space="preserve">e simulation test (OECD TG 309) </w:t>
      </w:r>
      <w:r w:rsidRPr="00B95345">
        <w:rPr>
          <w:rFonts w:ascii="Verdana" w:hAnsi="Verdana" w:cs="Verdana,Bold"/>
          <w:bCs/>
          <w:sz w:val="20"/>
          <w:szCs w:val="20"/>
        </w:rPr>
        <w:t xml:space="preserve">was medium for reasons outlined in the assessment of the quality of evidence (Klismisch score </w:t>
      </w:r>
      <w:r>
        <w:rPr>
          <w:rFonts w:ascii="Verdana" w:hAnsi="Verdana" w:cs="Verdana,Bold"/>
          <w:bCs/>
          <w:sz w:val="20"/>
          <w:szCs w:val="20"/>
        </w:rPr>
        <w:t>2</w:t>
      </w:r>
      <w:r w:rsidRPr="00B95345">
        <w:rPr>
          <w:rFonts w:ascii="Verdana" w:hAnsi="Verdana" w:cs="Verdana,Bold"/>
          <w:bCs/>
          <w:sz w:val="20"/>
          <w:szCs w:val="20"/>
        </w:rPr>
        <w:t xml:space="preserve">); however, due to consistency with the remaining evidence for this endpoint the confidence level can be regarded as medium. </w:t>
      </w:r>
    </w:p>
    <w:p w14:paraId="48A5CCA3" w14:textId="77777777" w:rsidR="00B371D3" w:rsidRPr="00E5469F" w:rsidRDefault="00B371D3" w:rsidP="00B371D3">
      <w:pPr>
        <w:rPr>
          <w:rFonts w:ascii="Verdana,Bold" w:hAnsi="Verdana,Bold" w:cs="Verdana,Bold"/>
          <w:b/>
          <w:bCs/>
          <w:sz w:val="24"/>
          <w:szCs w:val="24"/>
        </w:rPr>
      </w:pPr>
    </w:p>
    <w:p w14:paraId="1BA871F8" w14:textId="77777777" w:rsidR="00B371D3" w:rsidRPr="00FC41B5" w:rsidRDefault="00B371D3" w:rsidP="00233E2A">
      <w:pPr>
        <w:pStyle w:val="ListParagraph"/>
        <w:widowControl/>
        <w:numPr>
          <w:ilvl w:val="0"/>
          <w:numId w:val="31"/>
        </w:numPr>
        <w:spacing w:after="160" w:line="259" w:lineRule="auto"/>
        <w:rPr>
          <w:rFonts w:ascii="Verdana,Bold" w:hAnsi="Verdana,Bold" w:cs="Verdana,Bold"/>
          <w:b/>
          <w:bCs/>
          <w:sz w:val="24"/>
          <w:szCs w:val="24"/>
        </w:rPr>
      </w:pPr>
      <w:r>
        <w:rPr>
          <w:rFonts w:ascii="Verdana,Bold" w:hAnsi="Verdana,Bold" w:cs="Verdana,Bold"/>
          <w:b/>
          <w:bCs/>
          <w:sz w:val="24"/>
          <w:szCs w:val="24"/>
        </w:rPr>
        <w:t>Uncertainty Analysis</w:t>
      </w:r>
    </w:p>
    <w:p w14:paraId="2828E806" w14:textId="77777777" w:rsidR="00B371D3" w:rsidRPr="00650A5A" w:rsidRDefault="00B371D3" w:rsidP="00B371D3">
      <w:pPr>
        <w:rPr>
          <w:rFonts w:ascii="Verdana" w:hAnsi="Verdana" w:cs="Verdana,Bold"/>
          <w:bCs/>
          <w:sz w:val="20"/>
          <w:szCs w:val="20"/>
        </w:rPr>
      </w:pPr>
      <w:r w:rsidRPr="00650A5A">
        <w:rPr>
          <w:rFonts w:ascii="Verdana" w:hAnsi="Verdana" w:cs="Verdana,Bold"/>
          <w:bCs/>
          <w:sz w:val="20"/>
          <w:szCs w:val="20"/>
        </w:rPr>
        <w:t xml:space="preserve">No specific uncertainty analysis was considered necessary for this problem formulation. The evidence available were conclusive to decide on the vP properties of the substance when compared to the criteria. The evidence was of good quality, and confidence levels were medium/high. </w:t>
      </w:r>
    </w:p>
    <w:p w14:paraId="4459F91C" w14:textId="77777777" w:rsidR="00B371D3" w:rsidRPr="00650A5A" w:rsidRDefault="00B371D3" w:rsidP="00B371D3">
      <w:pPr>
        <w:rPr>
          <w:rFonts w:ascii="Verdana" w:hAnsi="Verdana" w:cs="Verdana,Bold"/>
          <w:bCs/>
          <w:sz w:val="20"/>
          <w:szCs w:val="20"/>
        </w:rPr>
      </w:pPr>
      <w:r w:rsidRPr="00650A5A">
        <w:rPr>
          <w:rFonts w:ascii="Verdana" w:hAnsi="Verdana" w:cs="Verdana,Bold"/>
          <w:bCs/>
          <w:sz w:val="20"/>
          <w:szCs w:val="20"/>
        </w:rPr>
        <w:t xml:space="preserve">No additional evidence gathering is considered necessary. </w:t>
      </w:r>
    </w:p>
    <w:p w14:paraId="4AB67339" w14:textId="77777777" w:rsidR="00B371D3" w:rsidRDefault="00B371D3" w:rsidP="00B371D3">
      <w:pPr>
        <w:rPr>
          <w:rFonts w:ascii="Verdana,Bold" w:hAnsi="Verdana,Bold" w:cs="Verdana,Bold"/>
          <w:b/>
          <w:bCs/>
          <w:sz w:val="20"/>
          <w:szCs w:val="20"/>
        </w:rPr>
      </w:pPr>
    </w:p>
    <w:p w14:paraId="546F398F" w14:textId="77777777" w:rsidR="00B371D3" w:rsidRPr="0094743C" w:rsidRDefault="00B371D3" w:rsidP="00233E2A">
      <w:pPr>
        <w:pStyle w:val="ListParagraph"/>
        <w:widowControl/>
        <w:numPr>
          <w:ilvl w:val="0"/>
          <w:numId w:val="31"/>
        </w:numPr>
        <w:spacing w:after="160" w:line="259" w:lineRule="auto"/>
        <w:rPr>
          <w:rFonts w:ascii="Verdana,Bold" w:hAnsi="Verdana,Bold" w:cs="Verdana,Bold"/>
          <w:b/>
          <w:bCs/>
          <w:sz w:val="24"/>
          <w:szCs w:val="24"/>
        </w:rPr>
      </w:pPr>
      <w:r w:rsidRPr="0094743C">
        <w:rPr>
          <w:rFonts w:ascii="Verdana,Bold" w:hAnsi="Verdana,Bold" w:cs="Verdana,Bold"/>
          <w:b/>
          <w:bCs/>
          <w:sz w:val="24"/>
          <w:szCs w:val="24"/>
        </w:rPr>
        <w:t>Conclusions</w:t>
      </w:r>
    </w:p>
    <w:p w14:paraId="1F445475" w14:textId="77777777" w:rsidR="00B371D3" w:rsidRDefault="00B371D3" w:rsidP="00B371D3">
      <w:pPr>
        <w:autoSpaceDE w:val="0"/>
        <w:autoSpaceDN w:val="0"/>
        <w:adjustRightInd w:val="0"/>
        <w:spacing w:after="0" w:line="240" w:lineRule="auto"/>
        <w:rPr>
          <w:rFonts w:ascii="Verdana" w:hAnsi="Verdana" w:cs="Verdana"/>
          <w:sz w:val="20"/>
          <w:szCs w:val="20"/>
        </w:rPr>
        <w:sectPr w:rsidR="00B371D3" w:rsidSect="000F6E58">
          <w:pgSz w:w="16838" w:h="11906" w:orient="landscape"/>
          <w:pgMar w:top="1440" w:right="1440" w:bottom="1440" w:left="1440" w:header="708" w:footer="708" w:gutter="0"/>
          <w:pgNumType w:start="28"/>
          <w:cols w:space="708"/>
          <w:titlePg/>
          <w:docGrid w:linePitch="360"/>
        </w:sectPr>
      </w:pPr>
      <w:r>
        <w:rPr>
          <w:rFonts w:ascii="Verdana" w:hAnsi="Verdana" w:cs="Verdana"/>
          <w:sz w:val="20"/>
          <w:szCs w:val="20"/>
        </w:rPr>
        <w:t xml:space="preserve">The screening criterion for persistence (P) is fulfilled for 5-sec-butyl-2-(2,4- </w:t>
      </w:r>
      <w:r w:rsidRPr="007960BD">
        <w:rPr>
          <w:rFonts w:ascii="Verdana" w:hAnsi="Verdana" w:cs="Verdana"/>
          <w:sz w:val="20"/>
          <w:szCs w:val="20"/>
        </w:rPr>
        <w:t>dimethylcyclohex-3-en-1-yl)-5-methyl-1,3-d</w:t>
      </w:r>
      <w:r>
        <w:rPr>
          <w:rFonts w:ascii="Verdana" w:hAnsi="Verdana" w:cs="Verdana"/>
          <w:sz w:val="20"/>
          <w:szCs w:val="20"/>
        </w:rPr>
        <w:t>ioxane [1], 5-sec-butyl-2-(4,6- dimethylcyclohex-3-en-1-yl)-5-methyl-1,3-dioxane [2] [covering any of the individual stereoisomers of [1] and [2] or any combination thereof]. The results from three biodegradation studies showed that this substance is neither readily, nor inherently biodegradable. Hydrolysis of the substance was shown to be at most very limited at environmentally relevant pH and temperature values. In a river water die-away test, the substance degraded very slowly. This study was conducted with non-radio labelled substance. A best case degradation half-life was estimated by attributing the observed dissipation to either biodegradation or hydrolysis, disregarding processes such as evaporation and binding of this substance. At an environmentally relevant temperature of 12°C this best-case degradation half-life corresponded to 74 days. Therefore, as the vP criterion of 60 days in freshwater is exceeded, the substance is regarded as fulfilling both the P and vP criterion.</w:t>
      </w:r>
    </w:p>
    <w:p w14:paraId="182DA957" w14:textId="4394DCA7" w:rsidR="00B371D3" w:rsidRPr="002B1CE8" w:rsidRDefault="00B371D3" w:rsidP="00B371D3">
      <w:pPr>
        <w:pStyle w:val="Heading2"/>
        <w:rPr>
          <w:rFonts w:ascii="Verdana" w:eastAsia="Times New Roman" w:hAnsi="Verdana" w:cs="Arial"/>
          <w:b/>
          <w:snapToGrid w:val="0"/>
          <w:color w:val="0046AD"/>
          <w:sz w:val="24"/>
          <w:szCs w:val="22"/>
          <w:lang w:eastAsia="fr-FR"/>
        </w:rPr>
        <w:sectPr w:rsidR="00B371D3" w:rsidRPr="002B1CE8" w:rsidSect="000F6E58">
          <w:footerReference w:type="default" r:id="rId55"/>
          <w:pgSz w:w="11906" w:h="16838"/>
          <w:pgMar w:top="1440" w:right="1440" w:bottom="1440" w:left="1440" w:header="708" w:footer="708" w:gutter="0"/>
          <w:pgNumType w:start="50"/>
          <w:cols w:space="708"/>
          <w:titlePg/>
          <w:docGrid w:linePitch="360"/>
        </w:sectPr>
      </w:pPr>
      <w:bookmarkStart w:id="23" w:name="_Toc499654098"/>
      <w:r w:rsidRPr="002B1CE8">
        <w:rPr>
          <w:rFonts w:ascii="Verdana" w:eastAsia="Times New Roman" w:hAnsi="Verdana" w:cs="Arial"/>
          <w:b/>
          <w:snapToGrid w:val="0"/>
          <w:color w:val="0046AD"/>
          <w:sz w:val="24"/>
          <w:szCs w:val="22"/>
          <w:lang w:eastAsia="fr-FR"/>
        </w:rPr>
        <w:lastRenderedPageBreak/>
        <w:t xml:space="preserve">Example of use of the Weight of Evidence/Uncertainty Template for </w:t>
      </w:r>
      <w:r w:rsidR="00233E2A" w:rsidRPr="002B1CE8">
        <w:rPr>
          <w:rFonts w:ascii="Verdana" w:eastAsia="Times New Roman" w:hAnsi="Verdana" w:cs="Arial"/>
          <w:b/>
          <w:snapToGrid w:val="0"/>
          <w:color w:val="0046AD"/>
          <w:sz w:val="24"/>
          <w:szCs w:val="22"/>
          <w:lang w:eastAsia="fr-FR"/>
        </w:rPr>
        <w:t>human health</w:t>
      </w:r>
      <w:r w:rsidRPr="002B1CE8">
        <w:rPr>
          <w:rFonts w:ascii="Verdana" w:eastAsia="Times New Roman" w:hAnsi="Verdana" w:cs="Arial"/>
          <w:b/>
          <w:snapToGrid w:val="0"/>
          <w:color w:val="0046AD"/>
          <w:sz w:val="24"/>
          <w:szCs w:val="22"/>
          <w:lang w:eastAsia="fr-FR"/>
        </w:rPr>
        <w:t xml:space="preserve"> hazard assessment</w:t>
      </w:r>
      <w:bookmarkEnd w:id="23"/>
    </w:p>
    <w:p w14:paraId="772E6A0A" w14:textId="77777777" w:rsidR="00233E2A" w:rsidRDefault="00233E2A" w:rsidP="00233E2A">
      <w:pPr>
        <w:jc w:val="center"/>
        <w:rPr>
          <w:b/>
          <w:sz w:val="36"/>
          <w:szCs w:val="36"/>
        </w:rPr>
      </w:pPr>
    </w:p>
    <w:p w14:paraId="4AA7013C" w14:textId="77777777" w:rsidR="00233E2A" w:rsidRDefault="00233E2A" w:rsidP="00233E2A">
      <w:pPr>
        <w:jc w:val="center"/>
        <w:rPr>
          <w:b/>
          <w:sz w:val="36"/>
          <w:szCs w:val="36"/>
        </w:rPr>
      </w:pPr>
    </w:p>
    <w:p w14:paraId="03E74187" w14:textId="77777777" w:rsidR="00233E2A" w:rsidRDefault="00233E2A" w:rsidP="00233E2A">
      <w:pPr>
        <w:jc w:val="center"/>
        <w:rPr>
          <w:b/>
          <w:sz w:val="36"/>
          <w:szCs w:val="36"/>
        </w:rPr>
      </w:pPr>
    </w:p>
    <w:p w14:paraId="59C98CA4" w14:textId="77777777" w:rsidR="00233E2A" w:rsidRPr="002B1CE8" w:rsidRDefault="00233E2A" w:rsidP="00233E2A">
      <w:pPr>
        <w:jc w:val="center"/>
        <w:rPr>
          <w:b/>
          <w:color w:val="002060"/>
          <w:sz w:val="36"/>
          <w:szCs w:val="36"/>
        </w:rPr>
      </w:pPr>
    </w:p>
    <w:p w14:paraId="24255D0D" w14:textId="77777777" w:rsidR="00233E2A" w:rsidRPr="002B1CE8" w:rsidRDefault="00233E2A" w:rsidP="00233E2A">
      <w:pPr>
        <w:jc w:val="center"/>
        <w:rPr>
          <w:b/>
          <w:color w:val="002060"/>
          <w:sz w:val="36"/>
          <w:szCs w:val="36"/>
        </w:rPr>
      </w:pPr>
      <w:r w:rsidRPr="002B1CE8">
        <w:rPr>
          <w:b/>
          <w:color w:val="002060"/>
          <w:sz w:val="36"/>
          <w:szCs w:val="36"/>
        </w:rPr>
        <w:t>WEIGHT OF EVIDENCE / UNCERTAINTY approach using Mode of Action Framework analysis</w:t>
      </w:r>
    </w:p>
    <w:p w14:paraId="486F7DA9" w14:textId="77777777" w:rsidR="00233E2A" w:rsidRPr="002B1CE8" w:rsidRDefault="00233E2A" w:rsidP="00233E2A">
      <w:pPr>
        <w:jc w:val="center"/>
        <w:rPr>
          <w:rFonts w:ascii="Verdana" w:hAnsi="Verdana"/>
          <w:color w:val="002060"/>
          <w:sz w:val="20"/>
          <w:szCs w:val="20"/>
        </w:rPr>
      </w:pPr>
      <w:r w:rsidRPr="002B1CE8">
        <w:rPr>
          <w:rFonts w:ascii="Verdana" w:hAnsi="Verdana"/>
          <w:b/>
          <w:color w:val="002060"/>
          <w:sz w:val="20"/>
          <w:szCs w:val="20"/>
        </w:rPr>
        <w:t>Mode of Action of DCHP for endocrine mediated irreversible effects to the male reproductive system with the potential to affect male reproductive function and its relevance to Humans.</w:t>
      </w:r>
    </w:p>
    <w:p w14:paraId="7834903C" w14:textId="77777777" w:rsidR="00233E2A" w:rsidRDefault="00233E2A" w:rsidP="00233E2A">
      <w:r>
        <w:br w:type="page"/>
      </w:r>
    </w:p>
    <w:p w14:paraId="138E57D1" w14:textId="77777777" w:rsidR="00233E2A" w:rsidRPr="00222621" w:rsidRDefault="00233E2A" w:rsidP="00233E2A">
      <w:pPr>
        <w:rPr>
          <w:rFonts w:ascii="Verdana" w:hAnsi="Verdana"/>
          <w:b/>
          <w:sz w:val="20"/>
          <w:szCs w:val="20"/>
        </w:rPr>
      </w:pPr>
      <w:r w:rsidRPr="00222621">
        <w:rPr>
          <w:rFonts w:ascii="Verdana" w:hAnsi="Verdana"/>
          <w:b/>
          <w:sz w:val="20"/>
          <w:szCs w:val="20"/>
        </w:rPr>
        <w:lastRenderedPageBreak/>
        <w:t>NOTE:</w:t>
      </w:r>
    </w:p>
    <w:p w14:paraId="56CBB6E1" w14:textId="77777777" w:rsidR="00233E2A" w:rsidRPr="00222621" w:rsidRDefault="00233E2A" w:rsidP="00233E2A">
      <w:pPr>
        <w:rPr>
          <w:rFonts w:ascii="Verdana" w:hAnsi="Verdana"/>
          <w:sz w:val="20"/>
          <w:szCs w:val="20"/>
        </w:rPr>
      </w:pPr>
      <w:r w:rsidRPr="00222621">
        <w:rPr>
          <w:rFonts w:ascii="Verdana" w:hAnsi="Verdana"/>
          <w:sz w:val="20"/>
          <w:szCs w:val="20"/>
        </w:rPr>
        <w:t xml:space="preserve">This example is based on the submission of Annex XV proposal for DCHP from Sweden. </w:t>
      </w:r>
    </w:p>
    <w:p w14:paraId="6033BA4A" w14:textId="77777777" w:rsidR="00233E2A" w:rsidRPr="00222621" w:rsidRDefault="00233E2A" w:rsidP="00233E2A">
      <w:pPr>
        <w:rPr>
          <w:rFonts w:ascii="Verdana" w:hAnsi="Verdana"/>
          <w:sz w:val="20"/>
          <w:szCs w:val="20"/>
        </w:rPr>
      </w:pPr>
      <w:r w:rsidRPr="00222621">
        <w:rPr>
          <w:rFonts w:ascii="Verdana" w:hAnsi="Verdana"/>
          <w:sz w:val="20"/>
          <w:szCs w:val="20"/>
        </w:rPr>
        <w:t xml:space="preserve">It is only presented here to show how to use the structured Weight of Evidence template. </w:t>
      </w:r>
    </w:p>
    <w:p w14:paraId="3B7E9FF2" w14:textId="77777777" w:rsidR="00233E2A" w:rsidRPr="00222621" w:rsidRDefault="00233E2A" w:rsidP="00233E2A">
      <w:pPr>
        <w:rPr>
          <w:rFonts w:ascii="Verdana" w:hAnsi="Verdana"/>
          <w:sz w:val="20"/>
          <w:szCs w:val="20"/>
        </w:rPr>
      </w:pPr>
      <w:r w:rsidRPr="00222621">
        <w:rPr>
          <w:rFonts w:ascii="Verdana" w:hAnsi="Verdana"/>
          <w:sz w:val="20"/>
          <w:szCs w:val="20"/>
        </w:rPr>
        <w:t xml:space="preserve">The original submission within the Annex XV proposal used the WHO/IPCS template for Mode of action analysis / Human relevance, on the basis of which the WoE template has been created. </w:t>
      </w:r>
    </w:p>
    <w:p w14:paraId="03CAD272" w14:textId="77777777" w:rsidR="00233E2A" w:rsidRPr="00222621" w:rsidRDefault="00233E2A" w:rsidP="00233E2A">
      <w:pPr>
        <w:rPr>
          <w:rFonts w:ascii="Verdana" w:hAnsi="Verdana"/>
          <w:sz w:val="20"/>
          <w:szCs w:val="20"/>
        </w:rPr>
      </w:pPr>
      <w:r w:rsidRPr="00222621">
        <w:rPr>
          <w:rFonts w:ascii="Verdana" w:hAnsi="Verdana"/>
          <w:sz w:val="20"/>
          <w:szCs w:val="20"/>
        </w:rPr>
        <w:t xml:space="preserve">As indicated in the background document, when Mode of action analysis is performed it is preferred to use the WHO/IPCS template as such since it fits for this type of assessment. </w:t>
      </w:r>
    </w:p>
    <w:p w14:paraId="16F8167D" w14:textId="77777777" w:rsidR="00233E2A" w:rsidRPr="00222621" w:rsidRDefault="00233E2A" w:rsidP="00233E2A">
      <w:pPr>
        <w:rPr>
          <w:rFonts w:ascii="Verdana" w:hAnsi="Verdana"/>
          <w:sz w:val="20"/>
          <w:szCs w:val="20"/>
        </w:rPr>
      </w:pPr>
      <w:r w:rsidRPr="00222621">
        <w:rPr>
          <w:rFonts w:ascii="Verdana" w:hAnsi="Verdana"/>
          <w:sz w:val="20"/>
          <w:szCs w:val="20"/>
        </w:rPr>
        <w:t xml:space="preserve">In this example, the relevant sections from the DCHP case have only been copied in the corresponding section of the WoE template without any modification. It is noted that some of the sections of the MoA template are specific to this type of application so there is no direct correspondence to the more generic format of the WoE template. </w:t>
      </w:r>
    </w:p>
    <w:p w14:paraId="4683804B" w14:textId="77777777" w:rsidR="00233E2A" w:rsidRPr="00222621" w:rsidRDefault="00233E2A" w:rsidP="00233E2A">
      <w:pPr>
        <w:rPr>
          <w:rFonts w:ascii="Verdana" w:hAnsi="Verdana"/>
          <w:sz w:val="20"/>
          <w:szCs w:val="20"/>
        </w:rPr>
      </w:pPr>
      <w:r w:rsidRPr="00222621">
        <w:rPr>
          <w:rFonts w:ascii="Verdana" w:hAnsi="Verdana"/>
          <w:sz w:val="20"/>
          <w:szCs w:val="20"/>
        </w:rPr>
        <w:t xml:space="preserve">In addition, the section on assessment of quality of individual lines of evidence is presented in a summarised format in this example since the evaluation was performed in other processes. </w:t>
      </w:r>
    </w:p>
    <w:p w14:paraId="3DDD90A4" w14:textId="77777777" w:rsidR="00233E2A" w:rsidRDefault="00233E2A" w:rsidP="00233E2A">
      <w:pPr>
        <w:rPr>
          <w:rFonts w:ascii="Verdana" w:hAnsi="Verdana"/>
          <w:b/>
          <w:sz w:val="20"/>
          <w:szCs w:val="20"/>
        </w:rPr>
      </w:pPr>
      <w:r>
        <w:rPr>
          <w:rFonts w:ascii="Verdana" w:hAnsi="Verdana"/>
          <w:b/>
          <w:sz w:val="20"/>
          <w:szCs w:val="20"/>
        </w:rPr>
        <w:br w:type="page"/>
      </w:r>
    </w:p>
    <w:p w14:paraId="7802C3C8" w14:textId="77777777" w:rsidR="00233E2A" w:rsidRPr="00413599" w:rsidRDefault="00233E2A" w:rsidP="00233E2A">
      <w:pPr>
        <w:rPr>
          <w:rFonts w:ascii="Verdana" w:hAnsi="Verdana"/>
          <w:b/>
          <w:sz w:val="20"/>
          <w:szCs w:val="20"/>
        </w:rPr>
      </w:pPr>
      <w:r w:rsidRPr="00413599">
        <w:rPr>
          <w:rFonts w:ascii="Verdana" w:hAnsi="Verdana"/>
          <w:b/>
          <w:sz w:val="20"/>
          <w:szCs w:val="20"/>
        </w:rPr>
        <w:lastRenderedPageBreak/>
        <w:t>Section 1</w:t>
      </w:r>
    </w:p>
    <w:p w14:paraId="1D1DD88D" w14:textId="77777777" w:rsidR="00233E2A" w:rsidRPr="00413599" w:rsidRDefault="00233E2A" w:rsidP="00233E2A">
      <w:pPr>
        <w:rPr>
          <w:rFonts w:ascii="Verdana" w:hAnsi="Verdana"/>
          <w:b/>
          <w:sz w:val="20"/>
          <w:szCs w:val="20"/>
        </w:rPr>
      </w:pPr>
      <w:r w:rsidRPr="00413599">
        <w:rPr>
          <w:rFonts w:ascii="Verdana" w:hAnsi="Verdana"/>
          <w:b/>
          <w:sz w:val="20"/>
          <w:szCs w:val="20"/>
        </w:rPr>
        <w:t>PROBLEM FORMULATION</w:t>
      </w:r>
    </w:p>
    <w:p w14:paraId="1D096DAB" w14:textId="77777777" w:rsidR="00233E2A" w:rsidRPr="00413599" w:rsidRDefault="00233E2A" w:rsidP="00233E2A">
      <w:pPr>
        <w:jc w:val="both"/>
        <w:rPr>
          <w:rFonts w:ascii="Verdana" w:hAnsi="Verdana"/>
          <w:sz w:val="20"/>
          <w:szCs w:val="20"/>
        </w:rPr>
      </w:pPr>
      <w:r w:rsidRPr="00413599">
        <w:rPr>
          <w:rFonts w:ascii="Verdana" w:hAnsi="Verdana"/>
          <w:sz w:val="20"/>
          <w:szCs w:val="20"/>
        </w:rPr>
        <w:t xml:space="preserve">The aim of the analysis is to establish the </w:t>
      </w:r>
      <w:r w:rsidRPr="00413599">
        <w:rPr>
          <w:rFonts w:ascii="Verdana" w:hAnsi="Verdana"/>
          <w:b/>
          <w:sz w:val="20"/>
          <w:szCs w:val="20"/>
        </w:rPr>
        <w:t>Mode of Action of DCHP for endocrine mediated irreversible effects to the male reproductive system with the potential to affect male reproductive function and its relevance to Humans.</w:t>
      </w:r>
    </w:p>
    <w:p w14:paraId="0DC107CD" w14:textId="77777777" w:rsidR="00233E2A" w:rsidRPr="00413599" w:rsidRDefault="00233E2A" w:rsidP="00233E2A">
      <w:pPr>
        <w:jc w:val="both"/>
        <w:rPr>
          <w:rFonts w:ascii="Verdana" w:hAnsi="Verdana"/>
          <w:sz w:val="20"/>
          <w:szCs w:val="20"/>
        </w:rPr>
      </w:pPr>
      <w:r w:rsidRPr="00413599">
        <w:rPr>
          <w:rFonts w:ascii="Verdana" w:hAnsi="Verdana"/>
          <w:sz w:val="20"/>
          <w:szCs w:val="20"/>
        </w:rPr>
        <w:t>The analysis needs to cover if the effects observed in experimental animals with DCHP are:</w:t>
      </w:r>
    </w:p>
    <w:p w14:paraId="4154EC4F" w14:textId="77777777" w:rsidR="00233E2A" w:rsidRPr="00413599" w:rsidRDefault="00233E2A" w:rsidP="00233E2A">
      <w:pPr>
        <w:pStyle w:val="ListParagraph"/>
        <w:widowControl/>
        <w:numPr>
          <w:ilvl w:val="0"/>
          <w:numId w:val="33"/>
        </w:numPr>
        <w:spacing w:after="200" w:line="276" w:lineRule="auto"/>
        <w:jc w:val="both"/>
        <w:rPr>
          <w:b/>
        </w:rPr>
      </w:pPr>
      <w:r w:rsidRPr="00413599">
        <w:rPr>
          <w:b/>
        </w:rPr>
        <w:t>Species specific</w:t>
      </w:r>
    </w:p>
    <w:p w14:paraId="71FA6C50" w14:textId="77777777" w:rsidR="00233E2A" w:rsidRPr="00413599" w:rsidRDefault="00233E2A" w:rsidP="00233E2A">
      <w:pPr>
        <w:pStyle w:val="ListParagraph"/>
        <w:widowControl/>
        <w:numPr>
          <w:ilvl w:val="0"/>
          <w:numId w:val="33"/>
        </w:numPr>
        <w:spacing w:after="200" w:line="276" w:lineRule="auto"/>
        <w:jc w:val="both"/>
        <w:rPr>
          <w:b/>
        </w:rPr>
      </w:pPr>
      <w:r w:rsidRPr="00413599">
        <w:rPr>
          <w:b/>
        </w:rPr>
        <w:t>Endocrine mediated</w:t>
      </w:r>
    </w:p>
    <w:p w14:paraId="2F1A1C32" w14:textId="77777777" w:rsidR="00233E2A" w:rsidRPr="00413599" w:rsidRDefault="00233E2A" w:rsidP="00233E2A">
      <w:pPr>
        <w:pStyle w:val="ListParagraph"/>
        <w:widowControl/>
        <w:numPr>
          <w:ilvl w:val="0"/>
          <w:numId w:val="33"/>
        </w:numPr>
        <w:spacing w:after="200" w:line="276" w:lineRule="auto"/>
        <w:jc w:val="both"/>
        <w:rPr>
          <w:b/>
        </w:rPr>
      </w:pPr>
      <w:r w:rsidRPr="00413599">
        <w:rPr>
          <w:b/>
        </w:rPr>
        <w:t>Causing irreversible damage to the male reproductive system and likelihood for adverse effects on fertility</w:t>
      </w:r>
    </w:p>
    <w:p w14:paraId="17B869A2" w14:textId="77777777" w:rsidR="00233E2A" w:rsidRPr="00413599" w:rsidRDefault="00233E2A" w:rsidP="00233E2A">
      <w:pPr>
        <w:pStyle w:val="ListParagraph"/>
        <w:widowControl/>
        <w:numPr>
          <w:ilvl w:val="0"/>
          <w:numId w:val="33"/>
        </w:numPr>
        <w:spacing w:after="200" w:line="276" w:lineRule="auto"/>
        <w:jc w:val="both"/>
      </w:pPr>
      <w:r w:rsidRPr="00413599">
        <w:rPr>
          <w:b/>
        </w:rPr>
        <w:t>Relevant for humans</w:t>
      </w:r>
    </w:p>
    <w:p w14:paraId="18B91990" w14:textId="77777777" w:rsidR="00233E2A" w:rsidRPr="00413599" w:rsidRDefault="00233E2A" w:rsidP="00233E2A">
      <w:pPr>
        <w:jc w:val="both"/>
        <w:rPr>
          <w:rFonts w:ascii="Verdana" w:hAnsi="Verdana"/>
          <w:sz w:val="20"/>
          <w:szCs w:val="20"/>
        </w:rPr>
      </w:pPr>
      <w:r w:rsidRPr="00413599">
        <w:rPr>
          <w:rFonts w:ascii="Verdana" w:hAnsi="Verdana"/>
          <w:sz w:val="20"/>
          <w:szCs w:val="20"/>
        </w:rPr>
        <w:t xml:space="preserve">The MoA/HRF (Mode of action / Human Relevance) Framework will be used for the Weight of Evidence analysis following consecutive steps: </w:t>
      </w:r>
    </w:p>
    <w:p w14:paraId="10165526" w14:textId="77777777" w:rsidR="00233E2A" w:rsidRPr="00413599" w:rsidRDefault="00233E2A" w:rsidP="00233E2A">
      <w:pPr>
        <w:pStyle w:val="ListParagraph"/>
        <w:widowControl/>
        <w:numPr>
          <w:ilvl w:val="0"/>
          <w:numId w:val="34"/>
        </w:numPr>
        <w:spacing w:after="200" w:line="276" w:lineRule="auto"/>
      </w:pPr>
      <w:r w:rsidRPr="00413599">
        <w:t xml:space="preserve">Hypothesised mode of action statement on the basis of available information </w:t>
      </w:r>
    </w:p>
    <w:p w14:paraId="43CD503F" w14:textId="77777777" w:rsidR="00233E2A" w:rsidRPr="00413599" w:rsidRDefault="00233E2A" w:rsidP="00233E2A">
      <w:pPr>
        <w:pStyle w:val="ListParagraph"/>
        <w:widowControl/>
        <w:numPr>
          <w:ilvl w:val="0"/>
          <w:numId w:val="34"/>
        </w:numPr>
        <w:spacing w:after="200" w:line="276" w:lineRule="auto"/>
      </w:pPr>
      <w:r w:rsidRPr="00413599">
        <w:t>Establishment of hypothesised mode of action in experimen</w:t>
      </w:r>
      <w:r>
        <w:t>tal species</w:t>
      </w:r>
    </w:p>
    <w:p w14:paraId="368C58A1" w14:textId="77777777" w:rsidR="00233E2A" w:rsidRPr="00413599" w:rsidRDefault="00233E2A" w:rsidP="00233E2A">
      <w:pPr>
        <w:pStyle w:val="ListParagraph"/>
        <w:widowControl/>
        <w:numPr>
          <w:ilvl w:val="0"/>
          <w:numId w:val="34"/>
        </w:numPr>
        <w:spacing w:after="200" w:line="276" w:lineRule="auto"/>
      </w:pPr>
      <w:r w:rsidRPr="00413599">
        <w:t>Establishment of human relevance of the established experimental spe</w:t>
      </w:r>
      <w:r>
        <w:t>cies mode of action</w:t>
      </w:r>
    </w:p>
    <w:p w14:paraId="4130E6DD" w14:textId="77777777" w:rsidR="00233E2A" w:rsidRPr="00413599" w:rsidRDefault="00233E2A" w:rsidP="00233E2A">
      <w:pPr>
        <w:pStyle w:val="BodyText"/>
      </w:pPr>
      <w:r w:rsidRPr="00413599">
        <w:t>Alternative modes of actio</w:t>
      </w:r>
      <w:r>
        <w:t>n will be considered</w:t>
      </w:r>
      <w:r w:rsidRPr="00413599">
        <w:t xml:space="preserve"> and remaining uncertai</w:t>
      </w:r>
      <w:r>
        <w:t>nty will be recorded</w:t>
      </w:r>
      <w:r w:rsidRPr="00413599">
        <w:t>.</w:t>
      </w:r>
    </w:p>
    <w:p w14:paraId="0C1585FA" w14:textId="77777777" w:rsidR="00233E2A" w:rsidRPr="00413599" w:rsidRDefault="00233E2A" w:rsidP="00233E2A">
      <w:pPr>
        <w:rPr>
          <w:rFonts w:ascii="Verdana" w:hAnsi="Verdana"/>
          <w:b/>
          <w:sz w:val="20"/>
          <w:szCs w:val="20"/>
        </w:rPr>
      </w:pPr>
      <w:r w:rsidRPr="00413599">
        <w:rPr>
          <w:rFonts w:ascii="Verdana" w:hAnsi="Verdana"/>
          <w:b/>
          <w:sz w:val="20"/>
          <w:szCs w:val="20"/>
        </w:rPr>
        <w:t>Hypothesised Mode of action Statement</w:t>
      </w:r>
    </w:p>
    <w:p w14:paraId="30C18B8F" w14:textId="77777777" w:rsidR="00233E2A" w:rsidRPr="00413599" w:rsidRDefault="00233E2A" w:rsidP="00233E2A">
      <w:pPr>
        <w:rPr>
          <w:rFonts w:ascii="Verdana" w:hAnsi="Verdana"/>
          <w:sz w:val="20"/>
          <w:szCs w:val="20"/>
        </w:rPr>
      </w:pPr>
      <w:r w:rsidRPr="00413599">
        <w:rPr>
          <w:rFonts w:ascii="Verdana" w:hAnsi="Verdana"/>
          <w:sz w:val="20"/>
          <w:szCs w:val="20"/>
        </w:rPr>
        <w:t>A hypothesis for the potential mode of action of DCHP in male rat reproductive system and the establishment of human relevance includes the following elements:</w:t>
      </w:r>
    </w:p>
    <w:p w14:paraId="0C13A839" w14:textId="77777777" w:rsidR="00233E2A" w:rsidRPr="00413599" w:rsidRDefault="00233E2A" w:rsidP="00233E2A">
      <w:pPr>
        <w:pStyle w:val="ListParagraph"/>
        <w:widowControl/>
        <w:numPr>
          <w:ilvl w:val="0"/>
          <w:numId w:val="36"/>
        </w:numPr>
        <w:spacing w:after="200" w:line="276" w:lineRule="auto"/>
      </w:pPr>
      <w:r w:rsidRPr="00413599">
        <w:t>DCHP once absorbed is metabolised to the mono-ester MCHP</w:t>
      </w:r>
    </w:p>
    <w:p w14:paraId="692939D1" w14:textId="77777777" w:rsidR="00233E2A" w:rsidRPr="00413599" w:rsidRDefault="00233E2A" w:rsidP="00233E2A">
      <w:pPr>
        <w:pStyle w:val="ListParagraph"/>
        <w:widowControl/>
        <w:numPr>
          <w:ilvl w:val="0"/>
          <w:numId w:val="36"/>
        </w:numPr>
        <w:spacing w:after="200" w:line="276" w:lineRule="auto"/>
      </w:pPr>
      <w:r w:rsidRPr="00413599">
        <w:t>MCHP interferes with the Leydig cell testosterone production pathway and/or Sertoli cell function</w:t>
      </w:r>
    </w:p>
    <w:p w14:paraId="6D9C0015" w14:textId="77777777" w:rsidR="00233E2A" w:rsidRPr="00413599" w:rsidRDefault="00233E2A" w:rsidP="00233E2A">
      <w:pPr>
        <w:pStyle w:val="ListParagraph"/>
        <w:widowControl/>
        <w:numPr>
          <w:ilvl w:val="0"/>
          <w:numId w:val="36"/>
        </w:numPr>
        <w:spacing w:after="200" w:line="276" w:lineRule="auto"/>
      </w:pPr>
      <w:r w:rsidRPr="00413599">
        <w:t>Decreased fetal testosterone levels cause male reproductive system effects (Leydig cells, Sertoli cells alterations, epididymis and prostate effects, decreased anogenital distance (AGD)</w:t>
      </w:r>
    </w:p>
    <w:p w14:paraId="14BC1AD2" w14:textId="77777777" w:rsidR="00233E2A" w:rsidRPr="00413599" w:rsidRDefault="00233E2A" w:rsidP="00233E2A">
      <w:pPr>
        <w:pStyle w:val="ListParagraph"/>
        <w:widowControl/>
        <w:numPr>
          <w:ilvl w:val="0"/>
          <w:numId w:val="36"/>
        </w:numPr>
        <w:spacing w:after="200" w:line="276" w:lineRule="auto"/>
      </w:pPr>
      <w:r w:rsidRPr="00413599">
        <w:t xml:space="preserve">The effects seen during </w:t>
      </w:r>
      <w:r w:rsidRPr="00413599">
        <w:rPr>
          <w:i/>
        </w:rPr>
        <w:t>in utero</w:t>
      </w:r>
      <w:r w:rsidRPr="00413599">
        <w:t xml:space="preserve"> exposure are also present when the dosing stops (irreversible effects)</w:t>
      </w:r>
    </w:p>
    <w:p w14:paraId="0F5DA111" w14:textId="77777777" w:rsidR="00233E2A" w:rsidRPr="00413599" w:rsidRDefault="00233E2A" w:rsidP="00233E2A">
      <w:pPr>
        <w:pStyle w:val="ListParagraph"/>
        <w:widowControl/>
        <w:numPr>
          <w:ilvl w:val="0"/>
          <w:numId w:val="36"/>
        </w:numPr>
        <w:spacing w:after="200" w:line="276" w:lineRule="auto"/>
      </w:pPr>
      <w:r w:rsidRPr="00413599">
        <w:t>The information available for DCHP follows the same pattern of toxicological effects observed with other phthalates that cause rat male reproduction disorders.</w:t>
      </w:r>
    </w:p>
    <w:p w14:paraId="15F8B430" w14:textId="77777777" w:rsidR="00233E2A" w:rsidRPr="00413599" w:rsidRDefault="00233E2A" w:rsidP="00233E2A">
      <w:pPr>
        <w:pStyle w:val="ListParagraph"/>
        <w:widowControl/>
        <w:numPr>
          <w:ilvl w:val="0"/>
          <w:numId w:val="36"/>
        </w:numPr>
        <w:spacing w:after="200" w:line="276" w:lineRule="auto"/>
      </w:pPr>
      <w:r w:rsidRPr="00413599">
        <w:t xml:space="preserve">Considerations of additional modes of action for the low testosterone levels after </w:t>
      </w:r>
      <w:r w:rsidRPr="00413599">
        <w:rPr>
          <w:i/>
        </w:rPr>
        <w:t>in utero</w:t>
      </w:r>
      <w:r w:rsidRPr="00413599">
        <w:t xml:space="preserve"> exposure to DCHP e.g. causality involving the hormone-receptor mediated pathways as an alternative/parallell mode of action.</w:t>
      </w:r>
    </w:p>
    <w:p w14:paraId="012552F5" w14:textId="77777777" w:rsidR="00233E2A" w:rsidRPr="00413599" w:rsidRDefault="00233E2A" w:rsidP="00233E2A">
      <w:pPr>
        <w:pStyle w:val="ListParagraph"/>
        <w:widowControl/>
        <w:numPr>
          <w:ilvl w:val="0"/>
          <w:numId w:val="36"/>
        </w:numPr>
        <w:spacing w:after="200" w:line="276" w:lineRule="auto"/>
      </w:pPr>
      <w:r w:rsidRPr="00413599">
        <w:lastRenderedPageBreak/>
        <w:t>The rat male reproductive system is similar to humans. Establishment of plausibility of key events occurring in humans based on biological relevance across species.</w:t>
      </w:r>
    </w:p>
    <w:p w14:paraId="0FEC395A" w14:textId="77777777" w:rsidR="00233E2A" w:rsidRDefault="00233E2A" w:rsidP="00233E2A">
      <w:pPr>
        <w:spacing w:after="200" w:line="276" w:lineRule="auto"/>
        <w:ind w:left="360"/>
      </w:pPr>
      <w:r w:rsidRPr="00413599">
        <w:rPr>
          <w:rFonts w:ascii="Verdana" w:hAnsi="Verdana"/>
          <w:noProof/>
          <w:sz w:val="20"/>
          <w:szCs w:val="20"/>
          <w:lang w:eastAsia="en-GB"/>
        </w:rPr>
        <mc:AlternateContent>
          <mc:Choice Requires="wps">
            <w:drawing>
              <wp:anchor distT="0" distB="0" distL="114300" distR="114300" simplePos="0" relativeHeight="251683328" behindDoc="0" locked="0" layoutInCell="1" allowOverlap="1" wp14:anchorId="2064010E" wp14:editId="378932A1">
                <wp:simplePos x="0" y="0"/>
                <wp:positionH relativeFrom="column">
                  <wp:posOffset>2649855</wp:posOffset>
                </wp:positionH>
                <wp:positionV relativeFrom="paragraph">
                  <wp:posOffset>1590040</wp:posOffset>
                </wp:positionV>
                <wp:extent cx="1073150" cy="555625"/>
                <wp:effectExtent l="0" t="0" r="1270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555625"/>
                        </a:xfrm>
                        <a:prstGeom prst="rect">
                          <a:avLst/>
                        </a:prstGeom>
                        <a:solidFill>
                          <a:sysClr val="window" lastClr="FFFFFF"/>
                        </a:solidFill>
                        <a:ln w="12700" cap="flat" cmpd="sng" algn="ctr">
                          <a:solidFill>
                            <a:srgbClr val="ED7D31"/>
                          </a:solidFill>
                          <a:prstDash val="sysDot"/>
                          <a:miter lim="800000"/>
                        </a:ln>
                        <a:effectLst/>
                      </wps:spPr>
                      <wps:txbx>
                        <w:txbxContent>
                          <w:p w14:paraId="665F4425" w14:textId="77777777" w:rsidR="00FE7D9E" w:rsidRPr="00657CDF" w:rsidRDefault="00FE7D9E" w:rsidP="00233E2A">
                            <w:pPr>
                              <w:jc w:val="center"/>
                              <w:rPr>
                                <w:color w:val="44546A"/>
                                <w:sz w:val="16"/>
                                <w:szCs w:val="16"/>
                              </w:rPr>
                            </w:pPr>
                            <w:r w:rsidRPr="00657CDF">
                              <w:rPr>
                                <w:color w:val="44546A"/>
                                <w:sz w:val="16"/>
                                <w:szCs w:val="16"/>
                              </w:rPr>
                              <w:t>Hormonal receptors activation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64010E" id="Rectangle 2" o:spid="_x0000_s1078" style="position:absolute;left:0;text-align:left;margin-left:208.65pt;margin-top:125.2pt;width:84.5pt;height:4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" fillcolor="window" strokecolor="#ed7d31" strokeweight="1pt">
                <v:stroke dashstyle="1 1"/>
                <v:path arrowok="t"/>
                <v:textbox>
                  <w:txbxContent>
                    <w:p w14:paraId="665F4425" w14:textId="77777777" w:rsidR="00FE7D9E" w:rsidRPr="00657CDF" w:rsidRDefault="00FE7D9E" w:rsidP="00233E2A">
                      <w:pPr>
                        <w:jc w:val="center"/>
                        <w:rPr>
                          <w:color w:val="44546A"/>
                          <w:sz w:val="16"/>
                          <w:szCs w:val="16"/>
                        </w:rPr>
                      </w:pPr>
                      <w:r w:rsidRPr="00657CDF">
                        <w:rPr>
                          <w:color w:val="44546A"/>
                          <w:sz w:val="16"/>
                          <w:szCs w:val="16"/>
                        </w:rPr>
                        <w:t>Hormonal receptors activation</w:t>
                      </w:r>
                    </w:p>
                  </w:txbxContent>
                </v:textbox>
              </v:rect>
            </w:pict>
          </mc:Fallback>
        </mc:AlternateContent>
      </w:r>
      <w:r w:rsidRPr="00413599">
        <w:rPr>
          <w:rFonts w:ascii="Verdana" w:hAnsi="Verdana"/>
          <w:noProof/>
          <w:sz w:val="20"/>
          <w:szCs w:val="20"/>
          <w:lang w:eastAsia="en-GB"/>
        </w:rPr>
        <mc:AlternateContent>
          <mc:Choice Requires="wpg">
            <w:drawing>
              <wp:anchor distT="0" distB="0" distL="114300" distR="114300" simplePos="0" relativeHeight="251684352" behindDoc="0" locked="0" layoutInCell="1" allowOverlap="1" wp14:anchorId="25681B56" wp14:editId="25ED8BB5">
                <wp:simplePos x="0" y="0"/>
                <wp:positionH relativeFrom="column">
                  <wp:posOffset>-47625</wp:posOffset>
                </wp:positionH>
                <wp:positionV relativeFrom="paragraph">
                  <wp:posOffset>433070</wp:posOffset>
                </wp:positionV>
                <wp:extent cx="7845425" cy="1257300"/>
                <wp:effectExtent l="9525" t="7620" r="1270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5425" cy="1257300"/>
                          <a:chOff x="0" y="0"/>
                          <a:chExt cx="7845425" cy="1257300"/>
                        </a:xfrm>
                      </wpg:grpSpPr>
                      <wps:wsp>
                        <wps:cNvPr id="5" name="Rectangle 1"/>
                        <wps:cNvSpPr>
                          <a:spLocks noChangeArrowheads="1"/>
                        </wps:cNvSpPr>
                        <wps:spPr bwMode="auto">
                          <a:xfrm>
                            <a:off x="0" y="247650"/>
                            <a:ext cx="1073150" cy="643890"/>
                          </a:xfrm>
                          <a:prstGeom prst="rect">
                            <a:avLst/>
                          </a:prstGeom>
                          <a:solidFill>
                            <a:srgbClr val="44546A"/>
                          </a:solidFill>
                          <a:ln w="12700" algn="ctr">
                            <a:solidFill>
                              <a:srgbClr val="41719C"/>
                            </a:solidFill>
                            <a:miter lim="800000"/>
                            <a:headEnd/>
                            <a:tailEnd/>
                          </a:ln>
                        </wps:spPr>
                        <wps:txbx>
                          <w:txbxContent>
                            <w:p w14:paraId="1EE14407" w14:textId="77777777" w:rsidR="00FE7D9E" w:rsidRPr="00657CDF" w:rsidRDefault="00FE7D9E" w:rsidP="00233E2A">
                              <w:pPr>
                                <w:jc w:val="center"/>
                                <w:rPr>
                                  <w:color w:val="FFFFFF"/>
                                  <w:sz w:val="16"/>
                                  <w:szCs w:val="16"/>
                                </w:rPr>
                              </w:pPr>
                              <w:r w:rsidRPr="00657CDF">
                                <w:rPr>
                                  <w:color w:val="FFFFFF"/>
                                  <w:sz w:val="16"/>
                                  <w:szCs w:val="16"/>
                                </w:rPr>
                                <w:t>Metabolism to MCHP</w:t>
                              </w:r>
                            </w:p>
                          </w:txbxContent>
                        </wps:txbx>
                        <wps:bodyPr rot="0" vert="horz" wrap="square" lIns="91440" tIns="45720" rIns="91440" bIns="45720" anchor="ctr" anchorCtr="0" upright="1">
                          <a:noAutofit/>
                        </wps:bodyPr>
                      </wps:wsp>
                      <wps:wsp>
                        <wps:cNvPr id="8" name="Rectangle 2"/>
                        <wps:cNvSpPr>
                          <a:spLocks noChangeArrowheads="1"/>
                        </wps:cNvSpPr>
                        <wps:spPr bwMode="auto">
                          <a:xfrm>
                            <a:off x="6772275" y="247650"/>
                            <a:ext cx="1073150" cy="643890"/>
                          </a:xfrm>
                          <a:prstGeom prst="rect">
                            <a:avLst/>
                          </a:prstGeom>
                          <a:solidFill>
                            <a:srgbClr val="44546A"/>
                          </a:solidFill>
                          <a:ln w="12700" algn="ctr">
                            <a:solidFill>
                              <a:srgbClr val="41719C"/>
                            </a:solidFill>
                            <a:miter lim="800000"/>
                            <a:headEnd/>
                            <a:tailEnd/>
                          </a:ln>
                        </wps:spPr>
                        <wps:txbx>
                          <w:txbxContent>
                            <w:p w14:paraId="45A9DDF3" w14:textId="77777777" w:rsidR="00FE7D9E" w:rsidRPr="00657CDF" w:rsidRDefault="00FE7D9E" w:rsidP="00233E2A">
                              <w:pPr>
                                <w:jc w:val="center"/>
                                <w:rPr>
                                  <w:color w:val="FFFFFF"/>
                                  <w:sz w:val="16"/>
                                  <w:szCs w:val="16"/>
                                </w:rPr>
                              </w:pPr>
                              <w:r w:rsidRPr="00657CDF">
                                <w:rPr>
                                  <w:color w:val="FFFFFF"/>
                                  <w:sz w:val="16"/>
                                  <w:szCs w:val="16"/>
                                </w:rPr>
                                <w:t xml:space="preserve">Male Impaired Fertility </w:t>
                              </w:r>
                            </w:p>
                          </w:txbxContent>
                        </wps:txbx>
                        <wps:bodyPr rot="0" vert="horz" wrap="square" lIns="91440" tIns="45720" rIns="91440" bIns="45720" anchor="ctr" anchorCtr="0" upright="1">
                          <a:noAutofit/>
                        </wps:bodyPr>
                      </wps:wsp>
                      <wps:wsp>
                        <wps:cNvPr id="17" name="Rectangle 3"/>
                        <wps:cNvSpPr>
                          <a:spLocks noChangeArrowheads="1"/>
                        </wps:cNvSpPr>
                        <wps:spPr bwMode="auto">
                          <a:xfrm>
                            <a:off x="1419225" y="247650"/>
                            <a:ext cx="1073150" cy="643890"/>
                          </a:xfrm>
                          <a:prstGeom prst="rect">
                            <a:avLst/>
                          </a:prstGeom>
                          <a:solidFill>
                            <a:srgbClr val="44546A"/>
                          </a:solidFill>
                          <a:ln w="12700" algn="ctr">
                            <a:solidFill>
                              <a:srgbClr val="41719C"/>
                            </a:solidFill>
                            <a:miter lim="800000"/>
                            <a:headEnd/>
                            <a:tailEnd/>
                          </a:ln>
                        </wps:spPr>
                        <wps:txbx>
                          <w:txbxContent>
                            <w:p w14:paraId="4C1A6C9A" w14:textId="77777777" w:rsidR="00FE7D9E" w:rsidRPr="00657CDF" w:rsidRDefault="00FE7D9E" w:rsidP="00233E2A">
                              <w:pPr>
                                <w:jc w:val="center"/>
                                <w:rPr>
                                  <w:color w:val="FFFFFF"/>
                                  <w:sz w:val="16"/>
                                  <w:szCs w:val="16"/>
                                </w:rPr>
                              </w:pPr>
                              <w:r w:rsidRPr="00657CDF">
                                <w:rPr>
                                  <w:color w:val="FFFFFF"/>
                                  <w:sz w:val="16"/>
                                  <w:szCs w:val="16"/>
                                </w:rPr>
                                <w:t>Placenta Transfer</w:t>
                              </w:r>
                            </w:p>
                          </w:txbxContent>
                        </wps:txbx>
                        <wps:bodyPr rot="0" vert="horz" wrap="square" lIns="91440" tIns="45720" rIns="91440" bIns="45720" anchor="ctr" anchorCtr="0" upright="1">
                          <a:noAutofit/>
                        </wps:bodyPr>
                      </wps:wsp>
                      <wps:wsp>
                        <wps:cNvPr id="22" name="Rectangle 4"/>
                        <wps:cNvSpPr>
                          <a:spLocks noChangeArrowheads="1"/>
                        </wps:cNvSpPr>
                        <wps:spPr bwMode="auto">
                          <a:xfrm>
                            <a:off x="5324475" y="0"/>
                            <a:ext cx="1073150" cy="1257300"/>
                          </a:xfrm>
                          <a:prstGeom prst="rect">
                            <a:avLst/>
                          </a:prstGeom>
                          <a:solidFill>
                            <a:srgbClr val="44546A"/>
                          </a:solidFill>
                          <a:ln w="12700" algn="ctr">
                            <a:solidFill>
                              <a:srgbClr val="41719C"/>
                            </a:solidFill>
                            <a:miter lim="800000"/>
                            <a:headEnd/>
                            <a:tailEnd/>
                          </a:ln>
                        </wps:spPr>
                        <wps:txbx>
                          <w:txbxContent>
                            <w:p w14:paraId="22739A9C" w14:textId="77777777" w:rsidR="00FE7D9E" w:rsidRPr="00657CDF" w:rsidRDefault="00FE7D9E" w:rsidP="00233E2A">
                              <w:pPr>
                                <w:jc w:val="center"/>
                                <w:rPr>
                                  <w:color w:val="FFFFFF"/>
                                  <w:sz w:val="16"/>
                                  <w:szCs w:val="16"/>
                                </w:rPr>
                              </w:pPr>
                              <w:r w:rsidRPr="00657CDF">
                                <w:rPr>
                                  <w:color w:val="FFFFFF"/>
                                  <w:sz w:val="16"/>
                                  <w:szCs w:val="16"/>
                                </w:rPr>
                                <w:t>Male Reproductive system irreversible damage</w:t>
                              </w:r>
                            </w:p>
                            <w:p w14:paraId="47FF08D8" w14:textId="77777777" w:rsidR="00FE7D9E" w:rsidRPr="00657CDF" w:rsidRDefault="00FE7D9E" w:rsidP="00233E2A">
                              <w:pPr>
                                <w:jc w:val="center"/>
                                <w:rPr>
                                  <w:color w:val="FFFFFF"/>
                                  <w:sz w:val="16"/>
                                  <w:szCs w:val="16"/>
                                </w:rPr>
                              </w:pPr>
                              <w:r w:rsidRPr="00657CDF">
                                <w:rPr>
                                  <w:color w:val="FFFFFF"/>
                                  <w:sz w:val="16"/>
                                  <w:szCs w:val="16"/>
                                </w:rPr>
                                <w:t>(Testicular effects, AGD decrease, Hypospadias)</w:t>
                              </w:r>
                            </w:p>
                          </w:txbxContent>
                        </wps:txbx>
                        <wps:bodyPr rot="0" vert="horz" wrap="square" lIns="91440" tIns="45720" rIns="91440" bIns="45720" anchor="ctr" anchorCtr="0" upright="1">
                          <a:noAutofit/>
                        </wps:bodyPr>
                      </wps:wsp>
                      <wps:wsp>
                        <wps:cNvPr id="24" name="Rectangle 5"/>
                        <wps:cNvSpPr>
                          <a:spLocks noChangeArrowheads="1"/>
                        </wps:cNvSpPr>
                        <wps:spPr bwMode="auto">
                          <a:xfrm>
                            <a:off x="2695575" y="247650"/>
                            <a:ext cx="1073150" cy="707390"/>
                          </a:xfrm>
                          <a:prstGeom prst="rect">
                            <a:avLst/>
                          </a:prstGeom>
                          <a:solidFill>
                            <a:srgbClr val="44546A"/>
                          </a:solidFill>
                          <a:ln w="12700" algn="ctr">
                            <a:solidFill>
                              <a:srgbClr val="41719C"/>
                            </a:solidFill>
                            <a:miter lim="800000"/>
                            <a:headEnd/>
                            <a:tailEnd/>
                          </a:ln>
                        </wps:spPr>
                        <wps:txbx>
                          <w:txbxContent>
                            <w:p w14:paraId="7ADB52C5" w14:textId="77777777" w:rsidR="00FE7D9E" w:rsidRPr="00657CDF" w:rsidRDefault="00FE7D9E" w:rsidP="00233E2A">
                              <w:pPr>
                                <w:jc w:val="center"/>
                                <w:rPr>
                                  <w:color w:val="FFFFFF"/>
                                  <w:sz w:val="16"/>
                                  <w:szCs w:val="16"/>
                                </w:rPr>
                              </w:pPr>
                              <w:r w:rsidRPr="00657CDF">
                                <w:rPr>
                                  <w:color w:val="FFFFFF"/>
                                  <w:sz w:val="16"/>
                                  <w:szCs w:val="16"/>
                                </w:rPr>
                                <w:t xml:space="preserve">Early Leydig and Sertoli </w:t>
                              </w:r>
                              <w:r w:rsidRPr="00657CDF">
                                <w:rPr>
                                  <w:b/>
                                  <w:color w:val="FFFFFF"/>
                                  <w:sz w:val="16"/>
                                  <w:szCs w:val="16"/>
                                </w:rPr>
                                <w:t>cells function</w:t>
                              </w:r>
                              <w:r w:rsidRPr="00657CDF">
                                <w:rPr>
                                  <w:color w:val="FFFFFF"/>
                                  <w:sz w:val="16"/>
                                  <w:szCs w:val="16"/>
                                </w:rPr>
                                <w:t xml:space="preserve"> alterations </w:t>
                              </w:r>
                              <w:r w:rsidRPr="00C92962">
                                <w:rPr>
                                  <w:i/>
                                  <w:color w:val="FFFFFF"/>
                                  <w:sz w:val="16"/>
                                  <w:szCs w:val="16"/>
                                </w:rPr>
                                <w:t>in utero</w:t>
                              </w:r>
                            </w:p>
                          </w:txbxContent>
                        </wps:txbx>
                        <wps:bodyPr rot="0" vert="horz" wrap="square" lIns="91440" tIns="45720" rIns="91440" bIns="45720" anchor="ctr" anchorCtr="0" upright="1">
                          <a:noAutofit/>
                        </wps:bodyPr>
                      </wps:wsp>
                      <wps:wsp>
                        <wps:cNvPr id="27" name="Rectangle 6"/>
                        <wps:cNvSpPr>
                          <a:spLocks noChangeArrowheads="1"/>
                        </wps:cNvSpPr>
                        <wps:spPr bwMode="auto">
                          <a:xfrm>
                            <a:off x="4000500" y="247650"/>
                            <a:ext cx="1073150" cy="643890"/>
                          </a:xfrm>
                          <a:prstGeom prst="rect">
                            <a:avLst/>
                          </a:prstGeom>
                          <a:solidFill>
                            <a:srgbClr val="44546A"/>
                          </a:solidFill>
                          <a:ln w="12700" algn="ctr">
                            <a:solidFill>
                              <a:srgbClr val="41719C"/>
                            </a:solidFill>
                            <a:miter lim="800000"/>
                            <a:headEnd/>
                            <a:tailEnd/>
                          </a:ln>
                        </wps:spPr>
                        <wps:txbx>
                          <w:txbxContent>
                            <w:p w14:paraId="595FE701" w14:textId="77777777" w:rsidR="00FE7D9E" w:rsidRPr="00657CDF" w:rsidRDefault="00FE7D9E" w:rsidP="00233E2A">
                              <w:pPr>
                                <w:jc w:val="center"/>
                                <w:rPr>
                                  <w:color w:val="FFFFFF"/>
                                  <w:sz w:val="16"/>
                                  <w:szCs w:val="16"/>
                                </w:rPr>
                              </w:pPr>
                              <w:r w:rsidRPr="00657CDF">
                                <w:rPr>
                                  <w:color w:val="FFFFFF"/>
                                  <w:sz w:val="16"/>
                                  <w:szCs w:val="16"/>
                                </w:rPr>
                                <w:t>Hormonal Changes (Fetal testosterone levels decrease)</w:t>
                              </w:r>
                            </w:p>
                          </w:txbxContent>
                        </wps:txbx>
                        <wps:bodyPr rot="0" vert="horz" wrap="square" lIns="91440" tIns="45720" rIns="91440" bIns="45720" anchor="ctr" anchorCtr="0" upright="1">
                          <a:noAutofit/>
                        </wps:bodyPr>
                      </wps:wsp>
                      <wps:wsp>
                        <wps:cNvPr id="29" name="Straight Arrow Connector 9"/>
                        <wps:cNvCnPr>
                          <a:cxnSpLocks noChangeShapeType="1"/>
                        </wps:cNvCnPr>
                        <wps:spPr bwMode="auto">
                          <a:xfrm>
                            <a:off x="1076325" y="561975"/>
                            <a:ext cx="342182" cy="0"/>
                          </a:xfrm>
                          <a:prstGeom prst="straightConnector1">
                            <a:avLst/>
                          </a:prstGeom>
                          <a:noFill/>
                          <a:ln w="190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30" name="Straight Arrow Connector 10"/>
                        <wps:cNvCnPr>
                          <a:cxnSpLocks noChangeShapeType="1"/>
                        </wps:cNvCnPr>
                        <wps:spPr bwMode="auto">
                          <a:xfrm>
                            <a:off x="2486025" y="561975"/>
                            <a:ext cx="207010" cy="0"/>
                          </a:xfrm>
                          <a:prstGeom prst="straightConnector1">
                            <a:avLst/>
                          </a:prstGeom>
                          <a:noFill/>
                          <a:ln w="190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0480" name="Straight Arrow Connector 11"/>
                        <wps:cNvCnPr>
                          <a:cxnSpLocks noChangeShapeType="1"/>
                        </wps:cNvCnPr>
                        <wps:spPr bwMode="auto">
                          <a:xfrm>
                            <a:off x="3771900" y="561975"/>
                            <a:ext cx="230505" cy="0"/>
                          </a:xfrm>
                          <a:prstGeom prst="straightConnector1">
                            <a:avLst/>
                          </a:prstGeom>
                          <a:noFill/>
                          <a:ln w="190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0481" name="Straight Arrow Connector 12"/>
                        <wps:cNvCnPr>
                          <a:cxnSpLocks noChangeShapeType="1"/>
                        </wps:cNvCnPr>
                        <wps:spPr bwMode="auto">
                          <a:xfrm>
                            <a:off x="5076825" y="561975"/>
                            <a:ext cx="254635" cy="0"/>
                          </a:xfrm>
                          <a:prstGeom prst="straightConnector1">
                            <a:avLst/>
                          </a:prstGeom>
                          <a:noFill/>
                          <a:ln w="190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0482" name="Straight Arrow Connector 13"/>
                        <wps:cNvCnPr>
                          <a:cxnSpLocks noChangeShapeType="1"/>
                        </wps:cNvCnPr>
                        <wps:spPr bwMode="auto">
                          <a:xfrm>
                            <a:off x="6400800" y="561975"/>
                            <a:ext cx="373988" cy="0"/>
                          </a:xfrm>
                          <a:prstGeom prst="straightConnector1">
                            <a:avLst/>
                          </a:prstGeom>
                          <a:noFill/>
                          <a:ln w="190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81B56" id="Group 4" o:spid="_x0000_s1079" style="position:absolute;left:0;text-align:left;margin-left:-3.75pt;margin-top:34.1pt;width:617.75pt;height:99pt;z-index:251684352" coordsize="7845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">
                <v:rect id="Rectangle 1" o:spid="_x0000_s1080" style="position:absolute;top:2476;width:10731;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uE9MUA&#10;AADaAAAADwAAAGRycy9kb3ducmV2LnhtbESPT2vCQBTE7wW/w/KEXopu2mqQ6Cr9Q2kkF42C10f2&#10;mQSzb0N2jem37xYKHoeZ+Q2z2gymET11rras4HkagSAurK65VHA8fE0WIJxH1thYJgU/5GCzHj2s&#10;MNH2xnvqc1+KAGGXoILK+zaR0hUVGXRT2xIH72w7gz7IrpS6w1uAm0a+RFEsDdYcFips6aOi4pJf&#10;jYJil9lrnJafddaftk/mdfb93syUehwPb0sQngZ/D/+3U61gD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4T0xQAAANoAAAAPAAAAAAAAAAAAAAAAAJgCAABkcnMv&#10;ZG93bnJldi54bWxQSwUGAAAAAAQABAD1AAAAigMAAAAA&#10;" fillcolor="#44546a" strokecolor="#41719c" strokeweight="1pt">
                  <v:textbox>
                    <w:txbxContent>
                      <w:p w14:paraId="1EE14407" w14:textId="77777777" w:rsidR="00FE7D9E" w:rsidRPr="00657CDF" w:rsidRDefault="00FE7D9E" w:rsidP="00233E2A">
                        <w:pPr>
                          <w:jc w:val="center"/>
                          <w:rPr>
                            <w:color w:val="FFFFFF"/>
                            <w:sz w:val="16"/>
                            <w:szCs w:val="16"/>
                          </w:rPr>
                        </w:pPr>
                        <w:r w:rsidRPr="00657CDF">
                          <w:rPr>
                            <w:color w:val="FFFFFF"/>
                            <w:sz w:val="16"/>
                            <w:szCs w:val="16"/>
                          </w:rPr>
                          <w:t>Metabolism to MCHP</w:t>
                        </w:r>
                      </w:p>
                    </w:txbxContent>
                  </v:textbox>
                </v:rect>
                <v:rect id="_x0000_s1081" style="position:absolute;left:67722;top:2476;width:10732;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rasAA&#10;AADaAAAADwAAAGRycy9kb3ducmV2LnhtbERPTYvCMBC9C/6HMIIX0XRVRLqmRVdExYu6C3sdmrEt&#10;NpPSxNr995uD4PHxvldpZyrRUuNKywo+JhEI4szqknMFP9+78RKE88gaK8uk4I8cpEm/t8JY2ydf&#10;qL36XIQQdjEqKLyvYyldVpBBN7E1ceButjHoA2xyqRt8hnBTyWkULaTBkkNDgTV9FZTdrw+jIDuf&#10;7GNxyLflqf09jsxsvt9Uc6WGg279CcJT59/il/ugFYSt4Uq4AT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orasAAAADaAAAADwAAAAAAAAAAAAAAAACYAgAAZHJzL2Rvd25y&#10;ZXYueG1sUEsFBgAAAAAEAAQA9QAAAIUDAAAAAA==&#10;" fillcolor="#44546a" strokecolor="#41719c" strokeweight="1pt">
                  <v:textbox>
                    <w:txbxContent>
                      <w:p w14:paraId="45A9DDF3" w14:textId="77777777" w:rsidR="00FE7D9E" w:rsidRPr="00657CDF" w:rsidRDefault="00FE7D9E" w:rsidP="00233E2A">
                        <w:pPr>
                          <w:jc w:val="center"/>
                          <w:rPr>
                            <w:color w:val="FFFFFF"/>
                            <w:sz w:val="16"/>
                            <w:szCs w:val="16"/>
                          </w:rPr>
                        </w:pPr>
                        <w:r w:rsidRPr="00657CDF">
                          <w:rPr>
                            <w:color w:val="FFFFFF"/>
                            <w:sz w:val="16"/>
                            <w:szCs w:val="16"/>
                          </w:rPr>
                          <w:t xml:space="preserve">Male Impaired Fertility </w:t>
                        </w:r>
                      </w:p>
                    </w:txbxContent>
                  </v:textbox>
                </v:rect>
                <v:rect id="Rectangle 3" o:spid="_x0000_s1082" style="position:absolute;left:14192;top:2476;width:10731;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ETMMA&#10;AADbAAAADwAAAGRycy9kb3ducmV2LnhtbERPS2vCQBC+F/wPywi9FN20lSjRVfqgNJKLRsHrkB2T&#10;YHY2ZNeY/vtuoeBtPr7nrDaDaURPnastK3ieRiCIC6trLhUcD1+TBQjnkTU2lknBDznYrEcPK0y0&#10;vfGe+tyXIoSwS1BB5X2bSOmKigy6qW2JA3e2nUEfYFdK3eEthJtGvkRRLA3WHBoqbOmjouKSX42C&#10;YpfZa5yWn3XWn7ZP5nX2/d7MlHocD29LEJ4Gfxf/u1Md5s/h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WETMMAAADbAAAADwAAAAAAAAAAAAAAAACYAgAAZHJzL2Rv&#10;d25yZXYueG1sUEsFBgAAAAAEAAQA9QAAAIgDAAAAAA==&#10;" fillcolor="#44546a" strokecolor="#41719c" strokeweight="1pt">
                  <v:textbox>
                    <w:txbxContent>
                      <w:p w14:paraId="4C1A6C9A" w14:textId="77777777" w:rsidR="00FE7D9E" w:rsidRPr="00657CDF" w:rsidRDefault="00FE7D9E" w:rsidP="00233E2A">
                        <w:pPr>
                          <w:jc w:val="center"/>
                          <w:rPr>
                            <w:color w:val="FFFFFF"/>
                            <w:sz w:val="16"/>
                            <w:szCs w:val="16"/>
                          </w:rPr>
                        </w:pPr>
                        <w:r w:rsidRPr="00657CDF">
                          <w:rPr>
                            <w:color w:val="FFFFFF"/>
                            <w:sz w:val="16"/>
                            <w:szCs w:val="16"/>
                          </w:rPr>
                          <w:t>Placenta Transfer</w:t>
                        </w:r>
                      </w:p>
                    </w:txbxContent>
                  </v:textbox>
                </v:rect>
                <v:rect id="Rectangle 4" o:spid="_x0000_s1083" style="position:absolute;left:53244;width:10732;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7tacUA&#10;AADbAAAADwAAAGRycy9kb3ducmV2LnhtbESPT2vCQBTE70K/w/IKvYhumopIdJX+QUzJpVXB6yP7&#10;moRm34bdNabf3hUKHoeZ+Q2z2gymFT0531hW8DxNQBCXVjdcKTgetpMFCB+QNbaWScEfedisH0Yr&#10;zLS98Df1+1CJCGGfoYI6hC6T0pc1GfRT2xFH78c6gyFKV0nt8BLhppVpksylwYbjQo0dvddU/u7P&#10;RkH5VdjzPK8+mqI/fY7Ny2z31s6UenocXpcgAg3hHv5v51pBmsLtS/w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u1pxQAAANsAAAAPAAAAAAAAAAAAAAAAAJgCAABkcnMv&#10;ZG93bnJldi54bWxQSwUGAAAAAAQABAD1AAAAigMAAAAA&#10;" fillcolor="#44546a" strokecolor="#41719c" strokeweight="1pt">
                  <v:textbox>
                    <w:txbxContent>
                      <w:p w14:paraId="22739A9C" w14:textId="77777777" w:rsidR="00FE7D9E" w:rsidRPr="00657CDF" w:rsidRDefault="00FE7D9E" w:rsidP="00233E2A">
                        <w:pPr>
                          <w:jc w:val="center"/>
                          <w:rPr>
                            <w:color w:val="FFFFFF"/>
                            <w:sz w:val="16"/>
                            <w:szCs w:val="16"/>
                          </w:rPr>
                        </w:pPr>
                        <w:r w:rsidRPr="00657CDF">
                          <w:rPr>
                            <w:color w:val="FFFFFF"/>
                            <w:sz w:val="16"/>
                            <w:szCs w:val="16"/>
                          </w:rPr>
                          <w:t>Male Reproductive system irreversible damage</w:t>
                        </w:r>
                      </w:p>
                      <w:p w14:paraId="47FF08D8" w14:textId="77777777" w:rsidR="00FE7D9E" w:rsidRPr="00657CDF" w:rsidRDefault="00FE7D9E" w:rsidP="00233E2A">
                        <w:pPr>
                          <w:jc w:val="center"/>
                          <w:rPr>
                            <w:color w:val="FFFFFF"/>
                            <w:sz w:val="16"/>
                            <w:szCs w:val="16"/>
                          </w:rPr>
                        </w:pPr>
                        <w:r w:rsidRPr="00657CDF">
                          <w:rPr>
                            <w:color w:val="FFFFFF"/>
                            <w:sz w:val="16"/>
                            <w:szCs w:val="16"/>
                          </w:rPr>
                          <w:t>(Testicular effects, AGD decrease, Hypospadias)</w:t>
                        </w:r>
                      </w:p>
                    </w:txbxContent>
                  </v:textbox>
                </v:rect>
                <v:rect id="Rectangle 5" o:spid="_x0000_s1084" style="position:absolute;left:26955;top:2476;width:10732;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QhsQA&#10;AADbAAAADwAAAGRycy9kb3ducmV2LnhtbESPT4vCMBTE7wt+h/AEL4umahHpGsU/LKt4UXdhr4/m&#10;2Rabl9LEWr+9EQSPw8z8hpktWlOKhmpXWFYwHEQgiFOrC84U/P1+96cgnEfWWFomBXdysJh3PmaY&#10;aHvjIzUnn4kAYZeggtz7KpHSpTkZdANbEQfvbGuDPsg6k7rGW4CbUo6iaCINFhwWcqxonVN6OV2N&#10;gvSwt9fJNtsU++Z/92nG8c+qjJXqddvlFwhPrX+HX+2tVjCK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0IbEAAAA2wAAAA8AAAAAAAAAAAAAAAAAmAIAAGRycy9k&#10;b3ducmV2LnhtbFBLBQYAAAAABAAEAPUAAACJAwAAAAA=&#10;" fillcolor="#44546a" strokecolor="#41719c" strokeweight="1pt">
                  <v:textbox>
                    <w:txbxContent>
                      <w:p w14:paraId="7ADB52C5" w14:textId="77777777" w:rsidR="00FE7D9E" w:rsidRPr="00657CDF" w:rsidRDefault="00FE7D9E" w:rsidP="00233E2A">
                        <w:pPr>
                          <w:jc w:val="center"/>
                          <w:rPr>
                            <w:color w:val="FFFFFF"/>
                            <w:sz w:val="16"/>
                            <w:szCs w:val="16"/>
                          </w:rPr>
                        </w:pPr>
                        <w:r w:rsidRPr="00657CDF">
                          <w:rPr>
                            <w:color w:val="FFFFFF"/>
                            <w:sz w:val="16"/>
                            <w:szCs w:val="16"/>
                          </w:rPr>
                          <w:t xml:space="preserve">Early Leydig and Sertoli </w:t>
                        </w:r>
                        <w:r w:rsidRPr="00657CDF">
                          <w:rPr>
                            <w:b/>
                            <w:color w:val="FFFFFF"/>
                            <w:sz w:val="16"/>
                            <w:szCs w:val="16"/>
                          </w:rPr>
                          <w:t>cells function</w:t>
                        </w:r>
                        <w:r w:rsidRPr="00657CDF">
                          <w:rPr>
                            <w:color w:val="FFFFFF"/>
                            <w:sz w:val="16"/>
                            <w:szCs w:val="16"/>
                          </w:rPr>
                          <w:t xml:space="preserve"> alterations </w:t>
                        </w:r>
                        <w:r w:rsidRPr="00C92962">
                          <w:rPr>
                            <w:i/>
                            <w:color w:val="FFFFFF"/>
                            <w:sz w:val="16"/>
                            <w:szCs w:val="16"/>
                          </w:rPr>
                          <w:t>in utero</w:t>
                        </w:r>
                      </w:p>
                    </w:txbxContent>
                  </v:textbox>
                </v:rect>
                <v:rect id="Rectangle 6" o:spid="_x0000_s1085" style="position:absolute;left:40005;top:2476;width:10731;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O8cQA&#10;AADbAAAADwAAAGRycy9kb3ducmV2LnhtbESPS4vCQBCE7wv+h6EFL4tOfKCSdRR1WVbx4gu8Npne&#10;JJjpCZkxxn/vLAgei6r6ipotGlOImiqXW1bQ70UgiBOrc04VnE8/3SkI55E1FpZJwYMcLOatjxnG&#10;2t75QPXRpyJA2MWoIPO+jKV0SUYGXc+WxMH7s5VBH2SVSl3hPcBNIQdRNJYGcw4LGZa0zii5Hm9G&#10;QbLf2dt4k37nu/qy/TTD0e+qGCnVaTfLLxCeGv8Ov9obrWAwgf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TvHEAAAA2wAAAA8AAAAAAAAAAAAAAAAAmAIAAGRycy9k&#10;b3ducmV2LnhtbFBLBQYAAAAABAAEAPUAAACJAwAAAAA=&#10;" fillcolor="#44546a" strokecolor="#41719c" strokeweight="1pt">
                  <v:textbox>
                    <w:txbxContent>
                      <w:p w14:paraId="595FE701" w14:textId="77777777" w:rsidR="00FE7D9E" w:rsidRPr="00657CDF" w:rsidRDefault="00FE7D9E" w:rsidP="00233E2A">
                        <w:pPr>
                          <w:jc w:val="center"/>
                          <w:rPr>
                            <w:color w:val="FFFFFF"/>
                            <w:sz w:val="16"/>
                            <w:szCs w:val="16"/>
                          </w:rPr>
                        </w:pPr>
                        <w:r w:rsidRPr="00657CDF">
                          <w:rPr>
                            <w:color w:val="FFFFFF"/>
                            <w:sz w:val="16"/>
                            <w:szCs w:val="16"/>
                          </w:rPr>
                          <w:t>Hormonal Changes (Fetal testosterone levels decrease)</w:t>
                        </w:r>
                      </w:p>
                    </w:txbxContent>
                  </v:textbox>
                </v:rect>
                <v:shape id="Straight Arrow Connector 9" o:spid="_x0000_s1086" type="#_x0000_t32" style="position:absolute;left:10763;top:5619;width:3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opy8MAAADbAAAADwAAAGRycy9kb3ducmV2LnhtbESPQWvCQBSE7wX/w/KE3urGYEuNrqKV&#10;llwTe9DbI/tMgtm3YXebpP++Wyj0OMzMN8x2P5lODOR8a1nBcpGAIK6sbrlW8Hl+f3oF4QOyxs4y&#10;KfgmD/vd7GGLmbYjFzSUoRYRwj5DBU0IfSalrxoy6Be2J47ezTqDIUpXS+1wjHDTyTRJXqTBluNC&#10;gz29NVTdyy+jwA3VxyW/Xck+X3W3Ol2O5VkWSj3Op8MGRKAp/If/2rlWkK7h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KKcvDAAAA2wAAAA8AAAAAAAAAAAAA&#10;AAAAoQIAAGRycy9kb3ducmV2LnhtbFBLBQYAAAAABAAEAPkAAACRAwAAAAA=&#10;" strokecolor="#5b9bd5" strokeweight="1.5pt">
                  <v:stroke endarrow="open" joinstyle="miter"/>
                </v:shape>
                <v:shape id="Straight Arrow Connector 10" o:spid="_x0000_s1087" type="#_x0000_t32" style="position:absolute;left:24860;top:5619;width:20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Wi74AAADbAAAADwAAAGRycy9kb3ducmV2LnhtbERPy4rCMBTdC/5DuMLsNHUeItUoOqK4&#10;tXWhu0tzbYvNTUlirX9vFgOzPJz3ct2bRnTkfG1ZwXSSgCAurK65VHDO9+M5CB+QNTaWScGLPKxX&#10;w8ESU22ffKIuC6WIIexTVFCF0KZS+qIig35iW+LI3awzGCJ0pdQOnzHcNPIzSWbSYM2xocKWfisq&#10;7tnDKHBdcbgcb1eyP1fdfO8u2yyXJ6U+Rv1mASJQH/7Ff+6jVvAV18cv8Qf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qRaLvgAAANsAAAAPAAAAAAAAAAAAAAAAAKEC&#10;AABkcnMvZG93bnJldi54bWxQSwUGAAAAAAQABAD5AAAAjAMAAAAA&#10;" strokecolor="#5b9bd5" strokeweight="1.5pt">
                  <v:stroke endarrow="open" joinstyle="miter"/>
                </v:shape>
                <v:shape id="Straight Arrow Connector 11" o:spid="_x0000_s1088" type="#_x0000_t32" style="position:absolute;left:37719;top:5619;width:2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kFXMIAAADeAAAADwAAAGRycy9kb3ducmV2LnhtbESPy4rCMBSG9wO+QziCuzFVVKRjFC8o&#10;bq2z0N2hObbF5qQksda3NwvB5c9/41usOlOLlpyvLCsYDRMQxLnVFRcK/s/73zkIH5A11pZJwYs8&#10;rJa9nwWm2j75RG0WChFH2KeooAyhSaX0eUkG/dA2xNG7WWcwROkKqR0+47ip5ThJZtJgxfGhxIa2&#10;JeX37GEUuDY/XI63K9npVdeT3WWTneVJqUG/W/+BCNSFb/jTPmoF42QyjwARJ6K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kFXMIAAADeAAAADwAAAAAAAAAAAAAA&#10;AAChAgAAZHJzL2Rvd25yZXYueG1sUEsFBgAAAAAEAAQA+QAAAJADAAAAAA==&#10;" strokecolor="#5b9bd5" strokeweight="1.5pt">
                  <v:stroke endarrow="open" joinstyle="miter"/>
                </v:shape>
                <v:shape id="Straight Arrow Connector 12" o:spid="_x0000_s1089" type="#_x0000_t32" style="position:absolute;left:50768;top:5619;width:25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Wgx8QAAADeAAAADwAAAGRycy9kb3ducmV2LnhtbESPT4vCMBTE78J+h/AW9qapoiJdo/iH&#10;Fa/WPejt0TzbYvNSkljrtzeC4HGYmd8w82VnatGS85VlBcNBAoI4t7riQsH/8a8/A+EDssbaMil4&#10;kIfl4qs3x1TbOx+ozUIhIoR9igrKEJpUSp+XZNAPbEMcvYt1BkOUrpDa4T3CTS1HSTKVBiuOCyU2&#10;tCkpv2Y3o8C1+e60v5zJTs66Hm9P6+woD0r9fHerXxCBuvAJv9t7rWCUjGdDeN2JV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aDHxAAAAN4AAAAPAAAAAAAAAAAA&#10;AAAAAKECAABkcnMvZG93bnJldi54bWxQSwUGAAAAAAQABAD5AAAAkgMAAAAA&#10;" strokecolor="#5b9bd5" strokeweight="1.5pt">
                  <v:stroke endarrow="open" joinstyle="miter"/>
                </v:shape>
                <v:shape id="Straight Arrow Connector 13" o:spid="_x0000_s1090" type="#_x0000_t32" style="position:absolute;left:64008;top:5619;width:37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sMQAAADeAAAADwAAAGRycy9kb3ducmV2LnhtbESPQYvCMBSE7wv+h/AEb2tqcUWqUdTF&#10;xavVg94ezbMtNi8lydbuv98IgsdhZr5hluveNKIj52vLCibjBARxYXXNpYLzaf85B+EDssbGMin4&#10;Iw/r1eBjiZm2Dz5Sl4dSRAj7DBVUIbSZlL6oyKAf25Y4ejfrDIYoXSm1w0eEm0amSTKTBmuOCxW2&#10;tKuouOe/RoHrip/L4XYl+3XVzfT7ss1P8qjUaNhvFiAC9eEdfrUPWkGaTOcpPO/EK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z6wxAAAAN4AAAAPAAAAAAAAAAAA&#10;AAAAAKECAABkcnMvZG93bnJldi54bWxQSwUGAAAAAAQABAD5AAAAkgMAAAAA&#10;" strokecolor="#5b9bd5" strokeweight="1.5pt">
                  <v:stroke endarrow="open" joinstyle="miter"/>
                </v:shape>
              </v:group>
            </w:pict>
          </mc:Fallback>
        </mc:AlternateContent>
      </w:r>
      <w:r w:rsidRPr="00413599">
        <w:rPr>
          <w:rFonts w:ascii="Verdana" w:hAnsi="Verdana"/>
          <w:sz w:val="20"/>
          <w:szCs w:val="20"/>
        </w:rPr>
        <w:t>The following schema presents the hypothesised mode of action</w:t>
      </w:r>
      <w:r w:rsidRPr="00B1645D">
        <w:t xml:space="preserve">: </w:t>
      </w:r>
    </w:p>
    <w:p w14:paraId="7460FBF3" w14:textId="77777777" w:rsidR="00233E2A" w:rsidRPr="00EA6A7E" w:rsidRDefault="00233E2A" w:rsidP="00233E2A">
      <w:pPr>
        <w:rPr>
          <w:rFonts w:ascii="Verdana" w:hAnsi="Verdana"/>
          <w:b/>
        </w:rPr>
      </w:pPr>
      <w:r>
        <w:rPr>
          <w:b/>
        </w:rPr>
        <w:br w:type="page"/>
      </w:r>
      <w:r w:rsidRPr="00F55CEF">
        <w:rPr>
          <w:rFonts w:ascii="Verdana" w:hAnsi="Verdana"/>
          <w:b/>
        </w:rPr>
        <w:lastRenderedPageBreak/>
        <w:t>S</w:t>
      </w:r>
      <w:r w:rsidRPr="00EA6A7E">
        <w:rPr>
          <w:rFonts w:ascii="Verdana" w:hAnsi="Verdana"/>
          <w:b/>
        </w:rPr>
        <w:t>ECTION 2</w:t>
      </w:r>
    </w:p>
    <w:p w14:paraId="47AE7ED8" w14:textId="5860BB1E" w:rsidR="00233E2A" w:rsidRPr="00EA6A7E" w:rsidRDefault="00233E2A" w:rsidP="00233E2A">
      <w:pPr>
        <w:spacing w:after="200" w:line="276" w:lineRule="auto"/>
        <w:rPr>
          <w:rFonts w:ascii="Verdana" w:hAnsi="Verdana"/>
          <w:b/>
        </w:rPr>
      </w:pPr>
      <w:r w:rsidRPr="00EA6A7E">
        <w:rPr>
          <w:rFonts w:ascii="Verdana" w:hAnsi="Verdana"/>
          <w:b/>
        </w:rPr>
        <w:t xml:space="preserve">Collection and documentation of all </w:t>
      </w:r>
      <w:r w:rsidR="00B448E2">
        <w:rPr>
          <w:rFonts w:ascii="Verdana" w:hAnsi="Verdana"/>
          <w:b/>
        </w:rPr>
        <w:t>information</w:t>
      </w:r>
    </w:p>
    <w:p w14:paraId="0C44F35F" w14:textId="77777777" w:rsidR="00233E2A" w:rsidRPr="00413599" w:rsidRDefault="00233E2A" w:rsidP="00233E2A">
      <w:pPr>
        <w:ind w:left="360"/>
        <w:rPr>
          <w:rFonts w:ascii="Verdana" w:hAnsi="Verdana"/>
          <w:sz w:val="20"/>
          <w:szCs w:val="20"/>
        </w:rPr>
      </w:pPr>
      <w:r w:rsidRPr="00413599">
        <w:rPr>
          <w:rFonts w:ascii="Verdana" w:hAnsi="Verdana"/>
          <w:sz w:val="20"/>
          <w:szCs w:val="20"/>
        </w:rPr>
        <w:t xml:space="preserve">This section summarises the main information used for the establishment of the proposed mode of action for DCHP endocrine mediated male reproductive organ effects (for more information see the following sections). </w:t>
      </w:r>
    </w:p>
    <w:p w14:paraId="4C394141" w14:textId="77777777" w:rsidR="00233E2A" w:rsidRPr="00413599" w:rsidRDefault="00233E2A" w:rsidP="00233E2A">
      <w:pPr>
        <w:ind w:left="360"/>
        <w:rPr>
          <w:rFonts w:ascii="Verdana" w:hAnsi="Verdana"/>
          <w:sz w:val="20"/>
          <w:szCs w:val="20"/>
        </w:rPr>
      </w:pPr>
      <w:r w:rsidRPr="00413599">
        <w:rPr>
          <w:rFonts w:ascii="Verdana" w:hAnsi="Verdana"/>
          <w:sz w:val="20"/>
          <w:szCs w:val="20"/>
        </w:rPr>
        <w:t xml:space="preserve">The data used for the establishment of the hypothesised mode of action of DCHP endocrine mediated reproductive organ effects and male fertility, including human relevance, are available in the </w:t>
      </w:r>
      <w:r>
        <w:rPr>
          <w:rFonts w:ascii="Verdana" w:hAnsi="Verdana"/>
          <w:sz w:val="20"/>
          <w:szCs w:val="20"/>
        </w:rPr>
        <w:t>Annex I and Section 3</w:t>
      </w:r>
      <w:r w:rsidRPr="00413599">
        <w:rPr>
          <w:rFonts w:ascii="Verdana" w:hAnsi="Verdana"/>
          <w:sz w:val="20"/>
          <w:szCs w:val="20"/>
        </w:rPr>
        <w:t>.  It includes short description of the information, reliability, and the references.</w:t>
      </w:r>
    </w:p>
    <w:p w14:paraId="4B8927DD" w14:textId="77777777" w:rsidR="00233E2A" w:rsidRPr="00413599" w:rsidRDefault="00233E2A" w:rsidP="00233E2A">
      <w:pPr>
        <w:ind w:left="360"/>
        <w:rPr>
          <w:rFonts w:ascii="Verdana" w:hAnsi="Verdana"/>
          <w:sz w:val="20"/>
          <w:szCs w:val="20"/>
        </w:rPr>
      </w:pPr>
      <w:r w:rsidRPr="00413599">
        <w:rPr>
          <w:rFonts w:ascii="Verdana" w:hAnsi="Verdana"/>
          <w:sz w:val="20"/>
          <w:szCs w:val="20"/>
        </w:rPr>
        <w:t>In summary, the available experimental data cover:</w:t>
      </w:r>
    </w:p>
    <w:p w14:paraId="67CB2D89" w14:textId="77777777" w:rsidR="00233E2A" w:rsidRPr="00413599" w:rsidRDefault="00233E2A" w:rsidP="00233E2A">
      <w:pPr>
        <w:pStyle w:val="ListParagraph"/>
        <w:widowControl/>
        <w:numPr>
          <w:ilvl w:val="0"/>
          <w:numId w:val="37"/>
        </w:numPr>
        <w:spacing w:after="200" w:line="276" w:lineRule="auto"/>
      </w:pPr>
      <w:r w:rsidRPr="00413599">
        <w:t xml:space="preserve">Metabolism of DCHP and species similarities </w:t>
      </w:r>
    </w:p>
    <w:p w14:paraId="789EE251" w14:textId="77777777" w:rsidR="00233E2A" w:rsidRPr="00413599" w:rsidRDefault="00233E2A" w:rsidP="00233E2A">
      <w:pPr>
        <w:pStyle w:val="ListParagraph"/>
        <w:widowControl/>
        <w:numPr>
          <w:ilvl w:val="0"/>
          <w:numId w:val="37"/>
        </w:numPr>
        <w:spacing w:after="200" w:line="276" w:lineRule="auto"/>
      </w:pPr>
      <w:r w:rsidRPr="00413599">
        <w:t>Placenta transfer of phthalate metabolites</w:t>
      </w:r>
    </w:p>
    <w:p w14:paraId="025D3FCE" w14:textId="77777777" w:rsidR="00233E2A" w:rsidRPr="00413599" w:rsidRDefault="00233E2A" w:rsidP="00233E2A">
      <w:pPr>
        <w:pStyle w:val="ListParagraph"/>
        <w:widowControl/>
        <w:numPr>
          <w:ilvl w:val="0"/>
          <w:numId w:val="37"/>
        </w:numPr>
        <w:spacing w:after="200" w:line="276" w:lineRule="auto"/>
      </w:pPr>
      <w:r w:rsidRPr="00413599">
        <w:t xml:space="preserve">Cellular functional alterations of testosterone mediated pathways following </w:t>
      </w:r>
      <w:r w:rsidRPr="00413599">
        <w:rPr>
          <w:i/>
        </w:rPr>
        <w:t>in utero</w:t>
      </w:r>
      <w:r w:rsidRPr="00413599">
        <w:t xml:space="preserve"> exposure to DCHP</w:t>
      </w:r>
    </w:p>
    <w:p w14:paraId="4E657769" w14:textId="77777777" w:rsidR="00233E2A" w:rsidRPr="00413599" w:rsidRDefault="00233E2A" w:rsidP="00233E2A">
      <w:pPr>
        <w:pStyle w:val="ListParagraph"/>
        <w:widowControl/>
        <w:numPr>
          <w:ilvl w:val="0"/>
          <w:numId w:val="37"/>
        </w:numPr>
        <w:spacing w:after="200" w:line="276" w:lineRule="auto"/>
      </w:pPr>
      <w:r w:rsidRPr="00413599">
        <w:t xml:space="preserve">Fetal testosterone decrease following </w:t>
      </w:r>
      <w:r w:rsidRPr="00413599">
        <w:rPr>
          <w:i/>
        </w:rPr>
        <w:t>in utero</w:t>
      </w:r>
      <w:r w:rsidRPr="00413599">
        <w:t xml:space="preserve"> exposure to DCHP</w:t>
      </w:r>
    </w:p>
    <w:p w14:paraId="25A2CC1E" w14:textId="77777777" w:rsidR="00233E2A" w:rsidRPr="00413599" w:rsidRDefault="00233E2A" w:rsidP="00233E2A">
      <w:pPr>
        <w:pStyle w:val="ListParagraph"/>
        <w:widowControl/>
        <w:numPr>
          <w:ilvl w:val="0"/>
          <w:numId w:val="37"/>
        </w:numPr>
        <w:spacing w:after="200" w:line="276" w:lineRule="auto"/>
      </w:pPr>
      <w:r w:rsidRPr="00413599">
        <w:t xml:space="preserve">Male reproductive tract adverse effects following </w:t>
      </w:r>
      <w:r w:rsidRPr="00413599">
        <w:rPr>
          <w:i/>
        </w:rPr>
        <w:t>in utero</w:t>
      </w:r>
      <w:r w:rsidRPr="00413599">
        <w:t xml:space="preserve"> exposure to DCHP (testicular effects, decrease in AGD, hypospadias)</w:t>
      </w:r>
    </w:p>
    <w:p w14:paraId="717D64A0" w14:textId="77777777" w:rsidR="00233E2A" w:rsidRPr="00413599" w:rsidRDefault="00233E2A" w:rsidP="00233E2A">
      <w:pPr>
        <w:pStyle w:val="ListParagraph"/>
        <w:widowControl/>
        <w:numPr>
          <w:ilvl w:val="0"/>
          <w:numId w:val="37"/>
        </w:numPr>
        <w:spacing w:after="200" w:line="276" w:lineRule="auto"/>
      </w:pPr>
      <w:r w:rsidRPr="00413599">
        <w:t>Male fertility effects (semen quality)</w:t>
      </w:r>
    </w:p>
    <w:p w14:paraId="728A4422" w14:textId="77777777" w:rsidR="00233E2A" w:rsidRPr="00413599" w:rsidRDefault="00233E2A" w:rsidP="00233E2A">
      <w:pPr>
        <w:pStyle w:val="ListParagraph"/>
        <w:widowControl/>
        <w:numPr>
          <w:ilvl w:val="0"/>
          <w:numId w:val="37"/>
        </w:numPr>
        <w:spacing w:after="200" w:line="276" w:lineRule="auto"/>
      </w:pPr>
      <w:r w:rsidRPr="00413599">
        <w:t>Estrogen and androgen receptor assays with DCHP</w:t>
      </w:r>
    </w:p>
    <w:p w14:paraId="3D64CFDA" w14:textId="77777777" w:rsidR="00233E2A" w:rsidRPr="00413599" w:rsidRDefault="00233E2A" w:rsidP="00233E2A">
      <w:pPr>
        <w:pStyle w:val="ListParagraph"/>
        <w:widowControl/>
        <w:numPr>
          <w:ilvl w:val="0"/>
          <w:numId w:val="37"/>
        </w:numPr>
        <w:spacing w:after="200" w:line="276" w:lineRule="auto"/>
      </w:pPr>
      <w:r w:rsidRPr="00413599">
        <w:t>Similarity of pattern of adverse effects with similar compounds (phthalates)</w:t>
      </w:r>
    </w:p>
    <w:p w14:paraId="5F86AFA4" w14:textId="77777777" w:rsidR="00233E2A" w:rsidRPr="00413599" w:rsidRDefault="00233E2A" w:rsidP="00233E2A">
      <w:pPr>
        <w:pStyle w:val="ListParagraph"/>
        <w:widowControl/>
        <w:numPr>
          <w:ilvl w:val="0"/>
          <w:numId w:val="37"/>
        </w:numPr>
        <w:spacing w:after="200" w:line="276" w:lineRule="auto"/>
      </w:pPr>
      <w:r w:rsidRPr="00413599">
        <w:t>Hormonal control of male reproductive system development across species and relevance for DCHP</w:t>
      </w:r>
    </w:p>
    <w:p w14:paraId="4D0D116D" w14:textId="77777777" w:rsidR="00233E2A" w:rsidRPr="00413599" w:rsidRDefault="00233E2A" w:rsidP="00233E2A">
      <w:pPr>
        <w:pStyle w:val="ListParagraph"/>
        <w:widowControl/>
        <w:numPr>
          <w:ilvl w:val="0"/>
          <w:numId w:val="37"/>
        </w:numPr>
        <w:spacing w:after="200" w:line="276" w:lineRule="auto"/>
      </w:pPr>
      <w:r w:rsidRPr="00413599">
        <w:t>Correlation of experimental data for male reproductive organ/system adverse effects with male reproductive system function</w:t>
      </w:r>
    </w:p>
    <w:p w14:paraId="09625D31" w14:textId="77777777" w:rsidR="00233E2A" w:rsidRPr="00413599" w:rsidRDefault="00233E2A" w:rsidP="00233E2A">
      <w:pPr>
        <w:rPr>
          <w:rFonts w:ascii="Verdana" w:hAnsi="Verdana"/>
          <w:sz w:val="20"/>
          <w:szCs w:val="20"/>
        </w:rPr>
      </w:pPr>
      <w:r w:rsidRPr="00413599">
        <w:rPr>
          <w:rFonts w:ascii="Verdana" w:hAnsi="Verdana"/>
          <w:sz w:val="20"/>
          <w:szCs w:val="20"/>
        </w:rPr>
        <w:t>The evidence used for establishing the mode of action in experimental species and the human relevance has been collected using the information from the CLH dossier, the registration dossier, as well a search</w:t>
      </w:r>
      <w:r>
        <w:rPr>
          <w:rFonts w:ascii="Verdana" w:hAnsi="Verdana"/>
          <w:sz w:val="20"/>
          <w:szCs w:val="20"/>
        </w:rPr>
        <w:t xml:space="preserve"> strategy described in Annex I</w:t>
      </w:r>
      <w:r w:rsidRPr="00413599">
        <w:rPr>
          <w:rFonts w:ascii="Verdana" w:hAnsi="Verdana"/>
          <w:sz w:val="20"/>
          <w:szCs w:val="20"/>
        </w:rPr>
        <w:t xml:space="preserve">. For the main </w:t>
      </w:r>
      <w:r w:rsidRPr="00413599">
        <w:rPr>
          <w:rFonts w:ascii="Verdana" w:hAnsi="Verdana"/>
          <w:i/>
          <w:sz w:val="20"/>
          <w:szCs w:val="20"/>
        </w:rPr>
        <w:t>in vivo</w:t>
      </w:r>
      <w:r w:rsidRPr="00413599">
        <w:rPr>
          <w:rFonts w:ascii="Verdana" w:hAnsi="Verdana"/>
          <w:sz w:val="20"/>
          <w:szCs w:val="20"/>
        </w:rPr>
        <w:t xml:space="preserve"> experimental studies reliability categories have been a</w:t>
      </w:r>
      <w:r>
        <w:rPr>
          <w:rFonts w:ascii="Verdana" w:hAnsi="Verdana"/>
          <w:sz w:val="20"/>
          <w:szCs w:val="20"/>
        </w:rPr>
        <w:t xml:space="preserve">ssigned as described in Annex </w:t>
      </w:r>
      <w:r w:rsidRPr="00413599">
        <w:rPr>
          <w:rFonts w:ascii="Verdana" w:hAnsi="Verdana"/>
          <w:sz w:val="20"/>
          <w:szCs w:val="20"/>
        </w:rPr>
        <w:t xml:space="preserve">I. For some evidence we have only used the information available in the abstract </w:t>
      </w:r>
      <w:r>
        <w:rPr>
          <w:rFonts w:ascii="Verdana" w:hAnsi="Verdana"/>
          <w:sz w:val="20"/>
          <w:szCs w:val="20"/>
        </w:rPr>
        <w:t>from publications (see section 3</w:t>
      </w:r>
      <w:r w:rsidRPr="00413599">
        <w:rPr>
          <w:rFonts w:ascii="Verdana" w:hAnsi="Verdana"/>
          <w:sz w:val="20"/>
          <w:szCs w:val="20"/>
        </w:rPr>
        <w:t>), this as well as the combination of all lines of evidence has been weighted using the Bradford Hill cons</w:t>
      </w:r>
      <w:r>
        <w:rPr>
          <w:rFonts w:ascii="Verdana" w:hAnsi="Verdana"/>
          <w:sz w:val="20"/>
          <w:szCs w:val="20"/>
        </w:rPr>
        <w:t>ideration described in section 3</w:t>
      </w:r>
      <w:r w:rsidRPr="00413599">
        <w:rPr>
          <w:rFonts w:ascii="Verdana" w:hAnsi="Verdana"/>
          <w:sz w:val="20"/>
          <w:szCs w:val="20"/>
        </w:rPr>
        <w:t>. In this way, levels of confidence using criteria such as consistency, specificity and biological plausibility have been derived. The confidence levels are used as a metric of expert judgment in concluding whether the hypothesised mode of action and human relevance have been established.</w:t>
      </w:r>
    </w:p>
    <w:p w14:paraId="1D9DC512" w14:textId="77777777" w:rsidR="00233E2A" w:rsidRDefault="00233E2A" w:rsidP="00233E2A"/>
    <w:p w14:paraId="489DF3B8" w14:textId="77777777" w:rsidR="00233E2A" w:rsidRDefault="00233E2A" w:rsidP="00233E2A"/>
    <w:p w14:paraId="6E9BABD0" w14:textId="77777777" w:rsidR="00233E2A" w:rsidRPr="00725510" w:rsidRDefault="00233E2A" w:rsidP="00233E2A">
      <w:pPr>
        <w:rPr>
          <w:rFonts w:ascii="Verdana" w:hAnsi="Verdana"/>
          <w:b/>
        </w:rPr>
      </w:pPr>
      <w:r w:rsidRPr="00725510">
        <w:rPr>
          <w:rFonts w:ascii="Verdana" w:hAnsi="Verdana"/>
          <w:b/>
        </w:rPr>
        <w:lastRenderedPageBreak/>
        <w:t>SECTION 3</w:t>
      </w:r>
    </w:p>
    <w:p w14:paraId="651B3FD3" w14:textId="77777777" w:rsidR="00233E2A" w:rsidRPr="00725510" w:rsidRDefault="00233E2A" w:rsidP="00233E2A">
      <w:pPr>
        <w:spacing w:after="200" w:line="276" w:lineRule="auto"/>
        <w:rPr>
          <w:rFonts w:ascii="Verdana" w:hAnsi="Verdana"/>
          <w:b/>
        </w:rPr>
      </w:pPr>
      <w:r w:rsidRPr="00725510">
        <w:rPr>
          <w:rFonts w:ascii="Verdana" w:hAnsi="Verdana"/>
          <w:b/>
        </w:rPr>
        <w:t>Assessment of quality of individual evidence</w:t>
      </w:r>
    </w:p>
    <w:p w14:paraId="616C65D4" w14:textId="77777777" w:rsidR="00233E2A" w:rsidRPr="00CF1995" w:rsidRDefault="00233E2A" w:rsidP="00233E2A">
      <w:pPr>
        <w:spacing w:after="200"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689"/>
        <w:gridCol w:w="3692"/>
        <w:gridCol w:w="1385"/>
        <w:gridCol w:w="5631"/>
      </w:tblGrid>
      <w:tr w:rsidR="00233E2A" w14:paraId="540ECBA3" w14:textId="77777777" w:rsidTr="0010403B">
        <w:tc>
          <w:tcPr>
            <w:tcW w:w="14176" w:type="dxa"/>
            <w:gridSpan w:val="5"/>
            <w:shd w:val="clear" w:color="auto" w:fill="0070C0"/>
          </w:tcPr>
          <w:p w14:paraId="168B709A" w14:textId="77777777" w:rsidR="00233E2A" w:rsidRPr="002F6538" w:rsidRDefault="00233E2A" w:rsidP="0010403B">
            <w:pPr>
              <w:jc w:val="center"/>
              <w:rPr>
                <w:b/>
                <w:color w:val="FFFFFF"/>
              </w:rPr>
            </w:pPr>
          </w:p>
          <w:p w14:paraId="7E6B7DB6" w14:textId="77777777" w:rsidR="00233E2A" w:rsidRPr="002F6538" w:rsidRDefault="00233E2A" w:rsidP="0010403B">
            <w:pPr>
              <w:jc w:val="center"/>
              <w:rPr>
                <w:b/>
                <w:color w:val="FFFFFF"/>
              </w:rPr>
            </w:pPr>
            <w:r w:rsidRPr="002F6538">
              <w:rPr>
                <w:b/>
                <w:color w:val="FFFFFF"/>
              </w:rPr>
              <w:t>Dicyclohexyl phthalate (DCHP) and its monoester</w:t>
            </w:r>
          </w:p>
          <w:p w14:paraId="7CC2B10A" w14:textId="77777777" w:rsidR="00233E2A" w:rsidRPr="002F6538" w:rsidRDefault="00233E2A" w:rsidP="0010403B">
            <w:pPr>
              <w:rPr>
                <w:b/>
              </w:rPr>
            </w:pPr>
          </w:p>
        </w:tc>
      </w:tr>
      <w:tr w:rsidR="00233E2A" w14:paraId="71FB2994" w14:textId="77777777" w:rsidTr="0010403B">
        <w:tc>
          <w:tcPr>
            <w:tcW w:w="1579" w:type="dxa"/>
            <w:shd w:val="clear" w:color="auto" w:fill="auto"/>
          </w:tcPr>
          <w:p w14:paraId="56A7018F" w14:textId="77777777" w:rsidR="00233E2A" w:rsidRPr="002F6538" w:rsidRDefault="00233E2A" w:rsidP="0010403B">
            <w:pPr>
              <w:rPr>
                <w:b/>
              </w:rPr>
            </w:pPr>
            <w:r w:rsidRPr="002F6538">
              <w:rPr>
                <w:b/>
              </w:rPr>
              <w:t>Species</w:t>
            </w:r>
          </w:p>
        </w:tc>
        <w:tc>
          <w:tcPr>
            <w:tcW w:w="1733" w:type="dxa"/>
            <w:shd w:val="clear" w:color="auto" w:fill="auto"/>
          </w:tcPr>
          <w:p w14:paraId="5FF3A084" w14:textId="77777777" w:rsidR="00233E2A" w:rsidRPr="002F6538" w:rsidRDefault="00233E2A" w:rsidP="0010403B">
            <w:pPr>
              <w:rPr>
                <w:b/>
              </w:rPr>
            </w:pPr>
            <w:r w:rsidRPr="002F6538">
              <w:rPr>
                <w:b/>
              </w:rPr>
              <w:t>Route/Dose</w:t>
            </w:r>
          </w:p>
        </w:tc>
        <w:tc>
          <w:tcPr>
            <w:tcW w:w="3758" w:type="dxa"/>
            <w:shd w:val="clear" w:color="auto" w:fill="auto"/>
          </w:tcPr>
          <w:p w14:paraId="2061D26E" w14:textId="77777777" w:rsidR="00233E2A" w:rsidRPr="002F6538" w:rsidRDefault="00233E2A" w:rsidP="0010403B">
            <w:pPr>
              <w:rPr>
                <w:b/>
              </w:rPr>
            </w:pPr>
            <w:r w:rsidRPr="002F6538">
              <w:rPr>
                <w:b/>
              </w:rPr>
              <w:t>Incidence</w:t>
            </w:r>
          </w:p>
        </w:tc>
        <w:tc>
          <w:tcPr>
            <w:tcW w:w="1407" w:type="dxa"/>
            <w:shd w:val="clear" w:color="auto" w:fill="auto"/>
          </w:tcPr>
          <w:p w14:paraId="63D27DB5" w14:textId="77777777" w:rsidR="00233E2A" w:rsidRPr="002F6538" w:rsidRDefault="00233E2A" w:rsidP="0010403B">
            <w:pPr>
              <w:rPr>
                <w:b/>
              </w:rPr>
            </w:pPr>
            <w:r w:rsidRPr="002F6538">
              <w:rPr>
                <w:b/>
              </w:rPr>
              <w:t>Comments</w:t>
            </w:r>
          </w:p>
        </w:tc>
        <w:tc>
          <w:tcPr>
            <w:tcW w:w="5699" w:type="dxa"/>
            <w:shd w:val="clear" w:color="auto" w:fill="auto"/>
          </w:tcPr>
          <w:p w14:paraId="1D2D67FD" w14:textId="77777777" w:rsidR="00233E2A" w:rsidRPr="002F6538" w:rsidRDefault="00233E2A" w:rsidP="0010403B">
            <w:pPr>
              <w:rPr>
                <w:b/>
              </w:rPr>
            </w:pPr>
            <w:r w:rsidRPr="002F6538">
              <w:rPr>
                <w:b/>
              </w:rPr>
              <w:t>References / Reliability</w:t>
            </w:r>
          </w:p>
        </w:tc>
      </w:tr>
      <w:tr w:rsidR="00233E2A" w14:paraId="031016CA" w14:textId="77777777" w:rsidTr="0010403B">
        <w:tc>
          <w:tcPr>
            <w:tcW w:w="1579" w:type="dxa"/>
            <w:shd w:val="clear" w:color="auto" w:fill="auto"/>
          </w:tcPr>
          <w:p w14:paraId="4B76F658" w14:textId="77777777" w:rsidR="00233E2A" w:rsidRPr="002F6538" w:rsidRDefault="00233E2A" w:rsidP="0010403B">
            <w:pPr>
              <w:rPr>
                <w:sz w:val="16"/>
                <w:szCs w:val="16"/>
              </w:rPr>
            </w:pPr>
          </w:p>
          <w:p w14:paraId="2DD5773F" w14:textId="77777777" w:rsidR="00233E2A" w:rsidRPr="002F6538" w:rsidRDefault="00233E2A" w:rsidP="0010403B">
            <w:pPr>
              <w:rPr>
                <w:sz w:val="16"/>
                <w:szCs w:val="16"/>
              </w:rPr>
            </w:pPr>
            <w:r w:rsidRPr="002F6538">
              <w:rPr>
                <w:sz w:val="16"/>
                <w:szCs w:val="16"/>
              </w:rPr>
              <w:t>Rat, Baboon, Ferret, human</w:t>
            </w:r>
          </w:p>
        </w:tc>
        <w:tc>
          <w:tcPr>
            <w:tcW w:w="1733" w:type="dxa"/>
            <w:shd w:val="clear" w:color="auto" w:fill="auto"/>
          </w:tcPr>
          <w:p w14:paraId="714C673A" w14:textId="77777777" w:rsidR="00233E2A" w:rsidRPr="002F6538" w:rsidRDefault="00233E2A" w:rsidP="0010403B">
            <w:pPr>
              <w:rPr>
                <w:sz w:val="16"/>
                <w:szCs w:val="16"/>
              </w:rPr>
            </w:pPr>
            <w:r w:rsidRPr="002F6538">
              <w:rPr>
                <w:sz w:val="16"/>
                <w:szCs w:val="16"/>
              </w:rPr>
              <w:t>Intestinal preparations (</w:t>
            </w:r>
            <w:r w:rsidRPr="005A120C">
              <w:rPr>
                <w:i/>
                <w:sz w:val="16"/>
                <w:szCs w:val="16"/>
              </w:rPr>
              <w:t>in vitro</w:t>
            </w:r>
            <w:r w:rsidRPr="002F6538">
              <w:rPr>
                <w:sz w:val="16"/>
                <w:szCs w:val="16"/>
              </w:rPr>
              <w:t>)</w:t>
            </w:r>
          </w:p>
        </w:tc>
        <w:tc>
          <w:tcPr>
            <w:tcW w:w="3758" w:type="dxa"/>
            <w:shd w:val="clear" w:color="auto" w:fill="auto"/>
          </w:tcPr>
          <w:p w14:paraId="1B2116E1" w14:textId="77777777" w:rsidR="00233E2A" w:rsidRPr="002F6538" w:rsidRDefault="00233E2A" w:rsidP="0010403B">
            <w:pPr>
              <w:rPr>
                <w:sz w:val="16"/>
                <w:szCs w:val="16"/>
              </w:rPr>
            </w:pPr>
            <w:r w:rsidRPr="002F6538">
              <w:rPr>
                <w:rFonts w:cs="Arial"/>
                <w:sz w:val="16"/>
                <w:szCs w:val="16"/>
                <w:lang w:eastAsia="en-GB"/>
              </w:rPr>
              <w:t>Species similarity in the metabolism of phthalate diesters between man, rodent, non-rodent and nonhuman primate species. In addition the data indicates that the metabolism to the mono-ester (MCHP) would take place primarily at the intestine.</w:t>
            </w:r>
          </w:p>
        </w:tc>
        <w:tc>
          <w:tcPr>
            <w:tcW w:w="1407" w:type="dxa"/>
            <w:shd w:val="clear" w:color="auto" w:fill="auto"/>
          </w:tcPr>
          <w:p w14:paraId="5F77847C" w14:textId="77777777" w:rsidR="00233E2A" w:rsidRPr="002F6538" w:rsidRDefault="00233E2A" w:rsidP="0010403B">
            <w:pPr>
              <w:rPr>
                <w:sz w:val="16"/>
                <w:szCs w:val="16"/>
              </w:rPr>
            </w:pPr>
            <w:r w:rsidRPr="002F6538">
              <w:rPr>
                <w:sz w:val="16"/>
                <w:szCs w:val="16"/>
              </w:rPr>
              <w:t>Abstract only available</w:t>
            </w:r>
          </w:p>
          <w:p w14:paraId="07228595" w14:textId="77777777" w:rsidR="00233E2A" w:rsidRPr="002F6538" w:rsidRDefault="00233E2A" w:rsidP="0010403B">
            <w:pPr>
              <w:rPr>
                <w:sz w:val="16"/>
                <w:szCs w:val="16"/>
              </w:rPr>
            </w:pPr>
          </w:p>
          <w:p w14:paraId="526B5442" w14:textId="77777777" w:rsidR="00233E2A" w:rsidRPr="002F6538" w:rsidRDefault="00233E2A" w:rsidP="0010403B">
            <w:pPr>
              <w:rPr>
                <w:sz w:val="16"/>
                <w:szCs w:val="16"/>
              </w:rPr>
            </w:pPr>
          </w:p>
        </w:tc>
        <w:tc>
          <w:tcPr>
            <w:tcW w:w="5699" w:type="dxa"/>
            <w:shd w:val="clear" w:color="auto" w:fill="auto"/>
          </w:tcPr>
          <w:p w14:paraId="7A8C4B7A" w14:textId="77777777" w:rsidR="00233E2A" w:rsidRPr="002F6538" w:rsidRDefault="00233E2A" w:rsidP="0010403B">
            <w:pPr>
              <w:rPr>
                <w:rFonts w:cs="Arial"/>
                <w:i/>
                <w:sz w:val="16"/>
                <w:szCs w:val="16"/>
                <w:lang w:eastAsia="en-GB"/>
              </w:rPr>
            </w:pPr>
            <w:r w:rsidRPr="002F6538">
              <w:rPr>
                <w:rFonts w:cs="Arial"/>
                <w:sz w:val="16"/>
                <w:szCs w:val="16"/>
                <w:lang w:eastAsia="en-GB"/>
              </w:rPr>
              <w:t>Lake BG, Phillips JC, Linnell JC, Gangolli SD.</w:t>
            </w:r>
            <w:r w:rsidRPr="002F6538">
              <w:rPr>
                <w:rFonts w:cs="Arial"/>
                <w:i/>
                <w:sz w:val="16"/>
                <w:szCs w:val="16"/>
                <w:lang w:eastAsia="en-GB"/>
              </w:rPr>
              <w:t xml:space="preserve"> The in vitro hydrolysis of some phthalate diesters by hepatic and intestinal preparations from various species. Toxicology and Applied Pharmacology, 1977, 39(2): 239-48</w:t>
            </w:r>
          </w:p>
          <w:p w14:paraId="73388FE9" w14:textId="77777777" w:rsidR="00233E2A" w:rsidRPr="002F6538" w:rsidRDefault="00233E2A" w:rsidP="0010403B">
            <w:pPr>
              <w:rPr>
                <w:sz w:val="16"/>
                <w:szCs w:val="16"/>
              </w:rPr>
            </w:pPr>
          </w:p>
          <w:p w14:paraId="5BF5E2F1" w14:textId="77777777" w:rsidR="00233E2A" w:rsidRPr="002F6538" w:rsidRDefault="00233E2A" w:rsidP="0010403B">
            <w:pPr>
              <w:rPr>
                <w:b/>
                <w:sz w:val="16"/>
                <w:szCs w:val="16"/>
              </w:rPr>
            </w:pPr>
            <w:r w:rsidRPr="002F6538">
              <w:rPr>
                <w:b/>
                <w:sz w:val="16"/>
                <w:szCs w:val="16"/>
              </w:rPr>
              <w:t>Used in a WoE approach as supporting study</w:t>
            </w:r>
          </w:p>
        </w:tc>
      </w:tr>
      <w:tr w:rsidR="00233E2A" w14:paraId="6641F594" w14:textId="77777777" w:rsidTr="0010403B">
        <w:trPr>
          <w:trHeight w:val="491"/>
        </w:trPr>
        <w:tc>
          <w:tcPr>
            <w:tcW w:w="1579" w:type="dxa"/>
            <w:shd w:val="clear" w:color="auto" w:fill="auto"/>
          </w:tcPr>
          <w:p w14:paraId="1B46F1B1" w14:textId="77777777" w:rsidR="00233E2A" w:rsidRPr="002F6538" w:rsidRDefault="00233E2A" w:rsidP="0010403B">
            <w:pPr>
              <w:rPr>
                <w:sz w:val="16"/>
                <w:szCs w:val="16"/>
              </w:rPr>
            </w:pPr>
            <w:r w:rsidRPr="002F6538">
              <w:rPr>
                <w:sz w:val="16"/>
                <w:szCs w:val="16"/>
              </w:rPr>
              <w:t>Rat, Human</w:t>
            </w:r>
          </w:p>
          <w:p w14:paraId="0BB2D086" w14:textId="77777777" w:rsidR="00233E2A" w:rsidRPr="002F6538" w:rsidRDefault="00233E2A" w:rsidP="0010403B">
            <w:pPr>
              <w:rPr>
                <w:sz w:val="16"/>
                <w:szCs w:val="16"/>
              </w:rPr>
            </w:pPr>
          </w:p>
        </w:tc>
        <w:tc>
          <w:tcPr>
            <w:tcW w:w="1733" w:type="dxa"/>
            <w:shd w:val="clear" w:color="auto" w:fill="auto"/>
          </w:tcPr>
          <w:p w14:paraId="65F65827" w14:textId="77777777" w:rsidR="00233E2A" w:rsidRPr="002F6538" w:rsidRDefault="00233E2A" w:rsidP="0010403B">
            <w:pPr>
              <w:rPr>
                <w:sz w:val="16"/>
                <w:szCs w:val="16"/>
              </w:rPr>
            </w:pPr>
            <w:r w:rsidRPr="002F6538">
              <w:rPr>
                <w:sz w:val="16"/>
                <w:szCs w:val="16"/>
              </w:rPr>
              <w:t>Intestinal preparations</w:t>
            </w:r>
          </w:p>
        </w:tc>
        <w:tc>
          <w:tcPr>
            <w:tcW w:w="3758" w:type="dxa"/>
            <w:shd w:val="clear" w:color="auto" w:fill="auto"/>
          </w:tcPr>
          <w:p w14:paraId="36A0C834" w14:textId="77777777" w:rsidR="00233E2A" w:rsidRPr="002F6538" w:rsidRDefault="00233E2A" w:rsidP="0010403B">
            <w:pPr>
              <w:rPr>
                <w:sz w:val="16"/>
                <w:szCs w:val="16"/>
              </w:rPr>
            </w:pPr>
            <w:r w:rsidRPr="002F6538">
              <w:rPr>
                <w:rFonts w:cs="Arial"/>
                <w:sz w:val="16"/>
                <w:szCs w:val="16"/>
                <w:lang w:eastAsia="en-GB"/>
              </w:rPr>
              <w:t xml:space="preserve">The intestinal metabolism of DCHP to MCHP by both rats and human intestine is further confirmed by a study with 16hr incubation of 1%DCHP </w:t>
            </w:r>
            <w:r w:rsidRPr="005A120C">
              <w:rPr>
                <w:rFonts w:cs="Arial"/>
                <w:i/>
                <w:sz w:val="16"/>
                <w:szCs w:val="16"/>
                <w:lang w:eastAsia="en-GB"/>
              </w:rPr>
              <w:t>in vitro</w:t>
            </w:r>
            <w:r w:rsidRPr="002F6538">
              <w:rPr>
                <w:rFonts w:cs="Arial"/>
                <w:sz w:val="16"/>
                <w:szCs w:val="16"/>
                <w:lang w:eastAsia="en-GB"/>
              </w:rPr>
              <w:t xml:space="preserve"> </w:t>
            </w:r>
          </w:p>
        </w:tc>
        <w:tc>
          <w:tcPr>
            <w:tcW w:w="1407" w:type="dxa"/>
            <w:shd w:val="clear" w:color="auto" w:fill="auto"/>
          </w:tcPr>
          <w:p w14:paraId="512D4C48" w14:textId="77777777" w:rsidR="00233E2A" w:rsidRPr="002F6538" w:rsidRDefault="00233E2A" w:rsidP="0010403B">
            <w:pPr>
              <w:rPr>
                <w:sz w:val="16"/>
                <w:szCs w:val="16"/>
              </w:rPr>
            </w:pPr>
            <w:r w:rsidRPr="002F6538">
              <w:rPr>
                <w:sz w:val="16"/>
                <w:szCs w:val="16"/>
              </w:rPr>
              <w:t xml:space="preserve">Only summary of finding available </w:t>
            </w:r>
          </w:p>
          <w:p w14:paraId="51D43461" w14:textId="77777777" w:rsidR="00233E2A" w:rsidRPr="002F6538" w:rsidRDefault="00233E2A" w:rsidP="0010403B">
            <w:pPr>
              <w:rPr>
                <w:sz w:val="16"/>
                <w:szCs w:val="16"/>
              </w:rPr>
            </w:pPr>
            <w:r w:rsidRPr="002F6538">
              <w:rPr>
                <w:sz w:val="16"/>
                <w:szCs w:val="16"/>
              </w:rPr>
              <w:t xml:space="preserve"> </w:t>
            </w:r>
          </w:p>
          <w:p w14:paraId="54EA5F5A" w14:textId="77777777" w:rsidR="00233E2A" w:rsidRPr="002F6538" w:rsidRDefault="00233E2A" w:rsidP="0010403B">
            <w:pPr>
              <w:rPr>
                <w:sz w:val="16"/>
                <w:szCs w:val="16"/>
              </w:rPr>
            </w:pPr>
          </w:p>
        </w:tc>
        <w:tc>
          <w:tcPr>
            <w:tcW w:w="5699" w:type="dxa"/>
            <w:shd w:val="clear" w:color="auto" w:fill="auto"/>
          </w:tcPr>
          <w:p w14:paraId="3E58F209" w14:textId="77777777" w:rsidR="00233E2A" w:rsidRPr="002F6538" w:rsidRDefault="00233E2A" w:rsidP="0010403B">
            <w:pPr>
              <w:rPr>
                <w:sz w:val="16"/>
                <w:szCs w:val="16"/>
              </w:rPr>
            </w:pPr>
            <w:r w:rsidRPr="002F6538">
              <w:rPr>
                <w:sz w:val="16"/>
                <w:szCs w:val="16"/>
              </w:rPr>
              <w:t>IUCLID Datasheet, ECB (as available under ESIS/JRC, currently available within ECHA).</w:t>
            </w:r>
          </w:p>
          <w:p w14:paraId="754A2426" w14:textId="77777777" w:rsidR="00233E2A" w:rsidRPr="002F6538" w:rsidRDefault="00233E2A" w:rsidP="0010403B">
            <w:pPr>
              <w:rPr>
                <w:sz w:val="16"/>
                <w:szCs w:val="16"/>
              </w:rPr>
            </w:pPr>
          </w:p>
          <w:p w14:paraId="3859C0B0" w14:textId="77777777" w:rsidR="00233E2A" w:rsidRPr="002F6538" w:rsidRDefault="00233E2A" w:rsidP="0010403B">
            <w:pPr>
              <w:rPr>
                <w:b/>
                <w:sz w:val="16"/>
                <w:szCs w:val="16"/>
              </w:rPr>
            </w:pPr>
            <w:r w:rsidRPr="002F6538">
              <w:rPr>
                <w:b/>
                <w:sz w:val="16"/>
                <w:szCs w:val="16"/>
              </w:rPr>
              <w:t>Used in a WoE approach as supporting study</w:t>
            </w:r>
          </w:p>
        </w:tc>
      </w:tr>
      <w:tr w:rsidR="00233E2A" w14:paraId="7A4AE8CB" w14:textId="77777777" w:rsidTr="0010403B">
        <w:tc>
          <w:tcPr>
            <w:tcW w:w="1579" w:type="dxa"/>
            <w:shd w:val="clear" w:color="auto" w:fill="auto"/>
          </w:tcPr>
          <w:p w14:paraId="0B772036" w14:textId="77777777" w:rsidR="00233E2A" w:rsidRPr="002F6538" w:rsidRDefault="00233E2A" w:rsidP="0010403B">
            <w:pPr>
              <w:rPr>
                <w:sz w:val="16"/>
                <w:szCs w:val="16"/>
              </w:rPr>
            </w:pPr>
            <w:r w:rsidRPr="002F6538">
              <w:rPr>
                <w:sz w:val="16"/>
                <w:szCs w:val="16"/>
              </w:rPr>
              <w:t xml:space="preserve">Rat </w:t>
            </w:r>
          </w:p>
          <w:p w14:paraId="741B6B3D" w14:textId="77777777" w:rsidR="00233E2A" w:rsidRPr="002F6538" w:rsidRDefault="00233E2A" w:rsidP="0010403B">
            <w:pPr>
              <w:rPr>
                <w:sz w:val="16"/>
                <w:szCs w:val="16"/>
              </w:rPr>
            </w:pPr>
          </w:p>
        </w:tc>
        <w:tc>
          <w:tcPr>
            <w:tcW w:w="1733" w:type="dxa"/>
            <w:shd w:val="clear" w:color="auto" w:fill="auto"/>
          </w:tcPr>
          <w:p w14:paraId="5AEE0921"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78E12E7F" w14:textId="77777777" w:rsidR="00233E2A" w:rsidRPr="002F6538" w:rsidRDefault="00233E2A" w:rsidP="0010403B">
            <w:pPr>
              <w:rPr>
                <w:sz w:val="16"/>
                <w:szCs w:val="16"/>
              </w:rPr>
            </w:pPr>
            <w:r w:rsidRPr="002F6538">
              <w:rPr>
                <w:rFonts w:cs="Arial"/>
                <w:sz w:val="16"/>
                <w:szCs w:val="16"/>
                <w:lang w:eastAsia="en-GB"/>
              </w:rPr>
              <w:t>MCHP but not cyclohexanol produced marked testicular atrophy in a rat study</w:t>
            </w:r>
          </w:p>
        </w:tc>
        <w:tc>
          <w:tcPr>
            <w:tcW w:w="1407" w:type="dxa"/>
            <w:shd w:val="clear" w:color="auto" w:fill="auto"/>
          </w:tcPr>
          <w:p w14:paraId="71C1B379" w14:textId="77777777" w:rsidR="00233E2A" w:rsidRPr="002F6538" w:rsidRDefault="00233E2A" w:rsidP="0010403B">
            <w:pPr>
              <w:rPr>
                <w:sz w:val="16"/>
                <w:szCs w:val="16"/>
              </w:rPr>
            </w:pPr>
            <w:r w:rsidRPr="002F6538">
              <w:rPr>
                <w:sz w:val="16"/>
                <w:szCs w:val="16"/>
              </w:rPr>
              <w:t xml:space="preserve">Abstract only available </w:t>
            </w:r>
          </w:p>
          <w:p w14:paraId="2F0F142E" w14:textId="77777777" w:rsidR="00233E2A" w:rsidRPr="002F6538" w:rsidRDefault="00233E2A" w:rsidP="0010403B">
            <w:pPr>
              <w:rPr>
                <w:sz w:val="16"/>
                <w:szCs w:val="16"/>
              </w:rPr>
            </w:pPr>
          </w:p>
        </w:tc>
        <w:tc>
          <w:tcPr>
            <w:tcW w:w="5699" w:type="dxa"/>
            <w:shd w:val="clear" w:color="auto" w:fill="auto"/>
          </w:tcPr>
          <w:p w14:paraId="7085FFDA" w14:textId="77777777" w:rsidR="00233E2A" w:rsidRPr="002F6538" w:rsidRDefault="00233E2A" w:rsidP="0010403B">
            <w:pPr>
              <w:rPr>
                <w:rFonts w:cs="Arial"/>
                <w:i/>
                <w:sz w:val="16"/>
                <w:szCs w:val="16"/>
                <w:lang w:eastAsia="en-GB"/>
              </w:rPr>
            </w:pPr>
            <w:r w:rsidRPr="002F6538">
              <w:rPr>
                <w:rFonts w:cs="Arial"/>
                <w:sz w:val="16"/>
                <w:szCs w:val="16"/>
                <w:lang w:eastAsia="en-GB"/>
              </w:rPr>
              <w:t>Lake B</w:t>
            </w:r>
            <w:r>
              <w:rPr>
                <w:rFonts w:cs="Arial"/>
                <w:sz w:val="16"/>
                <w:szCs w:val="16"/>
                <w:lang w:eastAsia="en-GB"/>
              </w:rPr>
              <w:t>.</w:t>
            </w:r>
            <w:r w:rsidRPr="002F6538">
              <w:rPr>
                <w:rFonts w:cs="Arial"/>
                <w:sz w:val="16"/>
                <w:szCs w:val="16"/>
                <w:lang w:eastAsia="en-GB"/>
              </w:rPr>
              <w:t>G., Foster J</w:t>
            </w:r>
            <w:r>
              <w:rPr>
                <w:rFonts w:cs="Arial"/>
                <w:sz w:val="16"/>
                <w:szCs w:val="16"/>
                <w:lang w:eastAsia="en-GB"/>
              </w:rPr>
              <w:t>.</w:t>
            </w:r>
            <w:r w:rsidRPr="002F6538">
              <w:rPr>
                <w:rFonts w:cs="Arial"/>
                <w:sz w:val="16"/>
                <w:szCs w:val="16"/>
                <w:lang w:eastAsia="en-GB"/>
              </w:rPr>
              <w:t>R., Collins M</w:t>
            </w:r>
            <w:r>
              <w:rPr>
                <w:rFonts w:cs="Arial"/>
                <w:sz w:val="16"/>
                <w:szCs w:val="16"/>
                <w:lang w:eastAsia="en-GB"/>
              </w:rPr>
              <w:t>.</w:t>
            </w:r>
            <w:r w:rsidRPr="002F6538">
              <w:rPr>
                <w:rFonts w:cs="Arial"/>
                <w:sz w:val="16"/>
                <w:szCs w:val="16"/>
                <w:lang w:eastAsia="en-GB"/>
              </w:rPr>
              <w:t>A</w:t>
            </w:r>
            <w:r>
              <w:rPr>
                <w:rFonts w:cs="Arial"/>
                <w:sz w:val="16"/>
                <w:szCs w:val="16"/>
                <w:lang w:eastAsia="en-GB"/>
              </w:rPr>
              <w:t>.</w:t>
            </w:r>
            <w:r w:rsidRPr="002F6538">
              <w:rPr>
                <w:rFonts w:cs="Arial"/>
                <w:sz w:val="16"/>
                <w:szCs w:val="16"/>
                <w:lang w:eastAsia="en-GB"/>
              </w:rPr>
              <w:t>, Stubberfield C</w:t>
            </w:r>
            <w:r>
              <w:rPr>
                <w:rFonts w:cs="Arial"/>
                <w:sz w:val="16"/>
                <w:szCs w:val="16"/>
                <w:lang w:eastAsia="en-GB"/>
              </w:rPr>
              <w:t>.</w:t>
            </w:r>
            <w:r w:rsidRPr="002F6538">
              <w:rPr>
                <w:rFonts w:cs="Arial"/>
                <w:sz w:val="16"/>
                <w:szCs w:val="16"/>
                <w:lang w:eastAsia="en-GB"/>
              </w:rPr>
              <w:t>R., Gangoli S</w:t>
            </w:r>
            <w:r>
              <w:rPr>
                <w:rFonts w:cs="Arial"/>
                <w:sz w:val="16"/>
                <w:szCs w:val="16"/>
                <w:lang w:eastAsia="en-GB"/>
              </w:rPr>
              <w:t>.</w:t>
            </w:r>
            <w:r w:rsidRPr="002F6538">
              <w:rPr>
                <w:rFonts w:cs="Arial"/>
                <w:sz w:val="16"/>
                <w:szCs w:val="16"/>
                <w:lang w:eastAsia="en-GB"/>
              </w:rPr>
              <w:t>D., Srivastava S</w:t>
            </w:r>
            <w:r>
              <w:rPr>
                <w:rFonts w:cs="Arial"/>
                <w:sz w:val="16"/>
                <w:szCs w:val="16"/>
                <w:lang w:eastAsia="en-GB"/>
              </w:rPr>
              <w:t>.</w:t>
            </w:r>
            <w:r w:rsidRPr="002F6538">
              <w:rPr>
                <w:rFonts w:cs="Arial"/>
                <w:sz w:val="16"/>
                <w:szCs w:val="16"/>
                <w:lang w:eastAsia="en-GB"/>
              </w:rPr>
              <w:t>P</w:t>
            </w:r>
            <w:r w:rsidRPr="002F6538">
              <w:rPr>
                <w:rFonts w:cs="Arial"/>
                <w:i/>
                <w:sz w:val="16"/>
                <w:szCs w:val="16"/>
                <w:lang w:eastAsia="en-GB"/>
              </w:rPr>
              <w:t>. Studies on the effects of orally administered dicyclohexyl phthalate in the rat</w:t>
            </w:r>
            <w:r>
              <w:rPr>
                <w:rFonts w:cs="Arial"/>
                <w:i/>
                <w:sz w:val="16"/>
                <w:szCs w:val="16"/>
                <w:lang w:eastAsia="en-GB"/>
              </w:rPr>
              <w:t>.</w:t>
            </w:r>
            <w:r w:rsidRPr="002F6538">
              <w:rPr>
                <w:rFonts w:cs="Arial"/>
                <w:i/>
                <w:sz w:val="16"/>
                <w:szCs w:val="16"/>
                <w:lang w:eastAsia="en-GB"/>
              </w:rPr>
              <w:t xml:space="preserve"> 1982, Acta Pharmacol Toxicol (Copenh), 51 (3):217-26</w:t>
            </w:r>
          </w:p>
          <w:p w14:paraId="5FB5318C" w14:textId="77777777" w:rsidR="00233E2A" w:rsidRPr="002F6538" w:rsidRDefault="00233E2A" w:rsidP="0010403B">
            <w:pPr>
              <w:rPr>
                <w:sz w:val="16"/>
                <w:szCs w:val="16"/>
              </w:rPr>
            </w:pPr>
          </w:p>
          <w:p w14:paraId="453AC2AB" w14:textId="77777777" w:rsidR="00233E2A" w:rsidRPr="002F6538" w:rsidRDefault="00233E2A" w:rsidP="0010403B">
            <w:pPr>
              <w:rPr>
                <w:b/>
                <w:sz w:val="16"/>
                <w:szCs w:val="16"/>
              </w:rPr>
            </w:pPr>
            <w:r w:rsidRPr="002F6538">
              <w:rPr>
                <w:b/>
                <w:sz w:val="16"/>
                <w:szCs w:val="16"/>
              </w:rPr>
              <w:t>Used in a WoE approach as supporting study</w:t>
            </w:r>
          </w:p>
        </w:tc>
      </w:tr>
      <w:tr w:rsidR="00233E2A" w14:paraId="12660541" w14:textId="77777777" w:rsidTr="0010403B">
        <w:tc>
          <w:tcPr>
            <w:tcW w:w="1579" w:type="dxa"/>
            <w:shd w:val="clear" w:color="auto" w:fill="auto"/>
          </w:tcPr>
          <w:p w14:paraId="26D1A94F" w14:textId="77777777" w:rsidR="00233E2A" w:rsidRPr="002F6538" w:rsidRDefault="00233E2A" w:rsidP="0010403B">
            <w:pPr>
              <w:rPr>
                <w:sz w:val="16"/>
                <w:szCs w:val="16"/>
              </w:rPr>
            </w:pPr>
            <w:r>
              <w:rPr>
                <w:sz w:val="16"/>
                <w:szCs w:val="16"/>
              </w:rPr>
              <w:t>Human</w:t>
            </w:r>
          </w:p>
        </w:tc>
        <w:tc>
          <w:tcPr>
            <w:tcW w:w="1733" w:type="dxa"/>
            <w:shd w:val="clear" w:color="auto" w:fill="auto"/>
          </w:tcPr>
          <w:p w14:paraId="54591563" w14:textId="77777777" w:rsidR="00233E2A" w:rsidRPr="002F6538" w:rsidRDefault="00233E2A" w:rsidP="0010403B">
            <w:pPr>
              <w:rPr>
                <w:sz w:val="16"/>
                <w:szCs w:val="16"/>
              </w:rPr>
            </w:pPr>
            <w:r w:rsidRPr="005A120C">
              <w:rPr>
                <w:i/>
                <w:sz w:val="16"/>
                <w:szCs w:val="16"/>
              </w:rPr>
              <w:t>In vitro</w:t>
            </w:r>
            <w:r w:rsidRPr="002F6538">
              <w:rPr>
                <w:sz w:val="16"/>
                <w:szCs w:val="16"/>
              </w:rPr>
              <w:t xml:space="preserve"> system</w:t>
            </w:r>
            <w:r w:rsidRPr="002F6538" w:rsidDel="00E0374C">
              <w:rPr>
                <w:sz w:val="16"/>
                <w:szCs w:val="16"/>
              </w:rPr>
              <w:t xml:space="preserve"> </w:t>
            </w:r>
          </w:p>
        </w:tc>
        <w:tc>
          <w:tcPr>
            <w:tcW w:w="3758" w:type="dxa"/>
            <w:shd w:val="clear" w:color="auto" w:fill="auto"/>
          </w:tcPr>
          <w:p w14:paraId="7896610F" w14:textId="77777777" w:rsidR="00233E2A" w:rsidRPr="002F6538" w:rsidRDefault="00233E2A" w:rsidP="0010403B">
            <w:pPr>
              <w:rPr>
                <w:sz w:val="16"/>
                <w:szCs w:val="16"/>
              </w:rPr>
            </w:pPr>
            <w:r w:rsidRPr="002F6538">
              <w:rPr>
                <w:rFonts w:cs="Arial"/>
                <w:sz w:val="16"/>
                <w:szCs w:val="16"/>
                <w:lang w:eastAsia="en-GB"/>
              </w:rPr>
              <w:t>There is evidence that phthalate monoesters (mMP, mEP, mBP) can cross the placenta and reach the fetus</w:t>
            </w:r>
          </w:p>
        </w:tc>
        <w:tc>
          <w:tcPr>
            <w:tcW w:w="1407" w:type="dxa"/>
            <w:shd w:val="clear" w:color="auto" w:fill="auto"/>
          </w:tcPr>
          <w:p w14:paraId="3C168472" w14:textId="77777777" w:rsidR="00233E2A" w:rsidRPr="002F6538" w:rsidRDefault="00233E2A" w:rsidP="0010403B">
            <w:pPr>
              <w:rPr>
                <w:sz w:val="16"/>
                <w:szCs w:val="16"/>
              </w:rPr>
            </w:pPr>
            <w:r w:rsidRPr="002F6538">
              <w:rPr>
                <w:sz w:val="16"/>
                <w:szCs w:val="16"/>
              </w:rPr>
              <w:t xml:space="preserve">Abstract only available </w:t>
            </w:r>
          </w:p>
          <w:p w14:paraId="46E3D6F7" w14:textId="77777777" w:rsidR="00233E2A" w:rsidRPr="002F6538" w:rsidRDefault="00233E2A" w:rsidP="0010403B">
            <w:pPr>
              <w:rPr>
                <w:sz w:val="16"/>
                <w:szCs w:val="16"/>
              </w:rPr>
            </w:pPr>
          </w:p>
        </w:tc>
        <w:tc>
          <w:tcPr>
            <w:tcW w:w="5699" w:type="dxa"/>
            <w:shd w:val="clear" w:color="auto" w:fill="auto"/>
          </w:tcPr>
          <w:p w14:paraId="2DBA9B7F" w14:textId="77777777" w:rsidR="00233E2A" w:rsidRPr="002F6538" w:rsidRDefault="00233E2A" w:rsidP="0010403B">
            <w:pPr>
              <w:rPr>
                <w:rFonts w:cs="Arial"/>
                <w:sz w:val="16"/>
                <w:szCs w:val="16"/>
                <w:lang w:eastAsia="en-GB"/>
              </w:rPr>
            </w:pPr>
            <w:r w:rsidRPr="00B21086">
              <w:rPr>
                <w:rFonts w:cs="Arial"/>
                <w:sz w:val="16"/>
                <w:szCs w:val="16"/>
                <w:lang w:eastAsia="en-GB"/>
              </w:rPr>
              <w:t xml:space="preserve">Mose T., Mortensen G.K., Hedegaard M., Knudsen L.E. </w:t>
            </w:r>
            <w:r w:rsidRPr="002F6538">
              <w:rPr>
                <w:rFonts w:cs="Arial"/>
                <w:i/>
                <w:sz w:val="16"/>
                <w:szCs w:val="16"/>
                <w:lang w:eastAsia="en-GB"/>
              </w:rPr>
              <w:t>Phthalate monoesters in perfusate from a dual placenta perfusion system, the placenta tissue and umbilical cord blood</w:t>
            </w:r>
            <w:r>
              <w:rPr>
                <w:rFonts w:cs="Arial"/>
                <w:sz w:val="16"/>
                <w:szCs w:val="16"/>
                <w:lang w:eastAsia="en-GB"/>
              </w:rPr>
              <w:t>.</w:t>
            </w:r>
            <w:r w:rsidRPr="002F6538">
              <w:rPr>
                <w:rFonts w:cs="Arial"/>
                <w:sz w:val="16"/>
                <w:szCs w:val="16"/>
                <w:lang w:eastAsia="en-GB"/>
              </w:rPr>
              <w:t xml:space="preserve"> 2007, Reproductive toxicology, 2007, 23(1): 83-91</w:t>
            </w:r>
          </w:p>
          <w:p w14:paraId="6AEC21D7" w14:textId="77777777" w:rsidR="00233E2A" w:rsidRPr="002F6538" w:rsidRDefault="00233E2A" w:rsidP="0010403B">
            <w:pPr>
              <w:rPr>
                <w:sz w:val="16"/>
                <w:szCs w:val="16"/>
              </w:rPr>
            </w:pPr>
          </w:p>
          <w:p w14:paraId="7FDB129D" w14:textId="77777777" w:rsidR="00233E2A" w:rsidRPr="002F6538" w:rsidRDefault="00233E2A" w:rsidP="0010403B">
            <w:pPr>
              <w:rPr>
                <w:b/>
                <w:sz w:val="16"/>
                <w:szCs w:val="16"/>
              </w:rPr>
            </w:pPr>
            <w:r w:rsidRPr="002F6538">
              <w:rPr>
                <w:b/>
                <w:sz w:val="16"/>
                <w:szCs w:val="16"/>
              </w:rPr>
              <w:lastRenderedPageBreak/>
              <w:t>Used in a WoE approach as supporting study</w:t>
            </w:r>
          </w:p>
        </w:tc>
      </w:tr>
      <w:tr w:rsidR="00233E2A" w14:paraId="5BF8C932" w14:textId="77777777" w:rsidTr="0010403B">
        <w:tc>
          <w:tcPr>
            <w:tcW w:w="1579" w:type="dxa"/>
            <w:shd w:val="clear" w:color="auto" w:fill="auto"/>
          </w:tcPr>
          <w:p w14:paraId="6EE43799" w14:textId="77777777" w:rsidR="00233E2A" w:rsidRPr="002F6538" w:rsidRDefault="00233E2A" w:rsidP="0010403B">
            <w:pPr>
              <w:rPr>
                <w:sz w:val="16"/>
                <w:szCs w:val="16"/>
              </w:rPr>
            </w:pPr>
            <w:r w:rsidRPr="002F6538">
              <w:rPr>
                <w:sz w:val="16"/>
                <w:szCs w:val="16"/>
              </w:rPr>
              <w:lastRenderedPageBreak/>
              <w:t>Rat</w:t>
            </w:r>
          </w:p>
          <w:p w14:paraId="4435D022" w14:textId="77777777" w:rsidR="00233E2A" w:rsidRPr="002F6538" w:rsidRDefault="00233E2A" w:rsidP="0010403B">
            <w:pPr>
              <w:rPr>
                <w:sz w:val="16"/>
                <w:szCs w:val="16"/>
              </w:rPr>
            </w:pPr>
          </w:p>
        </w:tc>
        <w:tc>
          <w:tcPr>
            <w:tcW w:w="1733" w:type="dxa"/>
            <w:shd w:val="clear" w:color="auto" w:fill="auto"/>
          </w:tcPr>
          <w:p w14:paraId="5F7E8363"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13836168" w14:textId="77777777" w:rsidR="00233E2A" w:rsidRPr="002F6538" w:rsidRDefault="00233E2A" w:rsidP="0010403B">
            <w:pPr>
              <w:rPr>
                <w:sz w:val="16"/>
                <w:szCs w:val="16"/>
              </w:rPr>
            </w:pPr>
            <w:r w:rsidRPr="002F6538">
              <w:rPr>
                <w:sz w:val="16"/>
                <w:szCs w:val="16"/>
              </w:rPr>
              <w:t xml:space="preserve">Effects on male reproductive system after </w:t>
            </w:r>
            <w:r w:rsidRPr="005A120C">
              <w:rPr>
                <w:i/>
                <w:sz w:val="16"/>
                <w:szCs w:val="16"/>
              </w:rPr>
              <w:t>in utero</w:t>
            </w:r>
            <w:r w:rsidRPr="002F6538">
              <w:rPr>
                <w:sz w:val="16"/>
                <w:szCs w:val="16"/>
              </w:rPr>
              <w:t xml:space="preserve"> exposure to DCHP, at prepubertal, pubertal and adult stage. Association of hormonal changes with irreversible organ adverse effects</w:t>
            </w:r>
          </w:p>
        </w:tc>
        <w:tc>
          <w:tcPr>
            <w:tcW w:w="1407" w:type="dxa"/>
            <w:shd w:val="clear" w:color="auto" w:fill="auto"/>
          </w:tcPr>
          <w:p w14:paraId="323C9099" w14:textId="77777777" w:rsidR="00233E2A" w:rsidRPr="002F6538" w:rsidRDefault="00233E2A" w:rsidP="0010403B">
            <w:pPr>
              <w:rPr>
                <w:sz w:val="16"/>
                <w:szCs w:val="16"/>
              </w:rPr>
            </w:pPr>
            <w:r w:rsidRPr="002F6538">
              <w:rPr>
                <w:sz w:val="16"/>
                <w:szCs w:val="16"/>
              </w:rPr>
              <w:t xml:space="preserve">Article published </w:t>
            </w:r>
          </w:p>
          <w:p w14:paraId="588411CD" w14:textId="77777777" w:rsidR="00233E2A" w:rsidRPr="002F6538" w:rsidRDefault="00233E2A" w:rsidP="0010403B">
            <w:pPr>
              <w:rPr>
                <w:sz w:val="16"/>
                <w:szCs w:val="16"/>
              </w:rPr>
            </w:pPr>
          </w:p>
        </w:tc>
        <w:tc>
          <w:tcPr>
            <w:tcW w:w="5699" w:type="dxa"/>
            <w:shd w:val="clear" w:color="auto" w:fill="auto"/>
          </w:tcPr>
          <w:p w14:paraId="5DABC59B" w14:textId="77777777" w:rsidR="00233E2A" w:rsidRPr="002F6538" w:rsidRDefault="00233E2A" w:rsidP="0010403B">
            <w:pPr>
              <w:rPr>
                <w:rFonts w:cs="Arial"/>
                <w:sz w:val="16"/>
                <w:szCs w:val="16"/>
                <w:lang w:eastAsia="en-GB"/>
              </w:rPr>
            </w:pPr>
            <w:r w:rsidRPr="002F6538">
              <w:rPr>
                <w:rFonts w:cs="Arial"/>
                <w:sz w:val="16"/>
                <w:szCs w:val="16"/>
                <w:lang w:eastAsia="en-GB"/>
              </w:rPr>
              <w:t>Aydogan A. M.</w:t>
            </w:r>
            <w:r>
              <w:rPr>
                <w:rFonts w:cs="Arial"/>
                <w:sz w:val="16"/>
                <w:szCs w:val="16"/>
                <w:lang w:eastAsia="en-GB"/>
              </w:rPr>
              <w:t xml:space="preserve"> &amp;</w:t>
            </w:r>
            <w:r w:rsidRPr="002F6538">
              <w:rPr>
                <w:rFonts w:cs="Arial"/>
                <w:sz w:val="16"/>
                <w:szCs w:val="16"/>
                <w:lang w:eastAsia="en-GB"/>
              </w:rPr>
              <w:t xml:space="preserve"> Barlas N. </w:t>
            </w:r>
            <w:r w:rsidRPr="002F6538">
              <w:rPr>
                <w:rFonts w:cs="Arial"/>
                <w:i/>
                <w:sz w:val="16"/>
                <w:szCs w:val="16"/>
                <w:lang w:eastAsia="en-GB"/>
              </w:rPr>
              <w:t>Developmental effects of prenatal di-n-hexyl phthalate and dicyclohexyl phthalate exposure on reproductive tract of male rats: Postnatal outcomes</w:t>
            </w:r>
            <w:r>
              <w:rPr>
                <w:rFonts w:cs="Arial"/>
                <w:i/>
                <w:sz w:val="16"/>
                <w:szCs w:val="16"/>
                <w:lang w:eastAsia="en-GB"/>
              </w:rPr>
              <w:t>.</w:t>
            </w:r>
            <w:r w:rsidRPr="002F6538">
              <w:rPr>
                <w:rFonts w:cs="Arial"/>
                <w:i/>
                <w:sz w:val="16"/>
                <w:szCs w:val="16"/>
                <w:lang w:eastAsia="en-GB"/>
              </w:rPr>
              <w:t xml:space="preserve"> </w:t>
            </w:r>
            <w:r w:rsidRPr="002F6538">
              <w:rPr>
                <w:rFonts w:cs="Arial"/>
                <w:sz w:val="16"/>
                <w:szCs w:val="16"/>
                <w:lang w:eastAsia="en-GB"/>
              </w:rPr>
              <w:t>Food and Chemical Toxicology, 2013, 51:123-136</w:t>
            </w:r>
          </w:p>
          <w:p w14:paraId="21C8A6E0" w14:textId="77777777" w:rsidR="00233E2A" w:rsidRPr="002F6538" w:rsidRDefault="00233E2A" w:rsidP="0010403B">
            <w:pPr>
              <w:rPr>
                <w:sz w:val="16"/>
                <w:szCs w:val="16"/>
              </w:rPr>
            </w:pPr>
          </w:p>
          <w:p w14:paraId="29B69181" w14:textId="77777777" w:rsidR="00233E2A" w:rsidRPr="002F6538" w:rsidRDefault="00233E2A" w:rsidP="0010403B">
            <w:pPr>
              <w:rPr>
                <w:b/>
                <w:sz w:val="16"/>
                <w:szCs w:val="16"/>
              </w:rPr>
            </w:pPr>
            <w:r w:rsidRPr="002F6538">
              <w:rPr>
                <w:b/>
                <w:sz w:val="16"/>
                <w:szCs w:val="16"/>
              </w:rPr>
              <w:t xml:space="preserve">Reliability R1 (se also Annex </w:t>
            </w:r>
            <w:r>
              <w:rPr>
                <w:b/>
                <w:sz w:val="16"/>
                <w:szCs w:val="16"/>
              </w:rPr>
              <w:t>III</w:t>
            </w:r>
            <w:r w:rsidRPr="002F6538">
              <w:rPr>
                <w:b/>
                <w:sz w:val="16"/>
                <w:szCs w:val="16"/>
              </w:rPr>
              <w:t>)</w:t>
            </w:r>
          </w:p>
        </w:tc>
      </w:tr>
      <w:tr w:rsidR="00233E2A" w14:paraId="01E7B274" w14:textId="77777777" w:rsidTr="0010403B">
        <w:tc>
          <w:tcPr>
            <w:tcW w:w="1579" w:type="dxa"/>
            <w:shd w:val="clear" w:color="auto" w:fill="auto"/>
          </w:tcPr>
          <w:p w14:paraId="724B5A01" w14:textId="77777777" w:rsidR="00233E2A" w:rsidRPr="002F6538" w:rsidRDefault="00233E2A" w:rsidP="0010403B">
            <w:pPr>
              <w:rPr>
                <w:sz w:val="16"/>
                <w:szCs w:val="16"/>
              </w:rPr>
            </w:pPr>
            <w:r w:rsidRPr="002F6538">
              <w:rPr>
                <w:sz w:val="16"/>
                <w:szCs w:val="16"/>
              </w:rPr>
              <w:t>Rat</w:t>
            </w:r>
          </w:p>
        </w:tc>
        <w:tc>
          <w:tcPr>
            <w:tcW w:w="1733" w:type="dxa"/>
            <w:shd w:val="clear" w:color="auto" w:fill="auto"/>
          </w:tcPr>
          <w:p w14:paraId="4FC8C635"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6468C42E" w14:textId="77777777" w:rsidR="00233E2A" w:rsidRPr="002F6538" w:rsidRDefault="00233E2A" w:rsidP="0010403B">
            <w:pPr>
              <w:rPr>
                <w:sz w:val="16"/>
                <w:szCs w:val="16"/>
              </w:rPr>
            </w:pPr>
            <w:r w:rsidRPr="002F6538">
              <w:rPr>
                <w:sz w:val="16"/>
                <w:szCs w:val="16"/>
              </w:rPr>
              <w:t>Prenatal male reproductive developmental effects and endocrine association</w:t>
            </w:r>
          </w:p>
        </w:tc>
        <w:tc>
          <w:tcPr>
            <w:tcW w:w="1407" w:type="dxa"/>
            <w:shd w:val="clear" w:color="auto" w:fill="auto"/>
          </w:tcPr>
          <w:p w14:paraId="223B0C41" w14:textId="77777777" w:rsidR="00233E2A" w:rsidRPr="002F6538" w:rsidRDefault="00233E2A" w:rsidP="0010403B">
            <w:pPr>
              <w:rPr>
                <w:sz w:val="16"/>
                <w:szCs w:val="16"/>
              </w:rPr>
            </w:pPr>
            <w:r w:rsidRPr="002F6538">
              <w:rPr>
                <w:sz w:val="16"/>
                <w:szCs w:val="16"/>
              </w:rPr>
              <w:t xml:space="preserve">Article published </w:t>
            </w:r>
          </w:p>
          <w:p w14:paraId="4E51D089" w14:textId="77777777" w:rsidR="00233E2A" w:rsidRPr="002F6538" w:rsidRDefault="00233E2A" w:rsidP="0010403B">
            <w:pPr>
              <w:rPr>
                <w:sz w:val="16"/>
                <w:szCs w:val="16"/>
              </w:rPr>
            </w:pPr>
          </w:p>
        </w:tc>
        <w:tc>
          <w:tcPr>
            <w:tcW w:w="5699" w:type="dxa"/>
            <w:shd w:val="clear" w:color="auto" w:fill="auto"/>
          </w:tcPr>
          <w:p w14:paraId="33B9F714" w14:textId="77777777" w:rsidR="00233E2A" w:rsidRPr="002F6538" w:rsidRDefault="00233E2A" w:rsidP="0010403B">
            <w:pPr>
              <w:rPr>
                <w:rFonts w:cs="Arial"/>
                <w:sz w:val="16"/>
                <w:szCs w:val="16"/>
                <w:lang w:eastAsia="en-GB"/>
              </w:rPr>
            </w:pPr>
            <w:r w:rsidRPr="002F6538">
              <w:rPr>
                <w:rFonts w:cs="Arial"/>
                <w:sz w:val="16"/>
                <w:szCs w:val="16"/>
                <w:lang w:eastAsia="en-GB"/>
              </w:rPr>
              <w:t>Aydogan A. M.</w:t>
            </w:r>
            <w:r>
              <w:rPr>
                <w:rFonts w:cs="Arial"/>
                <w:sz w:val="16"/>
                <w:szCs w:val="16"/>
                <w:lang w:eastAsia="en-GB"/>
              </w:rPr>
              <w:t xml:space="preserve"> &amp;</w:t>
            </w:r>
            <w:r w:rsidRPr="002F6538">
              <w:rPr>
                <w:rFonts w:cs="Arial"/>
                <w:sz w:val="16"/>
                <w:szCs w:val="16"/>
                <w:lang w:eastAsia="en-GB"/>
              </w:rPr>
              <w:t xml:space="preserve"> Barlas N</w:t>
            </w:r>
            <w:r w:rsidRPr="002F6538">
              <w:rPr>
                <w:rFonts w:cs="Arial"/>
                <w:i/>
                <w:sz w:val="16"/>
                <w:szCs w:val="16"/>
                <w:lang w:eastAsia="en-GB"/>
              </w:rPr>
              <w:t xml:space="preserve">. Influence of in utero di-n-hexyl phthalate and dicyclohexyl phthalate on fetal testicular development in rats. </w:t>
            </w:r>
            <w:r w:rsidRPr="002F6538">
              <w:rPr>
                <w:rFonts w:cs="Arial"/>
                <w:sz w:val="16"/>
                <w:szCs w:val="16"/>
                <w:lang w:eastAsia="en-GB"/>
              </w:rPr>
              <w:t>Toxicology Letters, 2015, 233: 125-137</w:t>
            </w:r>
          </w:p>
          <w:p w14:paraId="004895E8" w14:textId="77777777" w:rsidR="00233E2A" w:rsidRPr="002F6538" w:rsidRDefault="00233E2A" w:rsidP="0010403B">
            <w:pPr>
              <w:rPr>
                <w:sz w:val="16"/>
                <w:szCs w:val="16"/>
              </w:rPr>
            </w:pPr>
          </w:p>
          <w:p w14:paraId="7BAB9E60" w14:textId="77777777" w:rsidR="00233E2A" w:rsidRPr="002F6538" w:rsidRDefault="00233E2A" w:rsidP="0010403B">
            <w:pPr>
              <w:rPr>
                <w:b/>
                <w:sz w:val="16"/>
                <w:szCs w:val="16"/>
              </w:rPr>
            </w:pPr>
            <w:r w:rsidRPr="002F6538">
              <w:rPr>
                <w:b/>
                <w:sz w:val="16"/>
                <w:szCs w:val="16"/>
              </w:rPr>
              <w:t xml:space="preserve">Reliability R1 (se also Annex </w:t>
            </w:r>
            <w:r>
              <w:rPr>
                <w:b/>
                <w:sz w:val="16"/>
                <w:szCs w:val="16"/>
              </w:rPr>
              <w:t>III</w:t>
            </w:r>
            <w:r w:rsidRPr="002F6538">
              <w:rPr>
                <w:b/>
                <w:sz w:val="16"/>
                <w:szCs w:val="16"/>
              </w:rPr>
              <w:t>)</w:t>
            </w:r>
          </w:p>
        </w:tc>
      </w:tr>
      <w:tr w:rsidR="00233E2A" w14:paraId="17F6E14C" w14:textId="77777777" w:rsidTr="0010403B">
        <w:tc>
          <w:tcPr>
            <w:tcW w:w="1579" w:type="dxa"/>
            <w:shd w:val="clear" w:color="auto" w:fill="auto"/>
          </w:tcPr>
          <w:p w14:paraId="30B5CB75" w14:textId="77777777" w:rsidR="00233E2A" w:rsidRPr="002F6538" w:rsidRDefault="00233E2A" w:rsidP="0010403B">
            <w:pPr>
              <w:rPr>
                <w:sz w:val="16"/>
                <w:szCs w:val="16"/>
              </w:rPr>
            </w:pPr>
            <w:r w:rsidRPr="002F6538">
              <w:rPr>
                <w:sz w:val="16"/>
                <w:szCs w:val="16"/>
              </w:rPr>
              <w:t>Rat</w:t>
            </w:r>
          </w:p>
        </w:tc>
        <w:tc>
          <w:tcPr>
            <w:tcW w:w="1733" w:type="dxa"/>
            <w:shd w:val="clear" w:color="auto" w:fill="auto"/>
          </w:tcPr>
          <w:p w14:paraId="494B0DA4"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5F5717A8" w14:textId="77777777" w:rsidR="00233E2A" w:rsidRPr="002F6538" w:rsidRDefault="00233E2A" w:rsidP="0010403B">
            <w:pPr>
              <w:rPr>
                <w:rFonts w:cs="Arial"/>
                <w:sz w:val="16"/>
                <w:szCs w:val="16"/>
                <w:lang w:eastAsia="en-GB"/>
              </w:rPr>
            </w:pPr>
            <w:r w:rsidRPr="002F6538">
              <w:rPr>
                <w:rFonts w:cs="Arial"/>
                <w:sz w:val="16"/>
                <w:szCs w:val="16"/>
                <w:lang w:eastAsia="en-GB"/>
              </w:rPr>
              <w:t xml:space="preserve">Foetal testosterone reduction in GD14 to GD 18 following </w:t>
            </w:r>
            <w:r w:rsidRPr="005A120C">
              <w:rPr>
                <w:rFonts w:cs="Arial"/>
                <w:i/>
                <w:sz w:val="16"/>
                <w:szCs w:val="16"/>
                <w:lang w:eastAsia="en-GB"/>
              </w:rPr>
              <w:t>in utero</w:t>
            </w:r>
            <w:r w:rsidRPr="002F6538">
              <w:rPr>
                <w:rFonts w:cs="Arial"/>
                <w:sz w:val="16"/>
                <w:szCs w:val="16"/>
                <w:lang w:eastAsia="en-GB"/>
              </w:rPr>
              <w:t xml:space="preserve"> exposure to DCHP (0, 100, 300, 600, 900 mg/kg bw/day) with increasing doses.</w:t>
            </w:r>
          </w:p>
          <w:p w14:paraId="2B336206" w14:textId="77777777" w:rsidR="00233E2A" w:rsidRPr="002F6538" w:rsidRDefault="00233E2A" w:rsidP="0010403B">
            <w:pPr>
              <w:rPr>
                <w:sz w:val="16"/>
                <w:szCs w:val="16"/>
              </w:rPr>
            </w:pPr>
          </w:p>
        </w:tc>
        <w:tc>
          <w:tcPr>
            <w:tcW w:w="1407" w:type="dxa"/>
            <w:shd w:val="clear" w:color="auto" w:fill="auto"/>
          </w:tcPr>
          <w:p w14:paraId="6D44396C" w14:textId="77777777" w:rsidR="00233E2A" w:rsidRPr="002F6538" w:rsidRDefault="00233E2A" w:rsidP="0010403B">
            <w:pPr>
              <w:rPr>
                <w:sz w:val="16"/>
                <w:szCs w:val="16"/>
              </w:rPr>
            </w:pPr>
            <w:r w:rsidRPr="002F6538">
              <w:rPr>
                <w:sz w:val="16"/>
                <w:szCs w:val="16"/>
              </w:rPr>
              <w:t>Article published</w:t>
            </w:r>
          </w:p>
          <w:p w14:paraId="6D5BDBBE" w14:textId="77777777" w:rsidR="00233E2A" w:rsidRPr="002F6538" w:rsidRDefault="00233E2A" w:rsidP="0010403B">
            <w:pPr>
              <w:rPr>
                <w:sz w:val="16"/>
                <w:szCs w:val="16"/>
              </w:rPr>
            </w:pPr>
          </w:p>
        </w:tc>
        <w:tc>
          <w:tcPr>
            <w:tcW w:w="5699" w:type="dxa"/>
            <w:shd w:val="clear" w:color="auto" w:fill="auto"/>
          </w:tcPr>
          <w:p w14:paraId="7809FD6F" w14:textId="77777777" w:rsidR="00233E2A" w:rsidRPr="002F6538" w:rsidRDefault="00233E2A" w:rsidP="0010403B">
            <w:pPr>
              <w:rPr>
                <w:sz w:val="16"/>
                <w:szCs w:val="16"/>
              </w:rPr>
            </w:pPr>
            <w:r w:rsidRPr="002F6538">
              <w:rPr>
                <w:sz w:val="16"/>
                <w:szCs w:val="16"/>
              </w:rPr>
              <w:t>Furr R.J., Lambright S. C., Wilson S. V., Foster M. P.</w:t>
            </w:r>
            <w:r>
              <w:rPr>
                <w:sz w:val="16"/>
                <w:szCs w:val="16"/>
              </w:rPr>
              <w:t xml:space="preserve"> &amp; </w:t>
            </w:r>
            <w:r w:rsidRPr="002F6538">
              <w:rPr>
                <w:sz w:val="16"/>
                <w:szCs w:val="16"/>
              </w:rPr>
              <w:t>Gray E. L.</w:t>
            </w:r>
            <w:r w:rsidRPr="002F6538">
              <w:rPr>
                <w:i/>
                <w:sz w:val="16"/>
                <w:szCs w:val="16"/>
              </w:rPr>
              <w:t xml:space="preserve"> A Short-term in vivo screen using fetal testosterone production, a key event in the phthalate adverse outcome pathway, to predict disruption of sexual differentiation. </w:t>
            </w:r>
            <w:r w:rsidRPr="002F6538">
              <w:rPr>
                <w:sz w:val="16"/>
                <w:szCs w:val="16"/>
              </w:rPr>
              <w:t>Toxicological Sciences 2014, 140(2):403-24 doi:10.1093/toxsci/kfu081</w:t>
            </w:r>
          </w:p>
          <w:p w14:paraId="324C7D71" w14:textId="77777777" w:rsidR="00233E2A" w:rsidRPr="002F6538" w:rsidRDefault="00233E2A" w:rsidP="0010403B">
            <w:pPr>
              <w:rPr>
                <w:sz w:val="16"/>
                <w:szCs w:val="16"/>
              </w:rPr>
            </w:pPr>
          </w:p>
          <w:p w14:paraId="3B75241B" w14:textId="77777777" w:rsidR="00233E2A" w:rsidRPr="002F6538" w:rsidRDefault="00233E2A" w:rsidP="0010403B">
            <w:pPr>
              <w:rPr>
                <w:b/>
                <w:sz w:val="16"/>
                <w:szCs w:val="16"/>
              </w:rPr>
            </w:pPr>
            <w:r w:rsidRPr="002F6538">
              <w:rPr>
                <w:b/>
                <w:sz w:val="16"/>
                <w:szCs w:val="16"/>
              </w:rPr>
              <w:t xml:space="preserve">Reliability R1 (se also Annex </w:t>
            </w:r>
            <w:r>
              <w:rPr>
                <w:b/>
                <w:sz w:val="16"/>
                <w:szCs w:val="16"/>
              </w:rPr>
              <w:t>III</w:t>
            </w:r>
            <w:r w:rsidRPr="002F6538">
              <w:rPr>
                <w:b/>
                <w:sz w:val="16"/>
                <w:szCs w:val="16"/>
              </w:rPr>
              <w:t>)</w:t>
            </w:r>
          </w:p>
        </w:tc>
      </w:tr>
      <w:tr w:rsidR="00233E2A" w14:paraId="7A4C0B27" w14:textId="77777777" w:rsidTr="0010403B">
        <w:tc>
          <w:tcPr>
            <w:tcW w:w="1579" w:type="dxa"/>
            <w:shd w:val="clear" w:color="auto" w:fill="auto"/>
          </w:tcPr>
          <w:p w14:paraId="752DF101" w14:textId="77777777" w:rsidR="00233E2A" w:rsidRPr="002F6538" w:rsidRDefault="00233E2A" w:rsidP="0010403B">
            <w:pPr>
              <w:rPr>
                <w:sz w:val="16"/>
                <w:szCs w:val="16"/>
              </w:rPr>
            </w:pPr>
            <w:r w:rsidRPr="002F6538">
              <w:rPr>
                <w:sz w:val="16"/>
                <w:szCs w:val="16"/>
              </w:rPr>
              <w:t>Rat</w:t>
            </w:r>
          </w:p>
        </w:tc>
        <w:tc>
          <w:tcPr>
            <w:tcW w:w="1733" w:type="dxa"/>
            <w:shd w:val="clear" w:color="auto" w:fill="auto"/>
          </w:tcPr>
          <w:p w14:paraId="7E83AFBE"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1CF9F9F2" w14:textId="77777777" w:rsidR="00233E2A" w:rsidRPr="002F6538" w:rsidRDefault="00233E2A" w:rsidP="0010403B">
            <w:pPr>
              <w:rPr>
                <w:rFonts w:cs="Arial"/>
                <w:sz w:val="16"/>
                <w:szCs w:val="16"/>
                <w:lang w:eastAsia="en-GB"/>
              </w:rPr>
            </w:pPr>
            <w:r w:rsidRPr="002F6538">
              <w:rPr>
                <w:rFonts w:cs="Arial"/>
                <w:sz w:val="16"/>
                <w:szCs w:val="16"/>
                <w:lang w:eastAsia="en-GB"/>
              </w:rPr>
              <w:t xml:space="preserve">Decrease in AGD observed in male pups following </w:t>
            </w:r>
            <w:r w:rsidRPr="005A120C">
              <w:rPr>
                <w:rFonts w:cs="Arial"/>
                <w:i/>
                <w:sz w:val="16"/>
                <w:szCs w:val="16"/>
                <w:lang w:eastAsia="en-GB"/>
              </w:rPr>
              <w:t>in utero</w:t>
            </w:r>
            <w:r w:rsidRPr="002F6538">
              <w:rPr>
                <w:rFonts w:cs="Arial"/>
                <w:sz w:val="16"/>
                <w:szCs w:val="16"/>
                <w:lang w:eastAsia="en-GB"/>
              </w:rPr>
              <w:t xml:space="preserve"> exposure to DCHP in dose response manner. </w:t>
            </w:r>
          </w:p>
          <w:p w14:paraId="3CF67E60" w14:textId="77777777" w:rsidR="00233E2A" w:rsidRPr="002F6538" w:rsidRDefault="00233E2A" w:rsidP="0010403B">
            <w:pPr>
              <w:rPr>
                <w:sz w:val="16"/>
                <w:szCs w:val="16"/>
              </w:rPr>
            </w:pPr>
          </w:p>
        </w:tc>
        <w:tc>
          <w:tcPr>
            <w:tcW w:w="1407" w:type="dxa"/>
            <w:shd w:val="clear" w:color="auto" w:fill="auto"/>
          </w:tcPr>
          <w:p w14:paraId="575AEAF6" w14:textId="77777777" w:rsidR="00233E2A" w:rsidRPr="002F6538" w:rsidRDefault="00233E2A" w:rsidP="0010403B">
            <w:pPr>
              <w:rPr>
                <w:sz w:val="16"/>
                <w:szCs w:val="16"/>
              </w:rPr>
            </w:pPr>
            <w:r w:rsidRPr="002F6538">
              <w:rPr>
                <w:sz w:val="16"/>
                <w:szCs w:val="16"/>
              </w:rPr>
              <w:t>Article published</w:t>
            </w:r>
          </w:p>
          <w:p w14:paraId="55F4C126" w14:textId="77777777" w:rsidR="00233E2A" w:rsidRPr="002F6538" w:rsidRDefault="00233E2A" w:rsidP="0010403B">
            <w:pPr>
              <w:rPr>
                <w:sz w:val="16"/>
                <w:szCs w:val="16"/>
              </w:rPr>
            </w:pPr>
          </w:p>
        </w:tc>
        <w:tc>
          <w:tcPr>
            <w:tcW w:w="5699" w:type="dxa"/>
            <w:shd w:val="clear" w:color="auto" w:fill="auto"/>
          </w:tcPr>
          <w:p w14:paraId="29A2AA38" w14:textId="77777777" w:rsidR="00233E2A" w:rsidRPr="002F6538" w:rsidRDefault="00233E2A" w:rsidP="0010403B">
            <w:pPr>
              <w:rPr>
                <w:rFonts w:cs="Arial"/>
                <w:sz w:val="16"/>
                <w:szCs w:val="16"/>
                <w:lang w:eastAsia="en-GB"/>
              </w:rPr>
            </w:pPr>
            <w:r w:rsidRPr="00B21086">
              <w:rPr>
                <w:rFonts w:cs="Arial"/>
                <w:sz w:val="16"/>
                <w:szCs w:val="16"/>
                <w:lang w:eastAsia="en-GB"/>
              </w:rPr>
              <w:t>Saillenfait, A. M., Gallissot F.</w:t>
            </w:r>
            <w:r>
              <w:rPr>
                <w:rFonts w:cs="Arial"/>
                <w:sz w:val="16"/>
                <w:szCs w:val="16"/>
                <w:lang w:eastAsia="en-GB"/>
              </w:rPr>
              <w:t xml:space="preserve"> &amp; </w:t>
            </w:r>
            <w:r w:rsidRPr="00B21086">
              <w:rPr>
                <w:rFonts w:cs="Arial"/>
                <w:sz w:val="16"/>
                <w:szCs w:val="16"/>
                <w:lang w:eastAsia="en-GB"/>
              </w:rPr>
              <w:t>Sabata J. P.</w:t>
            </w:r>
            <w:r w:rsidRPr="002F6538">
              <w:rPr>
                <w:rFonts w:cs="Arial"/>
                <w:i/>
                <w:sz w:val="16"/>
                <w:szCs w:val="16"/>
                <w:lang w:eastAsia="en-GB"/>
              </w:rPr>
              <w:t xml:space="preserve"> Differential developmental toxicities of di-nhexyl phthalate and dicyclohexyl phthalate administered orally to rats, </w:t>
            </w:r>
            <w:r w:rsidRPr="002F6538">
              <w:rPr>
                <w:rFonts w:cs="Arial"/>
                <w:sz w:val="16"/>
                <w:szCs w:val="16"/>
                <w:lang w:eastAsia="en-GB"/>
              </w:rPr>
              <w:t>Journal of Applied Toxicology, 2009, 29: 510-521.</w:t>
            </w:r>
          </w:p>
          <w:p w14:paraId="6068F0E5" w14:textId="77777777" w:rsidR="00233E2A" w:rsidRPr="002F6538" w:rsidRDefault="00233E2A" w:rsidP="0010403B">
            <w:pPr>
              <w:rPr>
                <w:rFonts w:cs="Arial"/>
                <w:sz w:val="16"/>
                <w:szCs w:val="16"/>
                <w:lang w:eastAsia="en-GB"/>
              </w:rPr>
            </w:pPr>
          </w:p>
          <w:p w14:paraId="34EE7721" w14:textId="77777777" w:rsidR="00233E2A" w:rsidRPr="002F6538" w:rsidRDefault="00233E2A" w:rsidP="0010403B">
            <w:pPr>
              <w:rPr>
                <w:rFonts w:cs="Arial"/>
                <w:b/>
                <w:i/>
                <w:sz w:val="16"/>
                <w:szCs w:val="16"/>
                <w:lang w:eastAsia="en-GB"/>
              </w:rPr>
            </w:pPr>
            <w:r w:rsidRPr="002F6538">
              <w:rPr>
                <w:b/>
                <w:sz w:val="16"/>
                <w:szCs w:val="16"/>
              </w:rPr>
              <w:t xml:space="preserve">Reliability R1 (se also Annex </w:t>
            </w:r>
            <w:r>
              <w:rPr>
                <w:b/>
                <w:sz w:val="16"/>
                <w:szCs w:val="16"/>
              </w:rPr>
              <w:t>III</w:t>
            </w:r>
            <w:r w:rsidRPr="002F6538">
              <w:rPr>
                <w:b/>
                <w:sz w:val="16"/>
                <w:szCs w:val="16"/>
              </w:rPr>
              <w:t>)</w:t>
            </w:r>
          </w:p>
          <w:p w14:paraId="3B5D0315" w14:textId="77777777" w:rsidR="00233E2A" w:rsidRPr="002F6538" w:rsidRDefault="00233E2A" w:rsidP="0010403B">
            <w:pPr>
              <w:rPr>
                <w:sz w:val="16"/>
                <w:szCs w:val="16"/>
              </w:rPr>
            </w:pPr>
          </w:p>
        </w:tc>
      </w:tr>
      <w:tr w:rsidR="00233E2A" w14:paraId="43A116B4" w14:textId="77777777" w:rsidTr="0010403B">
        <w:tc>
          <w:tcPr>
            <w:tcW w:w="1579" w:type="dxa"/>
            <w:shd w:val="clear" w:color="auto" w:fill="auto"/>
          </w:tcPr>
          <w:p w14:paraId="5254BECB" w14:textId="77777777" w:rsidR="00233E2A" w:rsidRPr="002F6538" w:rsidRDefault="00233E2A" w:rsidP="0010403B">
            <w:pPr>
              <w:rPr>
                <w:sz w:val="16"/>
                <w:szCs w:val="16"/>
              </w:rPr>
            </w:pPr>
            <w:r w:rsidRPr="002F6538">
              <w:rPr>
                <w:sz w:val="16"/>
                <w:szCs w:val="16"/>
              </w:rPr>
              <w:t>Rat</w:t>
            </w:r>
          </w:p>
        </w:tc>
        <w:tc>
          <w:tcPr>
            <w:tcW w:w="1733" w:type="dxa"/>
            <w:shd w:val="clear" w:color="auto" w:fill="auto"/>
          </w:tcPr>
          <w:p w14:paraId="182853AE"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5E1EFD32" w14:textId="77777777" w:rsidR="00233E2A" w:rsidRPr="002F6538" w:rsidRDefault="00233E2A" w:rsidP="0010403B">
            <w:pPr>
              <w:rPr>
                <w:sz w:val="16"/>
                <w:szCs w:val="16"/>
              </w:rPr>
            </w:pPr>
            <w:r w:rsidRPr="002F6538">
              <w:rPr>
                <w:sz w:val="16"/>
                <w:szCs w:val="16"/>
              </w:rPr>
              <w:t>Two generation reproductive toxicity study indicating decrease AGD in F1 and F2</w:t>
            </w:r>
          </w:p>
        </w:tc>
        <w:tc>
          <w:tcPr>
            <w:tcW w:w="1407" w:type="dxa"/>
            <w:shd w:val="clear" w:color="auto" w:fill="auto"/>
          </w:tcPr>
          <w:p w14:paraId="65E44FD6" w14:textId="77777777" w:rsidR="00233E2A" w:rsidRPr="002F6538" w:rsidRDefault="00233E2A" w:rsidP="0010403B">
            <w:pPr>
              <w:rPr>
                <w:sz w:val="16"/>
                <w:szCs w:val="16"/>
              </w:rPr>
            </w:pPr>
            <w:r w:rsidRPr="002F6538">
              <w:rPr>
                <w:sz w:val="16"/>
                <w:szCs w:val="16"/>
              </w:rPr>
              <w:t>Article published</w:t>
            </w:r>
          </w:p>
          <w:p w14:paraId="02D7BB6F" w14:textId="77777777" w:rsidR="00233E2A" w:rsidRPr="002F6538" w:rsidRDefault="00233E2A" w:rsidP="0010403B">
            <w:pPr>
              <w:rPr>
                <w:sz w:val="16"/>
                <w:szCs w:val="16"/>
              </w:rPr>
            </w:pPr>
          </w:p>
        </w:tc>
        <w:tc>
          <w:tcPr>
            <w:tcW w:w="5699" w:type="dxa"/>
            <w:shd w:val="clear" w:color="auto" w:fill="auto"/>
          </w:tcPr>
          <w:p w14:paraId="293E3A03" w14:textId="77777777" w:rsidR="00233E2A" w:rsidRPr="002F6538" w:rsidRDefault="00233E2A" w:rsidP="0010403B">
            <w:pPr>
              <w:rPr>
                <w:sz w:val="16"/>
                <w:szCs w:val="16"/>
              </w:rPr>
            </w:pPr>
            <w:r w:rsidRPr="002F6538">
              <w:rPr>
                <w:sz w:val="16"/>
                <w:szCs w:val="16"/>
              </w:rPr>
              <w:t>Hoshino N., Iwai M.</w:t>
            </w:r>
            <w:r>
              <w:rPr>
                <w:sz w:val="16"/>
                <w:szCs w:val="16"/>
              </w:rPr>
              <w:t xml:space="preserve"> &amp;</w:t>
            </w:r>
            <w:r w:rsidRPr="002F6538">
              <w:rPr>
                <w:sz w:val="16"/>
                <w:szCs w:val="16"/>
              </w:rPr>
              <w:t xml:space="preserve"> Okazaki Y.</w:t>
            </w:r>
            <w:r w:rsidRPr="002F6538">
              <w:rPr>
                <w:i/>
                <w:sz w:val="16"/>
                <w:szCs w:val="16"/>
              </w:rPr>
              <w:t xml:space="preserve"> A Two-Generation Reproductive Study of Dicyclohexyl Phthalate in Rats</w:t>
            </w:r>
            <w:r w:rsidRPr="002F6538">
              <w:rPr>
                <w:sz w:val="16"/>
                <w:szCs w:val="16"/>
              </w:rPr>
              <w:t>. The Journal of Toxicological Sciences, Volume 30, Special Issue, 79-96, 2005</w:t>
            </w:r>
          </w:p>
          <w:p w14:paraId="534450C5" w14:textId="77777777" w:rsidR="00233E2A" w:rsidRPr="002F6538" w:rsidRDefault="00233E2A" w:rsidP="0010403B">
            <w:pPr>
              <w:rPr>
                <w:sz w:val="16"/>
                <w:szCs w:val="16"/>
              </w:rPr>
            </w:pPr>
          </w:p>
          <w:p w14:paraId="7EDB7193" w14:textId="77777777" w:rsidR="00233E2A" w:rsidRPr="002F6538" w:rsidRDefault="00233E2A" w:rsidP="0010403B">
            <w:pPr>
              <w:rPr>
                <w:b/>
                <w:sz w:val="16"/>
                <w:szCs w:val="16"/>
              </w:rPr>
            </w:pPr>
            <w:r w:rsidRPr="002F6538">
              <w:rPr>
                <w:b/>
                <w:sz w:val="16"/>
                <w:szCs w:val="16"/>
              </w:rPr>
              <w:t xml:space="preserve">Reliability R1 (se also Annex </w:t>
            </w:r>
            <w:r>
              <w:rPr>
                <w:b/>
                <w:sz w:val="16"/>
                <w:szCs w:val="16"/>
              </w:rPr>
              <w:t>III</w:t>
            </w:r>
            <w:r w:rsidRPr="002F6538">
              <w:rPr>
                <w:b/>
                <w:sz w:val="16"/>
                <w:szCs w:val="16"/>
              </w:rPr>
              <w:t>)</w:t>
            </w:r>
          </w:p>
        </w:tc>
      </w:tr>
      <w:tr w:rsidR="00233E2A" w14:paraId="3651AF78" w14:textId="77777777" w:rsidTr="0010403B">
        <w:tc>
          <w:tcPr>
            <w:tcW w:w="1579" w:type="dxa"/>
            <w:shd w:val="clear" w:color="auto" w:fill="auto"/>
          </w:tcPr>
          <w:p w14:paraId="15F0CC70" w14:textId="77777777" w:rsidR="00233E2A" w:rsidRPr="002F6538" w:rsidRDefault="00233E2A" w:rsidP="0010403B">
            <w:pPr>
              <w:rPr>
                <w:sz w:val="16"/>
                <w:szCs w:val="16"/>
              </w:rPr>
            </w:pPr>
            <w:r w:rsidRPr="002F6538">
              <w:rPr>
                <w:sz w:val="16"/>
                <w:szCs w:val="16"/>
              </w:rPr>
              <w:lastRenderedPageBreak/>
              <w:t>Rat</w:t>
            </w:r>
          </w:p>
        </w:tc>
        <w:tc>
          <w:tcPr>
            <w:tcW w:w="1733" w:type="dxa"/>
            <w:shd w:val="clear" w:color="auto" w:fill="auto"/>
          </w:tcPr>
          <w:p w14:paraId="51DF9E62"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0ACBEA33" w14:textId="77777777" w:rsidR="00233E2A" w:rsidRPr="002F6538" w:rsidRDefault="00233E2A" w:rsidP="0010403B">
            <w:pPr>
              <w:rPr>
                <w:sz w:val="16"/>
                <w:szCs w:val="16"/>
              </w:rPr>
            </w:pPr>
            <w:r w:rsidRPr="002F6538">
              <w:rPr>
                <w:rFonts w:cs="Arial"/>
                <w:sz w:val="16"/>
                <w:szCs w:val="16"/>
                <w:lang w:eastAsia="en-GB"/>
              </w:rPr>
              <w:t>Effects on DNA at prepubertal, pubertal and adult rat testis at the same concentrations as those at which testicular histopathological effects and testosterone levels changes are observed</w:t>
            </w:r>
          </w:p>
        </w:tc>
        <w:tc>
          <w:tcPr>
            <w:tcW w:w="1407" w:type="dxa"/>
            <w:shd w:val="clear" w:color="auto" w:fill="auto"/>
          </w:tcPr>
          <w:p w14:paraId="4BE45CC6" w14:textId="77777777" w:rsidR="00233E2A" w:rsidRPr="002F6538" w:rsidRDefault="00233E2A" w:rsidP="0010403B">
            <w:pPr>
              <w:rPr>
                <w:sz w:val="16"/>
                <w:szCs w:val="16"/>
              </w:rPr>
            </w:pPr>
            <w:r w:rsidRPr="002F6538">
              <w:rPr>
                <w:sz w:val="16"/>
                <w:szCs w:val="16"/>
              </w:rPr>
              <w:t>Article published</w:t>
            </w:r>
          </w:p>
          <w:p w14:paraId="12C80541" w14:textId="77777777" w:rsidR="00233E2A" w:rsidRPr="002F6538" w:rsidRDefault="00233E2A" w:rsidP="0010403B">
            <w:pPr>
              <w:rPr>
                <w:sz w:val="16"/>
                <w:szCs w:val="16"/>
              </w:rPr>
            </w:pPr>
          </w:p>
        </w:tc>
        <w:tc>
          <w:tcPr>
            <w:tcW w:w="5699" w:type="dxa"/>
            <w:shd w:val="clear" w:color="auto" w:fill="auto"/>
          </w:tcPr>
          <w:p w14:paraId="1E7E429E" w14:textId="77777777" w:rsidR="00233E2A" w:rsidRPr="002F6538" w:rsidRDefault="00233E2A" w:rsidP="0010403B">
            <w:pPr>
              <w:rPr>
                <w:rFonts w:cs="Arial"/>
                <w:sz w:val="16"/>
                <w:szCs w:val="16"/>
                <w:lang w:eastAsia="en-GB"/>
              </w:rPr>
            </w:pPr>
            <w:r w:rsidRPr="00B21086">
              <w:rPr>
                <w:rFonts w:cs="Arial"/>
                <w:sz w:val="16"/>
                <w:szCs w:val="16"/>
                <w:lang w:eastAsia="en-GB"/>
              </w:rPr>
              <w:t>Ahbab M.A., Undeger U., Barlas N. &amp;</w:t>
            </w:r>
            <w:r w:rsidRPr="00B70319">
              <w:rPr>
                <w:rFonts w:cs="Arial"/>
                <w:sz w:val="16"/>
                <w:szCs w:val="16"/>
                <w:lang w:eastAsia="en-GB"/>
              </w:rPr>
              <w:t xml:space="preserve"> </w:t>
            </w:r>
            <w:r w:rsidRPr="002F6538">
              <w:rPr>
                <w:rFonts w:cs="Arial"/>
                <w:sz w:val="16"/>
                <w:szCs w:val="16"/>
                <w:lang w:eastAsia="en-GB"/>
              </w:rPr>
              <w:t>Basaran N.</w:t>
            </w:r>
            <w:r w:rsidRPr="002F6538">
              <w:rPr>
                <w:rFonts w:cs="Arial"/>
                <w:i/>
                <w:sz w:val="16"/>
                <w:szCs w:val="16"/>
                <w:lang w:eastAsia="en-GB"/>
              </w:rPr>
              <w:t xml:space="preserve"> In utero exposure to dicyclohexyl and di-n-hexyl phthalate possess genotoxic effects on testicular cells of male rats after birth in the comet and TUNEL assays.</w:t>
            </w:r>
            <w:r w:rsidRPr="002F6538">
              <w:rPr>
                <w:rFonts w:cs="Arial"/>
                <w:sz w:val="16"/>
                <w:szCs w:val="16"/>
                <w:lang w:eastAsia="en-GB"/>
              </w:rPr>
              <w:t xml:space="preserve"> Human and Experimental Toxicology, 2014, 33(3): 230-239.</w:t>
            </w:r>
          </w:p>
          <w:p w14:paraId="6CCE5D1F" w14:textId="77777777" w:rsidR="00233E2A" w:rsidRPr="002F6538" w:rsidRDefault="00233E2A" w:rsidP="0010403B">
            <w:pPr>
              <w:rPr>
                <w:sz w:val="16"/>
                <w:szCs w:val="16"/>
              </w:rPr>
            </w:pPr>
          </w:p>
          <w:p w14:paraId="43D7512B" w14:textId="77777777" w:rsidR="00233E2A" w:rsidRPr="002F6538" w:rsidRDefault="00233E2A" w:rsidP="0010403B">
            <w:pPr>
              <w:rPr>
                <w:rFonts w:cs="Arial"/>
                <w:b/>
                <w:sz w:val="16"/>
                <w:szCs w:val="16"/>
                <w:lang w:eastAsia="en-GB"/>
              </w:rPr>
            </w:pPr>
            <w:r w:rsidRPr="002F6538">
              <w:rPr>
                <w:b/>
                <w:sz w:val="16"/>
                <w:szCs w:val="16"/>
              </w:rPr>
              <w:t>Used in a WoE approach as supporting study</w:t>
            </w:r>
          </w:p>
        </w:tc>
      </w:tr>
      <w:tr w:rsidR="00233E2A" w14:paraId="4DB73154" w14:textId="77777777" w:rsidTr="0010403B">
        <w:tc>
          <w:tcPr>
            <w:tcW w:w="1579" w:type="dxa"/>
            <w:shd w:val="clear" w:color="auto" w:fill="auto"/>
          </w:tcPr>
          <w:p w14:paraId="76C5680E" w14:textId="77777777" w:rsidR="00233E2A" w:rsidRPr="002F6538" w:rsidRDefault="00233E2A" w:rsidP="0010403B">
            <w:pPr>
              <w:rPr>
                <w:sz w:val="16"/>
                <w:szCs w:val="16"/>
              </w:rPr>
            </w:pPr>
            <w:r w:rsidRPr="002F6538">
              <w:rPr>
                <w:sz w:val="16"/>
                <w:szCs w:val="16"/>
              </w:rPr>
              <w:t>Rat</w:t>
            </w:r>
          </w:p>
        </w:tc>
        <w:tc>
          <w:tcPr>
            <w:tcW w:w="1733" w:type="dxa"/>
            <w:shd w:val="clear" w:color="auto" w:fill="auto"/>
          </w:tcPr>
          <w:p w14:paraId="0E35DCA5" w14:textId="77777777" w:rsidR="00233E2A" w:rsidRPr="002F6538" w:rsidRDefault="00233E2A" w:rsidP="0010403B">
            <w:pPr>
              <w:rPr>
                <w:sz w:val="16"/>
                <w:szCs w:val="16"/>
              </w:rPr>
            </w:pPr>
            <w:r w:rsidRPr="002F6538">
              <w:rPr>
                <w:sz w:val="16"/>
                <w:szCs w:val="16"/>
              </w:rPr>
              <w:t>Oral</w:t>
            </w:r>
          </w:p>
        </w:tc>
        <w:tc>
          <w:tcPr>
            <w:tcW w:w="3758" w:type="dxa"/>
            <w:shd w:val="clear" w:color="auto" w:fill="auto"/>
          </w:tcPr>
          <w:p w14:paraId="435E6DA6" w14:textId="77777777" w:rsidR="00233E2A" w:rsidRPr="002F6538" w:rsidRDefault="00233E2A" w:rsidP="0010403B">
            <w:pPr>
              <w:rPr>
                <w:rFonts w:cs="Arial"/>
                <w:sz w:val="16"/>
                <w:szCs w:val="16"/>
                <w:lang w:eastAsia="en-GB"/>
              </w:rPr>
            </w:pPr>
            <w:r w:rsidRPr="002F6538">
              <w:rPr>
                <w:rFonts w:cs="Arial"/>
                <w:sz w:val="16"/>
                <w:szCs w:val="16"/>
                <w:lang w:eastAsia="en-GB"/>
              </w:rPr>
              <w:t>Prolonged preputial separation, reduced AGD, increased areolas/nipple retention, hypospadias, decreased ventral prostate and levator ani/bulbocavernous muscle weight and decreased testicular germ cells were observed in male offspring in the 500 mg/kg bw group</w:t>
            </w:r>
          </w:p>
        </w:tc>
        <w:tc>
          <w:tcPr>
            <w:tcW w:w="1407" w:type="dxa"/>
            <w:shd w:val="clear" w:color="auto" w:fill="auto"/>
          </w:tcPr>
          <w:p w14:paraId="18A14CA1" w14:textId="77777777" w:rsidR="00233E2A" w:rsidRPr="002F6538" w:rsidRDefault="00233E2A" w:rsidP="0010403B">
            <w:pPr>
              <w:rPr>
                <w:sz w:val="16"/>
                <w:szCs w:val="16"/>
              </w:rPr>
            </w:pPr>
            <w:r w:rsidRPr="002F6538">
              <w:rPr>
                <w:sz w:val="16"/>
                <w:szCs w:val="16"/>
              </w:rPr>
              <w:t>Article published</w:t>
            </w:r>
          </w:p>
          <w:p w14:paraId="7F056F5C" w14:textId="77777777" w:rsidR="00233E2A" w:rsidRPr="002F6538" w:rsidRDefault="00233E2A" w:rsidP="0010403B">
            <w:pPr>
              <w:rPr>
                <w:sz w:val="16"/>
                <w:szCs w:val="16"/>
              </w:rPr>
            </w:pPr>
          </w:p>
        </w:tc>
        <w:tc>
          <w:tcPr>
            <w:tcW w:w="5699" w:type="dxa"/>
            <w:shd w:val="clear" w:color="auto" w:fill="auto"/>
          </w:tcPr>
          <w:p w14:paraId="0E8E2971" w14:textId="77777777" w:rsidR="00233E2A" w:rsidRPr="002F6538" w:rsidRDefault="00233E2A" w:rsidP="0010403B">
            <w:pPr>
              <w:rPr>
                <w:sz w:val="16"/>
                <w:szCs w:val="16"/>
              </w:rPr>
            </w:pPr>
            <w:r w:rsidRPr="00B21086">
              <w:rPr>
                <w:sz w:val="16"/>
                <w:szCs w:val="16"/>
              </w:rPr>
              <w:t>Yamasaki K., Okuda H., Takeuchi T. &amp;</w:t>
            </w:r>
            <w:r w:rsidRPr="00B70319">
              <w:rPr>
                <w:sz w:val="16"/>
                <w:szCs w:val="16"/>
              </w:rPr>
              <w:t xml:space="preserve"> </w:t>
            </w:r>
            <w:r w:rsidRPr="002F6538">
              <w:rPr>
                <w:sz w:val="16"/>
                <w:szCs w:val="16"/>
              </w:rPr>
              <w:t xml:space="preserve">Minobe Y. </w:t>
            </w:r>
            <w:r w:rsidRPr="002F6538">
              <w:rPr>
                <w:i/>
                <w:sz w:val="16"/>
                <w:szCs w:val="16"/>
              </w:rPr>
              <w:t>Effects of in utero through lactational exposure to dicyclohexyl phthalate p,p’-DDE in Sprague-Dawley rats</w:t>
            </w:r>
            <w:r w:rsidRPr="002F6538">
              <w:rPr>
                <w:sz w:val="16"/>
                <w:szCs w:val="16"/>
              </w:rPr>
              <w:t>. Toxicolcogy Letters 189,2009,14-20.</w:t>
            </w:r>
          </w:p>
          <w:p w14:paraId="7ED881D4" w14:textId="77777777" w:rsidR="00233E2A" w:rsidRPr="002F6538" w:rsidRDefault="00233E2A" w:rsidP="0010403B">
            <w:pPr>
              <w:rPr>
                <w:sz w:val="16"/>
                <w:szCs w:val="16"/>
              </w:rPr>
            </w:pPr>
          </w:p>
          <w:p w14:paraId="52F9A18B" w14:textId="77777777" w:rsidR="00233E2A" w:rsidRPr="002F6538" w:rsidRDefault="00233E2A" w:rsidP="0010403B">
            <w:pPr>
              <w:rPr>
                <w:b/>
                <w:sz w:val="16"/>
                <w:szCs w:val="16"/>
              </w:rPr>
            </w:pPr>
            <w:r w:rsidRPr="002F6538">
              <w:rPr>
                <w:b/>
                <w:sz w:val="16"/>
                <w:szCs w:val="16"/>
              </w:rPr>
              <w:t xml:space="preserve">Reliability R2 (se also Annex </w:t>
            </w:r>
            <w:r>
              <w:rPr>
                <w:b/>
                <w:sz w:val="16"/>
                <w:szCs w:val="16"/>
              </w:rPr>
              <w:t>III</w:t>
            </w:r>
            <w:r w:rsidRPr="002F6538">
              <w:rPr>
                <w:b/>
                <w:sz w:val="16"/>
                <w:szCs w:val="16"/>
              </w:rPr>
              <w:t>)</w:t>
            </w:r>
          </w:p>
        </w:tc>
      </w:tr>
      <w:tr w:rsidR="00233E2A" w14:paraId="6BDAC986" w14:textId="77777777" w:rsidTr="0010403B">
        <w:tc>
          <w:tcPr>
            <w:tcW w:w="1579" w:type="dxa"/>
            <w:shd w:val="clear" w:color="auto" w:fill="auto"/>
          </w:tcPr>
          <w:p w14:paraId="07EC4992" w14:textId="77777777" w:rsidR="00233E2A" w:rsidRPr="00D369B9" w:rsidRDefault="00233E2A" w:rsidP="0010403B">
            <w:pPr>
              <w:rPr>
                <w:rFonts w:cs="Arial"/>
                <w:sz w:val="16"/>
                <w:szCs w:val="16"/>
                <w:lang w:eastAsia="en-GB"/>
              </w:rPr>
            </w:pPr>
            <w:r w:rsidRPr="00D369B9">
              <w:rPr>
                <w:rFonts w:cs="Arial"/>
                <w:sz w:val="16"/>
                <w:szCs w:val="16"/>
                <w:lang w:eastAsia="en-GB"/>
              </w:rPr>
              <w:t>Rat (castrated)</w:t>
            </w:r>
          </w:p>
        </w:tc>
        <w:tc>
          <w:tcPr>
            <w:tcW w:w="1733" w:type="dxa"/>
            <w:shd w:val="clear" w:color="auto" w:fill="auto"/>
          </w:tcPr>
          <w:p w14:paraId="0ECF28A7" w14:textId="77777777" w:rsidR="00233E2A" w:rsidRPr="00D369B9" w:rsidRDefault="00233E2A" w:rsidP="0010403B">
            <w:pPr>
              <w:rPr>
                <w:rFonts w:cs="Arial"/>
                <w:sz w:val="16"/>
                <w:szCs w:val="16"/>
                <w:lang w:eastAsia="en-GB"/>
              </w:rPr>
            </w:pPr>
            <w:r w:rsidRPr="00D369B9">
              <w:rPr>
                <w:rFonts w:cs="Arial"/>
                <w:sz w:val="16"/>
                <w:szCs w:val="16"/>
                <w:lang w:eastAsia="en-GB"/>
              </w:rPr>
              <w:t>Oral (forced)</w:t>
            </w:r>
          </w:p>
        </w:tc>
        <w:tc>
          <w:tcPr>
            <w:tcW w:w="3758" w:type="dxa"/>
            <w:shd w:val="clear" w:color="auto" w:fill="auto"/>
          </w:tcPr>
          <w:p w14:paraId="3C575480" w14:textId="77777777" w:rsidR="00233E2A" w:rsidRPr="002F6538" w:rsidRDefault="00233E2A" w:rsidP="0010403B">
            <w:pPr>
              <w:rPr>
                <w:rFonts w:cs="Arial"/>
                <w:sz w:val="16"/>
                <w:szCs w:val="16"/>
                <w:lang w:eastAsia="en-GB"/>
              </w:rPr>
            </w:pPr>
            <w:r w:rsidRPr="002F6538">
              <w:rPr>
                <w:rFonts w:cs="Arial"/>
                <w:sz w:val="16"/>
                <w:szCs w:val="16"/>
                <w:lang w:eastAsia="en-GB"/>
              </w:rPr>
              <w:t>0, 10, 100, 1,000 mg/kg/day</w:t>
            </w:r>
          </w:p>
          <w:p w14:paraId="7D51976D" w14:textId="77777777" w:rsidR="00233E2A" w:rsidRPr="002F6538" w:rsidRDefault="00233E2A" w:rsidP="0010403B">
            <w:pPr>
              <w:rPr>
                <w:rFonts w:cs="Arial"/>
                <w:sz w:val="16"/>
                <w:szCs w:val="16"/>
                <w:lang w:eastAsia="en-GB"/>
              </w:rPr>
            </w:pPr>
            <w:r w:rsidRPr="002F6538">
              <w:rPr>
                <w:rFonts w:cs="Arial"/>
                <w:sz w:val="16"/>
                <w:szCs w:val="16"/>
                <w:lang w:eastAsia="en-GB"/>
              </w:rPr>
              <w:t>Without (androgenic) and with(antiandrogenic)testosteronepropionate  0.4 mg/kg/day (s.c.).</w:t>
            </w:r>
          </w:p>
          <w:p w14:paraId="3E2B2423" w14:textId="77777777" w:rsidR="00233E2A" w:rsidRPr="002F6538" w:rsidRDefault="00233E2A" w:rsidP="0010403B">
            <w:pPr>
              <w:rPr>
                <w:rFonts w:cs="Arial"/>
                <w:sz w:val="16"/>
                <w:szCs w:val="16"/>
                <w:lang w:eastAsia="en-GB"/>
              </w:rPr>
            </w:pPr>
            <w:r w:rsidRPr="002F6538">
              <w:rPr>
                <w:rFonts w:cs="Arial"/>
                <w:sz w:val="16"/>
                <w:szCs w:val="16"/>
                <w:lang w:eastAsia="en-GB"/>
              </w:rPr>
              <w:t>Negative outcome – neither androgenic nor antiandrogenic activity detected</w:t>
            </w:r>
          </w:p>
        </w:tc>
        <w:tc>
          <w:tcPr>
            <w:tcW w:w="1407" w:type="dxa"/>
            <w:shd w:val="clear" w:color="auto" w:fill="auto"/>
          </w:tcPr>
          <w:p w14:paraId="18163027" w14:textId="77777777" w:rsidR="00233E2A" w:rsidRPr="002F6538" w:rsidRDefault="00233E2A" w:rsidP="0010403B">
            <w:pPr>
              <w:rPr>
                <w:sz w:val="16"/>
                <w:szCs w:val="16"/>
              </w:rPr>
            </w:pPr>
            <w:r w:rsidRPr="002F6538">
              <w:rPr>
                <w:sz w:val="16"/>
                <w:szCs w:val="16"/>
              </w:rPr>
              <w:t>Results summarised in a report</w:t>
            </w:r>
          </w:p>
          <w:p w14:paraId="26420F0D" w14:textId="77777777" w:rsidR="00233E2A" w:rsidRPr="002F6538" w:rsidRDefault="00233E2A" w:rsidP="0010403B">
            <w:pPr>
              <w:rPr>
                <w:sz w:val="16"/>
                <w:szCs w:val="16"/>
              </w:rPr>
            </w:pPr>
          </w:p>
        </w:tc>
        <w:tc>
          <w:tcPr>
            <w:tcW w:w="5699" w:type="dxa"/>
            <w:shd w:val="clear" w:color="auto" w:fill="auto"/>
          </w:tcPr>
          <w:p w14:paraId="4F48391E" w14:textId="77777777" w:rsidR="00233E2A" w:rsidRPr="002F6538" w:rsidRDefault="00233E2A" w:rsidP="0010403B">
            <w:pPr>
              <w:rPr>
                <w:sz w:val="16"/>
                <w:szCs w:val="16"/>
              </w:rPr>
            </w:pPr>
            <w:r w:rsidRPr="002F6538">
              <w:rPr>
                <w:sz w:val="16"/>
                <w:szCs w:val="16"/>
              </w:rPr>
              <w:t>Hershberger assay – as presented in Table 3-5 page 40 in METI (2002): Current Status of Testing Methods Development for Endocrine Disrupters, Minsitry of Economy, Trade and Industry, Japan.</w:t>
            </w:r>
          </w:p>
          <w:p w14:paraId="20C4141C" w14:textId="77777777" w:rsidR="00233E2A" w:rsidRPr="002F6538" w:rsidRDefault="00233E2A" w:rsidP="0010403B">
            <w:pPr>
              <w:rPr>
                <w:sz w:val="16"/>
                <w:szCs w:val="16"/>
              </w:rPr>
            </w:pPr>
            <w:r w:rsidRPr="002F6538">
              <w:rPr>
                <w:sz w:val="16"/>
                <w:szCs w:val="16"/>
              </w:rPr>
              <w:t>Available at:</w:t>
            </w:r>
            <w:r>
              <w:t xml:space="preserve"> </w:t>
            </w:r>
            <w:hyperlink r:id="rId56" w:history="1">
              <w:r w:rsidRPr="002F6538">
                <w:rPr>
                  <w:rStyle w:val="Hyperlink"/>
                  <w:sz w:val="16"/>
                  <w:szCs w:val="16"/>
                </w:rPr>
                <w:t>http://www.meti.go.jp/english/report/data/gEndoctexte.pdf</w:t>
              </w:r>
            </w:hyperlink>
            <w:r w:rsidRPr="002F6538">
              <w:rPr>
                <w:sz w:val="16"/>
                <w:szCs w:val="16"/>
              </w:rPr>
              <w:t xml:space="preserve"> </w:t>
            </w:r>
          </w:p>
          <w:p w14:paraId="1D443257" w14:textId="77777777" w:rsidR="00233E2A" w:rsidRPr="002F6538" w:rsidRDefault="00233E2A" w:rsidP="0010403B">
            <w:pPr>
              <w:rPr>
                <w:sz w:val="16"/>
                <w:szCs w:val="16"/>
              </w:rPr>
            </w:pPr>
          </w:p>
          <w:p w14:paraId="5C4C07F9" w14:textId="77777777" w:rsidR="00233E2A" w:rsidRPr="002F6538" w:rsidRDefault="00233E2A" w:rsidP="0010403B">
            <w:pPr>
              <w:rPr>
                <w:rFonts w:cs="Verdana,Italic"/>
                <w:b/>
                <w:i/>
                <w:iCs/>
                <w:sz w:val="16"/>
                <w:szCs w:val="16"/>
              </w:rPr>
            </w:pPr>
            <w:r w:rsidRPr="002F6538">
              <w:rPr>
                <w:b/>
                <w:sz w:val="16"/>
                <w:szCs w:val="16"/>
              </w:rPr>
              <w:t>Used in a WoE approach as supporting study</w:t>
            </w:r>
          </w:p>
        </w:tc>
      </w:tr>
      <w:tr w:rsidR="00233E2A" w14:paraId="27377570" w14:textId="77777777" w:rsidTr="0010403B">
        <w:tc>
          <w:tcPr>
            <w:tcW w:w="1579" w:type="dxa"/>
            <w:shd w:val="clear" w:color="auto" w:fill="auto"/>
          </w:tcPr>
          <w:p w14:paraId="4372135D"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In vitro – rat and human testis microsomes</w:t>
            </w:r>
          </w:p>
        </w:tc>
        <w:tc>
          <w:tcPr>
            <w:tcW w:w="1733" w:type="dxa"/>
            <w:shd w:val="clear" w:color="auto" w:fill="auto"/>
          </w:tcPr>
          <w:p w14:paraId="0A5DB007"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 xml:space="preserve">Inhibitory potencies on rat and human 3β- hydroxysteriod dehydrogenase (3β-HSD) and 17β- hydroxysteroid dehydrogenase type 3 (17β- HSD3) activities. </w:t>
            </w:r>
          </w:p>
          <w:p w14:paraId="4736BCD5"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tc>
        <w:tc>
          <w:tcPr>
            <w:tcW w:w="3758" w:type="dxa"/>
            <w:shd w:val="clear" w:color="auto" w:fill="auto"/>
          </w:tcPr>
          <w:p w14:paraId="19F70B60" w14:textId="77777777" w:rsidR="00233E2A" w:rsidRPr="00D369B9" w:rsidRDefault="00233E2A" w:rsidP="0010403B">
            <w:pPr>
              <w:rPr>
                <w:rFonts w:cs="Arial"/>
                <w:sz w:val="16"/>
                <w:szCs w:val="16"/>
                <w:lang w:eastAsia="en-GB"/>
              </w:rPr>
            </w:pPr>
            <w:r w:rsidRPr="00D369B9">
              <w:rPr>
                <w:rFonts w:cs="Arial"/>
                <w:sz w:val="16"/>
                <w:szCs w:val="16"/>
                <w:lang w:eastAsia="en-GB"/>
              </w:rPr>
              <w:t xml:space="preserve">Effect on synthesis of androgens in vitro at μM concentrations. </w:t>
            </w:r>
          </w:p>
          <w:p w14:paraId="357C2D1B" w14:textId="77777777" w:rsidR="00233E2A" w:rsidRPr="00D369B9" w:rsidRDefault="00233E2A" w:rsidP="0010403B">
            <w:pPr>
              <w:rPr>
                <w:rFonts w:cs="Arial"/>
                <w:sz w:val="16"/>
                <w:szCs w:val="16"/>
                <w:lang w:eastAsia="en-GB"/>
              </w:rPr>
            </w:pPr>
            <w:r w:rsidRPr="00D369B9">
              <w:rPr>
                <w:rFonts w:cs="Arial"/>
                <w:sz w:val="16"/>
                <w:szCs w:val="16"/>
                <w:lang w:eastAsia="en-GB"/>
              </w:rPr>
              <w:t xml:space="preserve">3β-HSD (IC50s)human = 25.5μM </w:t>
            </w:r>
          </w:p>
          <w:p w14:paraId="77DB265E" w14:textId="77777777" w:rsidR="00233E2A" w:rsidRPr="00D369B9" w:rsidRDefault="00233E2A" w:rsidP="0010403B">
            <w:pPr>
              <w:rPr>
                <w:rFonts w:cs="Arial"/>
                <w:sz w:val="16"/>
                <w:szCs w:val="16"/>
                <w:lang w:eastAsia="en-GB"/>
              </w:rPr>
            </w:pPr>
            <w:r w:rsidRPr="00D369B9">
              <w:rPr>
                <w:rFonts w:cs="Arial"/>
                <w:sz w:val="16"/>
                <w:szCs w:val="16"/>
                <w:lang w:eastAsia="en-GB"/>
              </w:rPr>
              <w:t xml:space="preserve">3β-HSD (IC50s)rat = 24.7μM </w:t>
            </w:r>
          </w:p>
          <w:p w14:paraId="2D5BE1E1" w14:textId="77777777" w:rsidR="00233E2A" w:rsidRPr="00D369B9" w:rsidRDefault="00233E2A" w:rsidP="0010403B">
            <w:pPr>
              <w:rPr>
                <w:rFonts w:cs="Arial"/>
                <w:sz w:val="16"/>
                <w:szCs w:val="16"/>
                <w:lang w:eastAsia="en-GB"/>
              </w:rPr>
            </w:pPr>
            <w:r w:rsidRPr="00D369B9">
              <w:rPr>
                <w:rFonts w:cs="Arial"/>
                <w:sz w:val="16"/>
                <w:szCs w:val="16"/>
                <w:lang w:eastAsia="en-GB"/>
              </w:rPr>
              <w:t xml:space="preserve">17β-HSD3 IC50s human = 8.2μM </w:t>
            </w:r>
          </w:p>
          <w:p w14:paraId="38F546C9" w14:textId="77777777" w:rsidR="00233E2A" w:rsidRPr="00D369B9" w:rsidRDefault="00233E2A" w:rsidP="0010403B">
            <w:pPr>
              <w:rPr>
                <w:rFonts w:cs="Arial"/>
                <w:sz w:val="16"/>
                <w:szCs w:val="16"/>
                <w:lang w:eastAsia="en-GB"/>
              </w:rPr>
            </w:pPr>
            <w:r w:rsidRPr="00D369B9">
              <w:rPr>
                <w:rFonts w:cs="Arial"/>
                <w:sz w:val="16"/>
                <w:szCs w:val="16"/>
                <w:lang w:eastAsia="en-GB"/>
              </w:rPr>
              <w:t xml:space="preserve">17β-HSD3 IC50s rat= 9.1μM </w:t>
            </w:r>
          </w:p>
          <w:p w14:paraId="34A962E3" w14:textId="77777777" w:rsidR="00233E2A" w:rsidRPr="00D369B9" w:rsidRDefault="00233E2A" w:rsidP="0010403B">
            <w:pPr>
              <w:rPr>
                <w:rFonts w:cs="Arial"/>
                <w:sz w:val="16"/>
                <w:szCs w:val="16"/>
                <w:lang w:eastAsia="en-GB"/>
              </w:rPr>
            </w:pPr>
            <w:r w:rsidRPr="00D369B9">
              <w:rPr>
                <w:rFonts w:cs="Arial"/>
                <w:sz w:val="16"/>
                <w:szCs w:val="16"/>
                <w:lang w:eastAsia="en-GB"/>
              </w:rPr>
              <w:t>The mode of action of DCHP on 3β-HSD activity was competitive with the substrate pregnelonone but non-competitive with the cofactor NAD+. The mode of action of DCHP on 17β- HSD3 was competitive with the substrate androstenedione but non-competitive with the cofactor NADPH.</w:t>
            </w:r>
          </w:p>
        </w:tc>
        <w:tc>
          <w:tcPr>
            <w:tcW w:w="1407" w:type="dxa"/>
            <w:shd w:val="clear" w:color="auto" w:fill="auto"/>
          </w:tcPr>
          <w:p w14:paraId="61437E72" w14:textId="77777777" w:rsidR="00233E2A" w:rsidRPr="00D369B9" w:rsidRDefault="00233E2A" w:rsidP="0010403B">
            <w:pPr>
              <w:rPr>
                <w:rFonts w:cs="Arial"/>
                <w:sz w:val="16"/>
                <w:szCs w:val="16"/>
                <w:lang w:eastAsia="en-GB"/>
              </w:rPr>
            </w:pPr>
            <w:r w:rsidRPr="00D369B9">
              <w:rPr>
                <w:rFonts w:cs="Arial"/>
                <w:sz w:val="16"/>
                <w:szCs w:val="16"/>
                <w:lang w:eastAsia="en-GB"/>
              </w:rPr>
              <w:t>Article published</w:t>
            </w:r>
          </w:p>
          <w:p w14:paraId="7556CF66" w14:textId="77777777" w:rsidR="00233E2A" w:rsidRPr="00D369B9" w:rsidRDefault="00233E2A" w:rsidP="0010403B">
            <w:pPr>
              <w:rPr>
                <w:rFonts w:cs="Arial"/>
                <w:sz w:val="16"/>
                <w:szCs w:val="16"/>
                <w:lang w:eastAsia="en-GB"/>
              </w:rPr>
            </w:pPr>
          </w:p>
        </w:tc>
        <w:tc>
          <w:tcPr>
            <w:tcW w:w="5699" w:type="dxa"/>
            <w:shd w:val="clear" w:color="auto" w:fill="auto"/>
          </w:tcPr>
          <w:p w14:paraId="1E5F8327" w14:textId="77777777" w:rsidR="00233E2A" w:rsidRPr="00D369B9" w:rsidRDefault="00233E2A" w:rsidP="0010403B">
            <w:pPr>
              <w:rPr>
                <w:rFonts w:cs="Arial"/>
                <w:sz w:val="16"/>
                <w:szCs w:val="16"/>
                <w:lang w:eastAsia="en-GB"/>
              </w:rPr>
            </w:pPr>
            <w:r w:rsidRPr="00D369B9">
              <w:rPr>
                <w:rFonts w:cs="Arial"/>
                <w:sz w:val="16"/>
                <w:szCs w:val="16"/>
                <w:lang w:eastAsia="en-GB"/>
              </w:rPr>
              <w:t xml:space="preserve">Yuan K., Zhao B., Li, X.-W., Hu G.-X.,Su Y., Chu Y., Akingbemi B.T., Lian Q.-Q. &amp; Ge R.-S.  Effects of phthalates on 3β- hydroxysteriod dehydrogenase and 17β- hydroxysteroid dehydrogenase 3 activities in human and rat testes. Chemico-Biological Interactions 195 (2012) 180-188. </w:t>
            </w:r>
          </w:p>
          <w:p w14:paraId="513735D3" w14:textId="77777777" w:rsidR="00233E2A" w:rsidRPr="00D369B9" w:rsidRDefault="00233E2A" w:rsidP="0010403B">
            <w:pPr>
              <w:rPr>
                <w:rFonts w:cs="Arial"/>
                <w:sz w:val="16"/>
                <w:szCs w:val="16"/>
                <w:lang w:eastAsia="en-GB"/>
              </w:rPr>
            </w:pPr>
          </w:p>
          <w:p w14:paraId="4E18C481" w14:textId="77777777" w:rsidR="00233E2A" w:rsidRPr="00D369B9" w:rsidRDefault="00233E2A" w:rsidP="0010403B">
            <w:pPr>
              <w:rPr>
                <w:rFonts w:cs="Arial"/>
                <w:sz w:val="16"/>
                <w:szCs w:val="16"/>
                <w:lang w:eastAsia="en-GB"/>
              </w:rPr>
            </w:pPr>
            <w:r w:rsidRPr="00D369B9">
              <w:rPr>
                <w:rFonts w:cs="Arial"/>
                <w:sz w:val="16"/>
                <w:szCs w:val="16"/>
                <w:lang w:eastAsia="en-GB"/>
              </w:rPr>
              <w:t>Used in a WoE approach as supporting study</w:t>
            </w:r>
          </w:p>
        </w:tc>
      </w:tr>
      <w:tr w:rsidR="00233E2A" w:rsidRPr="00DB7261" w14:paraId="0293BF59" w14:textId="77777777" w:rsidTr="0010403B">
        <w:trPr>
          <w:trHeight w:val="3697"/>
        </w:trPr>
        <w:tc>
          <w:tcPr>
            <w:tcW w:w="1579" w:type="dxa"/>
            <w:shd w:val="clear" w:color="auto" w:fill="auto"/>
          </w:tcPr>
          <w:p w14:paraId="15A104BC"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lastRenderedPageBreak/>
              <w:t>In vitro – receptor binding to human ERα, ERß, and AR.</w:t>
            </w:r>
          </w:p>
        </w:tc>
        <w:tc>
          <w:tcPr>
            <w:tcW w:w="1733" w:type="dxa"/>
            <w:shd w:val="clear" w:color="auto" w:fill="auto"/>
          </w:tcPr>
          <w:p w14:paraId="5D3F58DE"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Chinese Hamster ovary cell line (CHO-K1) transfected with expression vectors for human ERα, ERß, and AR.</w:t>
            </w:r>
          </w:p>
        </w:tc>
        <w:tc>
          <w:tcPr>
            <w:tcW w:w="3758" w:type="dxa"/>
            <w:shd w:val="clear" w:color="auto" w:fill="auto"/>
          </w:tcPr>
          <w:p w14:paraId="62411BCE"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Estrogenic</w:t>
            </w:r>
          </w:p>
          <w:p w14:paraId="76D4A1E6"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Relative effective conc. showing 20% of the agonistic activity of 10-9 M 17ß-estradiol) via ERα was 2.8x10-6 M for DCHP.</w:t>
            </w:r>
          </w:p>
          <w:p w14:paraId="5653DC41"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p w14:paraId="6A359270"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Antiestrogenic</w:t>
            </w:r>
          </w:p>
          <w:p w14:paraId="243FB0F3"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Relative inhibitory conc. showing 20% of the antagonistic activity of 10-10 M 17ß-estradiol(RIC20) via ERß was 2.5x10-6 M for DCHP.</w:t>
            </w:r>
          </w:p>
          <w:p w14:paraId="3A742116"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RIC20 by 10−11M 17ß-estradiol via ERα was 2.8x10-6 M for DCHP.</w:t>
            </w:r>
          </w:p>
          <w:p w14:paraId="1426156C"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p w14:paraId="14108E34"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 xml:space="preserve">No androgenic activity. </w:t>
            </w:r>
          </w:p>
          <w:p w14:paraId="5A2C1CAF"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p w14:paraId="69553D77"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Antiandrogenic</w:t>
            </w:r>
          </w:p>
          <w:p w14:paraId="0623DA8C"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RIC20 of 10-10 M 5α-dihydrotestosterone via AR was 3.8x10-6 M for DCHP.</w:t>
            </w:r>
          </w:p>
          <w:p w14:paraId="2883D7F2"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tc>
        <w:tc>
          <w:tcPr>
            <w:tcW w:w="1407" w:type="dxa"/>
            <w:shd w:val="clear" w:color="auto" w:fill="auto"/>
          </w:tcPr>
          <w:p w14:paraId="65002366"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Article published</w:t>
            </w:r>
          </w:p>
          <w:p w14:paraId="515ADAA4"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tc>
        <w:tc>
          <w:tcPr>
            <w:tcW w:w="5699" w:type="dxa"/>
            <w:shd w:val="clear" w:color="auto" w:fill="auto"/>
          </w:tcPr>
          <w:p w14:paraId="2582B692"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222621">
              <w:rPr>
                <w:rFonts w:asciiTheme="minorHAnsi" w:eastAsiaTheme="minorHAnsi" w:hAnsiTheme="minorHAnsi" w:cstheme="minorBidi"/>
                <w:color w:val="auto"/>
                <w:sz w:val="16"/>
                <w:szCs w:val="16"/>
                <w:lang w:val="fi-FI" w:eastAsia="en-US"/>
              </w:rPr>
              <w:t xml:space="preserve">Takeuchi S., Iida M, Kobayashi S., Jin K., MatsudaT. </w:t>
            </w:r>
            <w:r w:rsidRPr="00D369B9">
              <w:rPr>
                <w:rFonts w:asciiTheme="minorHAnsi" w:eastAsiaTheme="minorHAnsi" w:hAnsiTheme="minorHAnsi" w:cstheme="minorBidi"/>
                <w:color w:val="auto"/>
                <w:sz w:val="16"/>
                <w:szCs w:val="16"/>
                <w:lang w:val="en-GB" w:eastAsia="en-US"/>
              </w:rPr>
              <w:t>&amp; Kojima H. Differential effects of phthalate esters on transcriptional activities via human estrogen receptors α and β, and androgen receptor. Toxicology 210 (2005) 223–233</w:t>
            </w:r>
          </w:p>
          <w:p w14:paraId="22A2D595"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p w14:paraId="5BE88719"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Used in a WoE approach as supporting study</w:t>
            </w:r>
          </w:p>
        </w:tc>
      </w:tr>
      <w:tr w:rsidR="00233E2A" w:rsidRPr="00DB7261" w14:paraId="483A46FA" w14:textId="77777777" w:rsidTr="0010403B">
        <w:tc>
          <w:tcPr>
            <w:tcW w:w="1579" w:type="dxa"/>
            <w:shd w:val="clear" w:color="auto" w:fill="auto"/>
          </w:tcPr>
          <w:p w14:paraId="79207712"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Rat</w:t>
            </w:r>
          </w:p>
        </w:tc>
        <w:tc>
          <w:tcPr>
            <w:tcW w:w="1733" w:type="dxa"/>
            <w:shd w:val="clear" w:color="auto" w:fill="auto"/>
          </w:tcPr>
          <w:p w14:paraId="6D84E127"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Subcutaneous injection – uterotrophic assay in immature females</w:t>
            </w:r>
          </w:p>
        </w:tc>
        <w:tc>
          <w:tcPr>
            <w:tcW w:w="3758" w:type="dxa"/>
            <w:shd w:val="clear" w:color="auto" w:fill="auto"/>
          </w:tcPr>
          <w:p w14:paraId="1DBE906D"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2, 20 and 200 mg/kg/bw and day PND 20-22 – no effects on uterine weight. (No information why higher doses were not tested)</w:t>
            </w:r>
          </w:p>
        </w:tc>
        <w:tc>
          <w:tcPr>
            <w:tcW w:w="1407" w:type="dxa"/>
            <w:shd w:val="clear" w:color="auto" w:fill="auto"/>
          </w:tcPr>
          <w:p w14:paraId="32B777CC"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Article published</w:t>
            </w:r>
          </w:p>
          <w:p w14:paraId="437B8A8D"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tc>
        <w:tc>
          <w:tcPr>
            <w:tcW w:w="5699" w:type="dxa"/>
            <w:shd w:val="clear" w:color="auto" w:fill="auto"/>
          </w:tcPr>
          <w:p w14:paraId="757F1AF6"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Yamasaki K., Takeyoshi M., Yakabe Y., Sawaki M., Imatanaka N. &amp; Takatsuki M. Comparison of reporter gene assay and immature rat uterotrophic assaya of twenty-three chemicals. Toxicology 170:21-30, 2002.</w:t>
            </w:r>
          </w:p>
          <w:p w14:paraId="283A441B"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p>
          <w:p w14:paraId="5E5399A5"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Used in a WoE approach as supporting study</w:t>
            </w:r>
          </w:p>
        </w:tc>
      </w:tr>
      <w:tr w:rsidR="00233E2A" w:rsidRPr="00DB7261" w14:paraId="2CCCEABB" w14:textId="77777777" w:rsidTr="0010403B">
        <w:tc>
          <w:tcPr>
            <w:tcW w:w="1579" w:type="dxa"/>
            <w:shd w:val="clear" w:color="auto" w:fill="auto"/>
          </w:tcPr>
          <w:p w14:paraId="7EC1BE35"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Rat (ovariectomized)</w:t>
            </w:r>
          </w:p>
        </w:tc>
        <w:tc>
          <w:tcPr>
            <w:tcW w:w="1733" w:type="dxa"/>
            <w:shd w:val="clear" w:color="auto" w:fill="auto"/>
          </w:tcPr>
          <w:p w14:paraId="69AAEBD7"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 xml:space="preserve">Oral (forced) </w:t>
            </w:r>
          </w:p>
        </w:tc>
        <w:tc>
          <w:tcPr>
            <w:tcW w:w="3758" w:type="dxa"/>
            <w:shd w:val="clear" w:color="auto" w:fill="auto"/>
          </w:tcPr>
          <w:p w14:paraId="5D268938" w14:textId="77777777" w:rsidR="00233E2A" w:rsidRPr="002F6538" w:rsidRDefault="00233E2A" w:rsidP="0010403B">
            <w:pPr>
              <w:autoSpaceDE w:val="0"/>
              <w:autoSpaceDN w:val="0"/>
              <w:adjustRightInd w:val="0"/>
              <w:rPr>
                <w:sz w:val="16"/>
                <w:szCs w:val="16"/>
              </w:rPr>
            </w:pPr>
            <w:r w:rsidRPr="002F6538">
              <w:rPr>
                <w:sz w:val="16"/>
                <w:szCs w:val="16"/>
              </w:rPr>
              <w:t xml:space="preserve">10, 100, 1,000 mg/kg/day without (estrogenic) and with (antiestrogenic) +ethinyl estradiol 30 </w:t>
            </w:r>
            <w:r w:rsidRPr="002F6538">
              <w:rPr>
                <w:rFonts w:hint="eastAsia"/>
                <w:sz w:val="16"/>
                <w:szCs w:val="16"/>
              </w:rPr>
              <w:t>μ</w:t>
            </w:r>
            <w:r w:rsidRPr="002F6538">
              <w:rPr>
                <w:sz w:val="16"/>
                <w:szCs w:val="16"/>
              </w:rPr>
              <w:t>g/kg/day</w:t>
            </w:r>
          </w:p>
        </w:tc>
        <w:tc>
          <w:tcPr>
            <w:tcW w:w="1407" w:type="dxa"/>
            <w:shd w:val="clear" w:color="auto" w:fill="auto"/>
          </w:tcPr>
          <w:p w14:paraId="2A6B1BB0" w14:textId="77777777" w:rsidR="00233E2A" w:rsidRPr="002F6538" w:rsidRDefault="00233E2A" w:rsidP="0010403B">
            <w:pPr>
              <w:rPr>
                <w:sz w:val="16"/>
                <w:szCs w:val="16"/>
              </w:rPr>
            </w:pPr>
            <w:r w:rsidRPr="002F6538">
              <w:rPr>
                <w:sz w:val="16"/>
                <w:szCs w:val="16"/>
              </w:rPr>
              <w:t>Results summarised in a report</w:t>
            </w:r>
          </w:p>
        </w:tc>
        <w:tc>
          <w:tcPr>
            <w:tcW w:w="5699" w:type="dxa"/>
            <w:shd w:val="clear" w:color="auto" w:fill="auto"/>
          </w:tcPr>
          <w:p w14:paraId="6A11E974" w14:textId="77777777" w:rsidR="00233E2A" w:rsidRPr="002F6538" w:rsidRDefault="00233E2A" w:rsidP="0010403B">
            <w:pPr>
              <w:rPr>
                <w:sz w:val="16"/>
                <w:szCs w:val="16"/>
              </w:rPr>
            </w:pPr>
            <w:r w:rsidRPr="002F6538">
              <w:rPr>
                <w:sz w:val="16"/>
                <w:szCs w:val="16"/>
              </w:rPr>
              <w:t>Uterotrophic assay – as presented in Table 3-4 page 36 in METI (2002): Current Status of Testing Methods Development for Endocrine Disrupters, Minsitry of Economy, Trade and Industry, Japan.</w:t>
            </w:r>
          </w:p>
          <w:p w14:paraId="4C360206" w14:textId="77777777" w:rsidR="00233E2A" w:rsidRPr="00D369B9" w:rsidRDefault="00233E2A" w:rsidP="0010403B">
            <w:pPr>
              <w:rPr>
                <w:sz w:val="16"/>
                <w:szCs w:val="16"/>
              </w:rPr>
            </w:pPr>
            <w:r w:rsidRPr="00D369B9">
              <w:rPr>
                <w:sz w:val="16"/>
                <w:szCs w:val="16"/>
              </w:rPr>
              <w:t xml:space="preserve">Available at: </w:t>
            </w:r>
            <w:hyperlink r:id="rId57" w:history="1">
              <w:r w:rsidRPr="00C643E6">
                <w:rPr>
                  <w:sz w:val="16"/>
                  <w:szCs w:val="16"/>
                </w:rPr>
                <w:t>http://www.meti.go.jp/english/report/data/gEndoctexte.pdf</w:t>
              </w:r>
            </w:hyperlink>
            <w:r w:rsidRPr="00D369B9">
              <w:rPr>
                <w:sz w:val="16"/>
                <w:szCs w:val="16"/>
              </w:rPr>
              <w:t xml:space="preserve"> </w:t>
            </w:r>
          </w:p>
          <w:p w14:paraId="4EF875D2" w14:textId="77777777" w:rsidR="00233E2A" w:rsidRPr="00D369B9" w:rsidRDefault="00233E2A" w:rsidP="0010403B">
            <w:pPr>
              <w:pStyle w:val="Default"/>
              <w:widowControl w:val="0"/>
              <w:rPr>
                <w:rFonts w:asciiTheme="minorHAnsi" w:eastAsiaTheme="minorHAnsi" w:hAnsiTheme="minorHAnsi" w:cstheme="minorBidi"/>
                <w:color w:val="auto"/>
                <w:sz w:val="16"/>
                <w:szCs w:val="16"/>
                <w:lang w:val="en-GB" w:eastAsia="en-US"/>
              </w:rPr>
            </w:pPr>
            <w:r w:rsidRPr="00D369B9">
              <w:rPr>
                <w:rFonts w:asciiTheme="minorHAnsi" w:eastAsiaTheme="minorHAnsi" w:hAnsiTheme="minorHAnsi" w:cstheme="minorBidi"/>
                <w:color w:val="auto"/>
                <w:sz w:val="16"/>
                <w:szCs w:val="16"/>
                <w:lang w:val="en-GB" w:eastAsia="en-US"/>
              </w:rPr>
              <w:t>Used in a WoE approach as supporting study</w:t>
            </w:r>
          </w:p>
        </w:tc>
      </w:tr>
    </w:tbl>
    <w:p w14:paraId="4C55E1EC" w14:textId="77777777" w:rsidR="00233E2A" w:rsidRDefault="00233E2A" w:rsidP="00233E2A">
      <w:pPr>
        <w:pStyle w:val="BodyText"/>
      </w:pPr>
    </w:p>
    <w:p w14:paraId="15C8FA59" w14:textId="77777777" w:rsidR="00233E2A" w:rsidRDefault="00233E2A" w:rsidP="00233E2A">
      <w:pPr>
        <w:pStyle w:val="BodyText"/>
      </w:pPr>
    </w:p>
    <w:p w14:paraId="5A38D31D" w14:textId="77777777" w:rsidR="00233E2A" w:rsidRDefault="00233E2A" w:rsidP="00233E2A">
      <w:pPr>
        <w:pStyle w:val="BodyText"/>
      </w:pPr>
    </w:p>
    <w:p w14:paraId="5107F4DF" w14:textId="77777777" w:rsidR="00233E2A" w:rsidRDefault="00233E2A" w:rsidP="00233E2A">
      <w:pPr>
        <w:pStyle w:val="BodyText"/>
      </w:pPr>
    </w:p>
    <w:p w14:paraId="3949FA16" w14:textId="77777777" w:rsidR="00233E2A" w:rsidRDefault="00233E2A" w:rsidP="00233E2A">
      <w:pPr>
        <w:pStyle w:val="BodyText"/>
      </w:pPr>
    </w:p>
    <w:p w14:paraId="660BE71F" w14:textId="77777777" w:rsidR="00233E2A" w:rsidRDefault="00233E2A" w:rsidP="00233E2A">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44"/>
        <w:gridCol w:w="3214"/>
        <w:gridCol w:w="1130"/>
        <w:gridCol w:w="6524"/>
      </w:tblGrid>
      <w:tr w:rsidR="00233E2A" w:rsidRPr="00DB7261" w14:paraId="57DA7B0C" w14:textId="77777777" w:rsidTr="0010403B">
        <w:tc>
          <w:tcPr>
            <w:tcW w:w="14174" w:type="dxa"/>
            <w:gridSpan w:val="5"/>
            <w:shd w:val="clear" w:color="auto" w:fill="0070C0"/>
          </w:tcPr>
          <w:p w14:paraId="71AE74E3" w14:textId="77777777" w:rsidR="00233E2A" w:rsidRPr="002F6538" w:rsidRDefault="00233E2A" w:rsidP="0010403B">
            <w:pPr>
              <w:rPr>
                <w:b/>
                <w:sz w:val="16"/>
                <w:szCs w:val="16"/>
              </w:rPr>
            </w:pPr>
          </w:p>
          <w:p w14:paraId="4CC7267E" w14:textId="77777777" w:rsidR="00233E2A" w:rsidRPr="002F6538" w:rsidRDefault="00233E2A" w:rsidP="0010403B">
            <w:pPr>
              <w:jc w:val="center"/>
              <w:rPr>
                <w:b/>
                <w:color w:val="FFFFFF"/>
              </w:rPr>
            </w:pPr>
            <w:r w:rsidRPr="002F6538">
              <w:rPr>
                <w:b/>
                <w:color w:val="FFFFFF"/>
              </w:rPr>
              <w:t>Dibutyl phthalate and other phthalates</w:t>
            </w:r>
          </w:p>
          <w:p w14:paraId="0F1C9DB2" w14:textId="77777777" w:rsidR="00233E2A" w:rsidRPr="002F6538" w:rsidRDefault="00233E2A" w:rsidP="0010403B">
            <w:pPr>
              <w:rPr>
                <w:b/>
                <w:sz w:val="16"/>
                <w:szCs w:val="16"/>
              </w:rPr>
            </w:pPr>
          </w:p>
        </w:tc>
      </w:tr>
      <w:tr w:rsidR="00233E2A" w14:paraId="211399F6" w14:textId="77777777" w:rsidTr="0010403B">
        <w:tc>
          <w:tcPr>
            <w:tcW w:w="1553" w:type="dxa"/>
            <w:shd w:val="clear" w:color="auto" w:fill="auto"/>
          </w:tcPr>
          <w:p w14:paraId="73AF5CD7" w14:textId="77777777" w:rsidR="00233E2A" w:rsidRPr="002F6538" w:rsidRDefault="00233E2A" w:rsidP="0010403B">
            <w:pPr>
              <w:tabs>
                <w:tab w:val="left" w:pos="856"/>
              </w:tabs>
              <w:rPr>
                <w:sz w:val="16"/>
                <w:szCs w:val="16"/>
              </w:rPr>
            </w:pPr>
            <w:r w:rsidRPr="002F6538">
              <w:rPr>
                <w:sz w:val="16"/>
                <w:szCs w:val="16"/>
              </w:rPr>
              <w:t>Rat</w:t>
            </w:r>
            <w:r w:rsidRPr="002F6538">
              <w:rPr>
                <w:sz w:val="16"/>
                <w:szCs w:val="16"/>
              </w:rPr>
              <w:tab/>
            </w:r>
          </w:p>
        </w:tc>
        <w:tc>
          <w:tcPr>
            <w:tcW w:w="1593" w:type="dxa"/>
            <w:shd w:val="clear" w:color="auto" w:fill="auto"/>
          </w:tcPr>
          <w:p w14:paraId="29898A02" w14:textId="77777777" w:rsidR="00233E2A" w:rsidRPr="002F6538" w:rsidRDefault="00233E2A" w:rsidP="0010403B">
            <w:pPr>
              <w:rPr>
                <w:sz w:val="16"/>
                <w:szCs w:val="16"/>
              </w:rPr>
            </w:pPr>
            <w:r w:rsidRPr="002F6538">
              <w:rPr>
                <w:sz w:val="16"/>
                <w:szCs w:val="16"/>
              </w:rPr>
              <w:t>Oral</w:t>
            </w:r>
          </w:p>
        </w:tc>
        <w:tc>
          <w:tcPr>
            <w:tcW w:w="3358" w:type="dxa"/>
            <w:shd w:val="clear" w:color="auto" w:fill="auto"/>
          </w:tcPr>
          <w:p w14:paraId="1C8049C4" w14:textId="77777777" w:rsidR="00233E2A" w:rsidRPr="002F6538" w:rsidRDefault="00233E2A" w:rsidP="0010403B">
            <w:pPr>
              <w:rPr>
                <w:sz w:val="16"/>
                <w:szCs w:val="16"/>
              </w:rPr>
            </w:pPr>
            <w:r w:rsidRPr="002F6538">
              <w:rPr>
                <w:rFonts w:cs="Arial"/>
                <w:sz w:val="16"/>
                <w:szCs w:val="16"/>
                <w:lang w:eastAsia="en-GB"/>
              </w:rPr>
              <w:t>Supportive data from other phthalates (DBP) link fetal testosterone insufficiency and abnormal proliferation of Leydig cells in rats</w:t>
            </w:r>
          </w:p>
        </w:tc>
        <w:tc>
          <w:tcPr>
            <w:tcW w:w="1146" w:type="dxa"/>
            <w:shd w:val="clear" w:color="auto" w:fill="auto"/>
          </w:tcPr>
          <w:p w14:paraId="009AB248" w14:textId="77777777" w:rsidR="00233E2A" w:rsidRPr="002F6538" w:rsidRDefault="00233E2A" w:rsidP="0010403B">
            <w:pPr>
              <w:rPr>
                <w:sz w:val="16"/>
                <w:szCs w:val="16"/>
              </w:rPr>
            </w:pPr>
          </w:p>
        </w:tc>
        <w:tc>
          <w:tcPr>
            <w:tcW w:w="6524" w:type="dxa"/>
            <w:shd w:val="clear" w:color="auto" w:fill="auto"/>
          </w:tcPr>
          <w:p w14:paraId="49B631F9" w14:textId="77777777" w:rsidR="00233E2A" w:rsidRPr="002F6538" w:rsidRDefault="00233E2A" w:rsidP="0010403B">
            <w:pPr>
              <w:rPr>
                <w:rFonts w:cs="Arial"/>
                <w:sz w:val="16"/>
                <w:szCs w:val="16"/>
                <w:lang w:eastAsia="en-GB"/>
              </w:rPr>
            </w:pPr>
            <w:r w:rsidRPr="002F6538">
              <w:rPr>
                <w:rFonts w:cs="Arial"/>
                <w:sz w:val="16"/>
                <w:szCs w:val="16"/>
                <w:lang w:eastAsia="en-GB"/>
              </w:rPr>
              <w:t>Mylchreest E</w:t>
            </w:r>
            <w:r>
              <w:rPr>
                <w:rFonts w:cs="Arial"/>
                <w:sz w:val="16"/>
                <w:szCs w:val="16"/>
                <w:lang w:eastAsia="en-GB"/>
              </w:rPr>
              <w:t>.</w:t>
            </w:r>
            <w:r w:rsidRPr="002F6538">
              <w:rPr>
                <w:rFonts w:cs="Arial"/>
                <w:sz w:val="16"/>
                <w:szCs w:val="16"/>
                <w:lang w:eastAsia="en-GB"/>
              </w:rPr>
              <w:t>, Madhabananda S</w:t>
            </w:r>
            <w:r>
              <w:rPr>
                <w:rFonts w:cs="Arial"/>
                <w:sz w:val="16"/>
                <w:szCs w:val="16"/>
                <w:lang w:eastAsia="en-GB"/>
              </w:rPr>
              <w:t>.</w:t>
            </w:r>
            <w:r w:rsidRPr="002F6538">
              <w:rPr>
                <w:rFonts w:cs="Arial"/>
                <w:sz w:val="16"/>
                <w:szCs w:val="16"/>
                <w:lang w:eastAsia="en-GB"/>
              </w:rPr>
              <w:t>, Wallace D. G</w:t>
            </w:r>
            <w:r>
              <w:rPr>
                <w:rFonts w:cs="Arial"/>
                <w:sz w:val="16"/>
                <w:szCs w:val="16"/>
                <w:lang w:eastAsia="en-GB"/>
              </w:rPr>
              <w:t>. &amp;</w:t>
            </w:r>
            <w:r w:rsidRPr="002F6538">
              <w:rPr>
                <w:rFonts w:cs="Arial"/>
                <w:sz w:val="16"/>
                <w:szCs w:val="16"/>
                <w:lang w:eastAsia="en-GB"/>
              </w:rPr>
              <w:t xml:space="preserve"> Foster P.</w:t>
            </w:r>
            <w:r w:rsidRPr="002F6538">
              <w:rPr>
                <w:rFonts w:cs="Arial"/>
                <w:i/>
                <w:sz w:val="16"/>
                <w:szCs w:val="16"/>
                <w:lang w:eastAsia="en-GB"/>
              </w:rPr>
              <w:t xml:space="preserve"> Fetal testosterone insufficiency and abnormal proliferation of Leydig cells and gonocytes in rats exposed to di(n-butyl)phthalate</w:t>
            </w:r>
            <w:r>
              <w:rPr>
                <w:rFonts w:cs="Arial"/>
                <w:i/>
                <w:sz w:val="16"/>
                <w:szCs w:val="16"/>
                <w:lang w:eastAsia="en-GB"/>
              </w:rPr>
              <w:t>.</w:t>
            </w:r>
            <w:r w:rsidRPr="00FB4E33">
              <w:t xml:space="preserve"> </w:t>
            </w:r>
            <w:r w:rsidRPr="002F6538">
              <w:rPr>
                <w:rFonts w:cs="Arial"/>
                <w:sz w:val="16"/>
                <w:szCs w:val="16"/>
                <w:lang w:eastAsia="en-GB"/>
              </w:rPr>
              <w:t>Reprod Toxicol. 2002 Jan-Feb;16(1):19-28.</w:t>
            </w:r>
          </w:p>
          <w:p w14:paraId="6DA7F1AD" w14:textId="77777777" w:rsidR="00233E2A" w:rsidRPr="002F6538" w:rsidRDefault="00233E2A" w:rsidP="0010403B">
            <w:pPr>
              <w:rPr>
                <w:sz w:val="16"/>
                <w:szCs w:val="16"/>
              </w:rPr>
            </w:pPr>
          </w:p>
          <w:p w14:paraId="5EEF6571" w14:textId="77777777" w:rsidR="00233E2A" w:rsidRPr="002F6538" w:rsidRDefault="00233E2A" w:rsidP="0010403B">
            <w:pPr>
              <w:rPr>
                <w:b/>
                <w:sz w:val="16"/>
                <w:szCs w:val="16"/>
              </w:rPr>
            </w:pPr>
            <w:r w:rsidRPr="002F6538">
              <w:rPr>
                <w:b/>
                <w:sz w:val="16"/>
                <w:szCs w:val="16"/>
              </w:rPr>
              <w:t>Used in a WoE approach as supporting study</w:t>
            </w:r>
          </w:p>
        </w:tc>
      </w:tr>
      <w:tr w:rsidR="00233E2A" w14:paraId="61B6FE49" w14:textId="77777777" w:rsidTr="0010403B">
        <w:tc>
          <w:tcPr>
            <w:tcW w:w="1553" w:type="dxa"/>
            <w:shd w:val="clear" w:color="auto" w:fill="auto"/>
          </w:tcPr>
          <w:p w14:paraId="08063A27" w14:textId="77777777" w:rsidR="00233E2A" w:rsidRPr="002F6538" w:rsidRDefault="00233E2A" w:rsidP="0010403B">
            <w:pPr>
              <w:rPr>
                <w:sz w:val="16"/>
                <w:szCs w:val="16"/>
              </w:rPr>
            </w:pPr>
            <w:r w:rsidRPr="002F6538">
              <w:rPr>
                <w:sz w:val="16"/>
                <w:szCs w:val="16"/>
              </w:rPr>
              <w:t xml:space="preserve">Rat and </w:t>
            </w:r>
            <w:r w:rsidRPr="005A120C">
              <w:rPr>
                <w:i/>
                <w:sz w:val="16"/>
                <w:szCs w:val="16"/>
              </w:rPr>
              <w:t>in vitro</w:t>
            </w:r>
          </w:p>
        </w:tc>
        <w:tc>
          <w:tcPr>
            <w:tcW w:w="1593" w:type="dxa"/>
            <w:shd w:val="clear" w:color="auto" w:fill="auto"/>
          </w:tcPr>
          <w:p w14:paraId="71F19E17" w14:textId="77777777" w:rsidR="00233E2A" w:rsidRPr="002F6538" w:rsidRDefault="00233E2A" w:rsidP="0010403B">
            <w:pPr>
              <w:rPr>
                <w:sz w:val="16"/>
                <w:szCs w:val="16"/>
              </w:rPr>
            </w:pPr>
          </w:p>
        </w:tc>
        <w:tc>
          <w:tcPr>
            <w:tcW w:w="3358" w:type="dxa"/>
            <w:shd w:val="clear" w:color="auto" w:fill="auto"/>
          </w:tcPr>
          <w:p w14:paraId="5D4AD3D6" w14:textId="77777777" w:rsidR="00233E2A" w:rsidRPr="002F6538" w:rsidRDefault="00233E2A" w:rsidP="0010403B">
            <w:pPr>
              <w:rPr>
                <w:sz w:val="16"/>
                <w:szCs w:val="16"/>
              </w:rPr>
            </w:pPr>
            <w:r w:rsidRPr="002F6538">
              <w:rPr>
                <w:rFonts w:cs="Arial"/>
                <w:sz w:val="16"/>
                <w:szCs w:val="16"/>
                <w:lang w:eastAsia="en-GB"/>
              </w:rPr>
              <w:t>Leydig  and Sertoli cells as a target for phthalates</w:t>
            </w:r>
          </w:p>
        </w:tc>
        <w:tc>
          <w:tcPr>
            <w:tcW w:w="1146" w:type="dxa"/>
            <w:shd w:val="clear" w:color="auto" w:fill="auto"/>
          </w:tcPr>
          <w:p w14:paraId="1AAD9FC5" w14:textId="77777777" w:rsidR="00233E2A" w:rsidRPr="002F6538" w:rsidRDefault="00233E2A" w:rsidP="0010403B">
            <w:pPr>
              <w:rPr>
                <w:sz w:val="16"/>
                <w:szCs w:val="16"/>
              </w:rPr>
            </w:pPr>
            <w:r w:rsidRPr="002F6538">
              <w:rPr>
                <w:sz w:val="16"/>
                <w:szCs w:val="16"/>
              </w:rPr>
              <w:t>Abstract only available</w:t>
            </w:r>
          </w:p>
        </w:tc>
        <w:tc>
          <w:tcPr>
            <w:tcW w:w="6524" w:type="dxa"/>
            <w:shd w:val="clear" w:color="auto" w:fill="auto"/>
          </w:tcPr>
          <w:p w14:paraId="11D7190B" w14:textId="77777777" w:rsidR="00233E2A" w:rsidRPr="002F6538" w:rsidRDefault="00233E2A" w:rsidP="0010403B">
            <w:pPr>
              <w:rPr>
                <w:rFonts w:cs="Arial"/>
                <w:sz w:val="16"/>
                <w:szCs w:val="16"/>
                <w:lang w:eastAsia="en-GB"/>
              </w:rPr>
            </w:pPr>
            <w:r w:rsidRPr="00B21086">
              <w:rPr>
                <w:rFonts w:cs="Arial"/>
                <w:sz w:val="16"/>
                <w:szCs w:val="16"/>
                <w:lang w:eastAsia="en-GB"/>
              </w:rPr>
              <w:t>Jones H.B., Garside D.A., Liu R. &amp;</w:t>
            </w:r>
            <w:r w:rsidRPr="00B70319">
              <w:rPr>
                <w:rFonts w:cs="Arial"/>
                <w:sz w:val="16"/>
                <w:szCs w:val="16"/>
                <w:lang w:eastAsia="en-GB"/>
              </w:rPr>
              <w:t xml:space="preserve"> </w:t>
            </w:r>
            <w:r w:rsidRPr="002F6538">
              <w:rPr>
                <w:rFonts w:cs="Arial"/>
                <w:sz w:val="16"/>
                <w:szCs w:val="16"/>
                <w:lang w:eastAsia="en-GB"/>
              </w:rPr>
              <w:t>Roberts J</w:t>
            </w:r>
            <w:r>
              <w:rPr>
                <w:rFonts w:cs="Arial"/>
                <w:sz w:val="16"/>
                <w:szCs w:val="16"/>
                <w:lang w:eastAsia="en-GB"/>
              </w:rPr>
              <w:t>.</w:t>
            </w:r>
            <w:r w:rsidRPr="002F6538">
              <w:rPr>
                <w:rFonts w:cs="Arial"/>
                <w:sz w:val="16"/>
                <w:szCs w:val="16"/>
                <w:lang w:eastAsia="en-GB"/>
              </w:rPr>
              <w:t>C.</w:t>
            </w:r>
            <w:r w:rsidRPr="00FB4E33">
              <w:t xml:space="preserve"> </w:t>
            </w:r>
            <w:r w:rsidRPr="002F6538">
              <w:rPr>
                <w:rFonts w:cs="Arial"/>
                <w:i/>
                <w:sz w:val="16"/>
                <w:szCs w:val="16"/>
                <w:lang w:eastAsia="en-GB"/>
              </w:rPr>
              <w:t>The influence of phthalate esters on Leydig cell structure and function in vitro and in vivo</w:t>
            </w:r>
            <w:r>
              <w:rPr>
                <w:rFonts w:cs="Arial"/>
                <w:i/>
                <w:sz w:val="16"/>
                <w:szCs w:val="16"/>
                <w:lang w:eastAsia="en-GB"/>
              </w:rPr>
              <w:t xml:space="preserve">. </w:t>
            </w:r>
            <w:r w:rsidRPr="002F6538">
              <w:rPr>
                <w:rFonts w:cs="Arial"/>
                <w:sz w:val="16"/>
                <w:szCs w:val="16"/>
                <w:lang w:eastAsia="en-GB"/>
              </w:rPr>
              <w:t>Experimental Molecular Pathology, 1993,</w:t>
            </w:r>
            <w:r>
              <w:rPr>
                <w:rFonts w:cs="Arial"/>
                <w:sz w:val="16"/>
                <w:szCs w:val="16"/>
                <w:lang w:eastAsia="en-GB"/>
              </w:rPr>
              <w:t xml:space="preserve"> </w:t>
            </w:r>
            <w:r w:rsidRPr="002F6538">
              <w:rPr>
                <w:rFonts w:cs="Arial"/>
                <w:sz w:val="16"/>
                <w:szCs w:val="16"/>
                <w:lang w:eastAsia="en-GB"/>
              </w:rPr>
              <w:t>58(3):179-93</w:t>
            </w:r>
          </w:p>
          <w:p w14:paraId="03E8719F" w14:textId="77777777" w:rsidR="00233E2A" w:rsidRPr="002F6538" w:rsidRDefault="00233E2A" w:rsidP="0010403B">
            <w:pPr>
              <w:rPr>
                <w:sz w:val="16"/>
                <w:szCs w:val="16"/>
              </w:rPr>
            </w:pPr>
          </w:p>
          <w:p w14:paraId="075BA433" w14:textId="77777777" w:rsidR="00233E2A" w:rsidRPr="002F6538" w:rsidRDefault="00233E2A" w:rsidP="0010403B">
            <w:pPr>
              <w:rPr>
                <w:b/>
                <w:sz w:val="16"/>
                <w:szCs w:val="16"/>
              </w:rPr>
            </w:pPr>
            <w:r w:rsidRPr="002F6538">
              <w:rPr>
                <w:b/>
                <w:sz w:val="16"/>
                <w:szCs w:val="16"/>
              </w:rPr>
              <w:t>Used in a WoE approach as supporting study</w:t>
            </w:r>
          </w:p>
        </w:tc>
      </w:tr>
      <w:tr w:rsidR="00233E2A" w14:paraId="4737DFBF" w14:textId="77777777" w:rsidTr="0010403B">
        <w:tc>
          <w:tcPr>
            <w:tcW w:w="1553" w:type="dxa"/>
            <w:shd w:val="clear" w:color="auto" w:fill="auto"/>
          </w:tcPr>
          <w:p w14:paraId="4446147B" w14:textId="77777777" w:rsidR="00233E2A" w:rsidRPr="002F6538" w:rsidRDefault="00233E2A" w:rsidP="0010403B">
            <w:pPr>
              <w:rPr>
                <w:sz w:val="16"/>
                <w:szCs w:val="16"/>
              </w:rPr>
            </w:pPr>
            <w:r w:rsidRPr="002F6538">
              <w:rPr>
                <w:rFonts w:cs="Arial"/>
                <w:sz w:val="16"/>
                <w:szCs w:val="16"/>
                <w:lang w:eastAsia="en-GB"/>
              </w:rPr>
              <w:t xml:space="preserve">Human and rat fetal testes, that </w:t>
            </w:r>
            <w:r w:rsidRPr="002F6538">
              <w:rPr>
                <w:rFonts w:cs="Arial"/>
                <w:sz w:val="16"/>
                <w:szCs w:val="16"/>
              </w:rPr>
              <w:t>were xenografted into castrate male nude mice</w:t>
            </w:r>
          </w:p>
        </w:tc>
        <w:tc>
          <w:tcPr>
            <w:tcW w:w="1593" w:type="dxa"/>
            <w:shd w:val="clear" w:color="auto" w:fill="auto"/>
          </w:tcPr>
          <w:p w14:paraId="4F8C83FB" w14:textId="77777777" w:rsidR="00233E2A" w:rsidRPr="002F6538" w:rsidRDefault="00233E2A" w:rsidP="0010403B">
            <w:pPr>
              <w:rPr>
                <w:sz w:val="16"/>
                <w:szCs w:val="16"/>
              </w:rPr>
            </w:pPr>
            <w:r w:rsidRPr="002F6538">
              <w:rPr>
                <w:sz w:val="16"/>
                <w:szCs w:val="16"/>
              </w:rPr>
              <w:t>Oral</w:t>
            </w:r>
          </w:p>
        </w:tc>
        <w:tc>
          <w:tcPr>
            <w:tcW w:w="3358" w:type="dxa"/>
            <w:shd w:val="clear" w:color="auto" w:fill="auto"/>
          </w:tcPr>
          <w:p w14:paraId="5CB01118" w14:textId="77777777" w:rsidR="00233E2A" w:rsidRPr="002F6538" w:rsidRDefault="00233E2A" w:rsidP="0010403B">
            <w:pPr>
              <w:rPr>
                <w:sz w:val="16"/>
                <w:szCs w:val="16"/>
              </w:rPr>
            </w:pPr>
            <w:r w:rsidRPr="002F6538">
              <w:rPr>
                <w:rFonts w:cs="Arial"/>
                <w:sz w:val="16"/>
                <w:szCs w:val="16"/>
              </w:rPr>
              <w:t>Dibutylphthalate produced no effects in testosterone production in human fetal testes compared to rat fetal testis xenografts</w:t>
            </w:r>
          </w:p>
        </w:tc>
        <w:tc>
          <w:tcPr>
            <w:tcW w:w="1146" w:type="dxa"/>
            <w:shd w:val="clear" w:color="auto" w:fill="auto"/>
          </w:tcPr>
          <w:p w14:paraId="698CA88C" w14:textId="77777777" w:rsidR="00233E2A" w:rsidRPr="002F6538" w:rsidRDefault="00233E2A" w:rsidP="0010403B">
            <w:pPr>
              <w:rPr>
                <w:sz w:val="16"/>
                <w:szCs w:val="16"/>
              </w:rPr>
            </w:pPr>
            <w:r w:rsidRPr="002F6538">
              <w:rPr>
                <w:sz w:val="16"/>
                <w:szCs w:val="16"/>
              </w:rPr>
              <w:t>Article publisched</w:t>
            </w:r>
          </w:p>
          <w:p w14:paraId="542AF31A" w14:textId="77777777" w:rsidR="00233E2A" w:rsidRPr="002F6538" w:rsidRDefault="00233E2A" w:rsidP="0010403B">
            <w:pPr>
              <w:rPr>
                <w:sz w:val="16"/>
                <w:szCs w:val="16"/>
              </w:rPr>
            </w:pPr>
          </w:p>
        </w:tc>
        <w:tc>
          <w:tcPr>
            <w:tcW w:w="6524" w:type="dxa"/>
            <w:shd w:val="clear" w:color="auto" w:fill="auto"/>
          </w:tcPr>
          <w:p w14:paraId="0EBD0A09" w14:textId="77777777" w:rsidR="00233E2A" w:rsidRPr="002F6538" w:rsidRDefault="00233E2A" w:rsidP="0010403B">
            <w:pPr>
              <w:rPr>
                <w:sz w:val="16"/>
                <w:szCs w:val="16"/>
              </w:rPr>
            </w:pPr>
            <w:r w:rsidRPr="002F6538">
              <w:rPr>
                <w:sz w:val="16"/>
                <w:szCs w:val="16"/>
              </w:rPr>
              <w:t>Mitchell R</w:t>
            </w:r>
            <w:r>
              <w:rPr>
                <w:sz w:val="16"/>
                <w:szCs w:val="16"/>
              </w:rPr>
              <w:t>.</w:t>
            </w:r>
            <w:r w:rsidRPr="002F6538">
              <w:rPr>
                <w:sz w:val="16"/>
                <w:szCs w:val="16"/>
              </w:rPr>
              <w:t>T</w:t>
            </w:r>
            <w:r>
              <w:rPr>
                <w:sz w:val="16"/>
                <w:szCs w:val="16"/>
              </w:rPr>
              <w:t>.</w:t>
            </w:r>
            <w:r w:rsidRPr="002F6538">
              <w:rPr>
                <w:sz w:val="16"/>
                <w:szCs w:val="16"/>
              </w:rPr>
              <w:t>, Childs A</w:t>
            </w:r>
            <w:r>
              <w:rPr>
                <w:sz w:val="16"/>
                <w:szCs w:val="16"/>
              </w:rPr>
              <w:t>.</w:t>
            </w:r>
            <w:r w:rsidRPr="002F6538">
              <w:rPr>
                <w:sz w:val="16"/>
                <w:szCs w:val="16"/>
              </w:rPr>
              <w:t>J</w:t>
            </w:r>
            <w:r>
              <w:rPr>
                <w:sz w:val="16"/>
                <w:szCs w:val="16"/>
              </w:rPr>
              <w:t>.</w:t>
            </w:r>
            <w:r w:rsidRPr="002F6538">
              <w:rPr>
                <w:sz w:val="16"/>
                <w:szCs w:val="16"/>
              </w:rPr>
              <w:t>, Anderson R</w:t>
            </w:r>
            <w:r>
              <w:rPr>
                <w:sz w:val="16"/>
                <w:szCs w:val="16"/>
              </w:rPr>
              <w:t>.</w:t>
            </w:r>
            <w:r w:rsidRPr="002F6538">
              <w:rPr>
                <w:sz w:val="16"/>
                <w:szCs w:val="16"/>
              </w:rPr>
              <w:t>A</w:t>
            </w:r>
            <w:r>
              <w:rPr>
                <w:sz w:val="16"/>
                <w:szCs w:val="16"/>
              </w:rPr>
              <w:t>.</w:t>
            </w:r>
            <w:r w:rsidRPr="002F6538">
              <w:rPr>
                <w:sz w:val="16"/>
                <w:szCs w:val="16"/>
              </w:rPr>
              <w:t>, van den Driesche S</w:t>
            </w:r>
            <w:r>
              <w:rPr>
                <w:sz w:val="16"/>
                <w:szCs w:val="16"/>
              </w:rPr>
              <w:t>.</w:t>
            </w:r>
            <w:r w:rsidRPr="002F6538">
              <w:rPr>
                <w:sz w:val="16"/>
                <w:szCs w:val="16"/>
              </w:rPr>
              <w:t>, Saunders P</w:t>
            </w:r>
            <w:r>
              <w:rPr>
                <w:sz w:val="16"/>
                <w:szCs w:val="16"/>
              </w:rPr>
              <w:t>.</w:t>
            </w:r>
            <w:r w:rsidRPr="002F6538">
              <w:rPr>
                <w:sz w:val="16"/>
                <w:szCs w:val="16"/>
              </w:rPr>
              <w:t>T</w:t>
            </w:r>
            <w:r>
              <w:rPr>
                <w:sz w:val="16"/>
                <w:szCs w:val="16"/>
              </w:rPr>
              <w:t>.</w:t>
            </w:r>
            <w:r w:rsidRPr="002F6538">
              <w:rPr>
                <w:sz w:val="16"/>
                <w:szCs w:val="16"/>
              </w:rPr>
              <w:t>, McKinnell C</w:t>
            </w:r>
            <w:r>
              <w:rPr>
                <w:sz w:val="16"/>
                <w:szCs w:val="16"/>
              </w:rPr>
              <w:t>.</w:t>
            </w:r>
            <w:r w:rsidRPr="002F6538">
              <w:rPr>
                <w:sz w:val="16"/>
                <w:szCs w:val="16"/>
              </w:rPr>
              <w:t>, Wallace W</w:t>
            </w:r>
            <w:r>
              <w:rPr>
                <w:sz w:val="16"/>
                <w:szCs w:val="16"/>
              </w:rPr>
              <w:t>.</w:t>
            </w:r>
            <w:r w:rsidRPr="002F6538">
              <w:rPr>
                <w:sz w:val="16"/>
                <w:szCs w:val="16"/>
              </w:rPr>
              <w:t>H</w:t>
            </w:r>
            <w:r>
              <w:rPr>
                <w:sz w:val="16"/>
                <w:szCs w:val="16"/>
              </w:rPr>
              <w:t>.</w:t>
            </w:r>
            <w:r w:rsidRPr="002F6538">
              <w:rPr>
                <w:sz w:val="16"/>
                <w:szCs w:val="16"/>
              </w:rPr>
              <w:t>, Kelnar C</w:t>
            </w:r>
            <w:r>
              <w:rPr>
                <w:sz w:val="16"/>
                <w:szCs w:val="16"/>
              </w:rPr>
              <w:t>.</w:t>
            </w:r>
            <w:r w:rsidRPr="002F6538">
              <w:rPr>
                <w:sz w:val="16"/>
                <w:szCs w:val="16"/>
              </w:rPr>
              <w:t>J</w:t>
            </w:r>
            <w:r>
              <w:rPr>
                <w:sz w:val="16"/>
                <w:szCs w:val="16"/>
              </w:rPr>
              <w:t>. &amp;</w:t>
            </w:r>
            <w:r w:rsidRPr="002F6538">
              <w:rPr>
                <w:sz w:val="16"/>
                <w:szCs w:val="16"/>
              </w:rPr>
              <w:t xml:space="preserve"> Sharpe R</w:t>
            </w:r>
            <w:r>
              <w:rPr>
                <w:sz w:val="16"/>
                <w:szCs w:val="16"/>
              </w:rPr>
              <w:t>.</w:t>
            </w:r>
            <w:r w:rsidRPr="002F6538">
              <w:rPr>
                <w:sz w:val="16"/>
                <w:szCs w:val="16"/>
              </w:rPr>
              <w:t xml:space="preserve">M. </w:t>
            </w:r>
            <w:r w:rsidRPr="002F6538">
              <w:rPr>
                <w:i/>
                <w:sz w:val="16"/>
                <w:szCs w:val="16"/>
              </w:rPr>
              <w:t>Do phthalates affect steroidogenesis by the human fetal testis? Exposure of human fetal testis xenografts to di-n-butyl phthalate</w:t>
            </w:r>
            <w:r w:rsidRPr="002F6538">
              <w:rPr>
                <w:sz w:val="16"/>
                <w:szCs w:val="16"/>
              </w:rPr>
              <w:t>. Journal of Clinical Endocrinology and Metabolism , 2012, 97(3):E341-8.</w:t>
            </w:r>
          </w:p>
          <w:p w14:paraId="0536A9BB" w14:textId="77777777" w:rsidR="00233E2A" w:rsidRPr="002F6538" w:rsidRDefault="00233E2A" w:rsidP="0010403B">
            <w:pPr>
              <w:rPr>
                <w:rStyle w:val="Hyperlink"/>
                <w:sz w:val="16"/>
                <w:szCs w:val="16"/>
              </w:rPr>
            </w:pPr>
            <w:r w:rsidRPr="002F6538">
              <w:rPr>
                <w:sz w:val="16"/>
                <w:szCs w:val="16"/>
              </w:rPr>
              <w:t xml:space="preserve">Available at: </w:t>
            </w:r>
            <w:hyperlink r:id="rId58" w:history="1">
              <w:r w:rsidRPr="002F6538">
                <w:rPr>
                  <w:rStyle w:val="Hyperlink"/>
                  <w:sz w:val="16"/>
                  <w:szCs w:val="16"/>
                </w:rPr>
                <w:t>http://press.endocrine.org/doi/full/10.1210/jc.2011-2411</w:t>
              </w:r>
            </w:hyperlink>
            <w:r w:rsidRPr="002F6538">
              <w:rPr>
                <w:rStyle w:val="Hyperlink"/>
                <w:sz w:val="16"/>
                <w:szCs w:val="16"/>
              </w:rPr>
              <w:t xml:space="preserve"> </w:t>
            </w:r>
          </w:p>
          <w:p w14:paraId="1D1A0FBA" w14:textId="77777777" w:rsidR="00233E2A" w:rsidRPr="002F6538" w:rsidRDefault="00233E2A" w:rsidP="0010403B">
            <w:pPr>
              <w:rPr>
                <w:rStyle w:val="Hyperlink"/>
                <w:sz w:val="16"/>
                <w:szCs w:val="16"/>
              </w:rPr>
            </w:pPr>
          </w:p>
          <w:p w14:paraId="0BDA0D2B" w14:textId="77777777" w:rsidR="00233E2A" w:rsidRPr="002F6538" w:rsidRDefault="00233E2A" w:rsidP="0010403B">
            <w:pPr>
              <w:rPr>
                <w:b/>
                <w:sz w:val="16"/>
                <w:szCs w:val="16"/>
              </w:rPr>
            </w:pPr>
            <w:r w:rsidRPr="002F6538">
              <w:rPr>
                <w:b/>
                <w:sz w:val="16"/>
                <w:szCs w:val="16"/>
              </w:rPr>
              <w:t>Used in a WoE approach as supporting study</w:t>
            </w:r>
          </w:p>
        </w:tc>
      </w:tr>
      <w:tr w:rsidR="00233E2A" w14:paraId="773AC3B7" w14:textId="77777777" w:rsidTr="0010403B">
        <w:tc>
          <w:tcPr>
            <w:tcW w:w="1553" w:type="dxa"/>
            <w:shd w:val="clear" w:color="auto" w:fill="auto"/>
          </w:tcPr>
          <w:p w14:paraId="458F73E9" w14:textId="77777777" w:rsidR="00233E2A" w:rsidRPr="002F6538" w:rsidRDefault="00233E2A" w:rsidP="0010403B">
            <w:pPr>
              <w:rPr>
                <w:rFonts w:cs="Arial"/>
                <w:sz w:val="16"/>
                <w:szCs w:val="16"/>
                <w:lang w:eastAsia="en-GB"/>
              </w:rPr>
            </w:pPr>
            <w:r w:rsidRPr="002F6538">
              <w:rPr>
                <w:rFonts w:cs="Arial"/>
                <w:sz w:val="16"/>
                <w:szCs w:val="16"/>
                <w:lang w:eastAsia="en-GB"/>
              </w:rPr>
              <w:t>Human, rat and mice fetal testes was xenografted into immunodeficient rodent hosts</w:t>
            </w:r>
          </w:p>
        </w:tc>
        <w:tc>
          <w:tcPr>
            <w:tcW w:w="1593" w:type="dxa"/>
            <w:shd w:val="clear" w:color="auto" w:fill="auto"/>
          </w:tcPr>
          <w:p w14:paraId="2B5E7D19" w14:textId="77777777" w:rsidR="00233E2A" w:rsidRPr="002F6538" w:rsidRDefault="00233E2A" w:rsidP="0010403B">
            <w:pPr>
              <w:rPr>
                <w:sz w:val="16"/>
                <w:szCs w:val="16"/>
              </w:rPr>
            </w:pPr>
            <w:r w:rsidRPr="002F6538">
              <w:rPr>
                <w:sz w:val="16"/>
                <w:szCs w:val="16"/>
              </w:rPr>
              <w:t>Oral (gavage 100, 250 or 500 mg/kg bw for 1, 2 or 3 conscutive days)</w:t>
            </w:r>
          </w:p>
        </w:tc>
        <w:tc>
          <w:tcPr>
            <w:tcW w:w="3358" w:type="dxa"/>
            <w:shd w:val="clear" w:color="auto" w:fill="auto"/>
          </w:tcPr>
          <w:p w14:paraId="62F1FE8C" w14:textId="77777777" w:rsidR="00233E2A" w:rsidRPr="002F6538" w:rsidRDefault="00233E2A" w:rsidP="0010403B">
            <w:pPr>
              <w:rPr>
                <w:rFonts w:cs="Arial"/>
                <w:sz w:val="16"/>
                <w:szCs w:val="16"/>
              </w:rPr>
            </w:pPr>
            <w:r w:rsidRPr="002F6538">
              <w:rPr>
                <w:rFonts w:cs="Arial"/>
                <w:sz w:val="16"/>
                <w:szCs w:val="16"/>
              </w:rPr>
              <w:t>Exposure to dibutylphthalate</w:t>
            </w:r>
          </w:p>
          <w:p w14:paraId="78BF3239" w14:textId="77777777" w:rsidR="00233E2A" w:rsidRPr="002F6538" w:rsidRDefault="00233E2A" w:rsidP="0010403B">
            <w:pPr>
              <w:rPr>
                <w:rFonts w:cs="Arial"/>
                <w:sz w:val="16"/>
                <w:szCs w:val="16"/>
              </w:rPr>
            </w:pPr>
            <w:r w:rsidRPr="002F6538">
              <w:rPr>
                <w:rFonts w:cs="Arial"/>
                <w:sz w:val="16"/>
                <w:szCs w:val="16"/>
              </w:rPr>
              <w:t>Only the rat xenograft expressed suppressed steroidogenesis, but all xenograft species  exhibited multi nucleated germ cell formations.</w:t>
            </w:r>
          </w:p>
          <w:p w14:paraId="59F6AE17" w14:textId="77777777" w:rsidR="00233E2A" w:rsidRPr="002F6538" w:rsidRDefault="00233E2A" w:rsidP="0010403B">
            <w:pPr>
              <w:rPr>
                <w:rFonts w:cs="Arial"/>
                <w:sz w:val="16"/>
                <w:szCs w:val="16"/>
              </w:rPr>
            </w:pPr>
            <w:r w:rsidRPr="002F6538">
              <w:rPr>
                <w:rFonts w:cs="Arial"/>
                <w:sz w:val="16"/>
                <w:szCs w:val="16"/>
              </w:rPr>
              <w:t>Human fetal testes xenograft did not express steroidogenic gene expression.</w:t>
            </w:r>
          </w:p>
        </w:tc>
        <w:tc>
          <w:tcPr>
            <w:tcW w:w="1146" w:type="dxa"/>
            <w:shd w:val="clear" w:color="auto" w:fill="auto"/>
          </w:tcPr>
          <w:p w14:paraId="67818C15" w14:textId="77777777" w:rsidR="00233E2A" w:rsidRPr="002F6538" w:rsidRDefault="00233E2A" w:rsidP="0010403B">
            <w:pPr>
              <w:rPr>
                <w:sz w:val="16"/>
                <w:szCs w:val="16"/>
              </w:rPr>
            </w:pPr>
            <w:r w:rsidRPr="002F6538">
              <w:rPr>
                <w:sz w:val="16"/>
                <w:szCs w:val="16"/>
              </w:rPr>
              <w:t>Article published</w:t>
            </w:r>
          </w:p>
          <w:p w14:paraId="6FE7F8C3" w14:textId="77777777" w:rsidR="00233E2A" w:rsidRPr="002F6538" w:rsidDel="003C2187" w:rsidRDefault="00233E2A" w:rsidP="0010403B">
            <w:pPr>
              <w:rPr>
                <w:sz w:val="16"/>
                <w:szCs w:val="16"/>
              </w:rPr>
            </w:pPr>
          </w:p>
        </w:tc>
        <w:tc>
          <w:tcPr>
            <w:tcW w:w="6524" w:type="dxa"/>
            <w:shd w:val="clear" w:color="auto" w:fill="auto"/>
          </w:tcPr>
          <w:p w14:paraId="313F49B3" w14:textId="77777777" w:rsidR="00233E2A" w:rsidRPr="002F6538" w:rsidRDefault="00233E2A" w:rsidP="0010403B">
            <w:pPr>
              <w:rPr>
                <w:sz w:val="16"/>
                <w:szCs w:val="16"/>
              </w:rPr>
            </w:pPr>
            <w:r w:rsidRPr="002F6538">
              <w:rPr>
                <w:sz w:val="16"/>
                <w:szCs w:val="16"/>
              </w:rPr>
              <w:t>Heger N.E., Hall S.J., Sandrof M.A., McDonell E.V., Hensley J.B., McDowell E.N., Martin K.A., Gaido K.W., Johnson K.J.</w:t>
            </w:r>
            <w:r>
              <w:rPr>
                <w:sz w:val="16"/>
                <w:szCs w:val="16"/>
              </w:rPr>
              <w:t xml:space="preserve"> &amp;</w:t>
            </w:r>
            <w:r w:rsidRPr="002F6538">
              <w:rPr>
                <w:sz w:val="16"/>
                <w:szCs w:val="16"/>
              </w:rPr>
              <w:t xml:space="preserve"> Boekelheide K. </w:t>
            </w:r>
            <w:r w:rsidRPr="002F6538">
              <w:rPr>
                <w:i/>
                <w:sz w:val="16"/>
                <w:szCs w:val="16"/>
              </w:rPr>
              <w:t>Human Fetal Testis Xenografts Are Resistant to Phthalate-Induced Endocrine Disruption</w:t>
            </w:r>
            <w:r w:rsidRPr="002F6538">
              <w:rPr>
                <w:sz w:val="16"/>
                <w:szCs w:val="16"/>
              </w:rPr>
              <w:t xml:space="preserve">. Environmental Health Perspectives, 2012, 120, 1137-1143. </w:t>
            </w:r>
          </w:p>
          <w:p w14:paraId="63FB316A" w14:textId="77777777" w:rsidR="00233E2A" w:rsidRPr="002F6538" w:rsidRDefault="00233E2A" w:rsidP="0010403B">
            <w:pPr>
              <w:rPr>
                <w:sz w:val="16"/>
                <w:szCs w:val="16"/>
              </w:rPr>
            </w:pPr>
            <w:r w:rsidRPr="002F6538">
              <w:rPr>
                <w:sz w:val="16"/>
                <w:szCs w:val="16"/>
              </w:rPr>
              <w:t xml:space="preserve">Available at: </w:t>
            </w:r>
            <w:hyperlink r:id="rId59" w:history="1">
              <w:r w:rsidRPr="002F6538">
                <w:rPr>
                  <w:rStyle w:val="Hyperlink"/>
                  <w:sz w:val="16"/>
                  <w:szCs w:val="16"/>
                </w:rPr>
                <w:t>http://www.ncbi.nlm.nih.gov/pmc/articles/PMC3440087/pdf/ehp.1104711.pdf</w:t>
              </w:r>
            </w:hyperlink>
            <w:r w:rsidRPr="002F6538">
              <w:rPr>
                <w:sz w:val="16"/>
                <w:szCs w:val="16"/>
              </w:rPr>
              <w:t xml:space="preserve"> </w:t>
            </w:r>
          </w:p>
          <w:p w14:paraId="36A3A419" w14:textId="77777777" w:rsidR="00233E2A" w:rsidRPr="002F6538" w:rsidRDefault="00233E2A" w:rsidP="0010403B">
            <w:pPr>
              <w:rPr>
                <w:sz w:val="16"/>
                <w:szCs w:val="16"/>
              </w:rPr>
            </w:pPr>
          </w:p>
          <w:p w14:paraId="3EDB1ED6" w14:textId="77777777" w:rsidR="00233E2A" w:rsidRPr="002F6538" w:rsidRDefault="00233E2A" w:rsidP="0010403B">
            <w:pPr>
              <w:rPr>
                <w:b/>
                <w:sz w:val="16"/>
                <w:szCs w:val="16"/>
              </w:rPr>
            </w:pPr>
            <w:r w:rsidRPr="002F6538">
              <w:rPr>
                <w:b/>
                <w:sz w:val="16"/>
                <w:szCs w:val="16"/>
              </w:rPr>
              <w:t>Used in a WoE approach as supporting study</w:t>
            </w:r>
          </w:p>
        </w:tc>
      </w:tr>
      <w:tr w:rsidR="00233E2A" w:rsidRPr="00DB7261" w14:paraId="05DC65D3" w14:textId="77777777" w:rsidTr="0010403B">
        <w:tc>
          <w:tcPr>
            <w:tcW w:w="1553" w:type="dxa"/>
            <w:shd w:val="clear" w:color="auto" w:fill="auto"/>
          </w:tcPr>
          <w:p w14:paraId="24734ABA" w14:textId="77777777" w:rsidR="00233E2A" w:rsidRPr="00D369B9" w:rsidRDefault="00233E2A" w:rsidP="0010403B">
            <w:pPr>
              <w:rPr>
                <w:rFonts w:cs="Arial"/>
                <w:sz w:val="16"/>
                <w:szCs w:val="16"/>
                <w:lang w:eastAsia="en-GB"/>
              </w:rPr>
            </w:pPr>
            <w:r w:rsidRPr="00D369B9">
              <w:rPr>
                <w:rFonts w:cs="Arial"/>
                <w:sz w:val="16"/>
                <w:szCs w:val="16"/>
                <w:lang w:eastAsia="en-GB"/>
              </w:rPr>
              <w:lastRenderedPageBreak/>
              <w:t xml:space="preserve">Mouse </w:t>
            </w:r>
          </w:p>
        </w:tc>
        <w:tc>
          <w:tcPr>
            <w:tcW w:w="1593" w:type="dxa"/>
            <w:shd w:val="clear" w:color="auto" w:fill="auto"/>
          </w:tcPr>
          <w:p w14:paraId="76069629" w14:textId="77777777" w:rsidR="00233E2A" w:rsidRPr="00D369B9" w:rsidRDefault="00233E2A" w:rsidP="0010403B">
            <w:pPr>
              <w:rPr>
                <w:rFonts w:cs="Arial"/>
                <w:sz w:val="16"/>
                <w:szCs w:val="16"/>
                <w:lang w:eastAsia="en-GB"/>
              </w:rPr>
            </w:pPr>
            <w:r w:rsidRPr="00D369B9">
              <w:rPr>
                <w:rFonts w:cs="Arial"/>
                <w:sz w:val="16"/>
                <w:szCs w:val="16"/>
                <w:lang w:eastAsia="en-GB"/>
              </w:rPr>
              <w:t>Oral via pipette</w:t>
            </w:r>
          </w:p>
        </w:tc>
        <w:tc>
          <w:tcPr>
            <w:tcW w:w="3358" w:type="dxa"/>
            <w:shd w:val="clear" w:color="auto" w:fill="auto"/>
          </w:tcPr>
          <w:p w14:paraId="75BBA5DE" w14:textId="77777777" w:rsidR="00233E2A" w:rsidRPr="00D369B9" w:rsidRDefault="00233E2A" w:rsidP="0010403B">
            <w:pPr>
              <w:rPr>
                <w:rFonts w:cs="Arial"/>
                <w:sz w:val="16"/>
                <w:szCs w:val="16"/>
                <w:lang w:eastAsia="en-GB"/>
              </w:rPr>
            </w:pPr>
            <w:r w:rsidRPr="00D369B9">
              <w:rPr>
                <w:rFonts w:cs="Arial"/>
                <w:sz w:val="16"/>
                <w:szCs w:val="16"/>
                <w:lang w:eastAsia="en-GB"/>
              </w:rPr>
              <w:t>Postnatal-prepubertal exposure of male mice pups. Di-n-butyl phthalate (DBP) oral doses in corn oil: 0, 1, 10, 50, 100, 250 and 500 mg/kg bw/day from PND 4 – PND7, 14 or 21. Adult mice (exposed PND4-21) were examined for remaining effects at 8wks of age. Study reports inter alia delayed spermatogenesis and impaired Sertoli cell maturation, lower serum and testis testosterone levels, and also reduced AGD.</w:t>
            </w:r>
          </w:p>
        </w:tc>
        <w:tc>
          <w:tcPr>
            <w:tcW w:w="1146" w:type="dxa"/>
            <w:shd w:val="clear" w:color="auto" w:fill="auto"/>
          </w:tcPr>
          <w:p w14:paraId="3AD722F8" w14:textId="77777777" w:rsidR="00233E2A" w:rsidRPr="002F6538" w:rsidRDefault="00233E2A" w:rsidP="0010403B">
            <w:pPr>
              <w:rPr>
                <w:sz w:val="16"/>
                <w:szCs w:val="16"/>
              </w:rPr>
            </w:pPr>
            <w:r w:rsidRPr="002F6538">
              <w:rPr>
                <w:sz w:val="16"/>
                <w:szCs w:val="16"/>
              </w:rPr>
              <w:t>Article published</w:t>
            </w:r>
          </w:p>
          <w:p w14:paraId="6A655E88" w14:textId="77777777" w:rsidR="00233E2A" w:rsidRPr="002F6538" w:rsidRDefault="00233E2A" w:rsidP="0010403B">
            <w:pPr>
              <w:rPr>
                <w:sz w:val="16"/>
                <w:szCs w:val="16"/>
              </w:rPr>
            </w:pPr>
          </w:p>
        </w:tc>
        <w:tc>
          <w:tcPr>
            <w:tcW w:w="6524" w:type="dxa"/>
            <w:shd w:val="clear" w:color="auto" w:fill="auto"/>
          </w:tcPr>
          <w:p w14:paraId="4DE86A76" w14:textId="77777777" w:rsidR="00233E2A" w:rsidRPr="002F6538" w:rsidRDefault="00233E2A" w:rsidP="0010403B">
            <w:pPr>
              <w:rPr>
                <w:sz w:val="16"/>
                <w:szCs w:val="16"/>
              </w:rPr>
            </w:pPr>
            <w:r w:rsidRPr="002F6538">
              <w:rPr>
                <w:sz w:val="16"/>
                <w:szCs w:val="16"/>
              </w:rPr>
              <w:t xml:space="preserve">Moody S., Goh H., Bielanowicz A., Rippon P., Loveland K.L., </w:t>
            </w:r>
            <w:r>
              <w:rPr>
                <w:sz w:val="16"/>
                <w:szCs w:val="16"/>
              </w:rPr>
              <w:t xml:space="preserve"> &amp; </w:t>
            </w:r>
            <w:r w:rsidRPr="002F6538">
              <w:rPr>
                <w:sz w:val="16"/>
                <w:szCs w:val="16"/>
              </w:rPr>
              <w:t xml:space="preserve">Itman C. </w:t>
            </w:r>
            <w:r w:rsidRPr="002F6538">
              <w:rPr>
                <w:i/>
                <w:sz w:val="16"/>
                <w:szCs w:val="16"/>
              </w:rPr>
              <w:t>Prepubertal mouse testis growth and maturation and androgen production are acutely sensitive to di-n-butyl phthalate.</w:t>
            </w:r>
          </w:p>
          <w:p w14:paraId="68490FA6" w14:textId="77777777" w:rsidR="00233E2A" w:rsidRPr="002F6538" w:rsidRDefault="00233E2A" w:rsidP="0010403B">
            <w:pPr>
              <w:rPr>
                <w:sz w:val="16"/>
                <w:szCs w:val="16"/>
              </w:rPr>
            </w:pPr>
            <w:r w:rsidRPr="002F6538">
              <w:rPr>
                <w:sz w:val="16"/>
                <w:szCs w:val="16"/>
              </w:rPr>
              <w:t>Endocrinology. 2013 Sep;154(9):3460-75. doi: 10.1210/en.2012-2227. Epub 2013 Jun 13.</w:t>
            </w:r>
          </w:p>
          <w:p w14:paraId="55EA4AE4" w14:textId="77777777" w:rsidR="00233E2A" w:rsidRPr="002F6538" w:rsidRDefault="00482573" w:rsidP="0010403B">
            <w:pPr>
              <w:rPr>
                <w:sz w:val="16"/>
                <w:szCs w:val="16"/>
              </w:rPr>
            </w:pPr>
            <w:hyperlink r:id="rId60" w:history="1">
              <w:r w:rsidR="00233E2A" w:rsidRPr="002F6538">
                <w:rPr>
                  <w:rStyle w:val="Hyperlink"/>
                  <w:sz w:val="16"/>
                  <w:szCs w:val="16"/>
                </w:rPr>
                <w:t>http://press.endocrine.org/doi/10.1210/en.2012-2227?url_ver=Z39.88-2003&amp;rfr_id=ori:rid:crossref.org&amp;rfr_dat=cr_pub%3dpubmed</w:t>
              </w:r>
            </w:hyperlink>
            <w:r w:rsidR="00233E2A" w:rsidRPr="002F6538">
              <w:rPr>
                <w:sz w:val="16"/>
                <w:szCs w:val="16"/>
              </w:rPr>
              <w:t xml:space="preserve"> </w:t>
            </w:r>
          </w:p>
          <w:p w14:paraId="1847E2C6" w14:textId="77777777" w:rsidR="00233E2A" w:rsidRPr="002F6538" w:rsidRDefault="00233E2A" w:rsidP="0010403B">
            <w:pPr>
              <w:rPr>
                <w:sz w:val="16"/>
                <w:szCs w:val="16"/>
              </w:rPr>
            </w:pPr>
          </w:p>
          <w:p w14:paraId="18D38685" w14:textId="77777777" w:rsidR="00233E2A" w:rsidRPr="002F6538" w:rsidRDefault="00233E2A" w:rsidP="0010403B">
            <w:pPr>
              <w:rPr>
                <w:b/>
                <w:sz w:val="16"/>
                <w:szCs w:val="16"/>
              </w:rPr>
            </w:pPr>
            <w:r w:rsidRPr="002F6538">
              <w:rPr>
                <w:b/>
                <w:sz w:val="16"/>
                <w:szCs w:val="16"/>
              </w:rPr>
              <w:t>Used in a WoE approach as supporting study</w:t>
            </w:r>
          </w:p>
        </w:tc>
      </w:tr>
      <w:tr w:rsidR="00233E2A" w:rsidRPr="00DB7261" w14:paraId="7C8C66DE" w14:textId="77777777" w:rsidTr="0010403B">
        <w:tc>
          <w:tcPr>
            <w:tcW w:w="1553" w:type="dxa"/>
            <w:shd w:val="clear" w:color="auto" w:fill="auto"/>
          </w:tcPr>
          <w:p w14:paraId="733B0A65" w14:textId="77777777" w:rsidR="00233E2A" w:rsidRPr="002F6538" w:rsidRDefault="00233E2A" w:rsidP="0010403B">
            <w:pPr>
              <w:pStyle w:val="Default"/>
              <w:widowControl w:val="0"/>
              <w:rPr>
                <w:sz w:val="16"/>
                <w:szCs w:val="16"/>
                <w:lang w:val="en-GB"/>
              </w:rPr>
            </w:pPr>
            <w:r w:rsidRPr="002F6538">
              <w:rPr>
                <w:sz w:val="16"/>
                <w:szCs w:val="16"/>
                <w:lang w:val="en-GB"/>
              </w:rPr>
              <w:t>Rat</w:t>
            </w:r>
          </w:p>
        </w:tc>
        <w:tc>
          <w:tcPr>
            <w:tcW w:w="1593" w:type="dxa"/>
            <w:shd w:val="clear" w:color="auto" w:fill="auto"/>
          </w:tcPr>
          <w:p w14:paraId="3B0AAE1E" w14:textId="77777777" w:rsidR="00233E2A" w:rsidRPr="002F6538" w:rsidRDefault="00233E2A" w:rsidP="0010403B">
            <w:pPr>
              <w:pStyle w:val="Default"/>
              <w:widowControl w:val="0"/>
              <w:rPr>
                <w:sz w:val="16"/>
                <w:szCs w:val="16"/>
                <w:lang w:val="en-GB"/>
              </w:rPr>
            </w:pPr>
            <w:r w:rsidRPr="002F6538">
              <w:rPr>
                <w:sz w:val="16"/>
                <w:szCs w:val="16"/>
                <w:lang w:val="en-GB"/>
              </w:rPr>
              <w:t>Oral gavage</w:t>
            </w:r>
          </w:p>
        </w:tc>
        <w:tc>
          <w:tcPr>
            <w:tcW w:w="3358" w:type="dxa"/>
            <w:shd w:val="clear" w:color="auto" w:fill="auto"/>
          </w:tcPr>
          <w:p w14:paraId="23C67E41" w14:textId="77777777" w:rsidR="00233E2A" w:rsidRPr="002F6538" w:rsidRDefault="00233E2A" w:rsidP="0010403B">
            <w:pPr>
              <w:autoSpaceDE w:val="0"/>
              <w:autoSpaceDN w:val="0"/>
              <w:adjustRightInd w:val="0"/>
              <w:rPr>
                <w:sz w:val="16"/>
                <w:szCs w:val="16"/>
              </w:rPr>
            </w:pPr>
            <w:r w:rsidRPr="002F6538">
              <w:rPr>
                <w:sz w:val="16"/>
                <w:szCs w:val="16"/>
              </w:rPr>
              <w:t>high-dose DBP exposure leads to rapid and reversible diminution of the expression of several proteins required for cholesterol transport and steroidogenesis in the fetal testis, resulting in decreased testosterone synthesis and consequent male reproductive maldevelopment.</w:t>
            </w:r>
          </w:p>
        </w:tc>
        <w:tc>
          <w:tcPr>
            <w:tcW w:w="1146" w:type="dxa"/>
            <w:shd w:val="clear" w:color="auto" w:fill="auto"/>
          </w:tcPr>
          <w:p w14:paraId="10E656C9" w14:textId="77777777" w:rsidR="00233E2A" w:rsidRPr="002F6538" w:rsidRDefault="00233E2A" w:rsidP="0010403B">
            <w:pPr>
              <w:rPr>
                <w:sz w:val="16"/>
                <w:szCs w:val="16"/>
              </w:rPr>
            </w:pPr>
            <w:r w:rsidRPr="002F6538">
              <w:rPr>
                <w:sz w:val="16"/>
                <w:szCs w:val="16"/>
              </w:rPr>
              <w:t>Article published</w:t>
            </w:r>
          </w:p>
          <w:p w14:paraId="6F9C2852" w14:textId="77777777" w:rsidR="00233E2A" w:rsidRPr="002F6538" w:rsidRDefault="00233E2A" w:rsidP="0010403B">
            <w:pPr>
              <w:rPr>
                <w:sz w:val="16"/>
                <w:szCs w:val="16"/>
              </w:rPr>
            </w:pPr>
          </w:p>
        </w:tc>
        <w:tc>
          <w:tcPr>
            <w:tcW w:w="6524" w:type="dxa"/>
            <w:shd w:val="clear" w:color="auto" w:fill="auto"/>
          </w:tcPr>
          <w:p w14:paraId="54C3C0AF" w14:textId="77777777" w:rsidR="00233E2A" w:rsidRPr="002F6538" w:rsidRDefault="00233E2A" w:rsidP="0010403B">
            <w:pPr>
              <w:rPr>
                <w:color w:val="000000"/>
                <w:sz w:val="16"/>
                <w:szCs w:val="16"/>
              </w:rPr>
            </w:pPr>
            <w:r w:rsidRPr="002F6538">
              <w:rPr>
                <w:rFonts w:cs="Arial"/>
                <w:color w:val="000000"/>
                <w:sz w:val="16"/>
                <w:szCs w:val="16"/>
              </w:rPr>
              <w:t>Thompson C</w:t>
            </w:r>
            <w:r>
              <w:rPr>
                <w:rFonts w:cs="Arial"/>
                <w:color w:val="000000"/>
                <w:sz w:val="16"/>
                <w:szCs w:val="16"/>
              </w:rPr>
              <w:t>.</w:t>
            </w:r>
            <w:r w:rsidRPr="002F6538">
              <w:rPr>
                <w:rFonts w:cs="Arial"/>
                <w:color w:val="000000"/>
                <w:sz w:val="16"/>
                <w:szCs w:val="16"/>
              </w:rPr>
              <w:t>J</w:t>
            </w:r>
            <w:r>
              <w:rPr>
                <w:rFonts w:cs="Arial"/>
                <w:color w:val="000000"/>
                <w:sz w:val="16"/>
                <w:szCs w:val="16"/>
              </w:rPr>
              <w:t>.</w:t>
            </w:r>
            <w:r w:rsidRPr="002F6538">
              <w:rPr>
                <w:rFonts w:cs="Arial"/>
                <w:color w:val="000000"/>
                <w:sz w:val="16"/>
                <w:szCs w:val="16"/>
              </w:rPr>
              <w:t>, Ross S</w:t>
            </w:r>
            <w:r>
              <w:rPr>
                <w:rFonts w:cs="Arial"/>
                <w:color w:val="000000"/>
                <w:sz w:val="16"/>
                <w:szCs w:val="16"/>
              </w:rPr>
              <w:t>.</w:t>
            </w:r>
            <w:r w:rsidRPr="002F6538">
              <w:rPr>
                <w:rFonts w:cs="Arial"/>
                <w:color w:val="000000"/>
                <w:sz w:val="16"/>
                <w:szCs w:val="16"/>
              </w:rPr>
              <w:t>M</w:t>
            </w:r>
            <w:r>
              <w:rPr>
                <w:rFonts w:cs="Arial"/>
                <w:color w:val="000000"/>
                <w:sz w:val="16"/>
                <w:szCs w:val="16"/>
              </w:rPr>
              <w:t>. &amp;</w:t>
            </w:r>
            <w:r w:rsidRPr="002F6538">
              <w:rPr>
                <w:rFonts w:cs="Arial"/>
                <w:color w:val="000000"/>
                <w:sz w:val="16"/>
                <w:szCs w:val="16"/>
              </w:rPr>
              <w:t xml:space="preserve"> Gaido K</w:t>
            </w:r>
            <w:r>
              <w:rPr>
                <w:rFonts w:cs="Arial"/>
                <w:color w:val="000000"/>
                <w:sz w:val="16"/>
                <w:szCs w:val="16"/>
              </w:rPr>
              <w:t>.</w:t>
            </w:r>
            <w:r w:rsidRPr="002F6538">
              <w:rPr>
                <w:rFonts w:cs="Arial"/>
                <w:color w:val="000000"/>
                <w:sz w:val="16"/>
                <w:szCs w:val="16"/>
              </w:rPr>
              <w:t>W.,</w:t>
            </w:r>
            <w:r w:rsidRPr="002F6538">
              <w:rPr>
                <w:rFonts w:cs="Arial"/>
                <w:color w:val="000000"/>
              </w:rPr>
              <w:t xml:space="preserve"> </w:t>
            </w:r>
            <w:r w:rsidRPr="002F6538">
              <w:rPr>
                <w:rFonts w:cs="Arial"/>
                <w:i/>
                <w:color w:val="000000"/>
                <w:sz w:val="16"/>
                <w:szCs w:val="16"/>
              </w:rPr>
              <w:t>Di(n-butyl) phthalate impairs cholesterol transport and steroidogenesis in the fetal rat testis through a rapid and reversible mechanism.,</w:t>
            </w:r>
            <w:r w:rsidRPr="002F6538">
              <w:rPr>
                <w:rFonts w:cs="Arial"/>
                <w:color w:val="000000"/>
                <w:sz w:val="16"/>
                <w:szCs w:val="16"/>
              </w:rPr>
              <w:t xml:space="preserve"> Endocrinology, 2004,145(3):1227-37</w:t>
            </w:r>
          </w:p>
          <w:p w14:paraId="74C3CCD1" w14:textId="77777777" w:rsidR="00233E2A" w:rsidRPr="002F6538" w:rsidRDefault="00233E2A" w:rsidP="0010403B">
            <w:pPr>
              <w:rPr>
                <w:sz w:val="16"/>
                <w:szCs w:val="16"/>
              </w:rPr>
            </w:pPr>
          </w:p>
          <w:p w14:paraId="16956690" w14:textId="77777777" w:rsidR="00233E2A" w:rsidRPr="002F6538" w:rsidRDefault="00233E2A" w:rsidP="0010403B">
            <w:pPr>
              <w:rPr>
                <w:sz w:val="16"/>
                <w:szCs w:val="16"/>
              </w:rPr>
            </w:pPr>
            <w:r w:rsidRPr="002F6538">
              <w:rPr>
                <w:b/>
                <w:sz w:val="16"/>
                <w:szCs w:val="16"/>
              </w:rPr>
              <w:t>Used in a WoE approach as supporting study</w:t>
            </w:r>
          </w:p>
        </w:tc>
      </w:tr>
      <w:tr w:rsidR="00233E2A" w:rsidRPr="00DB7261" w14:paraId="58A39E8C" w14:textId="77777777" w:rsidTr="0010403B">
        <w:tc>
          <w:tcPr>
            <w:tcW w:w="1553" w:type="dxa"/>
            <w:shd w:val="clear" w:color="auto" w:fill="auto"/>
          </w:tcPr>
          <w:p w14:paraId="31535A92" w14:textId="77777777" w:rsidR="00233E2A" w:rsidRPr="002F6538" w:rsidRDefault="00233E2A" w:rsidP="0010403B">
            <w:pPr>
              <w:pStyle w:val="Default"/>
              <w:widowControl w:val="0"/>
              <w:rPr>
                <w:sz w:val="16"/>
                <w:szCs w:val="16"/>
                <w:lang w:val="en-GB"/>
              </w:rPr>
            </w:pPr>
            <w:r w:rsidRPr="002F6538">
              <w:rPr>
                <w:sz w:val="16"/>
                <w:szCs w:val="16"/>
                <w:lang w:val="en-GB"/>
              </w:rPr>
              <w:t>Rat</w:t>
            </w:r>
          </w:p>
        </w:tc>
        <w:tc>
          <w:tcPr>
            <w:tcW w:w="1593" w:type="dxa"/>
            <w:shd w:val="clear" w:color="auto" w:fill="auto"/>
          </w:tcPr>
          <w:p w14:paraId="65C659B2" w14:textId="77777777" w:rsidR="00233E2A" w:rsidRPr="002F6538" w:rsidRDefault="00233E2A" w:rsidP="0010403B">
            <w:pPr>
              <w:pStyle w:val="Default"/>
              <w:widowControl w:val="0"/>
              <w:rPr>
                <w:sz w:val="16"/>
                <w:szCs w:val="16"/>
                <w:lang w:val="en-GB"/>
              </w:rPr>
            </w:pPr>
            <w:r w:rsidRPr="002F6538">
              <w:rPr>
                <w:sz w:val="16"/>
                <w:szCs w:val="16"/>
                <w:lang w:val="en-GB"/>
              </w:rPr>
              <w:t>Oral</w:t>
            </w:r>
          </w:p>
        </w:tc>
        <w:tc>
          <w:tcPr>
            <w:tcW w:w="3358" w:type="dxa"/>
            <w:shd w:val="clear" w:color="auto" w:fill="auto"/>
          </w:tcPr>
          <w:p w14:paraId="056BE685" w14:textId="77777777" w:rsidR="00233E2A" w:rsidRPr="002F6538" w:rsidRDefault="00233E2A" w:rsidP="0010403B">
            <w:pPr>
              <w:autoSpaceDE w:val="0"/>
              <w:autoSpaceDN w:val="0"/>
              <w:adjustRightInd w:val="0"/>
              <w:rPr>
                <w:sz w:val="16"/>
                <w:szCs w:val="16"/>
              </w:rPr>
            </w:pPr>
            <w:r w:rsidRPr="002F6538">
              <w:rPr>
                <w:sz w:val="16"/>
                <w:szCs w:val="16"/>
              </w:rPr>
              <w:t>morphology and incidence of DBP-induced testicular developmental lesion</w:t>
            </w:r>
            <w:r w:rsidRPr="002F6538">
              <w:rPr>
                <w:rFonts w:ascii="Arial" w:hAnsi="Arial" w:cs="Arial"/>
              </w:rPr>
              <w:t xml:space="preserve"> </w:t>
            </w:r>
          </w:p>
        </w:tc>
        <w:tc>
          <w:tcPr>
            <w:tcW w:w="1146" w:type="dxa"/>
            <w:shd w:val="clear" w:color="auto" w:fill="auto"/>
          </w:tcPr>
          <w:p w14:paraId="17774287" w14:textId="77777777" w:rsidR="00233E2A" w:rsidRPr="002F6538" w:rsidRDefault="00233E2A" w:rsidP="0010403B">
            <w:pPr>
              <w:rPr>
                <w:sz w:val="16"/>
                <w:szCs w:val="16"/>
              </w:rPr>
            </w:pPr>
            <w:r w:rsidRPr="002F6538">
              <w:rPr>
                <w:sz w:val="16"/>
                <w:szCs w:val="16"/>
              </w:rPr>
              <w:t>Article published</w:t>
            </w:r>
          </w:p>
          <w:p w14:paraId="553FF016" w14:textId="77777777" w:rsidR="00233E2A" w:rsidRPr="002F6538" w:rsidRDefault="00233E2A" w:rsidP="0010403B">
            <w:pPr>
              <w:rPr>
                <w:sz w:val="16"/>
                <w:szCs w:val="16"/>
                <w:u w:val="single"/>
              </w:rPr>
            </w:pPr>
          </w:p>
        </w:tc>
        <w:tc>
          <w:tcPr>
            <w:tcW w:w="6524" w:type="dxa"/>
            <w:shd w:val="clear" w:color="auto" w:fill="auto"/>
          </w:tcPr>
          <w:p w14:paraId="10EA5AEE" w14:textId="26B1390B" w:rsidR="00233E2A" w:rsidRPr="002F6538" w:rsidRDefault="00233E2A" w:rsidP="0010403B">
            <w:pPr>
              <w:rPr>
                <w:rFonts w:cs="Arial"/>
                <w:color w:val="000000"/>
                <w:sz w:val="16"/>
                <w:szCs w:val="16"/>
                <w:lang w:eastAsia="en-GB"/>
              </w:rPr>
            </w:pPr>
            <w:r w:rsidRPr="00CD621B">
              <w:rPr>
                <w:rFonts w:cs="Arial"/>
                <w:color w:val="000000"/>
                <w:sz w:val="16"/>
                <w:szCs w:val="16"/>
              </w:rPr>
              <w:t>Barlow N</w:t>
            </w:r>
            <w:r w:rsidRPr="00B21086">
              <w:rPr>
                <w:rFonts w:cs="Arial"/>
                <w:color w:val="000000"/>
                <w:sz w:val="16"/>
                <w:szCs w:val="16"/>
              </w:rPr>
              <w:t>.</w:t>
            </w:r>
            <w:r w:rsidRPr="00CD621B">
              <w:rPr>
                <w:rFonts w:cs="Arial"/>
                <w:color w:val="000000"/>
                <w:sz w:val="16"/>
                <w:szCs w:val="16"/>
              </w:rPr>
              <w:t xml:space="preserve">J., McIntyre B.S. </w:t>
            </w:r>
            <w:r>
              <w:rPr>
                <w:rFonts w:cs="Arial"/>
                <w:color w:val="000000"/>
                <w:sz w:val="16"/>
                <w:szCs w:val="16"/>
              </w:rPr>
              <w:t>&amp;</w:t>
            </w:r>
            <w:r w:rsidRPr="002F6538">
              <w:rPr>
                <w:rFonts w:cs="Arial"/>
                <w:color w:val="000000"/>
                <w:sz w:val="16"/>
                <w:szCs w:val="16"/>
              </w:rPr>
              <w:t xml:space="preserve"> Foster P</w:t>
            </w:r>
            <w:r>
              <w:rPr>
                <w:rFonts w:cs="Arial"/>
                <w:color w:val="000000"/>
                <w:sz w:val="16"/>
                <w:szCs w:val="16"/>
              </w:rPr>
              <w:t>.</w:t>
            </w:r>
            <w:r w:rsidRPr="002F6538">
              <w:rPr>
                <w:rFonts w:cs="Arial"/>
                <w:color w:val="000000"/>
                <w:sz w:val="16"/>
                <w:szCs w:val="16"/>
              </w:rPr>
              <w:t xml:space="preserve">M., </w:t>
            </w:r>
            <w:r w:rsidRPr="002F6538">
              <w:rPr>
                <w:rFonts w:cs="Arial"/>
                <w:i/>
                <w:color w:val="000000"/>
                <w:sz w:val="16"/>
                <w:szCs w:val="16"/>
              </w:rPr>
              <w:t>Male reproductive tract lesions at 6, 12, and 18 months of age following in utero exposure to di(n-butyl) phthalate</w:t>
            </w:r>
            <w:r w:rsidRPr="002F6538">
              <w:rPr>
                <w:rFonts w:cs="Arial"/>
                <w:color w:val="000000"/>
                <w:sz w:val="16"/>
                <w:szCs w:val="16"/>
              </w:rPr>
              <w:t xml:space="preserve">. </w:t>
            </w:r>
            <w:r w:rsidRPr="002F6538">
              <w:rPr>
                <w:rFonts w:cs="Arial"/>
                <w:color w:val="000000"/>
                <w:sz w:val="16"/>
                <w:szCs w:val="16"/>
              </w:rPr>
              <w:object w:dxaOrig="225" w:dyaOrig="225" w14:anchorId="254C9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1" o:title=""/>
                </v:shape>
                <w:control r:id="rId62" w:name="DefaultOcxName" w:shapeid="_x0000_i1030"/>
              </w:object>
            </w:r>
            <w:r w:rsidRPr="002F6538">
              <w:rPr>
                <w:rFonts w:cs="Arial"/>
                <w:color w:val="000000"/>
                <w:sz w:val="16"/>
                <w:szCs w:val="16"/>
              </w:rPr>
              <w:object w:dxaOrig="225" w:dyaOrig="225" w14:anchorId="0646D4D3">
                <v:shape id="_x0000_i1033" type="#_x0000_t75" style="width:1in;height:18pt" o:ole="">
                  <v:imagedata r:id="rId63" o:title=""/>
                </v:shape>
                <w:control r:id="rId64" w:name="DefaultOcxName1" w:shapeid="_x0000_i1033"/>
              </w:object>
            </w:r>
            <w:r w:rsidRPr="002F6538">
              <w:rPr>
                <w:rFonts w:cs="Arial"/>
                <w:vanish/>
                <w:color w:val="000000"/>
                <w:sz w:val="16"/>
                <w:szCs w:val="16"/>
                <w:lang w:eastAsia="en-GB"/>
              </w:rPr>
              <w:t>See comment in PubMed Commons below</w:t>
            </w:r>
            <w:r w:rsidRPr="002F6538">
              <w:rPr>
                <w:rFonts w:cs="Arial"/>
                <w:color w:val="000000"/>
                <w:sz w:val="16"/>
                <w:szCs w:val="16"/>
                <w:lang w:eastAsia="en-GB"/>
              </w:rPr>
              <w:t>Toxicol Pathol, 2004, 32(1):79-90</w:t>
            </w:r>
          </w:p>
          <w:p w14:paraId="09AF1543" w14:textId="77777777" w:rsidR="00233E2A" w:rsidRPr="002F6538" w:rsidRDefault="00233E2A" w:rsidP="0010403B">
            <w:pPr>
              <w:rPr>
                <w:sz w:val="16"/>
                <w:szCs w:val="16"/>
              </w:rPr>
            </w:pPr>
          </w:p>
          <w:p w14:paraId="1CCF52AE" w14:textId="77777777" w:rsidR="00233E2A" w:rsidRPr="002F6538" w:rsidRDefault="00233E2A" w:rsidP="0010403B">
            <w:pPr>
              <w:rPr>
                <w:sz w:val="16"/>
                <w:szCs w:val="16"/>
              </w:rPr>
            </w:pPr>
            <w:r w:rsidRPr="002F6538">
              <w:rPr>
                <w:b/>
                <w:sz w:val="16"/>
                <w:szCs w:val="16"/>
              </w:rPr>
              <w:t>Used in a WoE approach as supporting study</w:t>
            </w:r>
          </w:p>
        </w:tc>
      </w:tr>
      <w:tr w:rsidR="00233E2A" w:rsidRPr="00DB7261" w14:paraId="694B3E90" w14:textId="77777777" w:rsidTr="0010403B">
        <w:tc>
          <w:tcPr>
            <w:tcW w:w="1553" w:type="dxa"/>
            <w:shd w:val="clear" w:color="auto" w:fill="auto"/>
          </w:tcPr>
          <w:p w14:paraId="180649B0" w14:textId="77777777" w:rsidR="00233E2A" w:rsidRPr="002F6538" w:rsidRDefault="00233E2A" w:rsidP="0010403B">
            <w:pPr>
              <w:pStyle w:val="Default"/>
              <w:widowControl w:val="0"/>
              <w:rPr>
                <w:sz w:val="16"/>
                <w:szCs w:val="16"/>
                <w:lang w:val="en-GB"/>
              </w:rPr>
            </w:pPr>
            <w:r w:rsidRPr="002F6538">
              <w:rPr>
                <w:sz w:val="16"/>
                <w:szCs w:val="16"/>
                <w:lang w:val="en-GB"/>
              </w:rPr>
              <w:t>Rat</w:t>
            </w:r>
          </w:p>
        </w:tc>
        <w:tc>
          <w:tcPr>
            <w:tcW w:w="1593" w:type="dxa"/>
            <w:shd w:val="clear" w:color="auto" w:fill="auto"/>
          </w:tcPr>
          <w:p w14:paraId="44459CD6" w14:textId="77777777" w:rsidR="00233E2A" w:rsidRPr="002F6538" w:rsidRDefault="00233E2A" w:rsidP="0010403B">
            <w:pPr>
              <w:pStyle w:val="Default"/>
              <w:widowControl w:val="0"/>
              <w:rPr>
                <w:sz w:val="16"/>
                <w:szCs w:val="16"/>
                <w:lang w:val="en-GB"/>
              </w:rPr>
            </w:pPr>
            <w:r w:rsidRPr="002F6538">
              <w:rPr>
                <w:sz w:val="16"/>
                <w:szCs w:val="16"/>
                <w:lang w:val="en-GB"/>
              </w:rPr>
              <w:t>Oral</w:t>
            </w:r>
          </w:p>
        </w:tc>
        <w:tc>
          <w:tcPr>
            <w:tcW w:w="3358" w:type="dxa"/>
            <w:shd w:val="clear" w:color="auto" w:fill="auto"/>
          </w:tcPr>
          <w:p w14:paraId="3D9E848D" w14:textId="77777777" w:rsidR="00233E2A" w:rsidRPr="002F6538" w:rsidRDefault="00233E2A" w:rsidP="0010403B">
            <w:pPr>
              <w:autoSpaceDE w:val="0"/>
              <w:autoSpaceDN w:val="0"/>
              <w:adjustRightInd w:val="0"/>
              <w:rPr>
                <w:sz w:val="16"/>
                <w:szCs w:val="16"/>
              </w:rPr>
            </w:pPr>
            <w:r w:rsidRPr="002F6538">
              <w:rPr>
                <w:sz w:val="16"/>
                <w:szCs w:val="16"/>
              </w:rPr>
              <w:t>Decrease in fetal testosterone levels following exposure to DEHP and DINP</w:t>
            </w:r>
          </w:p>
        </w:tc>
        <w:tc>
          <w:tcPr>
            <w:tcW w:w="1146" w:type="dxa"/>
            <w:shd w:val="clear" w:color="auto" w:fill="auto"/>
          </w:tcPr>
          <w:p w14:paraId="054FE1A7" w14:textId="77777777" w:rsidR="00233E2A" w:rsidRPr="002F6538" w:rsidRDefault="00233E2A" w:rsidP="0010403B">
            <w:pPr>
              <w:rPr>
                <w:sz w:val="16"/>
                <w:szCs w:val="16"/>
              </w:rPr>
            </w:pPr>
            <w:r w:rsidRPr="002F6538">
              <w:rPr>
                <w:sz w:val="16"/>
                <w:szCs w:val="16"/>
              </w:rPr>
              <w:t>Article published</w:t>
            </w:r>
          </w:p>
          <w:p w14:paraId="649081A2" w14:textId="77777777" w:rsidR="00233E2A" w:rsidRPr="002F6538" w:rsidRDefault="00233E2A" w:rsidP="0010403B">
            <w:pPr>
              <w:rPr>
                <w:sz w:val="16"/>
                <w:szCs w:val="16"/>
                <w:u w:val="single"/>
              </w:rPr>
            </w:pPr>
          </w:p>
        </w:tc>
        <w:tc>
          <w:tcPr>
            <w:tcW w:w="6524" w:type="dxa"/>
            <w:shd w:val="clear" w:color="auto" w:fill="auto"/>
          </w:tcPr>
          <w:p w14:paraId="16CA0603" w14:textId="77777777" w:rsidR="00233E2A" w:rsidRPr="002F6538" w:rsidRDefault="00233E2A" w:rsidP="0010403B">
            <w:pPr>
              <w:rPr>
                <w:rFonts w:cs="Arial"/>
                <w:sz w:val="16"/>
                <w:szCs w:val="16"/>
                <w:lang w:eastAsia="en-GB"/>
              </w:rPr>
            </w:pPr>
            <w:r w:rsidRPr="002F6538">
              <w:rPr>
                <w:rFonts w:cs="Arial"/>
                <w:sz w:val="16"/>
                <w:szCs w:val="16"/>
                <w:lang w:eastAsia="en-GB"/>
              </w:rPr>
              <w:t>Borch, J., Ladefoged O., Hass U.</w:t>
            </w:r>
            <w:r>
              <w:rPr>
                <w:rFonts w:cs="Arial"/>
                <w:sz w:val="16"/>
                <w:szCs w:val="16"/>
                <w:lang w:eastAsia="en-GB"/>
              </w:rPr>
              <w:t xml:space="preserve"> &amp;</w:t>
            </w:r>
            <w:r w:rsidRPr="002F6538">
              <w:rPr>
                <w:rFonts w:cs="Arial"/>
                <w:sz w:val="16"/>
                <w:szCs w:val="16"/>
                <w:lang w:eastAsia="en-GB"/>
              </w:rPr>
              <w:t xml:space="preserve"> Vinggaard A. </w:t>
            </w:r>
            <w:r w:rsidRPr="00B21086">
              <w:rPr>
                <w:rFonts w:cs="Arial"/>
                <w:i/>
                <w:sz w:val="16"/>
                <w:szCs w:val="16"/>
                <w:lang w:eastAsia="en-GB"/>
              </w:rPr>
              <w:t>Steroidogenesis in fetal male rats is reduced by DEHP and DINP, but endocrine effects of DEHP are not modulated by DEHA in fetal prepubertal and adult male rats</w:t>
            </w:r>
            <w:r>
              <w:rPr>
                <w:rFonts w:cs="Arial"/>
                <w:sz w:val="16"/>
                <w:szCs w:val="16"/>
                <w:lang w:eastAsia="en-GB"/>
              </w:rPr>
              <w:t>.</w:t>
            </w:r>
            <w:r w:rsidRPr="002F6538">
              <w:rPr>
                <w:rFonts w:cs="Arial"/>
                <w:sz w:val="16"/>
                <w:szCs w:val="16"/>
                <w:lang w:eastAsia="en-GB"/>
              </w:rPr>
              <w:t xml:space="preserve"> Reproductive toxicology, 18 (1): 53-61, 2004.</w:t>
            </w:r>
          </w:p>
          <w:p w14:paraId="5F55529E" w14:textId="77777777" w:rsidR="00233E2A" w:rsidRPr="002F6538" w:rsidRDefault="00233E2A" w:rsidP="0010403B">
            <w:pPr>
              <w:rPr>
                <w:rFonts w:cs="Arial"/>
                <w:sz w:val="16"/>
                <w:szCs w:val="16"/>
                <w:lang w:eastAsia="en-GB"/>
              </w:rPr>
            </w:pPr>
          </w:p>
          <w:p w14:paraId="674F53B5"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6B1EFD0E" w14:textId="77777777" w:rsidTr="0010403B">
        <w:tc>
          <w:tcPr>
            <w:tcW w:w="1553" w:type="dxa"/>
            <w:shd w:val="clear" w:color="auto" w:fill="auto"/>
          </w:tcPr>
          <w:p w14:paraId="06AC052A" w14:textId="77777777" w:rsidR="00233E2A" w:rsidRPr="002F6538" w:rsidRDefault="00233E2A" w:rsidP="0010403B">
            <w:pPr>
              <w:pStyle w:val="Default"/>
              <w:widowControl w:val="0"/>
              <w:rPr>
                <w:sz w:val="16"/>
                <w:szCs w:val="16"/>
                <w:lang w:val="en-GB"/>
              </w:rPr>
            </w:pPr>
            <w:r w:rsidRPr="002F6538">
              <w:rPr>
                <w:sz w:val="16"/>
                <w:szCs w:val="16"/>
                <w:lang w:val="en-GB"/>
              </w:rPr>
              <w:t>Rat</w:t>
            </w:r>
          </w:p>
        </w:tc>
        <w:tc>
          <w:tcPr>
            <w:tcW w:w="1593" w:type="dxa"/>
            <w:shd w:val="clear" w:color="auto" w:fill="auto"/>
          </w:tcPr>
          <w:p w14:paraId="104ED07C" w14:textId="77777777" w:rsidR="00233E2A" w:rsidRPr="002F6538" w:rsidRDefault="00233E2A" w:rsidP="0010403B">
            <w:pPr>
              <w:pStyle w:val="Default"/>
              <w:widowControl w:val="0"/>
              <w:rPr>
                <w:sz w:val="16"/>
                <w:szCs w:val="16"/>
                <w:lang w:val="en-GB"/>
              </w:rPr>
            </w:pPr>
            <w:r w:rsidRPr="002F6538">
              <w:rPr>
                <w:sz w:val="16"/>
                <w:szCs w:val="16"/>
                <w:lang w:val="en-GB"/>
              </w:rPr>
              <w:t>Oral</w:t>
            </w:r>
          </w:p>
        </w:tc>
        <w:tc>
          <w:tcPr>
            <w:tcW w:w="3358" w:type="dxa"/>
            <w:shd w:val="clear" w:color="auto" w:fill="auto"/>
          </w:tcPr>
          <w:p w14:paraId="3AA0EFAD" w14:textId="77777777" w:rsidR="00233E2A" w:rsidRPr="002F6538" w:rsidRDefault="00233E2A" w:rsidP="0010403B">
            <w:pPr>
              <w:autoSpaceDE w:val="0"/>
              <w:autoSpaceDN w:val="0"/>
              <w:adjustRightInd w:val="0"/>
              <w:rPr>
                <w:sz w:val="16"/>
                <w:szCs w:val="16"/>
              </w:rPr>
            </w:pPr>
            <w:r w:rsidRPr="002F6538">
              <w:rPr>
                <w:sz w:val="16"/>
                <w:szCs w:val="16"/>
              </w:rPr>
              <w:t>Decrease in fetal testosterone levels following exposure to DEHP and DINP</w:t>
            </w:r>
          </w:p>
        </w:tc>
        <w:tc>
          <w:tcPr>
            <w:tcW w:w="1146" w:type="dxa"/>
            <w:shd w:val="clear" w:color="auto" w:fill="auto"/>
          </w:tcPr>
          <w:p w14:paraId="4B179664" w14:textId="77777777" w:rsidR="00233E2A" w:rsidRPr="002F6538" w:rsidRDefault="00233E2A" w:rsidP="0010403B">
            <w:pPr>
              <w:rPr>
                <w:sz w:val="16"/>
                <w:szCs w:val="16"/>
              </w:rPr>
            </w:pPr>
            <w:r w:rsidRPr="002F6538">
              <w:rPr>
                <w:sz w:val="16"/>
                <w:szCs w:val="16"/>
              </w:rPr>
              <w:t>Article published</w:t>
            </w:r>
          </w:p>
          <w:p w14:paraId="62F14C4C" w14:textId="77777777" w:rsidR="00233E2A" w:rsidRPr="002F6538" w:rsidRDefault="00233E2A" w:rsidP="0010403B">
            <w:pPr>
              <w:rPr>
                <w:sz w:val="16"/>
                <w:szCs w:val="16"/>
                <w:u w:val="single"/>
              </w:rPr>
            </w:pPr>
          </w:p>
        </w:tc>
        <w:tc>
          <w:tcPr>
            <w:tcW w:w="6524" w:type="dxa"/>
            <w:shd w:val="clear" w:color="auto" w:fill="auto"/>
          </w:tcPr>
          <w:p w14:paraId="5E08F4DF" w14:textId="77777777" w:rsidR="00233E2A" w:rsidRPr="002F6538" w:rsidRDefault="00233E2A" w:rsidP="0010403B">
            <w:pPr>
              <w:rPr>
                <w:rFonts w:cs="Arial"/>
                <w:sz w:val="16"/>
                <w:szCs w:val="16"/>
                <w:lang w:eastAsia="en-GB"/>
              </w:rPr>
            </w:pPr>
            <w:r w:rsidRPr="002F6538">
              <w:rPr>
                <w:rFonts w:cs="Arial"/>
                <w:sz w:val="16"/>
                <w:szCs w:val="16"/>
                <w:lang w:eastAsia="en-GB"/>
              </w:rPr>
              <w:t>Borch J., Metzdorff S., Vinggaard A., Brokken L</w:t>
            </w:r>
            <w:r>
              <w:rPr>
                <w:rFonts w:cs="Arial"/>
                <w:sz w:val="16"/>
                <w:szCs w:val="16"/>
                <w:lang w:eastAsia="en-GB"/>
              </w:rPr>
              <w:t>. &amp;</w:t>
            </w:r>
            <w:r w:rsidRPr="002F6538">
              <w:rPr>
                <w:rFonts w:cs="Arial"/>
                <w:sz w:val="16"/>
                <w:szCs w:val="16"/>
                <w:lang w:eastAsia="en-GB"/>
              </w:rPr>
              <w:t xml:space="preserve"> Dalgaard M. </w:t>
            </w:r>
            <w:r w:rsidRPr="00B21086">
              <w:rPr>
                <w:rFonts w:cs="Arial"/>
                <w:i/>
                <w:sz w:val="16"/>
                <w:szCs w:val="16"/>
                <w:lang w:eastAsia="en-GB"/>
              </w:rPr>
              <w:t>Mechanisms underlying the anti-androgenic effects of diethylhexyl phthalate in fetal rat testis</w:t>
            </w:r>
            <w:r>
              <w:rPr>
                <w:rFonts w:cs="Arial"/>
                <w:sz w:val="16"/>
                <w:szCs w:val="16"/>
                <w:lang w:eastAsia="en-GB"/>
              </w:rPr>
              <w:t>.</w:t>
            </w:r>
            <w:r w:rsidRPr="002F6538">
              <w:rPr>
                <w:rFonts w:cs="Arial"/>
                <w:sz w:val="16"/>
                <w:szCs w:val="16"/>
                <w:lang w:eastAsia="en-GB"/>
              </w:rPr>
              <w:t xml:space="preserve"> Toxicology</w:t>
            </w:r>
            <w:r>
              <w:rPr>
                <w:rFonts w:cs="Arial"/>
                <w:sz w:val="16"/>
                <w:szCs w:val="16"/>
                <w:lang w:eastAsia="en-GB"/>
              </w:rPr>
              <w:t>,</w:t>
            </w:r>
            <w:r w:rsidRPr="002F6538">
              <w:rPr>
                <w:rFonts w:cs="Arial"/>
                <w:sz w:val="16"/>
                <w:szCs w:val="16"/>
                <w:lang w:eastAsia="en-GB"/>
              </w:rPr>
              <w:t xml:space="preserve"> 223: 144-55, 2006</w:t>
            </w:r>
          </w:p>
          <w:p w14:paraId="18A6F31E" w14:textId="77777777" w:rsidR="00233E2A" w:rsidRPr="002F6538" w:rsidRDefault="00233E2A" w:rsidP="0010403B">
            <w:pPr>
              <w:rPr>
                <w:rFonts w:cs="Arial"/>
                <w:sz w:val="16"/>
                <w:szCs w:val="16"/>
                <w:lang w:eastAsia="en-GB"/>
              </w:rPr>
            </w:pPr>
          </w:p>
          <w:p w14:paraId="57C99326"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458B7A53" w14:textId="77777777" w:rsidTr="0010403B">
        <w:tc>
          <w:tcPr>
            <w:tcW w:w="1553" w:type="dxa"/>
            <w:shd w:val="clear" w:color="auto" w:fill="auto"/>
          </w:tcPr>
          <w:p w14:paraId="1EDF03A4" w14:textId="77777777" w:rsidR="00233E2A" w:rsidRPr="002F6538" w:rsidRDefault="00233E2A" w:rsidP="0010403B">
            <w:pPr>
              <w:pStyle w:val="Default"/>
              <w:widowControl w:val="0"/>
              <w:rPr>
                <w:sz w:val="16"/>
                <w:szCs w:val="16"/>
                <w:lang w:val="en-GB"/>
              </w:rPr>
            </w:pPr>
            <w:r w:rsidRPr="002F6538">
              <w:rPr>
                <w:sz w:val="16"/>
                <w:szCs w:val="16"/>
                <w:lang w:val="en-GB"/>
              </w:rPr>
              <w:t>Rat</w:t>
            </w:r>
          </w:p>
        </w:tc>
        <w:tc>
          <w:tcPr>
            <w:tcW w:w="1593" w:type="dxa"/>
            <w:shd w:val="clear" w:color="auto" w:fill="auto"/>
          </w:tcPr>
          <w:p w14:paraId="6C9B604D" w14:textId="77777777" w:rsidR="00233E2A" w:rsidRPr="002F6538" w:rsidRDefault="00233E2A" w:rsidP="0010403B">
            <w:pPr>
              <w:pStyle w:val="Default"/>
              <w:widowControl w:val="0"/>
              <w:rPr>
                <w:sz w:val="16"/>
                <w:szCs w:val="16"/>
                <w:lang w:val="en-GB"/>
              </w:rPr>
            </w:pPr>
            <w:r w:rsidRPr="002F6538">
              <w:rPr>
                <w:sz w:val="16"/>
                <w:szCs w:val="16"/>
                <w:lang w:val="en-GB"/>
              </w:rPr>
              <w:t>Oral</w:t>
            </w:r>
          </w:p>
        </w:tc>
        <w:tc>
          <w:tcPr>
            <w:tcW w:w="3358" w:type="dxa"/>
            <w:shd w:val="clear" w:color="auto" w:fill="auto"/>
          </w:tcPr>
          <w:p w14:paraId="1FCA4CE1" w14:textId="77777777" w:rsidR="00233E2A" w:rsidRPr="002F6538" w:rsidRDefault="00233E2A" w:rsidP="0010403B">
            <w:pPr>
              <w:autoSpaceDE w:val="0"/>
              <w:autoSpaceDN w:val="0"/>
              <w:adjustRightInd w:val="0"/>
              <w:rPr>
                <w:sz w:val="16"/>
                <w:szCs w:val="16"/>
              </w:rPr>
            </w:pPr>
            <w:r w:rsidRPr="002F6538">
              <w:rPr>
                <w:sz w:val="16"/>
                <w:szCs w:val="16"/>
              </w:rPr>
              <w:t xml:space="preserve">dose-response studies with diisobutyl (DIBP), dipentyl (DPeP), dihexyl (DHP), diheptyl (DHeP), diisononyl (DINP), or diisodecyl phthalate (DIDP) indicating that all </w:t>
            </w:r>
            <w:r w:rsidRPr="002F6538">
              <w:rPr>
                <w:sz w:val="16"/>
                <w:szCs w:val="16"/>
              </w:rPr>
              <w:lastRenderedPageBreak/>
              <w:t>phthalates, with the exception of DIDP, reduced fetal testicular T production</w:t>
            </w:r>
          </w:p>
        </w:tc>
        <w:tc>
          <w:tcPr>
            <w:tcW w:w="1146" w:type="dxa"/>
            <w:shd w:val="clear" w:color="auto" w:fill="auto"/>
          </w:tcPr>
          <w:p w14:paraId="2EF42496" w14:textId="77777777" w:rsidR="00233E2A" w:rsidRPr="002F6538" w:rsidRDefault="00233E2A" w:rsidP="0010403B">
            <w:pPr>
              <w:rPr>
                <w:sz w:val="16"/>
                <w:szCs w:val="16"/>
              </w:rPr>
            </w:pPr>
            <w:r w:rsidRPr="002F6538">
              <w:rPr>
                <w:sz w:val="16"/>
                <w:szCs w:val="16"/>
              </w:rPr>
              <w:lastRenderedPageBreak/>
              <w:t>Article published</w:t>
            </w:r>
          </w:p>
          <w:p w14:paraId="672C67F4" w14:textId="77777777" w:rsidR="00233E2A" w:rsidRPr="002F6538" w:rsidRDefault="00233E2A" w:rsidP="0010403B">
            <w:pPr>
              <w:rPr>
                <w:sz w:val="16"/>
                <w:szCs w:val="16"/>
                <w:u w:val="single"/>
              </w:rPr>
            </w:pPr>
          </w:p>
        </w:tc>
        <w:tc>
          <w:tcPr>
            <w:tcW w:w="6524" w:type="dxa"/>
            <w:shd w:val="clear" w:color="auto" w:fill="auto"/>
          </w:tcPr>
          <w:p w14:paraId="2D9CF733" w14:textId="77777777" w:rsidR="00233E2A" w:rsidRPr="002F6538" w:rsidRDefault="00233E2A" w:rsidP="0010403B">
            <w:pPr>
              <w:rPr>
                <w:rFonts w:cs="Arial"/>
                <w:sz w:val="16"/>
                <w:szCs w:val="16"/>
                <w:lang w:eastAsia="en-GB"/>
              </w:rPr>
            </w:pPr>
            <w:r w:rsidRPr="002F6538">
              <w:rPr>
                <w:rFonts w:cs="Arial"/>
                <w:sz w:val="16"/>
                <w:szCs w:val="16"/>
                <w:lang w:eastAsia="en-GB"/>
              </w:rPr>
              <w:lastRenderedPageBreak/>
              <w:t>Hannas B., Lambright C</w:t>
            </w:r>
            <w:r>
              <w:rPr>
                <w:rFonts w:cs="Arial"/>
                <w:sz w:val="16"/>
                <w:szCs w:val="16"/>
                <w:lang w:eastAsia="en-GB"/>
              </w:rPr>
              <w:t>.</w:t>
            </w:r>
            <w:r w:rsidRPr="002F6538">
              <w:rPr>
                <w:rFonts w:cs="Arial"/>
                <w:sz w:val="16"/>
                <w:szCs w:val="16"/>
                <w:lang w:eastAsia="en-GB"/>
              </w:rPr>
              <w:t>, Furr J., Evans N., Foster P., Gray E.</w:t>
            </w:r>
            <w:r>
              <w:rPr>
                <w:rFonts w:cs="Arial"/>
                <w:sz w:val="16"/>
                <w:szCs w:val="16"/>
                <w:lang w:eastAsia="en-GB"/>
              </w:rPr>
              <w:t xml:space="preserve"> &amp;</w:t>
            </w:r>
            <w:r w:rsidRPr="002F6538">
              <w:rPr>
                <w:rFonts w:cs="Arial"/>
                <w:sz w:val="16"/>
                <w:szCs w:val="16"/>
                <w:lang w:eastAsia="en-GB"/>
              </w:rPr>
              <w:t xml:space="preserve"> Wilson V. </w:t>
            </w:r>
            <w:r w:rsidRPr="00B21086">
              <w:rPr>
                <w:rFonts w:cs="Arial"/>
                <w:i/>
                <w:sz w:val="16"/>
                <w:szCs w:val="16"/>
                <w:lang w:eastAsia="en-GB"/>
              </w:rPr>
              <w:t>Genomic biomarkers of phthalate induced male reproductive developmental toxicity: a targeted RT-PCR array approach for defining relative potency</w:t>
            </w:r>
            <w:r>
              <w:rPr>
                <w:rFonts w:cs="Arial"/>
                <w:sz w:val="16"/>
                <w:szCs w:val="16"/>
                <w:lang w:eastAsia="en-GB"/>
              </w:rPr>
              <w:t>.</w:t>
            </w:r>
            <w:r w:rsidRPr="002F6538">
              <w:rPr>
                <w:rFonts w:cs="Arial"/>
                <w:sz w:val="16"/>
                <w:szCs w:val="16"/>
                <w:lang w:eastAsia="en-GB"/>
              </w:rPr>
              <w:t xml:space="preserve"> Toxicological Sciences, 125 (2): 544-57, 2012</w:t>
            </w:r>
          </w:p>
          <w:p w14:paraId="79C42728" w14:textId="77777777" w:rsidR="00233E2A" w:rsidRPr="002F6538" w:rsidRDefault="00233E2A" w:rsidP="0010403B">
            <w:pPr>
              <w:rPr>
                <w:rFonts w:cs="Arial"/>
                <w:sz w:val="16"/>
                <w:szCs w:val="16"/>
                <w:lang w:eastAsia="en-GB"/>
              </w:rPr>
            </w:pPr>
          </w:p>
          <w:p w14:paraId="751F1C3E"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001222A0" w14:textId="77777777" w:rsidTr="0010403B">
        <w:tc>
          <w:tcPr>
            <w:tcW w:w="1553" w:type="dxa"/>
            <w:shd w:val="clear" w:color="auto" w:fill="auto"/>
          </w:tcPr>
          <w:p w14:paraId="12E0891D" w14:textId="77777777" w:rsidR="00233E2A" w:rsidRPr="002F6538" w:rsidRDefault="00233E2A" w:rsidP="0010403B">
            <w:pPr>
              <w:pStyle w:val="Default"/>
              <w:widowControl w:val="0"/>
              <w:rPr>
                <w:sz w:val="16"/>
                <w:szCs w:val="16"/>
                <w:lang w:val="en-GB"/>
              </w:rPr>
            </w:pPr>
            <w:r w:rsidRPr="002F6538">
              <w:rPr>
                <w:sz w:val="16"/>
                <w:szCs w:val="16"/>
                <w:lang w:val="en-GB"/>
              </w:rPr>
              <w:lastRenderedPageBreak/>
              <w:t>Rat</w:t>
            </w:r>
          </w:p>
        </w:tc>
        <w:tc>
          <w:tcPr>
            <w:tcW w:w="1593" w:type="dxa"/>
            <w:shd w:val="clear" w:color="auto" w:fill="auto"/>
          </w:tcPr>
          <w:p w14:paraId="4AF8D189" w14:textId="77777777" w:rsidR="00233E2A" w:rsidRPr="002F6538" w:rsidRDefault="00233E2A" w:rsidP="0010403B">
            <w:pPr>
              <w:pStyle w:val="Default"/>
              <w:widowControl w:val="0"/>
              <w:rPr>
                <w:sz w:val="16"/>
                <w:szCs w:val="16"/>
                <w:lang w:val="en-GB"/>
              </w:rPr>
            </w:pPr>
            <w:r w:rsidRPr="002F6538">
              <w:rPr>
                <w:sz w:val="16"/>
                <w:szCs w:val="16"/>
                <w:lang w:val="en-GB"/>
              </w:rPr>
              <w:t>Oral</w:t>
            </w:r>
          </w:p>
        </w:tc>
        <w:tc>
          <w:tcPr>
            <w:tcW w:w="3358" w:type="dxa"/>
            <w:shd w:val="clear" w:color="auto" w:fill="auto"/>
          </w:tcPr>
          <w:p w14:paraId="468B50DB" w14:textId="77777777" w:rsidR="00233E2A" w:rsidRPr="002F6538" w:rsidRDefault="00233E2A" w:rsidP="0010403B">
            <w:pPr>
              <w:autoSpaceDE w:val="0"/>
              <w:autoSpaceDN w:val="0"/>
              <w:adjustRightInd w:val="0"/>
              <w:rPr>
                <w:sz w:val="16"/>
                <w:szCs w:val="16"/>
              </w:rPr>
            </w:pPr>
            <w:r w:rsidRPr="002F6538">
              <w:rPr>
                <w:sz w:val="16"/>
                <w:szCs w:val="16"/>
              </w:rPr>
              <w:t xml:space="preserve">Effects of dipentyl phthalate on testicular testosterone production </w:t>
            </w:r>
          </w:p>
        </w:tc>
        <w:tc>
          <w:tcPr>
            <w:tcW w:w="1146" w:type="dxa"/>
            <w:shd w:val="clear" w:color="auto" w:fill="auto"/>
          </w:tcPr>
          <w:p w14:paraId="69A9C476" w14:textId="77777777" w:rsidR="00233E2A" w:rsidRPr="00990F9E" w:rsidRDefault="00233E2A" w:rsidP="0010403B">
            <w:pPr>
              <w:rPr>
                <w:sz w:val="16"/>
                <w:szCs w:val="16"/>
              </w:rPr>
            </w:pPr>
            <w:r w:rsidRPr="00990F9E">
              <w:rPr>
                <w:sz w:val="16"/>
                <w:szCs w:val="16"/>
              </w:rPr>
              <w:t>Abstract published</w:t>
            </w:r>
          </w:p>
        </w:tc>
        <w:tc>
          <w:tcPr>
            <w:tcW w:w="6524" w:type="dxa"/>
            <w:shd w:val="clear" w:color="auto" w:fill="auto"/>
          </w:tcPr>
          <w:p w14:paraId="30E2DA14" w14:textId="77777777" w:rsidR="00233E2A" w:rsidRPr="002F6538" w:rsidRDefault="00233E2A" w:rsidP="0010403B">
            <w:pPr>
              <w:rPr>
                <w:rFonts w:cs="Arial"/>
                <w:sz w:val="16"/>
                <w:szCs w:val="16"/>
                <w:lang w:eastAsia="en-GB"/>
              </w:rPr>
            </w:pPr>
            <w:r w:rsidRPr="002F6538">
              <w:rPr>
                <w:rFonts w:cs="Arial"/>
                <w:sz w:val="16"/>
                <w:szCs w:val="16"/>
                <w:lang w:eastAsia="en-GB"/>
              </w:rPr>
              <w:t>Beverly B., Lambright C</w:t>
            </w:r>
            <w:r>
              <w:rPr>
                <w:rFonts w:cs="Arial"/>
                <w:sz w:val="16"/>
                <w:szCs w:val="16"/>
                <w:lang w:eastAsia="en-GB"/>
              </w:rPr>
              <w:t>.</w:t>
            </w:r>
            <w:r w:rsidRPr="002F6538">
              <w:rPr>
                <w:rFonts w:cs="Arial"/>
                <w:sz w:val="16"/>
                <w:szCs w:val="16"/>
                <w:lang w:eastAsia="en-GB"/>
              </w:rPr>
              <w:t>, Furr J., Sampson H., Wilson V., McIntyre B., Foster P., Travlos G.</w:t>
            </w:r>
            <w:r>
              <w:rPr>
                <w:rFonts w:cs="Arial"/>
                <w:sz w:val="16"/>
                <w:szCs w:val="16"/>
                <w:lang w:eastAsia="en-GB"/>
              </w:rPr>
              <w:t xml:space="preserve"> &amp;</w:t>
            </w:r>
            <w:r w:rsidRPr="002F6538">
              <w:rPr>
                <w:rFonts w:cs="Arial"/>
                <w:sz w:val="16"/>
                <w:szCs w:val="16"/>
                <w:lang w:eastAsia="en-GB"/>
              </w:rPr>
              <w:t xml:space="preserve"> Gray L. </w:t>
            </w:r>
            <w:r w:rsidRPr="00B21086">
              <w:rPr>
                <w:rFonts w:cs="Arial"/>
                <w:i/>
                <w:sz w:val="16"/>
                <w:szCs w:val="16"/>
                <w:lang w:eastAsia="en-GB"/>
              </w:rPr>
              <w:t>Simvastatin and dipentyl phthalate lower ex vivo testicular testosterone production and exhibit additive effects on testicular testosterone and gene experession via distinct mechanistic pathways in the fetal rat</w:t>
            </w:r>
            <w:r>
              <w:rPr>
                <w:rFonts w:cs="Arial"/>
                <w:sz w:val="16"/>
                <w:szCs w:val="16"/>
                <w:lang w:eastAsia="en-GB"/>
              </w:rPr>
              <w:t>.</w:t>
            </w:r>
            <w:r w:rsidRPr="002F6538">
              <w:rPr>
                <w:rFonts w:cs="Arial"/>
                <w:sz w:val="16"/>
                <w:szCs w:val="16"/>
                <w:lang w:eastAsia="en-GB"/>
              </w:rPr>
              <w:t xml:space="preserve"> Toxicological Sciences, doi: 10.1093/toxsci/kfu149, 2014.</w:t>
            </w:r>
          </w:p>
          <w:p w14:paraId="09D50ABC" w14:textId="77777777" w:rsidR="00233E2A" w:rsidRPr="002F6538" w:rsidRDefault="00233E2A" w:rsidP="0010403B">
            <w:pPr>
              <w:rPr>
                <w:rFonts w:cs="Arial"/>
                <w:sz w:val="16"/>
                <w:szCs w:val="16"/>
                <w:lang w:eastAsia="en-GB"/>
              </w:rPr>
            </w:pPr>
          </w:p>
          <w:p w14:paraId="4D097D20"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bl>
    <w:p w14:paraId="52C6FA1D" w14:textId="77777777" w:rsidR="00233E2A" w:rsidRDefault="00233E2A" w:rsidP="00233E2A">
      <w:pPr>
        <w:pStyle w:val="BodyText"/>
      </w:pPr>
    </w:p>
    <w:p w14:paraId="367607E6" w14:textId="77777777" w:rsidR="00233E2A" w:rsidRDefault="00233E2A" w:rsidP="00233E2A">
      <w:pPr>
        <w:pStyle w:val="BodyText"/>
      </w:pPr>
    </w:p>
    <w:p w14:paraId="6919D01A" w14:textId="77777777" w:rsidR="00233E2A" w:rsidRDefault="00233E2A" w:rsidP="00233E2A">
      <w:pPr>
        <w:pStyle w:val="BodyText"/>
      </w:pPr>
    </w:p>
    <w:p w14:paraId="1E517593" w14:textId="77777777" w:rsidR="00233E2A" w:rsidRDefault="00233E2A" w:rsidP="00233E2A">
      <w:pPr>
        <w:pStyle w:val="BodyText"/>
      </w:pPr>
    </w:p>
    <w:p w14:paraId="3618531B" w14:textId="77777777" w:rsidR="00233E2A" w:rsidRDefault="00233E2A" w:rsidP="00233E2A">
      <w:pPr>
        <w:pStyle w:val="BodyText"/>
      </w:pPr>
    </w:p>
    <w:p w14:paraId="5E391051" w14:textId="77777777" w:rsidR="00233E2A" w:rsidRDefault="00233E2A" w:rsidP="00233E2A">
      <w:pPr>
        <w:pStyle w:val="BodyText"/>
      </w:pPr>
    </w:p>
    <w:p w14:paraId="4E33E7A4" w14:textId="77777777" w:rsidR="00233E2A" w:rsidRDefault="00233E2A" w:rsidP="00233E2A">
      <w:pPr>
        <w:pStyle w:val="BodyText"/>
      </w:pPr>
    </w:p>
    <w:p w14:paraId="384A4DDA" w14:textId="77777777" w:rsidR="00233E2A" w:rsidRDefault="00233E2A" w:rsidP="00233E2A">
      <w:pPr>
        <w:pStyle w:val="BodyText"/>
      </w:pPr>
    </w:p>
    <w:p w14:paraId="159984C8" w14:textId="77777777" w:rsidR="00233E2A" w:rsidRDefault="00233E2A" w:rsidP="00233E2A">
      <w:pPr>
        <w:pStyle w:val="BodyText"/>
      </w:pPr>
    </w:p>
    <w:p w14:paraId="3D87A54D" w14:textId="77777777" w:rsidR="00233E2A" w:rsidRDefault="00233E2A" w:rsidP="00233E2A">
      <w:pPr>
        <w:pStyle w:val="BodyText"/>
      </w:pPr>
    </w:p>
    <w:p w14:paraId="17DD611A" w14:textId="77777777" w:rsidR="00233E2A" w:rsidRDefault="00233E2A" w:rsidP="00233E2A">
      <w:pPr>
        <w:pStyle w:val="BodyText"/>
      </w:pPr>
    </w:p>
    <w:p w14:paraId="22E2EC07" w14:textId="77777777" w:rsidR="00233E2A" w:rsidRDefault="00233E2A" w:rsidP="00233E2A">
      <w:pPr>
        <w:pStyle w:val="BodyText"/>
      </w:pPr>
    </w:p>
    <w:p w14:paraId="76858A41" w14:textId="77777777" w:rsidR="00233E2A" w:rsidRDefault="00233E2A" w:rsidP="00233E2A">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56"/>
        <w:gridCol w:w="3286"/>
        <w:gridCol w:w="1137"/>
        <w:gridCol w:w="6439"/>
      </w:tblGrid>
      <w:tr w:rsidR="00233E2A" w:rsidRPr="00DB7261" w14:paraId="7EB749C2" w14:textId="77777777" w:rsidTr="0010403B">
        <w:tc>
          <w:tcPr>
            <w:tcW w:w="14174" w:type="dxa"/>
            <w:gridSpan w:val="5"/>
            <w:shd w:val="clear" w:color="auto" w:fill="0070C0"/>
          </w:tcPr>
          <w:p w14:paraId="7C15C4EA" w14:textId="77777777" w:rsidR="00233E2A" w:rsidRPr="002F6538" w:rsidRDefault="00233E2A" w:rsidP="0010403B">
            <w:pPr>
              <w:rPr>
                <w:rFonts w:cs="Arial"/>
                <w:sz w:val="16"/>
                <w:szCs w:val="16"/>
                <w:lang w:eastAsia="en-GB"/>
              </w:rPr>
            </w:pPr>
          </w:p>
          <w:p w14:paraId="6A303506" w14:textId="77777777" w:rsidR="00233E2A" w:rsidRPr="002F6538" w:rsidRDefault="00233E2A" w:rsidP="0010403B">
            <w:pPr>
              <w:jc w:val="center"/>
              <w:rPr>
                <w:rFonts w:cs="Arial"/>
                <w:b/>
                <w:color w:val="FFFFFF"/>
                <w:lang w:eastAsia="en-GB"/>
              </w:rPr>
            </w:pPr>
            <w:r w:rsidRPr="002F6538">
              <w:rPr>
                <w:rFonts w:cs="Arial"/>
                <w:b/>
                <w:color w:val="FFFFFF"/>
                <w:lang w:eastAsia="en-GB"/>
              </w:rPr>
              <w:t>Human relevance</w:t>
            </w:r>
          </w:p>
          <w:p w14:paraId="566F164C" w14:textId="77777777" w:rsidR="00233E2A" w:rsidRPr="002F6538" w:rsidRDefault="00233E2A" w:rsidP="0010403B">
            <w:pPr>
              <w:rPr>
                <w:rFonts w:cs="Arial"/>
                <w:sz w:val="16"/>
                <w:szCs w:val="16"/>
                <w:lang w:eastAsia="en-GB"/>
              </w:rPr>
            </w:pPr>
          </w:p>
        </w:tc>
      </w:tr>
      <w:tr w:rsidR="00233E2A" w:rsidRPr="00DB7261" w14:paraId="79CF6349" w14:textId="77777777" w:rsidTr="0010403B">
        <w:tc>
          <w:tcPr>
            <w:tcW w:w="1553" w:type="dxa"/>
            <w:shd w:val="clear" w:color="auto" w:fill="auto"/>
          </w:tcPr>
          <w:p w14:paraId="589583BF"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1593" w:type="dxa"/>
            <w:shd w:val="clear" w:color="auto" w:fill="auto"/>
          </w:tcPr>
          <w:p w14:paraId="7AEC225B"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4FEEF372" w14:textId="77777777" w:rsidR="00233E2A" w:rsidRPr="002F6538" w:rsidRDefault="00233E2A" w:rsidP="0010403B">
            <w:pPr>
              <w:autoSpaceDE w:val="0"/>
              <w:autoSpaceDN w:val="0"/>
              <w:adjustRightInd w:val="0"/>
              <w:rPr>
                <w:sz w:val="16"/>
                <w:szCs w:val="16"/>
              </w:rPr>
            </w:pPr>
            <w:r w:rsidRPr="002F6538">
              <w:rPr>
                <w:sz w:val="16"/>
                <w:szCs w:val="16"/>
              </w:rPr>
              <w:t>“</w:t>
            </w:r>
            <w:r w:rsidRPr="002F6538">
              <w:rPr>
                <w:i/>
                <w:sz w:val="16"/>
                <w:szCs w:val="16"/>
              </w:rPr>
              <w:t>a statistically significant change in sperm count in a rodent study is considered to be indicative of a potentiual effect on fertility in humans</w:t>
            </w:r>
            <w:r w:rsidRPr="002F6538">
              <w:rPr>
                <w:sz w:val="16"/>
                <w:szCs w:val="16"/>
              </w:rPr>
              <w:t>” (OECD 2008 due to a greater sperm reserve in rats than in humans.</w:t>
            </w:r>
          </w:p>
        </w:tc>
        <w:tc>
          <w:tcPr>
            <w:tcW w:w="1146" w:type="dxa"/>
            <w:shd w:val="clear" w:color="auto" w:fill="auto"/>
          </w:tcPr>
          <w:p w14:paraId="1CFE35F5" w14:textId="77777777" w:rsidR="00233E2A" w:rsidRPr="00990F9E" w:rsidRDefault="00233E2A" w:rsidP="0010403B">
            <w:pPr>
              <w:rPr>
                <w:sz w:val="16"/>
                <w:szCs w:val="16"/>
              </w:rPr>
            </w:pPr>
            <w:r w:rsidRPr="00990F9E">
              <w:rPr>
                <w:sz w:val="16"/>
                <w:szCs w:val="16"/>
              </w:rPr>
              <w:t>Guidance document published</w:t>
            </w:r>
          </w:p>
        </w:tc>
        <w:tc>
          <w:tcPr>
            <w:tcW w:w="6524" w:type="dxa"/>
            <w:shd w:val="clear" w:color="auto" w:fill="auto"/>
          </w:tcPr>
          <w:p w14:paraId="5F68ADCD" w14:textId="77777777" w:rsidR="00233E2A" w:rsidRPr="002F6538" w:rsidRDefault="00233E2A" w:rsidP="0010403B">
            <w:pPr>
              <w:rPr>
                <w:rFonts w:cs="Arial"/>
                <w:sz w:val="16"/>
                <w:szCs w:val="16"/>
                <w:lang w:eastAsia="en-GB"/>
              </w:rPr>
            </w:pPr>
            <w:r w:rsidRPr="002F6538">
              <w:rPr>
                <w:rFonts w:cs="Arial"/>
                <w:sz w:val="16"/>
                <w:szCs w:val="16"/>
                <w:lang w:eastAsia="en-GB"/>
              </w:rPr>
              <w:t xml:space="preserve">OECD. </w:t>
            </w:r>
            <w:r w:rsidRPr="00B21086">
              <w:rPr>
                <w:rFonts w:cs="Arial"/>
                <w:i/>
                <w:sz w:val="16"/>
                <w:szCs w:val="16"/>
                <w:lang w:eastAsia="en-GB"/>
              </w:rPr>
              <w:t>Guidance document on mammalian reproductive toxicity testing and assessment</w:t>
            </w:r>
            <w:r w:rsidRPr="002F6538">
              <w:rPr>
                <w:rFonts w:cs="Arial"/>
                <w:sz w:val="16"/>
                <w:szCs w:val="16"/>
                <w:lang w:eastAsia="en-GB"/>
              </w:rPr>
              <w:t>. OECD Environment, Health and Safety Publications. Series on Testing and Assessment. No. 43, 2008</w:t>
            </w:r>
          </w:p>
          <w:p w14:paraId="4DE07B59" w14:textId="77777777" w:rsidR="00233E2A" w:rsidRPr="002F6538" w:rsidRDefault="00233E2A" w:rsidP="0010403B">
            <w:pPr>
              <w:rPr>
                <w:rFonts w:cs="Arial"/>
                <w:sz w:val="16"/>
                <w:szCs w:val="16"/>
                <w:lang w:eastAsia="en-GB"/>
              </w:rPr>
            </w:pPr>
          </w:p>
          <w:p w14:paraId="37E8D20F"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76222645" w14:textId="77777777" w:rsidTr="0010403B">
        <w:tc>
          <w:tcPr>
            <w:tcW w:w="1553" w:type="dxa"/>
            <w:shd w:val="clear" w:color="auto" w:fill="auto"/>
          </w:tcPr>
          <w:p w14:paraId="2420DF8F"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1593" w:type="dxa"/>
            <w:shd w:val="clear" w:color="auto" w:fill="auto"/>
          </w:tcPr>
          <w:p w14:paraId="1C2D2421"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0ACFBBCA" w14:textId="77777777" w:rsidR="00233E2A" w:rsidRPr="002F6538" w:rsidRDefault="00233E2A" w:rsidP="0010403B">
            <w:pPr>
              <w:autoSpaceDE w:val="0"/>
              <w:autoSpaceDN w:val="0"/>
              <w:adjustRightInd w:val="0"/>
              <w:rPr>
                <w:i/>
                <w:sz w:val="16"/>
                <w:szCs w:val="16"/>
              </w:rPr>
            </w:pPr>
            <w:r w:rsidRPr="002F6538">
              <w:rPr>
                <w:i/>
                <w:sz w:val="16"/>
                <w:szCs w:val="16"/>
              </w:rPr>
              <w:t>“Decreased AGD in male rats is a hallmark of antiandrogenic substances (Noriega et al 2009; Christiansen et al 2010). A statistically significant change in AGD that cannot be explained by the size of the animal indicates an adverse effect of exposure and should be considered in setting the NOAEL (OECD 2008)”</w:t>
            </w:r>
          </w:p>
        </w:tc>
        <w:tc>
          <w:tcPr>
            <w:tcW w:w="1146" w:type="dxa"/>
            <w:shd w:val="clear" w:color="auto" w:fill="auto"/>
          </w:tcPr>
          <w:p w14:paraId="5E63F7E4" w14:textId="77777777" w:rsidR="00233E2A" w:rsidRPr="00990F9E" w:rsidRDefault="00233E2A" w:rsidP="0010403B">
            <w:pPr>
              <w:rPr>
                <w:sz w:val="16"/>
                <w:szCs w:val="16"/>
              </w:rPr>
            </w:pPr>
            <w:r w:rsidRPr="00990F9E">
              <w:rPr>
                <w:sz w:val="16"/>
                <w:szCs w:val="16"/>
              </w:rPr>
              <w:t>Guidance document published</w:t>
            </w:r>
          </w:p>
        </w:tc>
        <w:tc>
          <w:tcPr>
            <w:tcW w:w="6524" w:type="dxa"/>
            <w:shd w:val="clear" w:color="auto" w:fill="auto"/>
          </w:tcPr>
          <w:p w14:paraId="3C29D8EB" w14:textId="77777777" w:rsidR="00233E2A" w:rsidRPr="002F6538" w:rsidRDefault="00233E2A" w:rsidP="0010403B">
            <w:pPr>
              <w:rPr>
                <w:rFonts w:cs="Arial"/>
                <w:sz w:val="16"/>
                <w:szCs w:val="16"/>
                <w:lang w:eastAsia="en-GB"/>
              </w:rPr>
            </w:pPr>
            <w:r w:rsidRPr="002F6538">
              <w:rPr>
                <w:rFonts w:cs="Arial"/>
                <w:sz w:val="16"/>
                <w:szCs w:val="16"/>
                <w:lang w:eastAsia="en-GB"/>
              </w:rPr>
              <w:t xml:space="preserve">OECD. </w:t>
            </w:r>
            <w:r w:rsidRPr="00B21086">
              <w:rPr>
                <w:rFonts w:cs="Arial"/>
                <w:i/>
                <w:sz w:val="16"/>
                <w:szCs w:val="16"/>
                <w:lang w:eastAsia="en-GB"/>
              </w:rPr>
              <w:t>Guidance document supporting OECD test guideline 443 on the Extended One-Generation Reproductive Toxicity Test</w:t>
            </w:r>
            <w:r w:rsidRPr="002F6538">
              <w:rPr>
                <w:rFonts w:cs="Arial"/>
                <w:sz w:val="16"/>
                <w:szCs w:val="16"/>
                <w:lang w:eastAsia="en-GB"/>
              </w:rPr>
              <w:t>. OECD Environment, Health and Safety Publications. Series on Testing and Assessment. No. 151, 2013</w:t>
            </w:r>
          </w:p>
          <w:p w14:paraId="2C738936" w14:textId="77777777" w:rsidR="00233E2A" w:rsidRPr="002F6538" w:rsidRDefault="00233E2A" w:rsidP="0010403B">
            <w:pPr>
              <w:rPr>
                <w:rFonts w:cs="Arial"/>
                <w:sz w:val="16"/>
                <w:szCs w:val="16"/>
                <w:lang w:eastAsia="en-GB"/>
              </w:rPr>
            </w:pPr>
          </w:p>
          <w:p w14:paraId="6763AE49"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0D0AB1AF" w14:textId="77777777" w:rsidTr="0010403B">
        <w:tc>
          <w:tcPr>
            <w:tcW w:w="1553" w:type="dxa"/>
            <w:shd w:val="clear" w:color="auto" w:fill="auto"/>
          </w:tcPr>
          <w:p w14:paraId="172319A8" w14:textId="77777777" w:rsidR="00233E2A" w:rsidRPr="002F6538" w:rsidRDefault="00233E2A" w:rsidP="0010403B">
            <w:pPr>
              <w:autoSpaceDE w:val="0"/>
              <w:autoSpaceDN w:val="0"/>
              <w:adjustRightInd w:val="0"/>
              <w:rPr>
                <w:sz w:val="16"/>
                <w:szCs w:val="16"/>
              </w:rPr>
            </w:pPr>
            <w:r w:rsidRPr="002F6538">
              <w:rPr>
                <w:sz w:val="16"/>
                <w:szCs w:val="16"/>
              </w:rPr>
              <w:t>Human</w:t>
            </w:r>
          </w:p>
        </w:tc>
        <w:tc>
          <w:tcPr>
            <w:tcW w:w="1593" w:type="dxa"/>
            <w:shd w:val="clear" w:color="auto" w:fill="auto"/>
          </w:tcPr>
          <w:p w14:paraId="389C0DC9"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55C9A3FF" w14:textId="77777777" w:rsidR="00233E2A" w:rsidRPr="002F6538" w:rsidRDefault="00233E2A" w:rsidP="0010403B">
            <w:pPr>
              <w:autoSpaceDE w:val="0"/>
              <w:autoSpaceDN w:val="0"/>
              <w:adjustRightInd w:val="0"/>
              <w:rPr>
                <w:sz w:val="16"/>
                <w:szCs w:val="16"/>
              </w:rPr>
            </w:pPr>
            <w:r w:rsidRPr="002F6538">
              <w:rPr>
                <w:sz w:val="16"/>
                <w:szCs w:val="16"/>
              </w:rPr>
              <w:t>Interlinkage of endocrine mediated pathways with hypospadias</w:t>
            </w:r>
          </w:p>
        </w:tc>
        <w:tc>
          <w:tcPr>
            <w:tcW w:w="1146" w:type="dxa"/>
            <w:shd w:val="clear" w:color="auto" w:fill="auto"/>
          </w:tcPr>
          <w:p w14:paraId="33A54E85" w14:textId="77777777" w:rsidR="00233E2A" w:rsidRPr="002F6538" w:rsidRDefault="00233E2A" w:rsidP="0010403B">
            <w:pPr>
              <w:rPr>
                <w:sz w:val="16"/>
                <w:szCs w:val="16"/>
              </w:rPr>
            </w:pPr>
            <w:r w:rsidRPr="002F6538">
              <w:rPr>
                <w:sz w:val="16"/>
                <w:szCs w:val="16"/>
              </w:rPr>
              <w:t>Article published</w:t>
            </w:r>
          </w:p>
          <w:p w14:paraId="67C218D5" w14:textId="77777777" w:rsidR="00233E2A" w:rsidRPr="002F6538" w:rsidRDefault="00233E2A" w:rsidP="0010403B">
            <w:pPr>
              <w:rPr>
                <w:sz w:val="16"/>
                <w:szCs w:val="16"/>
                <w:u w:val="single"/>
              </w:rPr>
            </w:pPr>
          </w:p>
        </w:tc>
        <w:tc>
          <w:tcPr>
            <w:tcW w:w="6524" w:type="dxa"/>
            <w:shd w:val="clear" w:color="auto" w:fill="auto"/>
          </w:tcPr>
          <w:p w14:paraId="1C3F9F63" w14:textId="77777777" w:rsidR="00233E2A" w:rsidRPr="002F6538" w:rsidRDefault="00233E2A" w:rsidP="0010403B">
            <w:pPr>
              <w:rPr>
                <w:rFonts w:cs="Arial"/>
                <w:sz w:val="16"/>
                <w:szCs w:val="16"/>
                <w:lang w:eastAsia="en-GB"/>
              </w:rPr>
            </w:pPr>
            <w:r w:rsidRPr="002F6538">
              <w:rPr>
                <w:rFonts w:cs="Arial"/>
                <w:sz w:val="16"/>
                <w:szCs w:val="16"/>
                <w:lang w:eastAsia="en-GB"/>
              </w:rPr>
              <w:t xml:space="preserve">Silver R.I. </w:t>
            </w:r>
            <w:r w:rsidRPr="00B21086">
              <w:rPr>
                <w:rFonts w:cs="Arial"/>
                <w:i/>
                <w:sz w:val="16"/>
                <w:szCs w:val="16"/>
                <w:lang w:eastAsia="en-GB"/>
              </w:rPr>
              <w:t>Endocrine abnormalities in boys with hypospadias</w:t>
            </w:r>
            <w:r w:rsidRPr="002F6538">
              <w:rPr>
                <w:rFonts w:cs="Arial"/>
                <w:sz w:val="16"/>
                <w:szCs w:val="16"/>
                <w:lang w:eastAsia="en-GB"/>
              </w:rPr>
              <w:t>.</w:t>
            </w:r>
          </w:p>
          <w:p w14:paraId="4FD2640B" w14:textId="77777777" w:rsidR="00233E2A" w:rsidRPr="002F6538" w:rsidRDefault="00233E2A" w:rsidP="0010403B">
            <w:pPr>
              <w:rPr>
                <w:rFonts w:cs="Arial"/>
                <w:sz w:val="16"/>
                <w:szCs w:val="16"/>
                <w:lang w:eastAsia="en-GB"/>
              </w:rPr>
            </w:pPr>
            <w:r w:rsidRPr="002F6538">
              <w:rPr>
                <w:rFonts w:cs="Arial"/>
                <w:sz w:val="16"/>
                <w:szCs w:val="16"/>
                <w:lang w:eastAsia="en-GB"/>
              </w:rPr>
              <w:t>Adv Exp Med Biol. 2004;545:45-72</w:t>
            </w:r>
          </w:p>
          <w:p w14:paraId="5554D3FC" w14:textId="77777777" w:rsidR="00233E2A" w:rsidRPr="002F6538" w:rsidRDefault="00233E2A" w:rsidP="0010403B">
            <w:pPr>
              <w:rPr>
                <w:rFonts w:cs="Arial"/>
                <w:sz w:val="16"/>
                <w:szCs w:val="16"/>
                <w:lang w:eastAsia="en-GB"/>
              </w:rPr>
            </w:pPr>
          </w:p>
          <w:p w14:paraId="32554A28"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5F3B18F9" w14:textId="77777777" w:rsidTr="0010403B">
        <w:tc>
          <w:tcPr>
            <w:tcW w:w="1553" w:type="dxa"/>
            <w:shd w:val="clear" w:color="auto" w:fill="auto"/>
          </w:tcPr>
          <w:p w14:paraId="6E4F2F2F" w14:textId="77777777" w:rsidR="00233E2A" w:rsidRPr="002F6538" w:rsidRDefault="00233E2A" w:rsidP="0010403B">
            <w:pPr>
              <w:autoSpaceDE w:val="0"/>
              <w:autoSpaceDN w:val="0"/>
              <w:adjustRightInd w:val="0"/>
              <w:rPr>
                <w:sz w:val="16"/>
                <w:szCs w:val="16"/>
              </w:rPr>
            </w:pPr>
            <w:r w:rsidRPr="002F6538">
              <w:rPr>
                <w:sz w:val="16"/>
                <w:szCs w:val="16"/>
              </w:rPr>
              <w:t>Human</w:t>
            </w:r>
          </w:p>
        </w:tc>
        <w:tc>
          <w:tcPr>
            <w:tcW w:w="1593" w:type="dxa"/>
            <w:shd w:val="clear" w:color="auto" w:fill="auto"/>
          </w:tcPr>
          <w:p w14:paraId="6ED20925"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0AB5C003" w14:textId="77777777" w:rsidR="00233E2A" w:rsidRPr="002F6538" w:rsidRDefault="00233E2A" w:rsidP="0010403B">
            <w:pPr>
              <w:autoSpaceDE w:val="0"/>
              <w:autoSpaceDN w:val="0"/>
              <w:adjustRightInd w:val="0"/>
              <w:rPr>
                <w:sz w:val="16"/>
                <w:szCs w:val="16"/>
              </w:rPr>
            </w:pPr>
            <w:r w:rsidRPr="002F6538">
              <w:rPr>
                <w:sz w:val="16"/>
                <w:szCs w:val="16"/>
              </w:rPr>
              <w:t>Interlinkage of hypospadias with fertility</w:t>
            </w:r>
          </w:p>
        </w:tc>
        <w:tc>
          <w:tcPr>
            <w:tcW w:w="1146" w:type="dxa"/>
            <w:shd w:val="clear" w:color="auto" w:fill="auto"/>
          </w:tcPr>
          <w:p w14:paraId="7993F865" w14:textId="77777777" w:rsidR="00233E2A" w:rsidRPr="002F6538" w:rsidRDefault="00233E2A" w:rsidP="0010403B">
            <w:pPr>
              <w:rPr>
                <w:sz w:val="16"/>
                <w:szCs w:val="16"/>
              </w:rPr>
            </w:pPr>
            <w:r w:rsidRPr="002F6538">
              <w:rPr>
                <w:sz w:val="16"/>
                <w:szCs w:val="16"/>
              </w:rPr>
              <w:t>Article published</w:t>
            </w:r>
          </w:p>
          <w:p w14:paraId="3CAD3B92" w14:textId="77777777" w:rsidR="00233E2A" w:rsidRPr="002F6538" w:rsidRDefault="00233E2A" w:rsidP="0010403B">
            <w:pPr>
              <w:rPr>
                <w:sz w:val="16"/>
                <w:szCs w:val="16"/>
                <w:u w:val="single"/>
              </w:rPr>
            </w:pPr>
          </w:p>
        </w:tc>
        <w:tc>
          <w:tcPr>
            <w:tcW w:w="6524" w:type="dxa"/>
            <w:shd w:val="clear" w:color="auto" w:fill="auto"/>
          </w:tcPr>
          <w:p w14:paraId="5CD313B3" w14:textId="77777777" w:rsidR="00233E2A" w:rsidRPr="002F6538" w:rsidRDefault="00233E2A" w:rsidP="0010403B">
            <w:pPr>
              <w:rPr>
                <w:rFonts w:cs="Arial"/>
                <w:sz w:val="16"/>
                <w:szCs w:val="16"/>
                <w:lang w:eastAsia="en-GB"/>
              </w:rPr>
            </w:pPr>
            <w:r w:rsidRPr="002F6538">
              <w:rPr>
                <w:rFonts w:cs="Arial"/>
                <w:sz w:val="16"/>
                <w:szCs w:val="16"/>
                <w:lang w:eastAsia="en-GB"/>
              </w:rPr>
              <w:t>Kurzrock E.A.</w:t>
            </w:r>
            <w:r>
              <w:rPr>
                <w:rFonts w:cs="Arial"/>
                <w:sz w:val="16"/>
                <w:szCs w:val="16"/>
                <w:lang w:eastAsia="en-GB"/>
              </w:rPr>
              <w:t xml:space="preserve"> &amp;</w:t>
            </w:r>
            <w:r w:rsidRPr="002F6538">
              <w:rPr>
                <w:rFonts w:cs="Arial"/>
                <w:sz w:val="16"/>
                <w:szCs w:val="16"/>
                <w:lang w:eastAsia="en-GB"/>
              </w:rPr>
              <w:t xml:space="preserve"> Karpman E. </w:t>
            </w:r>
            <w:r w:rsidRPr="00B21086">
              <w:rPr>
                <w:rFonts w:cs="Arial"/>
                <w:i/>
                <w:sz w:val="16"/>
                <w:szCs w:val="16"/>
                <w:lang w:eastAsia="en-GB"/>
              </w:rPr>
              <w:t>Hypospadias: pathophysiology and etiologic theories</w:t>
            </w:r>
            <w:r w:rsidRPr="002F6538">
              <w:rPr>
                <w:rFonts w:cs="Arial"/>
                <w:sz w:val="16"/>
                <w:szCs w:val="16"/>
                <w:lang w:eastAsia="en-GB"/>
              </w:rPr>
              <w:t>. Pedriatr Endocrinol Rev. 2004 Mar;1(3):288-95</w:t>
            </w:r>
          </w:p>
          <w:p w14:paraId="28A794B1" w14:textId="77777777" w:rsidR="00233E2A" w:rsidRPr="002F6538" w:rsidRDefault="00233E2A" w:rsidP="0010403B">
            <w:pPr>
              <w:rPr>
                <w:rFonts w:cs="Arial"/>
                <w:sz w:val="16"/>
                <w:szCs w:val="16"/>
                <w:lang w:eastAsia="en-GB"/>
              </w:rPr>
            </w:pPr>
          </w:p>
          <w:p w14:paraId="40001BE6"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0E798B3D" w14:textId="77777777" w:rsidTr="0010403B">
        <w:tc>
          <w:tcPr>
            <w:tcW w:w="1553" w:type="dxa"/>
            <w:shd w:val="clear" w:color="auto" w:fill="auto"/>
          </w:tcPr>
          <w:p w14:paraId="793A012A"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1593" w:type="dxa"/>
            <w:shd w:val="clear" w:color="auto" w:fill="auto"/>
          </w:tcPr>
          <w:p w14:paraId="414B9A00"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0C5FC1A7" w14:textId="77777777" w:rsidR="00233E2A" w:rsidRPr="002F6538" w:rsidRDefault="00233E2A" w:rsidP="0010403B">
            <w:pPr>
              <w:autoSpaceDE w:val="0"/>
              <w:autoSpaceDN w:val="0"/>
              <w:adjustRightInd w:val="0"/>
              <w:rPr>
                <w:sz w:val="16"/>
                <w:szCs w:val="16"/>
              </w:rPr>
            </w:pPr>
            <w:r w:rsidRPr="002F6538">
              <w:rPr>
                <w:sz w:val="16"/>
                <w:szCs w:val="16"/>
              </w:rPr>
              <w:t>Review of developmental toxicity of phthalates</w:t>
            </w:r>
          </w:p>
        </w:tc>
        <w:tc>
          <w:tcPr>
            <w:tcW w:w="1146" w:type="dxa"/>
            <w:shd w:val="clear" w:color="auto" w:fill="auto"/>
          </w:tcPr>
          <w:p w14:paraId="5094DA5D" w14:textId="77777777" w:rsidR="00233E2A" w:rsidRPr="00990F9E" w:rsidRDefault="00233E2A" w:rsidP="0010403B">
            <w:pPr>
              <w:rPr>
                <w:sz w:val="16"/>
                <w:szCs w:val="16"/>
              </w:rPr>
            </w:pPr>
            <w:r w:rsidRPr="00990F9E">
              <w:rPr>
                <w:sz w:val="16"/>
                <w:szCs w:val="16"/>
              </w:rPr>
              <w:t xml:space="preserve">Review </w:t>
            </w:r>
          </w:p>
        </w:tc>
        <w:tc>
          <w:tcPr>
            <w:tcW w:w="6524" w:type="dxa"/>
            <w:shd w:val="clear" w:color="auto" w:fill="auto"/>
          </w:tcPr>
          <w:p w14:paraId="798A128D" w14:textId="77777777" w:rsidR="00233E2A" w:rsidRPr="002F6538" w:rsidRDefault="00233E2A" w:rsidP="0010403B">
            <w:pPr>
              <w:rPr>
                <w:rFonts w:cs="Arial"/>
                <w:sz w:val="16"/>
                <w:szCs w:val="16"/>
                <w:lang w:eastAsia="en-GB"/>
              </w:rPr>
            </w:pPr>
            <w:r w:rsidRPr="002F6538">
              <w:rPr>
                <w:rFonts w:cs="Arial"/>
                <w:sz w:val="16"/>
                <w:szCs w:val="16"/>
                <w:lang w:eastAsia="en-GB"/>
              </w:rPr>
              <w:t>Chronic Hazard Advisory Panel on Phthalates and Phthalate Alternatives Final Report , Appendix A, Report to the US Consumer Product Safety Commission, July 2014</w:t>
            </w:r>
          </w:p>
          <w:p w14:paraId="40F69339" w14:textId="77777777" w:rsidR="00233E2A" w:rsidRPr="002F6538" w:rsidRDefault="00233E2A" w:rsidP="0010403B">
            <w:pPr>
              <w:rPr>
                <w:rFonts w:cs="Arial"/>
                <w:sz w:val="16"/>
                <w:szCs w:val="16"/>
                <w:lang w:eastAsia="en-GB"/>
              </w:rPr>
            </w:pPr>
            <w:r w:rsidRPr="002F6538">
              <w:rPr>
                <w:rFonts w:cs="Arial"/>
                <w:sz w:val="16"/>
                <w:szCs w:val="16"/>
                <w:lang w:eastAsia="en-GB"/>
              </w:rPr>
              <w:t xml:space="preserve">Appendix A Developmental toxicity available at: </w:t>
            </w:r>
            <w:hyperlink r:id="rId65" w:history="1">
              <w:r w:rsidRPr="002F6538">
                <w:rPr>
                  <w:rStyle w:val="Hyperlink"/>
                  <w:rFonts w:cs="Arial"/>
                  <w:sz w:val="16"/>
                  <w:szCs w:val="16"/>
                  <w:lang w:eastAsia="en-GB"/>
                </w:rPr>
                <w:t>http://www.cpsc.gov/en/Regulations-Laws--Standards/Statutes/The-Consumer-Product-Safety-Improvement-Act/Phthalates/Chronic-Hazard-Advisory-Panel-CHAP-on-Phthalates/</w:t>
              </w:r>
            </w:hyperlink>
          </w:p>
          <w:p w14:paraId="4E7AD00B" w14:textId="77777777" w:rsidR="00233E2A" w:rsidRPr="002F6538" w:rsidRDefault="00233E2A" w:rsidP="0010403B">
            <w:pPr>
              <w:rPr>
                <w:rFonts w:cs="Arial"/>
                <w:sz w:val="16"/>
                <w:szCs w:val="16"/>
                <w:lang w:eastAsia="en-GB"/>
              </w:rPr>
            </w:pPr>
          </w:p>
          <w:p w14:paraId="588C03C5" w14:textId="77777777" w:rsidR="00233E2A" w:rsidRPr="002F6538" w:rsidRDefault="00233E2A" w:rsidP="0010403B">
            <w:pPr>
              <w:rPr>
                <w:rFonts w:cs="Arial"/>
                <w:sz w:val="16"/>
                <w:szCs w:val="16"/>
                <w:lang w:eastAsia="en-GB"/>
              </w:rPr>
            </w:pPr>
            <w:r w:rsidRPr="002F6538">
              <w:rPr>
                <w:b/>
                <w:sz w:val="16"/>
                <w:szCs w:val="16"/>
              </w:rPr>
              <w:lastRenderedPageBreak/>
              <w:t>Used in a WoE approach as supporting information</w:t>
            </w:r>
          </w:p>
        </w:tc>
      </w:tr>
      <w:tr w:rsidR="00233E2A" w:rsidRPr="00DB7261" w14:paraId="59F5E153" w14:textId="77777777" w:rsidTr="0010403B">
        <w:tc>
          <w:tcPr>
            <w:tcW w:w="1553" w:type="dxa"/>
            <w:shd w:val="clear" w:color="auto" w:fill="auto"/>
          </w:tcPr>
          <w:p w14:paraId="67DF6180" w14:textId="77777777" w:rsidR="00233E2A" w:rsidRPr="002F6538" w:rsidRDefault="00233E2A" w:rsidP="0010403B">
            <w:pPr>
              <w:autoSpaceDE w:val="0"/>
              <w:autoSpaceDN w:val="0"/>
              <w:adjustRightInd w:val="0"/>
              <w:rPr>
                <w:sz w:val="16"/>
                <w:szCs w:val="16"/>
              </w:rPr>
            </w:pPr>
            <w:r w:rsidRPr="002F6538">
              <w:rPr>
                <w:sz w:val="16"/>
                <w:szCs w:val="16"/>
              </w:rPr>
              <w:lastRenderedPageBreak/>
              <w:t>Mammals</w:t>
            </w:r>
          </w:p>
        </w:tc>
        <w:tc>
          <w:tcPr>
            <w:tcW w:w="1593" w:type="dxa"/>
            <w:shd w:val="clear" w:color="auto" w:fill="auto"/>
          </w:tcPr>
          <w:p w14:paraId="7FAC4A22"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0FA4E401" w14:textId="77777777" w:rsidR="00233E2A" w:rsidRPr="002F6538" w:rsidRDefault="00233E2A" w:rsidP="0010403B">
            <w:pPr>
              <w:autoSpaceDE w:val="0"/>
              <w:autoSpaceDN w:val="0"/>
              <w:adjustRightInd w:val="0"/>
              <w:rPr>
                <w:sz w:val="16"/>
                <w:szCs w:val="16"/>
              </w:rPr>
            </w:pPr>
            <w:r w:rsidRPr="002F6538">
              <w:rPr>
                <w:sz w:val="16"/>
                <w:szCs w:val="16"/>
              </w:rPr>
              <w:t>Review of male reproductive development and endocrine pathways</w:t>
            </w:r>
          </w:p>
        </w:tc>
        <w:tc>
          <w:tcPr>
            <w:tcW w:w="1146" w:type="dxa"/>
            <w:shd w:val="clear" w:color="auto" w:fill="auto"/>
          </w:tcPr>
          <w:p w14:paraId="43CBB256" w14:textId="77777777" w:rsidR="00233E2A" w:rsidRPr="002F6538" w:rsidRDefault="00233E2A" w:rsidP="0010403B">
            <w:pPr>
              <w:rPr>
                <w:sz w:val="16"/>
                <w:szCs w:val="16"/>
              </w:rPr>
            </w:pPr>
            <w:r w:rsidRPr="002F6538">
              <w:rPr>
                <w:sz w:val="16"/>
                <w:szCs w:val="16"/>
              </w:rPr>
              <w:t>Article published</w:t>
            </w:r>
          </w:p>
          <w:p w14:paraId="78855B04" w14:textId="77777777" w:rsidR="00233E2A" w:rsidRPr="002F6538" w:rsidRDefault="00233E2A" w:rsidP="0010403B">
            <w:pPr>
              <w:rPr>
                <w:sz w:val="16"/>
                <w:szCs w:val="16"/>
                <w:u w:val="single"/>
              </w:rPr>
            </w:pPr>
          </w:p>
        </w:tc>
        <w:tc>
          <w:tcPr>
            <w:tcW w:w="6524" w:type="dxa"/>
            <w:shd w:val="clear" w:color="auto" w:fill="auto"/>
          </w:tcPr>
          <w:p w14:paraId="2F019720" w14:textId="77777777" w:rsidR="00233E2A" w:rsidRPr="002F6538" w:rsidRDefault="00233E2A" w:rsidP="0010403B">
            <w:pPr>
              <w:rPr>
                <w:rFonts w:cs="Arial"/>
                <w:sz w:val="16"/>
                <w:szCs w:val="16"/>
                <w:lang w:eastAsia="en-GB"/>
              </w:rPr>
            </w:pPr>
            <w:r w:rsidRPr="002F6538">
              <w:rPr>
                <w:rFonts w:cs="Arial"/>
                <w:sz w:val="16"/>
                <w:szCs w:val="16"/>
                <w:lang w:eastAsia="en-GB"/>
              </w:rPr>
              <w:t xml:space="preserve">Nef, S. </w:t>
            </w:r>
            <w:r w:rsidRPr="00B21086">
              <w:rPr>
                <w:rFonts w:cs="Arial"/>
                <w:i/>
                <w:sz w:val="16"/>
                <w:szCs w:val="16"/>
                <w:lang w:eastAsia="en-GB"/>
              </w:rPr>
              <w:t>Hormones in Male Sexual development</w:t>
            </w:r>
            <w:r>
              <w:rPr>
                <w:rFonts w:cs="Arial"/>
                <w:sz w:val="16"/>
                <w:szCs w:val="16"/>
                <w:lang w:eastAsia="en-GB"/>
              </w:rPr>
              <w:t>.</w:t>
            </w:r>
            <w:r w:rsidRPr="002F6538">
              <w:rPr>
                <w:rFonts w:cs="Arial"/>
                <w:sz w:val="16"/>
                <w:szCs w:val="16"/>
                <w:lang w:eastAsia="en-GB"/>
              </w:rPr>
              <w:t xml:space="preserve"> Genes and Development, 14 (24), 3075-3086, 2000.</w:t>
            </w:r>
          </w:p>
          <w:p w14:paraId="6B0F650A" w14:textId="77777777" w:rsidR="00233E2A" w:rsidRPr="002F6538" w:rsidRDefault="00233E2A" w:rsidP="0010403B">
            <w:pPr>
              <w:rPr>
                <w:rFonts w:cs="Arial"/>
                <w:sz w:val="16"/>
                <w:szCs w:val="16"/>
                <w:lang w:eastAsia="en-GB"/>
              </w:rPr>
            </w:pPr>
          </w:p>
          <w:p w14:paraId="48A4163C"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1F32076F" w14:textId="77777777" w:rsidTr="0010403B">
        <w:tc>
          <w:tcPr>
            <w:tcW w:w="1553" w:type="dxa"/>
            <w:shd w:val="clear" w:color="auto" w:fill="auto"/>
          </w:tcPr>
          <w:p w14:paraId="48D20BB6" w14:textId="77777777" w:rsidR="00233E2A" w:rsidRPr="002F6538" w:rsidRDefault="00233E2A" w:rsidP="0010403B">
            <w:pPr>
              <w:autoSpaceDE w:val="0"/>
              <w:autoSpaceDN w:val="0"/>
              <w:adjustRightInd w:val="0"/>
              <w:rPr>
                <w:sz w:val="16"/>
                <w:szCs w:val="16"/>
              </w:rPr>
            </w:pPr>
            <w:r w:rsidRPr="002F6538">
              <w:rPr>
                <w:sz w:val="16"/>
                <w:szCs w:val="16"/>
              </w:rPr>
              <w:t>Rat</w:t>
            </w:r>
          </w:p>
        </w:tc>
        <w:tc>
          <w:tcPr>
            <w:tcW w:w="1593" w:type="dxa"/>
            <w:shd w:val="clear" w:color="auto" w:fill="auto"/>
          </w:tcPr>
          <w:p w14:paraId="3D1827CC" w14:textId="77777777" w:rsidR="00233E2A" w:rsidRPr="002F6538" w:rsidRDefault="00233E2A" w:rsidP="0010403B">
            <w:pPr>
              <w:autoSpaceDE w:val="0"/>
              <w:autoSpaceDN w:val="0"/>
              <w:adjustRightInd w:val="0"/>
              <w:rPr>
                <w:sz w:val="16"/>
                <w:szCs w:val="16"/>
              </w:rPr>
            </w:pPr>
            <w:r w:rsidRPr="002F6538">
              <w:rPr>
                <w:sz w:val="16"/>
                <w:szCs w:val="16"/>
              </w:rPr>
              <w:t>Oral</w:t>
            </w:r>
          </w:p>
        </w:tc>
        <w:tc>
          <w:tcPr>
            <w:tcW w:w="3358" w:type="dxa"/>
            <w:shd w:val="clear" w:color="auto" w:fill="auto"/>
          </w:tcPr>
          <w:p w14:paraId="62BB9F6A" w14:textId="77777777" w:rsidR="00233E2A" w:rsidRPr="002F6538" w:rsidRDefault="00233E2A" w:rsidP="0010403B">
            <w:pPr>
              <w:autoSpaceDE w:val="0"/>
              <w:autoSpaceDN w:val="0"/>
              <w:adjustRightInd w:val="0"/>
              <w:rPr>
                <w:sz w:val="16"/>
                <w:szCs w:val="16"/>
              </w:rPr>
            </w:pPr>
            <w:r w:rsidRPr="002F6538">
              <w:rPr>
                <w:sz w:val="16"/>
                <w:szCs w:val="16"/>
              </w:rPr>
              <w:t>Testosterone dependency for male reproductive system development</w:t>
            </w:r>
          </w:p>
        </w:tc>
        <w:tc>
          <w:tcPr>
            <w:tcW w:w="1146" w:type="dxa"/>
            <w:shd w:val="clear" w:color="auto" w:fill="auto"/>
          </w:tcPr>
          <w:p w14:paraId="52DF8B56" w14:textId="77777777" w:rsidR="00233E2A" w:rsidRPr="002F6538" w:rsidRDefault="00233E2A" w:rsidP="0010403B">
            <w:pPr>
              <w:rPr>
                <w:sz w:val="16"/>
                <w:szCs w:val="16"/>
              </w:rPr>
            </w:pPr>
            <w:r w:rsidRPr="002F6538">
              <w:rPr>
                <w:sz w:val="16"/>
                <w:szCs w:val="16"/>
              </w:rPr>
              <w:t>Article published</w:t>
            </w:r>
          </w:p>
          <w:p w14:paraId="64F1364F" w14:textId="77777777" w:rsidR="00233E2A" w:rsidRPr="002F6538" w:rsidRDefault="00233E2A" w:rsidP="0010403B">
            <w:pPr>
              <w:rPr>
                <w:sz w:val="16"/>
                <w:szCs w:val="16"/>
                <w:u w:val="single"/>
              </w:rPr>
            </w:pPr>
          </w:p>
        </w:tc>
        <w:tc>
          <w:tcPr>
            <w:tcW w:w="6524" w:type="dxa"/>
            <w:shd w:val="clear" w:color="auto" w:fill="auto"/>
          </w:tcPr>
          <w:p w14:paraId="14BD6D43" w14:textId="77777777" w:rsidR="00233E2A" w:rsidRPr="002F6538" w:rsidRDefault="00233E2A" w:rsidP="0010403B">
            <w:pPr>
              <w:rPr>
                <w:rFonts w:cs="Arial"/>
                <w:sz w:val="16"/>
                <w:szCs w:val="16"/>
                <w:lang w:eastAsia="en-GB"/>
              </w:rPr>
            </w:pPr>
            <w:r w:rsidRPr="002F6538">
              <w:rPr>
                <w:rFonts w:cs="Arial"/>
                <w:sz w:val="16"/>
                <w:szCs w:val="16"/>
                <w:lang w:eastAsia="en-GB"/>
              </w:rPr>
              <w:t>Bowman C., Barlow N., Turner K., Wallace D.</w:t>
            </w:r>
            <w:r>
              <w:rPr>
                <w:rFonts w:cs="Arial"/>
                <w:sz w:val="16"/>
                <w:szCs w:val="16"/>
                <w:lang w:eastAsia="en-GB"/>
              </w:rPr>
              <w:t xml:space="preserve"> &amp;</w:t>
            </w:r>
            <w:r w:rsidRPr="002F6538">
              <w:rPr>
                <w:rFonts w:cs="Arial"/>
                <w:sz w:val="16"/>
                <w:szCs w:val="16"/>
                <w:lang w:eastAsia="en-GB"/>
              </w:rPr>
              <w:t xml:space="preserve"> Foster P. </w:t>
            </w:r>
            <w:r w:rsidRPr="00B21086">
              <w:rPr>
                <w:rFonts w:cs="Arial"/>
                <w:i/>
                <w:sz w:val="16"/>
                <w:szCs w:val="16"/>
                <w:lang w:eastAsia="en-GB"/>
              </w:rPr>
              <w:t xml:space="preserve">Effects of </w:t>
            </w:r>
            <w:r w:rsidRPr="00CD621B">
              <w:rPr>
                <w:rFonts w:cs="Arial"/>
                <w:i/>
                <w:sz w:val="16"/>
                <w:szCs w:val="16"/>
                <w:lang w:eastAsia="en-GB"/>
              </w:rPr>
              <w:t>in utero</w:t>
            </w:r>
            <w:r w:rsidRPr="00B21086">
              <w:rPr>
                <w:rFonts w:cs="Arial"/>
                <w:i/>
                <w:sz w:val="16"/>
                <w:szCs w:val="16"/>
                <w:lang w:eastAsia="en-GB"/>
              </w:rPr>
              <w:t xml:space="preserve"> exposure to finasteride on androgen dependent reproductive development in the male rat</w:t>
            </w:r>
            <w:r w:rsidRPr="002F6538">
              <w:rPr>
                <w:rFonts w:cs="Arial"/>
                <w:sz w:val="16"/>
                <w:szCs w:val="16"/>
                <w:lang w:eastAsia="en-GB"/>
              </w:rPr>
              <w:t>, Toxicological Sciences, 74 (2): 393-406, 2003.</w:t>
            </w:r>
          </w:p>
          <w:p w14:paraId="421560C8" w14:textId="77777777" w:rsidR="00233E2A" w:rsidRPr="002F6538" w:rsidRDefault="00233E2A" w:rsidP="0010403B">
            <w:pPr>
              <w:rPr>
                <w:rFonts w:cs="Arial"/>
                <w:sz w:val="16"/>
                <w:szCs w:val="16"/>
                <w:lang w:eastAsia="en-GB"/>
              </w:rPr>
            </w:pPr>
          </w:p>
          <w:p w14:paraId="492EB066"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776994A8" w14:textId="77777777" w:rsidTr="0010403B">
        <w:tc>
          <w:tcPr>
            <w:tcW w:w="1553" w:type="dxa"/>
            <w:shd w:val="clear" w:color="auto" w:fill="auto"/>
          </w:tcPr>
          <w:p w14:paraId="5D53E0A6" w14:textId="77777777" w:rsidR="00233E2A" w:rsidRPr="002F6538" w:rsidRDefault="00233E2A" w:rsidP="0010403B">
            <w:pPr>
              <w:autoSpaceDE w:val="0"/>
              <w:autoSpaceDN w:val="0"/>
              <w:adjustRightInd w:val="0"/>
              <w:rPr>
                <w:sz w:val="16"/>
                <w:szCs w:val="16"/>
              </w:rPr>
            </w:pPr>
            <w:r w:rsidRPr="002F6538">
              <w:rPr>
                <w:sz w:val="16"/>
                <w:szCs w:val="16"/>
              </w:rPr>
              <w:t xml:space="preserve">Human </w:t>
            </w:r>
          </w:p>
        </w:tc>
        <w:tc>
          <w:tcPr>
            <w:tcW w:w="1593" w:type="dxa"/>
            <w:shd w:val="clear" w:color="auto" w:fill="auto"/>
          </w:tcPr>
          <w:p w14:paraId="75DE2A66"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670D930C" w14:textId="77777777" w:rsidR="00233E2A" w:rsidRPr="002F6538" w:rsidRDefault="00233E2A" w:rsidP="0010403B">
            <w:pPr>
              <w:autoSpaceDE w:val="0"/>
              <w:autoSpaceDN w:val="0"/>
              <w:adjustRightInd w:val="0"/>
              <w:rPr>
                <w:sz w:val="16"/>
                <w:szCs w:val="16"/>
              </w:rPr>
            </w:pPr>
            <w:r w:rsidRPr="002F6538">
              <w:rPr>
                <w:sz w:val="16"/>
                <w:szCs w:val="16"/>
              </w:rPr>
              <w:t>Interlinkage of hypospadias with fertility</w:t>
            </w:r>
          </w:p>
        </w:tc>
        <w:tc>
          <w:tcPr>
            <w:tcW w:w="1146" w:type="dxa"/>
            <w:shd w:val="clear" w:color="auto" w:fill="auto"/>
          </w:tcPr>
          <w:p w14:paraId="0ECF2747" w14:textId="77777777" w:rsidR="00233E2A" w:rsidRPr="002F6538" w:rsidRDefault="00233E2A" w:rsidP="0010403B">
            <w:pPr>
              <w:rPr>
                <w:sz w:val="16"/>
                <w:szCs w:val="16"/>
              </w:rPr>
            </w:pPr>
            <w:r w:rsidRPr="002F6538">
              <w:rPr>
                <w:sz w:val="16"/>
                <w:szCs w:val="16"/>
              </w:rPr>
              <w:t>Article published</w:t>
            </w:r>
          </w:p>
          <w:p w14:paraId="3C228232" w14:textId="77777777" w:rsidR="00233E2A" w:rsidRPr="002F6538" w:rsidRDefault="00233E2A" w:rsidP="0010403B">
            <w:pPr>
              <w:rPr>
                <w:sz w:val="16"/>
                <w:szCs w:val="16"/>
                <w:u w:val="single"/>
              </w:rPr>
            </w:pPr>
          </w:p>
        </w:tc>
        <w:tc>
          <w:tcPr>
            <w:tcW w:w="6524" w:type="dxa"/>
            <w:shd w:val="clear" w:color="auto" w:fill="auto"/>
          </w:tcPr>
          <w:p w14:paraId="12E982DF" w14:textId="77777777" w:rsidR="00233E2A" w:rsidRPr="002F6538" w:rsidRDefault="00233E2A" w:rsidP="0010403B">
            <w:pPr>
              <w:rPr>
                <w:rFonts w:cs="Arial"/>
                <w:sz w:val="16"/>
                <w:szCs w:val="16"/>
                <w:lang w:eastAsia="en-GB"/>
              </w:rPr>
            </w:pPr>
            <w:r w:rsidRPr="002F6538">
              <w:rPr>
                <w:rFonts w:cs="Arial"/>
                <w:sz w:val="16"/>
                <w:szCs w:val="16"/>
                <w:lang w:eastAsia="en-GB"/>
              </w:rPr>
              <w:t xml:space="preserve">Asklund C., Jensen T., Main K., Sobotka T., Skakkebaek N., Jorgensen N., </w:t>
            </w:r>
            <w:r w:rsidRPr="00B21086">
              <w:rPr>
                <w:rFonts w:cs="Arial"/>
                <w:i/>
                <w:sz w:val="16"/>
                <w:szCs w:val="16"/>
                <w:lang w:eastAsia="en-GB"/>
              </w:rPr>
              <w:t>Semen quality, reproductive hormones and fertility of men operated for hypospadias</w:t>
            </w:r>
            <w:r>
              <w:rPr>
                <w:rFonts w:cs="Arial"/>
                <w:sz w:val="16"/>
                <w:szCs w:val="16"/>
                <w:lang w:eastAsia="en-GB"/>
              </w:rPr>
              <w:t>.</w:t>
            </w:r>
            <w:r w:rsidRPr="002F6538">
              <w:rPr>
                <w:rFonts w:cs="Arial"/>
                <w:sz w:val="16"/>
                <w:szCs w:val="16"/>
                <w:lang w:eastAsia="en-GB"/>
              </w:rPr>
              <w:t xml:space="preserve"> International Journal of Andrology, 33: 80-7, 2010</w:t>
            </w:r>
          </w:p>
          <w:p w14:paraId="234E5C29" w14:textId="77777777" w:rsidR="00233E2A" w:rsidRPr="002F6538" w:rsidRDefault="00233E2A" w:rsidP="0010403B">
            <w:pPr>
              <w:rPr>
                <w:b/>
                <w:sz w:val="16"/>
                <w:szCs w:val="16"/>
              </w:rPr>
            </w:pPr>
          </w:p>
          <w:p w14:paraId="10325EC0"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6B3991E2" w14:textId="77777777" w:rsidTr="0010403B">
        <w:tc>
          <w:tcPr>
            <w:tcW w:w="1553" w:type="dxa"/>
            <w:shd w:val="clear" w:color="auto" w:fill="auto"/>
          </w:tcPr>
          <w:p w14:paraId="2878F7FB" w14:textId="77777777" w:rsidR="00233E2A" w:rsidRPr="002F6538" w:rsidRDefault="00233E2A" w:rsidP="0010403B">
            <w:pPr>
              <w:autoSpaceDE w:val="0"/>
              <w:autoSpaceDN w:val="0"/>
              <w:adjustRightInd w:val="0"/>
              <w:rPr>
                <w:sz w:val="16"/>
                <w:szCs w:val="16"/>
              </w:rPr>
            </w:pPr>
            <w:r w:rsidRPr="002F6538">
              <w:rPr>
                <w:sz w:val="16"/>
                <w:szCs w:val="16"/>
              </w:rPr>
              <w:t xml:space="preserve">Human </w:t>
            </w:r>
          </w:p>
        </w:tc>
        <w:tc>
          <w:tcPr>
            <w:tcW w:w="1593" w:type="dxa"/>
            <w:shd w:val="clear" w:color="auto" w:fill="auto"/>
          </w:tcPr>
          <w:p w14:paraId="43CE10E8" w14:textId="77777777" w:rsidR="00233E2A" w:rsidRPr="002F6538" w:rsidRDefault="00233E2A" w:rsidP="0010403B">
            <w:pPr>
              <w:autoSpaceDE w:val="0"/>
              <w:autoSpaceDN w:val="0"/>
              <w:adjustRightInd w:val="0"/>
              <w:rPr>
                <w:sz w:val="16"/>
                <w:szCs w:val="16"/>
              </w:rPr>
            </w:pPr>
            <w:r w:rsidRPr="002F6538">
              <w:rPr>
                <w:sz w:val="16"/>
                <w:szCs w:val="16"/>
              </w:rPr>
              <w:t>N/A</w:t>
            </w:r>
          </w:p>
        </w:tc>
        <w:tc>
          <w:tcPr>
            <w:tcW w:w="3358" w:type="dxa"/>
            <w:shd w:val="clear" w:color="auto" w:fill="auto"/>
          </w:tcPr>
          <w:p w14:paraId="536B5B03" w14:textId="77777777" w:rsidR="00233E2A" w:rsidRPr="002F6538" w:rsidRDefault="00233E2A" w:rsidP="0010403B">
            <w:pPr>
              <w:autoSpaceDE w:val="0"/>
              <w:autoSpaceDN w:val="0"/>
              <w:adjustRightInd w:val="0"/>
              <w:rPr>
                <w:sz w:val="16"/>
                <w:szCs w:val="16"/>
              </w:rPr>
            </w:pPr>
            <w:r w:rsidRPr="002F6538">
              <w:rPr>
                <w:sz w:val="16"/>
                <w:szCs w:val="16"/>
              </w:rPr>
              <w:t>Interlinkage of hypospadias with fertility</w:t>
            </w:r>
          </w:p>
        </w:tc>
        <w:tc>
          <w:tcPr>
            <w:tcW w:w="1146" w:type="dxa"/>
            <w:shd w:val="clear" w:color="auto" w:fill="auto"/>
          </w:tcPr>
          <w:p w14:paraId="588F6DE9" w14:textId="77777777" w:rsidR="00233E2A" w:rsidRPr="002F6538" w:rsidRDefault="00233E2A" w:rsidP="0010403B">
            <w:pPr>
              <w:rPr>
                <w:sz w:val="16"/>
                <w:szCs w:val="16"/>
              </w:rPr>
            </w:pPr>
            <w:r w:rsidRPr="002F6538">
              <w:rPr>
                <w:sz w:val="16"/>
                <w:szCs w:val="16"/>
              </w:rPr>
              <w:t>Article published</w:t>
            </w:r>
          </w:p>
          <w:p w14:paraId="11786C19" w14:textId="77777777" w:rsidR="00233E2A" w:rsidRPr="002F6538" w:rsidRDefault="00233E2A" w:rsidP="0010403B">
            <w:pPr>
              <w:rPr>
                <w:sz w:val="16"/>
                <w:szCs w:val="16"/>
                <w:u w:val="single"/>
              </w:rPr>
            </w:pPr>
          </w:p>
        </w:tc>
        <w:tc>
          <w:tcPr>
            <w:tcW w:w="6524" w:type="dxa"/>
            <w:shd w:val="clear" w:color="auto" w:fill="auto"/>
          </w:tcPr>
          <w:p w14:paraId="53D7B680" w14:textId="77777777" w:rsidR="00233E2A" w:rsidRPr="002F6538" w:rsidRDefault="00233E2A" w:rsidP="0010403B">
            <w:pPr>
              <w:rPr>
                <w:rFonts w:cs="Arial"/>
                <w:sz w:val="16"/>
                <w:szCs w:val="16"/>
                <w:lang w:eastAsia="en-GB"/>
              </w:rPr>
            </w:pPr>
            <w:r w:rsidRPr="002F6538">
              <w:rPr>
                <w:rFonts w:cs="Arial"/>
                <w:sz w:val="16"/>
                <w:szCs w:val="16"/>
                <w:lang w:eastAsia="en-GB"/>
              </w:rPr>
              <w:t xml:space="preserve">Bracka A. </w:t>
            </w:r>
            <w:r w:rsidRPr="00B21086">
              <w:rPr>
                <w:rFonts w:cs="Arial"/>
                <w:i/>
                <w:sz w:val="16"/>
                <w:szCs w:val="16"/>
                <w:lang w:eastAsia="en-GB"/>
              </w:rPr>
              <w:t>A long term view of hypospadias</w:t>
            </w:r>
            <w:r>
              <w:rPr>
                <w:rFonts w:cs="Arial"/>
                <w:sz w:val="16"/>
                <w:szCs w:val="16"/>
                <w:lang w:eastAsia="en-GB"/>
              </w:rPr>
              <w:t>.</w:t>
            </w:r>
            <w:r w:rsidRPr="002F6538">
              <w:rPr>
                <w:rFonts w:cs="Arial"/>
                <w:sz w:val="16"/>
                <w:szCs w:val="16"/>
                <w:lang w:eastAsia="en-GB"/>
              </w:rPr>
              <w:t xml:space="preserve"> British Journal of Plastic Surgery 42(3): 251-5, 1989.</w:t>
            </w:r>
          </w:p>
          <w:p w14:paraId="158127EA" w14:textId="77777777" w:rsidR="00233E2A" w:rsidRPr="002F6538" w:rsidRDefault="00233E2A" w:rsidP="0010403B">
            <w:pPr>
              <w:rPr>
                <w:rFonts w:cs="Arial"/>
                <w:sz w:val="16"/>
                <w:szCs w:val="16"/>
                <w:lang w:eastAsia="en-GB"/>
              </w:rPr>
            </w:pPr>
          </w:p>
          <w:p w14:paraId="16E50690"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49807A96" w14:textId="77777777" w:rsidTr="0010403B">
        <w:tc>
          <w:tcPr>
            <w:tcW w:w="1553" w:type="dxa"/>
            <w:shd w:val="clear" w:color="auto" w:fill="auto"/>
          </w:tcPr>
          <w:p w14:paraId="1A9E878F" w14:textId="77777777" w:rsidR="00233E2A" w:rsidRPr="002F6538" w:rsidRDefault="00233E2A" w:rsidP="0010403B">
            <w:pPr>
              <w:autoSpaceDE w:val="0"/>
              <w:autoSpaceDN w:val="0"/>
              <w:adjustRightInd w:val="0"/>
              <w:rPr>
                <w:sz w:val="16"/>
                <w:szCs w:val="16"/>
              </w:rPr>
            </w:pPr>
            <w:r w:rsidRPr="002F6538">
              <w:rPr>
                <w:sz w:val="16"/>
                <w:szCs w:val="16"/>
              </w:rPr>
              <w:t>Rat</w:t>
            </w:r>
          </w:p>
        </w:tc>
        <w:tc>
          <w:tcPr>
            <w:tcW w:w="1593" w:type="dxa"/>
            <w:shd w:val="clear" w:color="auto" w:fill="auto"/>
          </w:tcPr>
          <w:p w14:paraId="4EC3478C" w14:textId="77777777" w:rsidR="00233E2A" w:rsidRPr="002F6538" w:rsidRDefault="00233E2A" w:rsidP="0010403B">
            <w:pPr>
              <w:autoSpaceDE w:val="0"/>
              <w:autoSpaceDN w:val="0"/>
              <w:adjustRightInd w:val="0"/>
              <w:rPr>
                <w:sz w:val="16"/>
                <w:szCs w:val="16"/>
              </w:rPr>
            </w:pPr>
            <w:r w:rsidRPr="002F6538">
              <w:rPr>
                <w:sz w:val="16"/>
                <w:szCs w:val="16"/>
              </w:rPr>
              <w:t>Oral</w:t>
            </w:r>
          </w:p>
        </w:tc>
        <w:tc>
          <w:tcPr>
            <w:tcW w:w="3358" w:type="dxa"/>
            <w:shd w:val="clear" w:color="auto" w:fill="auto"/>
          </w:tcPr>
          <w:p w14:paraId="349CB474" w14:textId="77777777" w:rsidR="00233E2A" w:rsidRPr="002F6538" w:rsidRDefault="00233E2A" w:rsidP="0010403B">
            <w:pPr>
              <w:autoSpaceDE w:val="0"/>
              <w:autoSpaceDN w:val="0"/>
              <w:adjustRightInd w:val="0"/>
              <w:rPr>
                <w:sz w:val="16"/>
                <w:szCs w:val="16"/>
              </w:rPr>
            </w:pPr>
            <w:r w:rsidRPr="002F6538">
              <w:rPr>
                <w:sz w:val="16"/>
                <w:szCs w:val="16"/>
              </w:rPr>
              <w:t>Testosterone dependency for male reproductive system development</w:t>
            </w:r>
          </w:p>
        </w:tc>
        <w:tc>
          <w:tcPr>
            <w:tcW w:w="1146" w:type="dxa"/>
            <w:shd w:val="clear" w:color="auto" w:fill="auto"/>
          </w:tcPr>
          <w:p w14:paraId="7AC3A3DF" w14:textId="77777777" w:rsidR="00233E2A" w:rsidRPr="00990F9E" w:rsidRDefault="00233E2A" w:rsidP="0010403B">
            <w:pPr>
              <w:rPr>
                <w:sz w:val="16"/>
                <w:szCs w:val="16"/>
              </w:rPr>
            </w:pPr>
            <w:r w:rsidRPr="00990F9E">
              <w:rPr>
                <w:sz w:val="16"/>
                <w:szCs w:val="16"/>
              </w:rPr>
              <w:t>Abstract published</w:t>
            </w:r>
          </w:p>
        </w:tc>
        <w:tc>
          <w:tcPr>
            <w:tcW w:w="6524" w:type="dxa"/>
            <w:shd w:val="clear" w:color="auto" w:fill="auto"/>
          </w:tcPr>
          <w:p w14:paraId="3E72AB22" w14:textId="77777777" w:rsidR="00233E2A" w:rsidRPr="002F6538" w:rsidRDefault="00233E2A" w:rsidP="0010403B">
            <w:pPr>
              <w:rPr>
                <w:rFonts w:cs="Arial"/>
                <w:sz w:val="16"/>
                <w:szCs w:val="16"/>
                <w:lang w:eastAsia="en-GB"/>
              </w:rPr>
            </w:pPr>
            <w:r w:rsidRPr="002F6538">
              <w:rPr>
                <w:rFonts w:cs="Arial"/>
                <w:sz w:val="16"/>
                <w:szCs w:val="16"/>
                <w:lang w:eastAsia="en-GB"/>
              </w:rPr>
              <w:t>Beverly B., Furr J., Lambright C., McIntyre B.,  Foster P., Travlos G., Wilson V.</w:t>
            </w:r>
            <w:r>
              <w:rPr>
                <w:rFonts w:cs="Arial"/>
                <w:sz w:val="16"/>
                <w:szCs w:val="16"/>
                <w:lang w:eastAsia="en-GB"/>
              </w:rPr>
              <w:t xml:space="preserve"> &amp; </w:t>
            </w:r>
            <w:r w:rsidRPr="002F6538">
              <w:rPr>
                <w:rFonts w:cs="Arial"/>
                <w:sz w:val="16"/>
                <w:szCs w:val="16"/>
                <w:lang w:eastAsia="en-GB"/>
              </w:rPr>
              <w:t xml:space="preserve">Gray L., </w:t>
            </w:r>
            <w:r w:rsidRPr="00B21086">
              <w:rPr>
                <w:rFonts w:cs="Arial"/>
                <w:i/>
                <w:sz w:val="16"/>
                <w:szCs w:val="16"/>
                <w:lang w:eastAsia="en-GB"/>
              </w:rPr>
              <w:t>Simvastatin reduces fetal testosterone production and permanently alters reproductive tract development in the male Crl: CD (SD) Rat</w:t>
            </w:r>
            <w:r w:rsidRPr="002F6538">
              <w:rPr>
                <w:rFonts w:cs="Arial"/>
                <w:sz w:val="16"/>
                <w:szCs w:val="16"/>
                <w:lang w:eastAsia="en-GB"/>
              </w:rPr>
              <w:t xml:space="preserve">, available at: </w:t>
            </w:r>
            <w:hyperlink r:id="rId66" w:history="1">
              <w:r w:rsidRPr="002F6538">
                <w:rPr>
                  <w:rFonts w:cs="Arial"/>
                  <w:sz w:val="16"/>
                  <w:szCs w:val="16"/>
                  <w:lang w:eastAsia="en-GB"/>
                </w:rPr>
                <w:t>http://usgov.info/2015/04/16/simvastatin-reduces-fetal-testosterone-production-and-permanently-alters-reproductive-tract-development-in-the-male-rat/</w:t>
              </w:r>
            </w:hyperlink>
            <w:r w:rsidRPr="002F6538">
              <w:rPr>
                <w:rFonts w:cs="Arial"/>
                <w:sz w:val="16"/>
                <w:szCs w:val="16"/>
                <w:lang w:eastAsia="en-GB"/>
              </w:rPr>
              <w:t xml:space="preserve"> </w:t>
            </w:r>
          </w:p>
          <w:p w14:paraId="501BFA69" w14:textId="77777777" w:rsidR="00233E2A" w:rsidRPr="002F6538" w:rsidRDefault="00233E2A" w:rsidP="0010403B">
            <w:pPr>
              <w:rPr>
                <w:rFonts w:cs="Arial"/>
                <w:sz w:val="16"/>
                <w:szCs w:val="16"/>
                <w:lang w:eastAsia="en-GB"/>
              </w:rPr>
            </w:pPr>
          </w:p>
          <w:p w14:paraId="5C627DC9" w14:textId="77777777" w:rsidR="00233E2A" w:rsidRPr="002F6538" w:rsidRDefault="00233E2A" w:rsidP="0010403B">
            <w:pPr>
              <w:rPr>
                <w:rFonts w:cs="Arial"/>
                <w:sz w:val="16"/>
                <w:szCs w:val="16"/>
                <w:lang w:eastAsia="en-GB"/>
              </w:rPr>
            </w:pPr>
            <w:r w:rsidRPr="002F6538">
              <w:rPr>
                <w:b/>
                <w:sz w:val="16"/>
                <w:szCs w:val="16"/>
              </w:rPr>
              <w:t>Used in a WoE approach as supporting information</w:t>
            </w:r>
          </w:p>
        </w:tc>
      </w:tr>
      <w:tr w:rsidR="00233E2A" w:rsidRPr="00DB7261" w14:paraId="0B962938" w14:textId="77777777" w:rsidTr="0010403B">
        <w:tc>
          <w:tcPr>
            <w:tcW w:w="1553" w:type="dxa"/>
            <w:shd w:val="clear" w:color="auto" w:fill="auto"/>
          </w:tcPr>
          <w:p w14:paraId="60EB9BEA" w14:textId="77777777" w:rsidR="00233E2A" w:rsidRPr="002F6538" w:rsidRDefault="00233E2A" w:rsidP="0010403B">
            <w:pPr>
              <w:autoSpaceDE w:val="0"/>
              <w:autoSpaceDN w:val="0"/>
              <w:adjustRightInd w:val="0"/>
              <w:rPr>
                <w:sz w:val="16"/>
                <w:szCs w:val="16"/>
              </w:rPr>
            </w:pPr>
            <w:r w:rsidRPr="002F6538">
              <w:rPr>
                <w:sz w:val="16"/>
                <w:szCs w:val="16"/>
              </w:rPr>
              <w:t>Rat</w:t>
            </w:r>
          </w:p>
        </w:tc>
        <w:tc>
          <w:tcPr>
            <w:tcW w:w="1593" w:type="dxa"/>
            <w:shd w:val="clear" w:color="auto" w:fill="auto"/>
          </w:tcPr>
          <w:p w14:paraId="49C94E87" w14:textId="77777777" w:rsidR="00233E2A" w:rsidRPr="002F6538" w:rsidRDefault="00233E2A" w:rsidP="0010403B">
            <w:pPr>
              <w:autoSpaceDE w:val="0"/>
              <w:autoSpaceDN w:val="0"/>
              <w:adjustRightInd w:val="0"/>
              <w:rPr>
                <w:sz w:val="16"/>
                <w:szCs w:val="16"/>
              </w:rPr>
            </w:pPr>
            <w:r w:rsidRPr="002F6538">
              <w:rPr>
                <w:sz w:val="16"/>
                <w:szCs w:val="16"/>
              </w:rPr>
              <w:t>Oral</w:t>
            </w:r>
          </w:p>
        </w:tc>
        <w:tc>
          <w:tcPr>
            <w:tcW w:w="3358" w:type="dxa"/>
            <w:shd w:val="clear" w:color="auto" w:fill="auto"/>
          </w:tcPr>
          <w:p w14:paraId="4AD667CF" w14:textId="77777777" w:rsidR="00233E2A" w:rsidRPr="002F6538" w:rsidRDefault="00233E2A" w:rsidP="0010403B">
            <w:pPr>
              <w:autoSpaceDE w:val="0"/>
              <w:autoSpaceDN w:val="0"/>
              <w:adjustRightInd w:val="0"/>
              <w:rPr>
                <w:sz w:val="16"/>
                <w:szCs w:val="16"/>
              </w:rPr>
            </w:pPr>
            <w:r w:rsidRPr="002F6538">
              <w:rPr>
                <w:sz w:val="16"/>
                <w:szCs w:val="16"/>
              </w:rPr>
              <w:t>Antiandrogenic mode of action and male reproductive adverse effects</w:t>
            </w:r>
          </w:p>
        </w:tc>
        <w:tc>
          <w:tcPr>
            <w:tcW w:w="1146" w:type="dxa"/>
            <w:shd w:val="clear" w:color="auto" w:fill="auto"/>
          </w:tcPr>
          <w:p w14:paraId="1E595714" w14:textId="77777777" w:rsidR="00233E2A" w:rsidRPr="002F6538" w:rsidRDefault="00233E2A" w:rsidP="0010403B">
            <w:pPr>
              <w:rPr>
                <w:sz w:val="16"/>
                <w:szCs w:val="16"/>
                <w:u w:val="single"/>
              </w:rPr>
            </w:pPr>
            <w:r w:rsidRPr="002F6538">
              <w:rPr>
                <w:sz w:val="16"/>
                <w:szCs w:val="16"/>
              </w:rPr>
              <w:t>Abstract published</w:t>
            </w:r>
          </w:p>
        </w:tc>
        <w:tc>
          <w:tcPr>
            <w:tcW w:w="6524" w:type="dxa"/>
            <w:shd w:val="clear" w:color="auto" w:fill="auto"/>
          </w:tcPr>
          <w:p w14:paraId="646E5CCD" w14:textId="77777777" w:rsidR="00233E2A" w:rsidRPr="002F6538" w:rsidRDefault="00233E2A" w:rsidP="0010403B">
            <w:pPr>
              <w:rPr>
                <w:rFonts w:cs="Arial"/>
                <w:sz w:val="16"/>
                <w:szCs w:val="16"/>
                <w:lang w:eastAsia="en-GB"/>
              </w:rPr>
            </w:pPr>
            <w:r w:rsidRPr="002F6538">
              <w:rPr>
                <w:rFonts w:cs="Arial"/>
                <w:sz w:val="16"/>
                <w:szCs w:val="16"/>
                <w:lang w:eastAsia="en-GB"/>
              </w:rPr>
              <w:t>Wolf C., Lambright P., Mann M., Price M., Cooper R., Ostby J.</w:t>
            </w:r>
            <w:r>
              <w:rPr>
                <w:rFonts w:cs="Arial"/>
                <w:sz w:val="16"/>
                <w:szCs w:val="16"/>
                <w:lang w:eastAsia="en-GB"/>
              </w:rPr>
              <w:t xml:space="preserve"> &amp;</w:t>
            </w:r>
            <w:r w:rsidRPr="002F6538">
              <w:rPr>
                <w:rFonts w:cs="Arial"/>
                <w:sz w:val="16"/>
                <w:szCs w:val="16"/>
                <w:lang w:eastAsia="en-GB"/>
              </w:rPr>
              <w:t xml:space="preserve"> Gray L., </w:t>
            </w:r>
            <w:r w:rsidRPr="00B21086">
              <w:rPr>
                <w:rFonts w:cs="Arial"/>
                <w:i/>
                <w:sz w:val="16"/>
                <w:szCs w:val="16"/>
                <w:lang w:eastAsia="en-GB"/>
              </w:rPr>
              <w:t xml:space="preserve">Administration of potentially antiandrogenic pesticides (procymidone, linuron, iprodione, chlozolinate, P,p-DDE and ketoconazole) and toxic substance (dibutyl- and diethylexyl phthalate, PCB 169 and ethan </w:t>
            </w:r>
            <w:r w:rsidRPr="00B21086">
              <w:rPr>
                <w:rFonts w:cs="Arial"/>
                <w:i/>
                <w:sz w:val="16"/>
                <w:szCs w:val="16"/>
                <w:lang w:eastAsia="en-GB"/>
              </w:rPr>
              <w:lastRenderedPageBreak/>
              <w:t>dimethane suphonate) during sexual differentiation</w:t>
            </w:r>
            <w:r>
              <w:rPr>
                <w:rFonts w:cs="Arial"/>
                <w:sz w:val="16"/>
                <w:szCs w:val="16"/>
                <w:lang w:eastAsia="en-GB"/>
              </w:rPr>
              <w:t>.</w:t>
            </w:r>
            <w:r w:rsidRPr="002F6538">
              <w:rPr>
                <w:rFonts w:cs="Arial"/>
                <w:sz w:val="16"/>
                <w:szCs w:val="16"/>
                <w:lang w:eastAsia="en-GB"/>
              </w:rPr>
              <w:t xml:space="preserve"> Toxicology and Industrial Health, 15: 94-118, 1999.</w:t>
            </w:r>
          </w:p>
          <w:p w14:paraId="78EB09B3" w14:textId="77777777" w:rsidR="00233E2A" w:rsidRPr="002F6538" w:rsidRDefault="00233E2A" w:rsidP="0010403B">
            <w:pPr>
              <w:rPr>
                <w:rFonts w:cs="Arial"/>
                <w:sz w:val="16"/>
                <w:szCs w:val="16"/>
                <w:lang w:eastAsia="en-GB"/>
              </w:rPr>
            </w:pPr>
          </w:p>
          <w:p w14:paraId="6BE00113"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74FB9C16" w14:textId="77777777" w:rsidTr="0010403B">
        <w:tc>
          <w:tcPr>
            <w:tcW w:w="1553" w:type="dxa"/>
            <w:shd w:val="clear" w:color="auto" w:fill="auto"/>
          </w:tcPr>
          <w:p w14:paraId="1AB811CD" w14:textId="77777777" w:rsidR="00233E2A" w:rsidRPr="00D369B9" w:rsidRDefault="00233E2A" w:rsidP="0010403B">
            <w:pPr>
              <w:autoSpaceDE w:val="0"/>
              <w:autoSpaceDN w:val="0"/>
              <w:adjustRightInd w:val="0"/>
              <w:rPr>
                <w:sz w:val="16"/>
                <w:szCs w:val="16"/>
              </w:rPr>
            </w:pPr>
            <w:r w:rsidRPr="00D369B9">
              <w:rPr>
                <w:sz w:val="16"/>
                <w:szCs w:val="16"/>
              </w:rPr>
              <w:lastRenderedPageBreak/>
              <w:t>Human</w:t>
            </w:r>
          </w:p>
        </w:tc>
        <w:tc>
          <w:tcPr>
            <w:tcW w:w="1593" w:type="dxa"/>
            <w:shd w:val="clear" w:color="auto" w:fill="auto"/>
          </w:tcPr>
          <w:p w14:paraId="228FB1C0" w14:textId="77777777" w:rsidR="00233E2A" w:rsidRPr="00D369B9" w:rsidRDefault="00233E2A" w:rsidP="0010403B">
            <w:pPr>
              <w:autoSpaceDE w:val="0"/>
              <w:autoSpaceDN w:val="0"/>
              <w:adjustRightInd w:val="0"/>
              <w:rPr>
                <w:sz w:val="16"/>
                <w:szCs w:val="16"/>
              </w:rPr>
            </w:pPr>
            <w:r w:rsidRPr="00D369B9">
              <w:rPr>
                <w:sz w:val="16"/>
                <w:szCs w:val="16"/>
              </w:rPr>
              <w:t>N/A</w:t>
            </w:r>
          </w:p>
        </w:tc>
        <w:tc>
          <w:tcPr>
            <w:tcW w:w="3358" w:type="dxa"/>
            <w:shd w:val="clear" w:color="auto" w:fill="auto"/>
          </w:tcPr>
          <w:p w14:paraId="7DA2E924" w14:textId="77777777" w:rsidR="00233E2A" w:rsidRPr="002F6538" w:rsidRDefault="00233E2A" w:rsidP="0010403B">
            <w:pPr>
              <w:rPr>
                <w:rFonts w:cs="Arial"/>
                <w:sz w:val="16"/>
                <w:szCs w:val="16"/>
                <w:lang w:eastAsia="en-GB"/>
              </w:rPr>
            </w:pPr>
            <w:r w:rsidRPr="002F6538">
              <w:rPr>
                <w:rFonts w:cs="Arial"/>
                <w:sz w:val="16"/>
                <w:szCs w:val="16"/>
                <w:lang w:eastAsia="en-GB"/>
              </w:rPr>
              <w:t>Male reproductive disorders of antenatal origin</w:t>
            </w:r>
          </w:p>
        </w:tc>
        <w:tc>
          <w:tcPr>
            <w:tcW w:w="1146" w:type="dxa"/>
            <w:shd w:val="clear" w:color="auto" w:fill="auto"/>
          </w:tcPr>
          <w:p w14:paraId="6DD6F479" w14:textId="77777777" w:rsidR="00233E2A" w:rsidRPr="002F6538" w:rsidRDefault="00233E2A" w:rsidP="0010403B">
            <w:pPr>
              <w:rPr>
                <w:rFonts w:cs="Arial"/>
                <w:sz w:val="16"/>
                <w:szCs w:val="16"/>
                <w:lang w:eastAsia="en-GB"/>
              </w:rPr>
            </w:pPr>
            <w:r w:rsidRPr="002F6538">
              <w:rPr>
                <w:rFonts w:cs="Arial"/>
                <w:sz w:val="16"/>
                <w:szCs w:val="16"/>
                <w:lang w:eastAsia="en-GB"/>
              </w:rPr>
              <w:t>Article published</w:t>
            </w:r>
          </w:p>
        </w:tc>
        <w:tc>
          <w:tcPr>
            <w:tcW w:w="6524" w:type="dxa"/>
            <w:shd w:val="clear" w:color="auto" w:fill="auto"/>
          </w:tcPr>
          <w:p w14:paraId="6A6DC376" w14:textId="77777777" w:rsidR="00233E2A" w:rsidRPr="002F6538" w:rsidRDefault="00233E2A" w:rsidP="0010403B">
            <w:pPr>
              <w:rPr>
                <w:rFonts w:cs="Arial"/>
                <w:i/>
                <w:sz w:val="16"/>
                <w:szCs w:val="16"/>
                <w:lang w:eastAsia="en-GB"/>
              </w:rPr>
            </w:pPr>
            <w:r w:rsidRPr="00B21086">
              <w:rPr>
                <w:rFonts w:cs="Arial"/>
                <w:sz w:val="16"/>
                <w:szCs w:val="16"/>
                <w:lang w:eastAsia="en-GB"/>
              </w:rPr>
              <w:t>Skakkebaek N.E., Rajpert-De Meyts E. &amp; Main K</w:t>
            </w:r>
            <w:r>
              <w:rPr>
                <w:rFonts w:cs="Arial"/>
                <w:sz w:val="16"/>
                <w:szCs w:val="16"/>
                <w:lang w:eastAsia="en-GB"/>
              </w:rPr>
              <w:t>.</w:t>
            </w:r>
            <w:r w:rsidRPr="00B21086">
              <w:rPr>
                <w:rFonts w:cs="Arial"/>
                <w:sz w:val="16"/>
                <w:szCs w:val="16"/>
                <w:lang w:eastAsia="en-GB"/>
              </w:rPr>
              <w:t>M</w:t>
            </w:r>
            <w:r>
              <w:rPr>
                <w:rFonts w:cs="Arial"/>
                <w:sz w:val="16"/>
                <w:szCs w:val="16"/>
                <w:lang w:eastAsia="en-GB"/>
              </w:rPr>
              <w:t>.</w:t>
            </w:r>
            <w:r w:rsidRPr="00B21086">
              <w:rPr>
                <w:rFonts w:cs="Arial"/>
                <w:sz w:val="16"/>
                <w:szCs w:val="16"/>
                <w:lang w:eastAsia="en-GB"/>
              </w:rPr>
              <w:t xml:space="preserve"> </w:t>
            </w:r>
            <w:r w:rsidRPr="002F6538">
              <w:rPr>
                <w:rFonts w:cs="Arial"/>
                <w:i/>
                <w:sz w:val="16"/>
                <w:szCs w:val="16"/>
                <w:lang w:eastAsia="en-GB"/>
              </w:rPr>
              <w:t>Testicular</w:t>
            </w:r>
          </w:p>
          <w:p w14:paraId="0FF0694D" w14:textId="77777777" w:rsidR="00233E2A" w:rsidRPr="002F6538" w:rsidRDefault="00233E2A" w:rsidP="0010403B">
            <w:pPr>
              <w:rPr>
                <w:rFonts w:cs="Arial"/>
                <w:i/>
                <w:sz w:val="16"/>
                <w:szCs w:val="16"/>
                <w:lang w:eastAsia="en-GB"/>
              </w:rPr>
            </w:pPr>
            <w:r w:rsidRPr="002F6538">
              <w:rPr>
                <w:rFonts w:cs="Arial"/>
                <w:i/>
                <w:sz w:val="16"/>
                <w:szCs w:val="16"/>
                <w:lang w:eastAsia="en-GB"/>
              </w:rPr>
              <w:t>dysgenesis syndrome: an increasingly common developmental disorder</w:t>
            </w:r>
          </w:p>
          <w:p w14:paraId="150463E0" w14:textId="77777777" w:rsidR="00233E2A" w:rsidRPr="002F6538" w:rsidRDefault="00233E2A" w:rsidP="0010403B">
            <w:pPr>
              <w:rPr>
                <w:rFonts w:cs="Arial"/>
                <w:sz w:val="16"/>
                <w:szCs w:val="16"/>
                <w:lang w:eastAsia="en-GB"/>
              </w:rPr>
            </w:pPr>
            <w:r w:rsidRPr="002F6538">
              <w:rPr>
                <w:rFonts w:cs="Arial"/>
                <w:i/>
                <w:sz w:val="16"/>
                <w:szCs w:val="16"/>
                <w:lang w:eastAsia="en-GB"/>
              </w:rPr>
              <w:t>with environmental aspects</w:t>
            </w:r>
            <w:r w:rsidRPr="002F6538">
              <w:rPr>
                <w:rFonts w:cs="Arial"/>
                <w:sz w:val="16"/>
                <w:szCs w:val="16"/>
                <w:lang w:eastAsia="en-GB"/>
              </w:rPr>
              <w:t xml:space="preserve">. Human Reproduction, </w:t>
            </w:r>
            <w:r w:rsidRPr="001A712D">
              <w:rPr>
                <w:rFonts w:cs="Arial"/>
                <w:sz w:val="16"/>
                <w:szCs w:val="16"/>
                <w:lang w:eastAsia="en-GB"/>
              </w:rPr>
              <w:t>2001</w:t>
            </w:r>
            <w:r>
              <w:rPr>
                <w:rFonts w:cs="Arial"/>
                <w:sz w:val="16"/>
                <w:szCs w:val="16"/>
                <w:lang w:eastAsia="en-GB"/>
              </w:rPr>
              <w:t xml:space="preserve">, </w:t>
            </w:r>
            <w:r w:rsidRPr="002F6538">
              <w:rPr>
                <w:rFonts w:cs="Arial"/>
                <w:sz w:val="16"/>
                <w:szCs w:val="16"/>
                <w:lang w:eastAsia="en-GB"/>
              </w:rPr>
              <w:t>16(5):972-978.</w:t>
            </w:r>
          </w:p>
          <w:p w14:paraId="647844FD" w14:textId="77777777" w:rsidR="00233E2A" w:rsidRPr="002F6538" w:rsidRDefault="00233E2A" w:rsidP="0010403B">
            <w:pPr>
              <w:rPr>
                <w:rFonts w:cs="Arial"/>
                <w:sz w:val="16"/>
                <w:szCs w:val="16"/>
                <w:lang w:eastAsia="en-GB"/>
              </w:rPr>
            </w:pPr>
            <w:r w:rsidRPr="002F6538">
              <w:rPr>
                <w:rFonts w:cs="Arial"/>
                <w:sz w:val="16"/>
                <w:szCs w:val="16"/>
                <w:lang w:eastAsia="en-GB"/>
              </w:rPr>
              <w:t>Available at: http://humrep.oxfordjournals.org/content/16/5/972.long</w:t>
            </w:r>
          </w:p>
        </w:tc>
      </w:tr>
      <w:tr w:rsidR="00233E2A" w:rsidRPr="00DB7261" w14:paraId="7A75732E" w14:textId="77777777" w:rsidTr="0010403B">
        <w:tc>
          <w:tcPr>
            <w:tcW w:w="1553" w:type="dxa"/>
            <w:shd w:val="clear" w:color="auto" w:fill="auto"/>
          </w:tcPr>
          <w:p w14:paraId="739FF3B2" w14:textId="77777777" w:rsidR="00233E2A" w:rsidRPr="00D369B9" w:rsidDel="006963A6" w:rsidRDefault="00233E2A" w:rsidP="0010403B">
            <w:pPr>
              <w:autoSpaceDE w:val="0"/>
              <w:autoSpaceDN w:val="0"/>
              <w:adjustRightInd w:val="0"/>
              <w:rPr>
                <w:sz w:val="16"/>
                <w:szCs w:val="16"/>
              </w:rPr>
            </w:pPr>
            <w:r w:rsidRPr="00D369B9">
              <w:rPr>
                <w:sz w:val="16"/>
                <w:szCs w:val="16"/>
              </w:rPr>
              <w:t>Human</w:t>
            </w:r>
          </w:p>
        </w:tc>
        <w:tc>
          <w:tcPr>
            <w:tcW w:w="1593" w:type="dxa"/>
            <w:shd w:val="clear" w:color="auto" w:fill="auto"/>
          </w:tcPr>
          <w:p w14:paraId="5A54EFAB" w14:textId="77777777" w:rsidR="00233E2A" w:rsidRPr="00D369B9" w:rsidRDefault="00233E2A" w:rsidP="0010403B">
            <w:pPr>
              <w:autoSpaceDE w:val="0"/>
              <w:autoSpaceDN w:val="0"/>
              <w:adjustRightInd w:val="0"/>
              <w:rPr>
                <w:sz w:val="16"/>
                <w:szCs w:val="16"/>
              </w:rPr>
            </w:pPr>
            <w:r w:rsidRPr="00D369B9">
              <w:rPr>
                <w:sz w:val="16"/>
                <w:szCs w:val="16"/>
              </w:rPr>
              <w:t>N/A</w:t>
            </w:r>
          </w:p>
        </w:tc>
        <w:tc>
          <w:tcPr>
            <w:tcW w:w="3358" w:type="dxa"/>
            <w:shd w:val="clear" w:color="auto" w:fill="auto"/>
          </w:tcPr>
          <w:p w14:paraId="077B64A4" w14:textId="77777777" w:rsidR="00233E2A" w:rsidRPr="002F6538" w:rsidRDefault="00233E2A" w:rsidP="0010403B">
            <w:pPr>
              <w:rPr>
                <w:rFonts w:cs="Arial"/>
                <w:sz w:val="16"/>
                <w:szCs w:val="16"/>
                <w:lang w:eastAsia="en-GB"/>
              </w:rPr>
            </w:pPr>
            <w:r w:rsidRPr="002F6538">
              <w:rPr>
                <w:rFonts w:cs="Arial"/>
                <w:sz w:val="16"/>
                <w:szCs w:val="16"/>
                <w:lang w:eastAsia="en-GB"/>
              </w:rPr>
              <w:t>Anogenital distance related effects and fertility</w:t>
            </w:r>
          </w:p>
        </w:tc>
        <w:tc>
          <w:tcPr>
            <w:tcW w:w="1146" w:type="dxa"/>
            <w:shd w:val="clear" w:color="auto" w:fill="auto"/>
          </w:tcPr>
          <w:p w14:paraId="23D0A22D" w14:textId="77777777" w:rsidR="00233E2A" w:rsidRPr="002F6538" w:rsidRDefault="00233E2A" w:rsidP="0010403B">
            <w:pPr>
              <w:rPr>
                <w:rFonts w:cs="Arial"/>
                <w:sz w:val="16"/>
                <w:szCs w:val="16"/>
                <w:lang w:eastAsia="en-GB"/>
              </w:rPr>
            </w:pPr>
            <w:r w:rsidRPr="002F6538">
              <w:rPr>
                <w:rFonts w:cs="Arial"/>
                <w:sz w:val="16"/>
                <w:szCs w:val="16"/>
                <w:lang w:eastAsia="en-GB"/>
              </w:rPr>
              <w:t>Article published</w:t>
            </w:r>
          </w:p>
        </w:tc>
        <w:tc>
          <w:tcPr>
            <w:tcW w:w="6524" w:type="dxa"/>
            <w:shd w:val="clear" w:color="auto" w:fill="auto"/>
          </w:tcPr>
          <w:p w14:paraId="15EA4D7A" w14:textId="77777777" w:rsidR="00233E2A" w:rsidRPr="002F6538" w:rsidRDefault="00233E2A" w:rsidP="0010403B">
            <w:pPr>
              <w:rPr>
                <w:rFonts w:cs="Arial"/>
                <w:sz w:val="16"/>
                <w:szCs w:val="16"/>
                <w:lang w:eastAsia="en-GB"/>
              </w:rPr>
            </w:pPr>
            <w:r w:rsidRPr="002F6538">
              <w:rPr>
                <w:rFonts w:cs="Arial"/>
                <w:sz w:val="16"/>
                <w:szCs w:val="16"/>
                <w:lang w:eastAsia="en-GB"/>
              </w:rPr>
              <w:t>Eisennberg L.M., Hsieh H.M., Walters C.R., Krasnow R., Lipschultz I. L.</w:t>
            </w:r>
            <w:r w:rsidRPr="002F6538">
              <w:rPr>
                <w:rFonts w:cs="Arial"/>
                <w:i/>
                <w:sz w:val="16"/>
                <w:szCs w:val="16"/>
                <w:lang w:eastAsia="en-GB"/>
              </w:rPr>
              <w:t xml:space="preserve"> The relationship between Anogenital distance, fatherhood and fertility in adult men</w:t>
            </w:r>
            <w:r w:rsidRPr="002F6538">
              <w:rPr>
                <w:rFonts w:cs="Arial"/>
                <w:sz w:val="16"/>
                <w:szCs w:val="16"/>
                <w:lang w:eastAsia="en-GB"/>
              </w:rPr>
              <w:t xml:space="preserve">. PLoS ONE 6(5): e18973. Doi:10.1371/journal.pone.0018973 </w:t>
            </w:r>
          </w:p>
          <w:p w14:paraId="58AAEC7A" w14:textId="77777777" w:rsidR="00233E2A" w:rsidRPr="002F6538" w:rsidRDefault="00233E2A" w:rsidP="0010403B">
            <w:pPr>
              <w:rPr>
                <w:rFonts w:cs="Arial"/>
                <w:sz w:val="16"/>
                <w:szCs w:val="16"/>
                <w:lang w:eastAsia="en-GB"/>
              </w:rPr>
            </w:pPr>
          </w:p>
          <w:p w14:paraId="303EF623"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2A135EDA" w14:textId="77777777" w:rsidTr="0010403B">
        <w:tc>
          <w:tcPr>
            <w:tcW w:w="1553" w:type="dxa"/>
            <w:shd w:val="clear" w:color="auto" w:fill="auto"/>
          </w:tcPr>
          <w:p w14:paraId="06D09D15" w14:textId="77777777" w:rsidR="00233E2A" w:rsidRPr="00D369B9" w:rsidDel="006963A6" w:rsidRDefault="00233E2A" w:rsidP="0010403B">
            <w:pPr>
              <w:autoSpaceDE w:val="0"/>
              <w:autoSpaceDN w:val="0"/>
              <w:adjustRightInd w:val="0"/>
              <w:rPr>
                <w:sz w:val="16"/>
                <w:szCs w:val="16"/>
              </w:rPr>
            </w:pPr>
            <w:r w:rsidRPr="00D369B9">
              <w:rPr>
                <w:sz w:val="16"/>
                <w:szCs w:val="16"/>
              </w:rPr>
              <w:t>Human</w:t>
            </w:r>
          </w:p>
        </w:tc>
        <w:tc>
          <w:tcPr>
            <w:tcW w:w="1593" w:type="dxa"/>
            <w:shd w:val="clear" w:color="auto" w:fill="auto"/>
          </w:tcPr>
          <w:p w14:paraId="0C26DB5D" w14:textId="77777777" w:rsidR="00233E2A" w:rsidRPr="00D369B9" w:rsidRDefault="00233E2A" w:rsidP="0010403B">
            <w:pPr>
              <w:autoSpaceDE w:val="0"/>
              <w:autoSpaceDN w:val="0"/>
              <w:adjustRightInd w:val="0"/>
              <w:rPr>
                <w:sz w:val="16"/>
                <w:szCs w:val="16"/>
              </w:rPr>
            </w:pPr>
            <w:r w:rsidRPr="00D369B9">
              <w:rPr>
                <w:sz w:val="16"/>
                <w:szCs w:val="16"/>
              </w:rPr>
              <w:t>N/A</w:t>
            </w:r>
          </w:p>
        </w:tc>
        <w:tc>
          <w:tcPr>
            <w:tcW w:w="3358" w:type="dxa"/>
            <w:shd w:val="clear" w:color="auto" w:fill="auto"/>
          </w:tcPr>
          <w:p w14:paraId="49BA431F" w14:textId="77777777" w:rsidR="00233E2A" w:rsidRPr="002F6538" w:rsidRDefault="00233E2A" w:rsidP="0010403B">
            <w:pPr>
              <w:rPr>
                <w:rFonts w:cs="Arial"/>
                <w:sz w:val="16"/>
                <w:szCs w:val="16"/>
                <w:lang w:eastAsia="en-GB"/>
              </w:rPr>
            </w:pPr>
            <w:r w:rsidRPr="002F6538">
              <w:rPr>
                <w:rFonts w:cs="Arial"/>
                <w:sz w:val="16"/>
                <w:szCs w:val="16"/>
                <w:lang w:eastAsia="en-GB"/>
              </w:rPr>
              <w:t>Linking of infertility with fetal reproductive systems impairment</w:t>
            </w:r>
          </w:p>
        </w:tc>
        <w:tc>
          <w:tcPr>
            <w:tcW w:w="1146" w:type="dxa"/>
            <w:shd w:val="clear" w:color="auto" w:fill="auto"/>
          </w:tcPr>
          <w:p w14:paraId="09ADC8EB" w14:textId="77777777" w:rsidR="00233E2A" w:rsidRPr="002F6538" w:rsidRDefault="00233E2A" w:rsidP="0010403B">
            <w:pPr>
              <w:rPr>
                <w:rFonts w:cs="Arial"/>
                <w:sz w:val="16"/>
                <w:szCs w:val="16"/>
                <w:lang w:eastAsia="en-GB"/>
              </w:rPr>
            </w:pPr>
            <w:r w:rsidRPr="002F6538">
              <w:rPr>
                <w:rFonts w:cs="Arial"/>
                <w:sz w:val="16"/>
                <w:szCs w:val="16"/>
                <w:lang w:eastAsia="en-GB"/>
              </w:rPr>
              <w:t>Article published</w:t>
            </w:r>
          </w:p>
        </w:tc>
        <w:tc>
          <w:tcPr>
            <w:tcW w:w="6524" w:type="dxa"/>
            <w:shd w:val="clear" w:color="auto" w:fill="auto"/>
          </w:tcPr>
          <w:p w14:paraId="6B018BE0" w14:textId="77777777" w:rsidR="00233E2A" w:rsidRPr="002F6538" w:rsidRDefault="00233E2A" w:rsidP="0010403B">
            <w:pPr>
              <w:rPr>
                <w:rFonts w:cs="Arial"/>
                <w:sz w:val="16"/>
                <w:szCs w:val="16"/>
                <w:lang w:eastAsia="en-GB"/>
              </w:rPr>
            </w:pPr>
            <w:r w:rsidRPr="00B21086">
              <w:rPr>
                <w:rFonts w:cs="Arial"/>
                <w:sz w:val="16"/>
                <w:szCs w:val="16"/>
                <w:lang w:eastAsia="en-GB"/>
              </w:rPr>
              <w:t>Juul A., Almstrup K., Andersson A., Jensen T., Jorgensen N., Main K., Raipert-De Meyts E., Toppari J. &amp;</w:t>
            </w:r>
            <w:r w:rsidRPr="005D63B1">
              <w:rPr>
                <w:rFonts w:cs="Arial"/>
                <w:sz w:val="16"/>
                <w:szCs w:val="16"/>
                <w:lang w:eastAsia="en-GB"/>
              </w:rPr>
              <w:t xml:space="preserve"> </w:t>
            </w:r>
            <w:r w:rsidRPr="002F6538">
              <w:rPr>
                <w:rFonts w:cs="Arial"/>
                <w:sz w:val="16"/>
                <w:szCs w:val="16"/>
                <w:lang w:eastAsia="en-GB"/>
              </w:rPr>
              <w:t xml:space="preserve">Skakkebaek N. </w:t>
            </w:r>
            <w:r w:rsidRPr="002F6538">
              <w:rPr>
                <w:rFonts w:cs="Arial"/>
                <w:i/>
                <w:sz w:val="16"/>
                <w:szCs w:val="16"/>
                <w:lang w:eastAsia="en-GB"/>
              </w:rPr>
              <w:t>Possible fetal determinants of male infertility</w:t>
            </w:r>
            <w:r w:rsidRPr="002F6538">
              <w:rPr>
                <w:rFonts w:cs="Arial"/>
                <w:sz w:val="16"/>
                <w:szCs w:val="16"/>
                <w:lang w:eastAsia="en-GB"/>
              </w:rPr>
              <w:t>. Nature Reviews Endocrinology, 2014, 10: 553-562</w:t>
            </w:r>
          </w:p>
          <w:p w14:paraId="35600C88" w14:textId="77777777" w:rsidR="00233E2A" w:rsidRPr="002F6538" w:rsidRDefault="00233E2A" w:rsidP="0010403B">
            <w:pPr>
              <w:rPr>
                <w:rFonts w:cs="Arial"/>
                <w:sz w:val="16"/>
                <w:szCs w:val="16"/>
                <w:lang w:eastAsia="en-GB"/>
              </w:rPr>
            </w:pPr>
          </w:p>
          <w:p w14:paraId="40CD967F"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73AD99AE" w14:textId="77777777" w:rsidTr="0010403B">
        <w:tc>
          <w:tcPr>
            <w:tcW w:w="1553" w:type="dxa"/>
            <w:shd w:val="clear" w:color="auto" w:fill="auto"/>
          </w:tcPr>
          <w:p w14:paraId="442AAD6F" w14:textId="77777777" w:rsidR="00233E2A" w:rsidRPr="00D369B9" w:rsidDel="006963A6" w:rsidRDefault="00233E2A" w:rsidP="0010403B">
            <w:pPr>
              <w:autoSpaceDE w:val="0"/>
              <w:autoSpaceDN w:val="0"/>
              <w:adjustRightInd w:val="0"/>
              <w:rPr>
                <w:sz w:val="16"/>
                <w:szCs w:val="16"/>
              </w:rPr>
            </w:pPr>
            <w:r w:rsidRPr="00D369B9">
              <w:rPr>
                <w:sz w:val="16"/>
                <w:szCs w:val="16"/>
              </w:rPr>
              <w:t>Human</w:t>
            </w:r>
          </w:p>
        </w:tc>
        <w:tc>
          <w:tcPr>
            <w:tcW w:w="1593" w:type="dxa"/>
            <w:shd w:val="clear" w:color="auto" w:fill="auto"/>
          </w:tcPr>
          <w:p w14:paraId="344C45CE" w14:textId="77777777" w:rsidR="00233E2A" w:rsidRPr="00D369B9" w:rsidRDefault="00233E2A" w:rsidP="0010403B">
            <w:pPr>
              <w:autoSpaceDE w:val="0"/>
              <w:autoSpaceDN w:val="0"/>
              <w:adjustRightInd w:val="0"/>
              <w:rPr>
                <w:sz w:val="16"/>
                <w:szCs w:val="16"/>
              </w:rPr>
            </w:pPr>
            <w:r w:rsidRPr="00D369B9">
              <w:rPr>
                <w:sz w:val="16"/>
                <w:szCs w:val="16"/>
              </w:rPr>
              <w:t>N/A</w:t>
            </w:r>
          </w:p>
        </w:tc>
        <w:tc>
          <w:tcPr>
            <w:tcW w:w="3358" w:type="dxa"/>
            <w:shd w:val="clear" w:color="auto" w:fill="auto"/>
          </w:tcPr>
          <w:p w14:paraId="6D1EB870" w14:textId="77777777" w:rsidR="00233E2A" w:rsidRPr="002F6538" w:rsidRDefault="00233E2A" w:rsidP="0010403B">
            <w:pPr>
              <w:rPr>
                <w:rFonts w:cs="Arial"/>
                <w:sz w:val="16"/>
                <w:szCs w:val="16"/>
                <w:lang w:eastAsia="en-GB"/>
              </w:rPr>
            </w:pPr>
            <w:r w:rsidRPr="002F6538">
              <w:rPr>
                <w:rFonts w:cs="Arial"/>
                <w:sz w:val="16"/>
                <w:szCs w:val="16"/>
                <w:lang w:eastAsia="en-GB"/>
              </w:rPr>
              <w:t>Anogenital distance related effects and fertility</w:t>
            </w:r>
          </w:p>
        </w:tc>
        <w:tc>
          <w:tcPr>
            <w:tcW w:w="1146" w:type="dxa"/>
            <w:shd w:val="clear" w:color="auto" w:fill="auto"/>
          </w:tcPr>
          <w:p w14:paraId="4E96A144" w14:textId="77777777" w:rsidR="00233E2A" w:rsidRPr="002F6538" w:rsidRDefault="00233E2A" w:rsidP="0010403B">
            <w:pPr>
              <w:rPr>
                <w:rFonts w:cs="Arial"/>
                <w:sz w:val="16"/>
                <w:szCs w:val="16"/>
                <w:lang w:eastAsia="en-GB"/>
              </w:rPr>
            </w:pPr>
            <w:r w:rsidRPr="002F6538">
              <w:rPr>
                <w:rFonts w:cs="Arial"/>
                <w:sz w:val="16"/>
                <w:szCs w:val="16"/>
                <w:lang w:eastAsia="en-GB"/>
              </w:rPr>
              <w:t>Article published</w:t>
            </w:r>
          </w:p>
        </w:tc>
        <w:tc>
          <w:tcPr>
            <w:tcW w:w="6524" w:type="dxa"/>
            <w:shd w:val="clear" w:color="auto" w:fill="auto"/>
          </w:tcPr>
          <w:p w14:paraId="03B57BDB" w14:textId="77777777" w:rsidR="00233E2A" w:rsidRPr="002F6538" w:rsidRDefault="00233E2A" w:rsidP="0010403B">
            <w:pPr>
              <w:rPr>
                <w:rFonts w:cs="Arial"/>
                <w:sz w:val="16"/>
                <w:szCs w:val="16"/>
                <w:lang w:eastAsia="en-GB"/>
              </w:rPr>
            </w:pPr>
            <w:r w:rsidRPr="002F6538">
              <w:rPr>
                <w:rFonts w:cs="Arial"/>
                <w:sz w:val="16"/>
                <w:szCs w:val="16"/>
                <w:lang w:eastAsia="en-GB"/>
              </w:rPr>
              <w:t>Dean A</w:t>
            </w:r>
            <w:r>
              <w:rPr>
                <w:rFonts w:cs="Arial"/>
                <w:sz w:val="16"/>
                <w:szCs w:val="16"/>
                <w:lang w:eastAsia="en-GB"/>
              </w:rPr>
              <w:t>.</w:t>
            </w:r>
            <w:r w:rsidRPr="002F6538">
              <w:rPr>
                <w:rFonts w:cs="Arial"/>
                <w:sz w:val="16"/>
                <w:szCs w:val="16"/>
                <w:lang w:eastAsia="en-GB"/>
              </w:rPr>
              <w:t xml:space="preserve">, Sharpe M.R., </w:t>
            </w:r>
            <w:r w:rsidRPr="00B21086">
              <w:rPr>
                <w:rFonts w:cs="Arial"/>
                <w:i/>
                <w:sz w:val="16"/>
                <w:szCs w:val="16"/>
                <w:lang w:eastAsia="en-GB"/>
              </w:rPr>
              <w:t>Anogenital distance or digit length ration as measures of fetal androgen exposure: relationship to male reproductive development and its disorders</w:t>
            </w:r>
            <w:r>
              <w:rPr>
                <w:rFonts w:cs="Arial"/>
                <w:sz w:val="16"/>
                <w:szCs w:val="16"/>
                <w:lang w:eastAsia="en-GB"/>
              </w:rPr>
              <w:t>.</w:t>
            </w:r>
            <w:r w:rsidRPr="002F6538">
              <w:rPr>
                <w:rFonts w:cs="Arial"/>
                <w:sz w:val="16"/>
                <w:szCs w:val="16"/>
                <w:lang w:eastAsia="en-GB"/>
              </w:rPr>
              <w:t xml:space="preserve"> J Clin Endocrinol Metabl, 2013, 98(6):2230-2238</w:t>
            </w:r>
          </w:p>
          <w:p w14:paraId="645D4557" w14:textId="77777777" w:rsidR="00233E2A" w:rsidRPr="002F6538" w:rsidRDefault="00233E2A" w:rsidP="0010403B">
            <w:pPr>
              <w:rPr>
                <w:rFonts w:cs="Arial"/>
                <w:sz w:val="16"/>
                <w:szCs w:val="16"/>
                <w:lang w:eastAsia="en-GB"/>
              </w:rPr>
            </w:pPr>
          </w:p>
          <w:p w14:paraId="693A1111"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r w:rsidR="00233E2A" w:rsidRPr="00DB7261" w14:paraId="2E043E1A" w14:textId="77777777" w:rsidTr="0010403B">
        <w:trPr>
          <w:trHeight w:val="85"/>
        </w:trPr>
        <w:tc>
          <w:tcPr>
            <w:tcW w:w="1553" w:type="dxa"/>
            <w:shd w:val="clear" w:color="auto" w:fill="auto"/>
          </w:tcPr>
          <w:p w14:paraId="65EDA69D" w14:textId="77777777" w:rsidR="00233E2A" w:rsidRPr="002F6538" w:rsidRDefault="00233E2A" w:rsidP="0010403B">
            <w:pPr>
              <w:rPr>
                <w:rFonts w:cs="Arial"/>
                <w:sz w:val="16"/>
                <w:szCs w:val="16"/>
                <w:lang w:eastAsia="en-GB"/>
              </w:rPr>
            </w:pPr>
            <w:r w:rsidRPr="002F6538">
              <w:rPr>
                <w:rFonts w:cs="Arial"/>
                <w:sz w:val="16"/>
                <w:szCs w:val="16"/>
                <w:lang w:eastAsia="en-GB"/>
              </w:rPr>
              <w:t>Human</w:t>
            </w:r>
          </w:p>
        </w:tc>
        <w:tc>
          <w:tcPr>
            <w:tcW w:w="1593" w:type="dxa"/>
            <w:shd w:val="clear" w:color="auto" w:fill="auto"/>
          </w:tcPr>
          <w:p w14:paraId="691DBF5B" w14:textId="77777777" w:rsidR="00233E2A" w:rsidRPr="002F6538" w:rsidRDefault="00233E2A" w:rsidP="0010403B">
            <w:pPr>
              <w:rPr>
                <w:rFonts w:cs="Arial"/>
                <w:sz w:val="16"/>
                <w:szCs w:val="16"/>
                <w:lang w:eastAsia="en-GB"/>
              </w:rPr>
            </w:pPr>
            <w:r w:rsidRPr="002F6538">
              <w:rPr>
                <w:rFonts w:cs="Arial"/>
                <w:sz w:val="16"/>
                <w:szCs w:val="16"/>
                <w:lang w:eastAsia="en-GB"/>
              </w:rPr>
              <w:t>N/A</w:t>
            </w:r>
          </w:p>
        </w:tc>
        <w:tc>
          <w:tcPr>
            <w:tcW w:w="3358" w:type="dxa"/>
            <w:shd w:val="clear" w:color="auto" w:fill="auto"/>
          </w:tcPr>
          <w:p w14:paraId="3542FC99" w14:textId="77777777" w:rsidR="00233E2A" w:rsidRPr="002F6538" w:rsidRDefault="00233E2A" w:rsidP="0010403B">
            <w:pPr>
              <w:rPr>
                <w:rFonts w:cs="Arial"/>
                <w:sz w:val="16"/>
                <w:szCs w:val="16"/>
                <w:lang w:eastAsia="en-GB"/>
              </w:rPr>
            </w:pPr>
            <w:r w:rsidRPr="002F6538">
              <w:rPr>
                <w:rFonts w:cs="Arial"/>
                <w:sz w:val="16"/>
                <w:szCs w:val="16"/>
                <w:lang w:eastAsia="en-GB"/>
              </w:rPr>
              <w:t>Relevance of testicular dysgenesis syndrome for fertility effects</w:t>
            </w:r>
          </w:p>
        </w:tc>
        <w:tc>
          <w:tcPr>
            <w:tcW w:w="1146" w:type="dxa"/>
            <w:shd w:val="clear" w:color="auto" w:fill="auto"/>
          </w:tcPr>
          <w:p w14:paraId="65E13AB1" w14:textId="77777777" w:rsidR="00233E2A" w:rsidRPr="002F6538" w:rsidRDefault="00233E2A" w:rsidP="0010403B">
            <w:pPr>
              <w:rPr>
                <w:rFonts w:cs="Arial"/>
                <w:sz w:val="16"/>
                <w:szCs w:val="16"/>
                <w:lang w:eastAsia="en-GB"/>
              </w:rPr>
            </w:pPr>
            <w:r w:rsidRPr="002F6538">
              <w:rPr>
                <w:rFonts w:cs="Arial"/>
                <w:sz w:val="16"/>
                <w:szCs w:val="16"/>
                <w:lang w:eastAsia="en-GB"/>
              </w:rPr>
              <w:t>Article published</w:t>
            </w:r>
          </w:p>
        </w:tc>
        <w:tc>
          <w:tcPr>
            <w:tcW w:w="6524" w:type="dxa"/>
            <w:shd w:val="clear" w:color="auto" w:fill="auto"/>
          </w:tcPr>
          <w:p w14:paraId="0C959296" w14:textId="77777777" w:rsidR="00233E2A" w:rsidRPr="002F6538" w:rsidRDefault="00233E2A" w:rsidP="0010403B">
            <w:pPr>
              <w:rPr>
                <w:rFonts w:cs="Arial"/>
                <w:sz w:val="16"/>
                <w:szCs w:val="16"/>
                <w:lang w:eastAsia="en-GB"/>
              </w:rPr>
            </w:pPr>
            <w:r w:rsidRPr="002F6538">
              <w:rPr>
                <w:rFonts w:cs="Arial"/>
                <w:sz w:val="16"/>
                <w:szCs w:val="16"/>
                <w:lang w:eastAsia="en-GB"/>
              </w:rPr>
              <w:t>Wohlfahrt-Veje C., Main M.K.</w:t>
            </w:r>
            <w:r>
              <w:rPr>
                <w:rFonts w:cs="Arial"/>
                <w:sz w:val="16"/>
                <w:szCs w:val="16"/>
                <w:lang w:eastAsia="en-GB"/>
              </w:rPr>
              <w:t xml:space="preserve"> &amp; </w:t>
            </w:r>
            <w:r w:rsidRPr="002F6538">
              <w:rPr>
                <w:rFonts w:cs="Arial"/>
                <w:sz w:val="16"/>
                <w:szCs w:val="16"/>
                <w:lang w:eastAsia="en-GB"/>
              </w:rPr>
              <w:t xml:space="preserve">Skakkebaek E.N. </w:t>
            </w:r>
            <w:r w:rsidRPr="002F6538">
              <w:rPr>
                <w:rFonts w:cs="Arial"/>
                <w:i/>
                <w:sz w:val="16"/>
                <w:szCs w:val="16"/>
                <w:lang w:eastAsia="en-GB"/>
              </w:rPr>
              <w:t>Testicular dysgenesis syndrome: foetal origin of adult reproductive problems</w:t>
            </w:r>
            <w:r w:rsidRPr="002F6538">
              <w:rPr>
                <w:rFonts w:cs="Arial"/>
                <w:sz w:val="16"/>
                <w:szCs w:val="16"/>
                <w:lang w:eastAsia="en-GB"/>
              </w:rPr>
              <w:t xml:space="preserve">. Clinical Endocrinology, </w:t>
            </w:r>
            <w:r>
              <w:rPr>
                <w:rFonts w:cs="Arial"/>
                <w:sz w:val="16"/>
                <w:szCs w:val="16"/>
                <w:lang w:eastAsia="en-GB"/>
              </w:rPr>
              <w:t>2009</w:t>
            </w:r>
            <w:r w:rsidRPr="002F6538">
              <w:rPr>
                <w:rFonts w:cs="Arial"/>
                <w:sz w:val="16"/>
                <w:szCs w:val="16"/>
                <w:lang w:eastAsia="en-GB"/>
              </w:rPr>
              <w:t>, 71:459-465</w:t>
            </w:r>
          </w:p>
          <w:p w14:paraId="612548C0" w14:textId="77777777" w:rsidR="00233E2A" w:rsidRPr="002F6538" w:rsidRDefault="00233E2A" w:rsidP="0010403B">
            <w:pPr>
              <w:rPr>
                <w:rFonts w:cs="Arial"/>
                <w:sz w:val="16"/>
                <w:szCs w:val="16"/>
                <w:lang w:eastAsia="en-GB"/>
              </w:rPr>
            </w:pPr>
          </w:p>
          <w:p w14:paraId="6E64D9CB" w14:textId="77777777" w:rsidR="00233E2A" w:rsidRPr="002F6538" w:rsidRDefault="00233E2A" w:rsidP="0010403B">
            <w:pPr>
              <w:rPr>
                <w:rFonts w:cs="Arial"/>
                <w:sz w:val="16"/>
                <w:szCs w:val="16"/>
                <w:lang w:eastAsia="en-GB"/>
              </w:rPr>
            </w:pPr>
            <w:r w:rsidRPr="002F6538">
              <w:rPr>
                <w:rFonts w:cs="Arial"/>
                <w:sz w:val="16"/>
                <w:szCs w:val="16"/>
                <w:lang w:eastAsia="en-GB"/>
              </w:rPr>
              <w:t xml:space="preserve"> </w:t>
            </w:r>
            <w:r w:rsidRPr="002F6538">
              <w:rPr>
                <w:b/>
                <w:sz w:val="16"/>
                <w:szCs w:val="16"/>
              </w:rPr>
              <w:t>Used in a WoE approach as supporting study</w:t>
            </w:r>
          </w:p>
        </w:tc>
      </w:tr>
      <w:tr w:rsidR="00233E2A" w:rsidRPr="00DB7261" w14:paraId="2E325D81" w14:textId="77777777" w:rsidTr="0010403B">
        <w:tc>
          <w:tcPr>
            <w:tcW w:w="1553" w:type="dxa"/>
            <w:shd w:val="clear" w:color="auto" w:fill="auto"/>
          </w:tcPr>
          <w:p w14:paraId="73CF40F0" w14:textId="77777777" w:rsidR="00233E2A" w:rsidRPr="002F6538" w:rsidRDefault="00233E2A" w:rsidP="0010403B">
            <w:pPr>
              <w:rPr>
                <w:rFonts w:cs="Arial"/>
                <w:sz w:val="16"/>
                <w:szCs w:val="16"/>
                <w:lang w:eastAsia="en-GB"/>
              </w:rPr>
            </w:pPr>
            <w:r w:rsidRPr="002F6538">
              <w:rPr>
                <w:rFonts w:cs="Arial"/>
                <w:sz w:val="16"/>
                <w:szCs w:val="16"/>
                <w:lang w:eastAsia="en-GB"/>
              </w:rPr>
              <w:lastRenderedPageBreak/>
              <w:t>Human</w:t>
            </w:r>
          </w:p>
        </w:tc>
        <w:tc>
          <w:tcPr>
            <w:tcW w:w="1593" w:type="dxa"/>
            <w:shd w:val="clear" w:color="auto" w:fill="auto"/>
          </w:tcPr>
          <w:p w14:paraId="70FB1AB1" w14:textId="77777777" w:rsidR="00233E2A" w:rsidRPr="002F6538" w:rsidRDefault="00233E2A" w:rsidP="0010403B">
            <w:pPr>
              <w:rPr>
                <w:rFonts w:cs="Arial"/>
                <w:sz w:val="16"/>
                <w:szCs w:val="16"/>
                <w:lang w:eastAsia="en-GB"/>
              </w:rPr>
            </w:pPr>
            <w:r w:rsidRPr="002F6538">
              <w:rPr>
                <w:rFonts w:cs="Arial"/>
                <w:sz w:val="16"/>
                <w:szCs w:val="16"/>
                <w:lang w:eastAsia="en-GB"/>
              </w:rPr>
              <w:t>N/A</w:t>
            </w:r>
          </w:p>
        </w:tc>
        <w:tc>
          <w:tcPr>
            <w:tcW w:w="3358" w:type="dxa"/>
            <w:shd w:val="clear" w:color="auto" w:fill="auto"/>
          </w:tcPr>
          <w:p w14:paraId="6C3BDA88" w14:textId="77777777" w:rsidR="00233E2A" w:rsidRPr="002F6538" w:rsidRDefault="00233E2A" w:rsidP="0010403B">
            <w:pPr>
              <w:rPr>
                <w:rFonts w:cs="Arial"/>
                <w:sz w:val="16"/>
                <w:szCs w:val="16"/>
                <w:lang w:eastAsia="en-GB"/>
              </w:rPr>
            </w:pPr>
            <w:r w:rsidRPr="002F6538">
              <w:rPr>
                <w:rFonts w:cs="Arial"/>
                <w:sz w:val="16"/>
                <w:szCs w:val="16"/>
                <w:lang w:eastAsia="en-GB"/>
              </w:rPr>
              <w:t>Relevance of testicular dysgenesis syndrome for fertility effects</w:t>
            </w:r>
          </w:p>
        </w:tc>
        <w:tc>
          <w:tcPr>
            <w:tcW w:w="1146" w:type="dxa"/>
            <w:shd w:val="clear" w:color="auto" w:fill="auto"/>
          </w:tcPr>
          <w:p w14:paraId="4F3B7257" w14:textId="77777777" w:rsidR="00233E2A" w:rsidRPr="002F6538" w:rsidRDefault="00233E2A" w:rsidP="0010403B">
            <w:pPr>
              <w:rPr>
                <w:rFonts w:cs="Arial"/>
                <w:sz w:val="16"/>
                <w:szCs w:val="16"/>
                <w:lang w:eastAsia="en-GB"/>
              </w:rPr>
            </w:pPr>
            <w:r w:rsidRPr="002F6538">
              <w:rPr>
                <w:rFonts w:cs="Arial"/>
                <w:sz w:val="16"/>
                <w:szCs w:val="16"/>
                <w:lang w:eastAsia="en-GB"/>
              </w:rPr>
              <w:t>Article published</w:t>
            </w:r>
          </w:p>
        </w:tc>
        <w:tc>
          <w:tcPr>
            <w:tcW w:w="6524" w:type="dxa"/>
            <w:shd w:val="clear" w:color="auto" w:fill="auto"/>
          </w:tcPr>
          <w:p w14:paraId="369E52D7" w14:textId="77777777" w:rsidR="00233E2A" w:rsidRPr="002F6538" w:rsidRDefault="00233E2A" w:rsidP="0010403B">
            <w:pPr>
              <w:rPr>
                <w:rFonts w:cs="Arial"/>
                <w:sz w:val="16"/>
                <w:szCs w:val="16"/>
                <w:lang w:eastAsia="en-GB"/>
              </w:rPr>
            </w:pPr>
            <w:r w:rsidRPr="002F6538">
              <w:rPr>
                <w:rFonts w:cs="Arial"/>
                <w:sz w:val="16"/>
                <w:szCs w:val="16"/>
                <w:lang w:eastAsia="en-GB"/>
              </w:rPr>
              <w:t>Akre O</w:t>
            </w:r>
            <w:r>
              <w:rPr>
                <w:rFonts w:cs="Arial"/>
                <w:sz w:val="16"/>
                <w:szCs w:val="16"/>
                <w:lang w:eastAsia="en-GB"/>
              </w:rPr>
              <w:t>. &amp;</w:t>
            </w:r>
            <w:r w:rsidRPr="002F6538">
              <w:rPr>
                <w:rFonts w:cs="Arial"/>
                <w:sz w:val="16"/>
                <w:szCs w:val="16"/>
                <w:lang w:eastAsia="en-GB"/>
              </w:rPr>
              <w:t xml:space="preserve"> Richiardi L., </w:t>
            </w:r>
            <w:r w:rsidRPr="002F6538">
              <w:rPr>
                <w:rFonts w:cs="Arial"/>
                <w:i/>
                <w:sz w:val="16"/>
                <w:szCs w:val="16"/>
                <w:lang w:eastAsia="en-GB"/>
              </w:rPr>
              <w:t>Does a testicular dysgenesis syndrome exists?</w:t>
            </w:r>
            <w:r w:rsidRPr="002F6538">
              <w:rPr>
                <w:rFonts w:cs="Arial"/>
                <w:sz w:val="16"/>
                <w:szCs w:val="16"/>
                <w:lang w:eastAsia="en-GB"/>
              </w:rPr>
              <w:t xml:space="preserve"> Human Reproduction, 2009, 24(9):2053-2060</w:t>
            </w:r>
          </w:p>
          <w:p w14:paraId="72DCD6C6" w14:textId="77777777" w:rsidR="00233E2A" w:rsidRPr="002F6538" w:rsidRDefault="00233E2A" w:rsidP="0010403B">
            <w:pPr>
              <w:rPr>
                <w:rFonts w:cs="Arial"/>
                <w:sz w:val="16"/>
                <w:szCs w:val="16"/>
                <w:lang w:eastAsia="en-GB"/>
              </w:rPr>
            </w:pPr>
          </w:p>
          <w:p w14:paraId="1D284D83" w14:textId="77777777" w:rsidR="00233E2A" w:rsidRPr="002F6538" w:rsidRDefault="00233E2A" w:rsidP="0010403B">
            <w:pPr>
              <w:rPr>
                <w:rFonts w:cs="Arial"/>
                <w:sz w:val="16"/>
                <w:szCs w:val="16"/>
                <w:lang w:eastAsia="en-GB"/>
              </w:rPr>
            </w:pPr>
            <w:r w:rsidRPr="002F6538">
              <w:rPr>
                <w:b/>
                <w:sz w:val="16"/>
                <w:szCs w:val="16"/>
              </w:rPr>
              <w:t>Used in a WoE approach as supporting study</w:t>
            </w:r>
          </w:p>
        </w:tc>
      </w:tr>
    </w:tbl>
    <w:p w14:paraId="5D39D934" w14:textId="77777777" w:rsidR="00233E2A" w:rsidRPr="00725510" w:rsidRDefault="00233E2A" w:rsidP="00233E2A">
      <w:pPr>
        <w:spacing w:after="200" w:line="276" w:lineRule="auto"/>
        <w:rPr>
          <w:rFonts w:ascii="Verdana" w:hAnsi="Verdana"/>
          <w:i/>
          <w:sz w:val="18"/>
          <w:szCs w:val="18"/>
        </w:rPr>
      </w:pPr>
    </w:p>
    <w:p w14:paraId="0F4E9AB4" w14:textId="77777777" w:rsidR="00233E2A" w:rsidRDefault="00233E2A" w:rsidP="00233E2A"/>
    <w:p w14:paraId="559193B3" w14:textId="77777777" w:rsidR="00233E2A" w:rsidRDefault="00233E2A" w:rsidP="00233E2A">
      <w:pPr>
        <w:rPr>
          <w:b/>
        </w:rPr>
      </w:pPr>
      <w:r>
        <w:rPr>
          <w:b/>
        </w:rPr>
        <w:br w:type="page"/>
      </w:r>
    </w:p>
    <w:p w14:paraId="4CDC2F97" w14:textId="77777777" w:rsidR="00233E2A" w:rsidRPr="00725510" w:rsidRDefault="00233E2A" w:rsidP="00233E2A">
      <w:pPr>
        <w:spacing w:after="200" w:line="276" w:lineRule="auto"/>
        <w:rPr>
          <w:rFonts w:ascii="Verdana" w:hAnsi="Verdana"/>
          <w:b/>
        </w:rPr>
      </w:pPr>
      <w:r w:rsidRPr="00725510">
        <w:rPr>
          <w:rFonts w:ascii="Verdana" w:hAnsi="Verdana"/>
          <w:b/>
        </w:rPr>
        <w:lastRenderedPageBreak/>
        <w:t>SECTION 4</w:t>
      </w:r>
    </w:p>
    <w:p w14:paraId="361A8D78" w14:textId="0FC652F0" w:rsidR="00233E2A" w:rsidRPr="00725510" w:rsidRDefault="00233E2A" w:rsidP="00233E2A">
      <w:pPr>
        <w:spacing w:after="200" w:line="276" w:lineRule="auto"/>
        <w:rPr>
          <w:rFonts w:ascii="Verdana" w:hAnsi="Verdana"/>
          <w:b/>
        </w:rPr>
      </w:pPr>
      <w:r w:rsidRPr="00725510">
        <w:rPr>
          <w:rFonts w:ascii="Verdana" w:hAnsi="Verdana"/>
          <w:b/>
        </w:rPr>
        <w:t xml:space="preserve">Integration </w:t>
      </w:r>
      <w:r w:rsidR="002B1CE8">
        <w:rPr>
          <w:rFonts w:ascii="Verdana" w:hAnsi="Verdana"/>
          <w:b/>
        </w:rPr>
        <w:t xml:space="preserve">and </w:t>
      </w:r>
      <w:r w:rsidRPr="00725510">
        <w:rPr>
          <w:rFonts w:ascii="Verdana" w:hAnsi="Verdana"/>
          <w:b/>
        </w:rPr>
        <w:t>weighing of evidence</w:t>
      </w:r>
      <w:r w:rsidR="002B1CE8">
        <w:rPr>
          <w:rFonts w:ascii="Verdana" w:hAnsi="Verdana"/>
          <w:b/>
        </w:rPr>
        <w:t xml:space="preserve"> (WoE analysis) &amp; Application of levels of confidence</w:t>
      </w:r>
    </w:p>
    <w:p w14:paraId="33B217BA" w14:textId="77777777" w:rsidR="00233E2A" w:rsidRPr="00D369B9" w:rsidRDefault="00233E2A" w:rsidP="00233E2A">
      <w:pPr>
        <w:spacing w:after="200" w:line="276" w:lineRule="auto"/>
        <w:rPr>
          <w:rFonts w:ascii="Verdana" w:eastAsia="Calibri" w:hAnsi="Verdana"/>
          <w:sz w:val="20"/>
          <w:szCs w:val="20"/>
        </w:rPr>
      </w:pPr>
      <w:r w:rsidRPr="00D369B9">
        <w:rPr>
          <w:rFonts w:ascii="Verdana" w:eastAsia="Calibri" w:hAnsi="Verdana"/>
          <w:sz w:val="20"/>
          <w:szCs w:val="20"/>
        </w:rPr>
        <w:t xml:space="preserve">The hypothesised mode of </w:t>
      </w:r>
      <w:r>
        <w:rPr>
          <w:rFonts w:ascii="Verdana" w:eastAsia="Calibri" w:hAnsi="Verdana"/>
          <w:sz w:val="20"/>
          <w:szCs w:val="20"/>
        </w:rPr>
        <w:t>action as presented in Section 1</w:t>
      </w:r>
      <w:r w:rsidRPr="00D369B9">
        <w:rPr>
          <w:rFonts w:ascii="Verdana" w:eastAsia="Calibri" w:hAnsi="Verdana"/>
          <w:sz w:val="20"/>
          <w:szCs w:val="20"/>
        </w:rPr>
        <w:t xml:space="preserve"> above consists of six main key events. All the key events that are listed for the hypothesised mode of action need to be measurable, and are considered essential for the establishment of plausibility and human relevance.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8080"/>
      </w:tblGrid>
      <w:tr w:rsidR="00233E2A" w:rsidRPr="002F6538" w14:paraId="1BC91214" w14:textId="77777777" w:rsidTr="0010403B">
        <w:tc>
          <w:tcPr>
            <w:tcW w:w="3085" w:type="dxa"/>
            <w:shd w:val="clear" w:color="auto" w:fill="auto"/>
          </w:tcPr>
          <w:p w14:paraId="5244F9F5" w14:textId="77777777" w:rsidR="00233E2A" w:rsidRPr="002F6538" w:rsidRDefault="00233E2A" w:rsidP="0010403B">
            <w:pPr>
              <w:rPr>
                <w:rFonts w:ascii="Calibri" w:eastAsia="Calibri" w:hAnsi="Calibri"/>
                <w:b/>
                <w:i/>
              </w:rPr>
            </w:pPr>
            <w:r w:rsidRPr="002F6538">
              <w:rPr>
                <w:rFonts w:ascii="Calibri" w:eastAsia="Calibri" w:hAnsi="Calibri"/>
                <w:b/>
                <w:i/>
              </w:rPr>
              <w:t>Key Event 1</w:t>
            </w:r>
          </w:p>
          <w:p w14:paraId="3B361F78" w14:textId="77777777" w:rsidR="00233E2A" w:rsidRPr="002F6538" w:rsidRDefault="00233E2A" w:rsidP="0010403B">
            <w:pPr>
              <w:rPr>
                <w:rFonts w:ascii="Calibri" w:eastAsia="Calibri" w:hAnsi="Calibri"/>
                <w:b/>
                <w:i/>
              </w:rPr>
            </w:pPr>
          </w:p>
        </w:tc>
        <w:tc>
          <w:tcPr>
            <w:tcW w:w="8080" w:type="dxa"/>
            <w:shd w:val="clear" w:color="auto" w:fill="auto"/>
          </w:tcPr>
          <w:p w14:paraId="266214EA" w14:textId="77777777" w:rsidR="00233E2A" w:rsidRPr="002F6538" w:rsidRDefault="00233E2A" w:rsidP="0010403B">
            <w:pPr>
              <w:rPr>
                <w:rFonts w:ascii="Calibri" w:eastAsia="Calibri" w:hAnsi="Calibri"/>
                <w:b/>
                <w:color w:val="000000"/>
              </w:rPr>
            </w:pPr>
            <w:r w:rsidRPr="002F6538">
              <w:rPr>
                <w:rFonts w:ascii="Calibri" w:eastAsia="Calibri" w:hAnsi="Calibri"/>
                <w:b/>
                <w:color w:val="000000"/>
              </w:rPr>
              <w:t>Metabolism of DCHP to MCHP</w:t>
            </w:r>
          </w:p>
        </w:tc>
      </w:tr>
      <w:tr w:rsidR="00233E2A" w:rsidRPr="002F6538" w14:paraId="6FC9CF29" w14:textId="77777777" w:rsidTr="0010403B">
        <w:tc>
          <w:tcPr>
            <w:tcW w:w="3085" w:type="dxa"/>
            <w:shd w:val="clear" w:color="auto" w:fill="auto"/>
          </w:tcPr>
          <w:p w14:paraId="0BC73E2B" w14:textId="77777777" w:rsidR="00233E2A" w:rsidRPr="002F6538" w:rsidRDefault="00233E2A" w:rsidP="0010403B">
            <w:pPr>
              <w:rPr>
                <w:rFonts w:ascii="Calibri" w:eastAsia="Calibri" w:hAnsi="Calibri"/>
                <w:b/>
                <w:i/>
              </w:rPr>
            </w:pPr>
            <w:r w:rsidRPr="002F6538">
              <w:rPr>
                <w:rFonts w:ascii="Calibri" w:eastAsia="Calibri" w:hAnsi="Calibri"/>
                <w:b/>
                <w:i/>
              </w:rPr>
              <w:t>Key Event 2</w:t>
            </w:r>
          </w:p>
          <w:p w14:paraId="75A8B43C" w14:textId="77777777" w:rsidR="00233E2A" w:rsidRPr="002F6538" w:rsidRDefault="00233E2A" w:rsidP="0010403B">
            <w:pPr>
              <w:rPr>
                <w:rFonts w:ascii="Calibri" w:eastAsia="Calibri" w:hAnsi="Calibri"/>
                <w:b/>
                <w:i/>
              </w:rPr>
            </w:pPr>
          </w:p>
        </w:tc>
        <w:tc>
          <w:tcPr>
            <w:tcW w:w="8080" w:type="dxa"/>
            <w:shd w:val="clear" w:color="auto" w:fill="auto"/>
          </w:tcPr>
          <w:p w14:paraId="64175FF9" w14:textId="77777777" w:rsidR="00233E2A" w:rsidRPr="002F6538" w:rsidRDefault="00233E2A" w:rsidP="0010403B">
            <w:pPr>
              <w:rPr>
                <w:rFonts w:ascii="Calibri" w:eastAsia="Calibri" w:hAnsi="Calibri"/>
                <w:b/>
                <w:color w:val="000000"/>
              </w:rPr>
            </w:pPr>
            <w:r w:rsidRPr="002F6538">
              <w:rPr>
                <w:rFonts w:ascii="Calibri" w:eastAsia="Calibri" w:hAnsi="Calibri"/>
                <w:b/>
                <w:color w:val="000000"/>
              </w:rPr>
              <w:t>Placenta Transfer</w:t>
            </w:r>
          </w:p>
        </w:tc>
      </w:tr>
      <w:tr w:rsidR="00233E2A" w:rsidRPr="002F6538" w14:paraId="08BD7477" w14:textId="77777777" w:rsidTr="0010403B">
        <w:tc>
          <w:tcPr>
            <w:tcW w:w="3085" w:type="dxa"/>
            <w:shd w:val="clear" w:color="auto" w:fill="auto"/>
          </w:tcPr>
          <w:p w14:paraId="2C1D53D4" w14:textId="77777777" w:rsidR="00233E2A" w:rsidRPr="002F6538" w:rsidRDefault="00233E2A" w:rsidP="0010403B">
            <w:pPr>
              <w:rPr>
                <w:rFonts w:ascii="Calibri" w:eastAsia="Calibri" w:hAnsi="Calibri"/>
                <w:b/>
                <w:i/>
              </w:rPr>
            </w:pPr>
            <w:r w:rsidRPr="002F6538">
              <w:rPr>
                <w:rFonts w:ascii="Calibri" w:eastAsia="Calibri" w:hAnsi="Calibri"/>
                <w:b/>
                <w:i/>
              </w:rPr>
              <w:t>Key Event 3</w:t>
            </w:r>
          </w:p>
          <w:p w14:paraId="7C25B046" w14:textId="77777777" w:rsidR="00233E2A" w:rsidRPr="002F6538" w:rsidRDefault="00233E2A" w:rsidP="0010403B">
            <w:pPr>
              <w:rPr>
                <w:rFonts w:ascii="Calibri" w:eastAsia="Calibri" w:hAnsi="Calibri"/>
                <w:b/>
                <w:i/>
              </w:rPr>
            </w:pPr>
          </w:p>
        </w:tc>
        <w:tc>
          <w:tcPr>
            <w:tcW w:w="8080" w:type="dxa"/>
            <w:shd w:val="clear" w:color="auto" w:fill="auto"/>
          </w:tcPr>
          <w:p w14:paraId="4CE8597A" w14:textId="77777777" w:rsidR="00233E2A" w:rsidRPr="002F6538" w:rsidRDefault="00233E2A" w:rsidP="0010403B">
            <w:pPr>
              <w:rPr>
                <w:rFonts w:ascii="Calibri" w:eastAsia="Calibri" w:hAnsi="Calibri"/>
                <w:color w:val="1F497D"/>
              </w:rPr>
            </w:pPr>
            <w:r w:rsidRPr="002F6538">
              <w:rPr>
                <w:rFonts w:ascii="Calibri" w:eastAsia="Calibri" w:hAnsi="Calibri"/>
                <w:b/>
                <w:color w:val="000000"/>
              </w:rPr>
              <w:t xml:space="preserve">Early Leydig and Sertoli cells function alterations </w:t>
            </w:r>
            <w:r w:rsidRPr="005A120C">
              <w:rPr>
                <w:rFonts w:ascii="Calibri" w:eastAsia="Calibri" w:hAnsi="Calibri"/>
                <w:b/>
                <w:i/>
                <w:color w:val="000000"/>
              </w:rPr>
              <w:t>in utero</w:t>
            </w:r>
          </w:p>
        </w:tc>
      </w:tr>
      <w:tr w:rsidR="00233E2A" w:rsidRPr="002F6538" w14:paraId="60F5CCE3" w14:textId="77777777" w:rsidTr="0010403B">
        <w:trPr>
          <w:trHeight w:val="339"/>
        </w:trPr>
        <w:tc>
          <w:tcPr>
            <w:tcW w:w="3085" w:type="dxa"/>
            <w:shd w:val="clear" w:color="auto" w:fill="auto"/>
          </w:tcPr>
          <w:p w14:paraId="6729B638" w14:textId="77777777" w:rsidR="00233E2A" w:rsidRPr="002F6538" w:rsidRDefault="00233E2A" w:rsidP="0010403B">
            <w:pPr>
              <w:rPr>
                <w:rFonts w:ascii="Calibri" w:eastAsia="Calibri" w:hAnsi="Calibri"/>
                <w:b/>
                <w:i/>
              </w:rPr>
            </w:pPr>
            <w:r w:rsidRPr="002F6538">
              <w:rPr>
                <w:rFonts w:ascii="Calibri" w:eastAsia="Calibri" w:hAnsi="Calibri"/>
                <w:b/>
                <w:i/>
              </w:rPr>
              <w:t>Key Event 4</w:t>
            </w:r>
          </w:p>
          <w:p w14:paraId="46407D00" w14:textId="77777777" w:rsidR="00233E2A" w:rsidRPr="002F6538" w:rsidRDefault="00233E2A" w:rsidP="0010403B">
            <w:pPr>
              <w:rPr>
                <w:rFonts w:ascii="Calibri" w:eastAsia="Calibri" w:hAnsi="Calibri"/>
                <w:b/>
                <w:i/>
              </w:rPr>
            </w:pPr>
          </w:p>
        </w:tc>
        <w:tc>
          <w:tcPr>
            <w:tcW w:w="8080" w:type="dxa"/>
            <w:shd w:val="clear" w:color="auto" w:fill="auto"/>
          </w:tcPr>
          <w:p w14:paraId="3308501A" w14:textId="77777777" w:rsidR="00233E2A" w:rsidRPr="002F6538" w:rsidRDefault="00233E2A" w:rsidP="0010403B">
            <w:pPr>
              <w:rPr>
                <w:rFonts w:ascii="Calibri" w:eastAsia="Calibri" w:hAnsi="Calibri"/>
                <w:b/>
                <w:color w:val="000000"/>
              </w:rPr>
            </w:pPr>
            <w:r w:rsidRPr="002F6538">
              <w:rPr>
                <w:rFonts w:ascii="Calibri" w:eastAsia="Calibri" w:hAnsi="Calibri"/>
                <w:b/>
                <w:color w:val="000000"/>
              </w:rPr>
              <w:t>Hormonal changes (</w:t>
            </w:r>
            <w:r w:rsidRPr="002F6538">
              <w:rPr>
                <w:rFonts w:ascii="Calibri" w:eastAsia="Calibri" w:hAnsi="Calibri"/>
                <w:color w:val="000000"/>
              </w:rPr>
              <w:t>Fetal testosterone levels decrease</w:t>
            </w:r>
            <w:r w:rsidRPr="002F6538">
              <w:rPr>
                <w:rFonts w:ascii="Calibri" w:eastAsia="Calibri" w:hAnsi="Calibri"/>
                <w:b/>
                <w:color w:val="000000"/>
              </w:rPr>
              <w:t>)</w:t>
            </w:r>
          </w:p>
        </w:tc>
      </w:tr>
      <w:tr w:rsidR="00233E2A" w:rsidRPr="002F6538" w14:paraId="04FC1A96" w14:textId="77777777" w:rsidTr="0010403B">
        <w:tc>
          <w:tcPr>
            <w:tcW w:w="3085" w:type="dxa"/>
            <w:shd w:val="clear" w:color="auto" w:fill="auto"/>
          </w:tcPr>
          <w:p w14:paraId="50C1F954" w14:textId="77777777" w:rsidR="00233E2A" w:rsidRPr="002F6538" w:rsidRDefault="00233E2A" w:rsidP="0010403B">
            <w:pPr>
              <w:rPr>
                <w:rFonts w:ascii="Calibri" w:eastAsia="Calibri" w:hAnsi="Calibri"/>
                <w:b/>
                <w:i/>
              </w:rPr>
            </w:pPr>
            <w:r w:rsidRPr="002F6538">
              <w:rPr>
                <w:rFonts w:ascii="Calibri" w:eastAsia="Calibri" w:hAnsi="Calibri"/>
                <w:b/>
                <w:i/>
              </w:rPr>
              <w:t>Key Event 5*</w:t>
            </w:r>
          </w:p>
        </w:tc>
        <w:tc>
          <w:tcPr>
            <w:tcW w:w="8080" w:type="dxa"/>
            <w:shd w:val="clear" w:color="auto" w:fill="auto"/>
          </w:tcPr>
          <w:p w14:paraId="3C86F5B1" w14:textId="77777777" w:rsidR="00233E2A" w:rsidRPr="002F6538" w:rsidRDefault="00233E2A" w:rsidP="0010403B">
            <w:pPr>
              <w:rPr>
                <w:rFonts w:ascii="Calibri" w:eastAsia="Calibri" w:hAnsi="Calibri"/>
                <w:b/>
                <w:color w:val="000000"/>
              </w:rPr>
            </w:pPr>
            <w:r w:rsidRPr="002F6538">
              <w:rPr>
                <w:rFonts w:ascii="Calibri" w:eastAsia="Calibri" w:hAnsi="Calibri"/>
                <w:b/>
                <w:color w:val="000000"/>
              </w:rPr>
              <w:t>Male Reproductive system irreversible damage</w:t>
            </w:r>
          </w:p>
          <w:p w14:paraId="208C498A" w14:textId="77777777" w:rsidR="00233E2A" w:rsidRPr="002F6538" w:rsidRDefault="00233E2A" w:rsidP="0010403B">
            <w:pPr>
              <w:rPr>
                <w:rFonts w:ascii="Calibri" w:eastAsia="Calibri" w:hAnsi="Calibri"/>
                <w:color w:val="000000"/>
              </w:rPr>
            </w:pPr>
            <w:r w:rsidRPr="002F6538">
              <w:rPr>
                <w:rFonts w:ascii="Calibri" w:eastAsia="Calibri" w:hAnsi="Calibri"/>
                <w:color w:val="000000"/>
              </w:rPr>
              <w:t>(Testicular effects, Prostate effects, Sperm effects, AGD decrease, Hypospadias)</w:t>
            </w:r>
          </w:p>
          <w:p w14:paraId="40EDFC7D" w14:textId="77777777" w:rsidR="00233E2A" w:rsidRPr="002F6538" w:rsidRDefault="00233E2A" w:rsidP="0010403B">
            <w:pPr>
              <w:rPr>
                <w:rFonts w:ascii="Calibri" w:eastAsia="Calibri" w:hAnsi="Calibri"/>
                <w:b/>
                <w:color w:val="000000"/>
              </w:rPr>
            </w:pPr>
          </w:p>
        </w:tc>
      </w:tr>
      <w:tr w:rsidR="00233E2A" w:rsidRPr="002F6538" w14:paraId="1DA1541C" w14:textId="77777777" w:rsidTr="0010403B">
        <w:tc>
          <w:tcPr>
            <w:tcW w:w="3085" w:type="dxa"/>
            <w:shd w:val="clear" w:color="auto" w:fill="auto"/>
          </w:tcPr>
          <w:p w14:paraId="5694916E" w14:textId="77777777" w:rsidR="00233E2A" w:rsidRPr="002F6538" w:rsidRDefault="00233E2A" w:rsidP="0010403B">
            <w:pPr>
              <w:rPr>
                <w:rFonts w:ascii="Calibri" w:eastAsia="Calibri" w:hAnsi="Calibri"/>
                <w:b/>
                <w:i/>
              </w:rPr>
            </w:pPr>
            <w:r w:rsidRPr="002F6538">
              <w:rPr>
                <w:rFonts w:ascii="Calibri" w:eastAsia="Calibri" w:hAnsi="Calibri"/>
                <w:b/>
                <w:i/>
              </w:rPr>
              <w:t>Key Event 6**</w:t>
            </w:r>
          </w:p>
          <w:p w14:paraId="1C9C17DB" w14:textId="77777777" w:rsidR="00233E2A" w:rsidRPr="002F6538" w:rsidRDefault="00233E2A" w:rsidP="0010403B">
            <w:pPr>
              <w:rPr>
                <w:rFonts w:ascii="Calibri" w:eastAsia="Calibri" w:hAnsi="Calibri"/>
                <w:b/>
                <w:i/>
              </w:rPr>
            </w:pPr>
          </w:p>
        </w:tc>
        <w:tc>
          <w:tcPr>
            <w:tcW w:w="8080" w:type="dxa"/>
            <w:shd w:val="clear" w:color="auto" w:fill="auto"/>
          </w:tcPr>
          <w:p w14:paraId="2B4BFFCE" w14:textId="77777777" w:rsidR="00233E2A" w:rsidRPr="002F6538" w:rsidRDefault="00233E2A" w:rsidP="0010403B">
            <w:pPr>
              <w:rPr>
                <w:rFonts w:ascii="Calibri" w:eastAsia="Calibri" w:hAnsi="Calibri"/>
                <w:b/>
                <w:color w:val="000000"/>
              </w:rPr>
            </w:pPr>
            <w:r w:rsidRPr="002F6538">
              <w:rPr>
                <w:rFonts w:ascii="Calibri" w:eastAsia="Calibri" w:hAnsi="Calibri"/>
                <w:b/>
                <w:color w:val="000000"/>
              </w:rPr>
              <w:t>Male impaired Fertility</w:t>
            </w:r>
          </w:p>
        </w:tc>
      </w:tr>
    </w:tbl>
    <w:p w14:paraId="51247A95" w14:textId="77777777" w:rsidR="00233E2A" w:rsidRPr="00182E69" w:rsidRDefault="00233E2A" w:rsidP="00233E2A">
      <w:pPr>
        <w:spacing w:after="200" w:line="276" w:lineRule="auto"/>
        <w:jc w:val="both"/>
        <w:rPr>
          <w:rFonts w:eastAsia="Calibri"/>
          <w:i/>
        </w:rPr>
      </w:pPr>
    </w:p>
    <w:p w14:paraId="7F7F79BF" w14:textId="77777777" w:rsidR="00233E2A" w:rsidRPr="00182E69" w:rsidRDefault="00233E2A" w:rsidP="00233E2A">
      <w:pPr>
        <w:spacing w:after="200" w:line="276" w:lineRule="auto"/>
        <w:jc w:val="both"/>
        <w:rPr>
          <w:rFonts w:eastAsia="Calibri"/>
        </w:rPr>
      </w:pPr>
      <w:r w:rsidRPr="00182E69">
        <w:rPr>
          <w:rFonts w:eastAsia="Calibri"/>
        </w:rPr>
        <w:lastRenderedPageBreak/>
        <w:t>*For the Key event 5, a number of distinct effects described in the studies available, are grouped together under the general title “male reproductive system irreversible damage”</w:t>
      </w:r>
    </w:p>
    <w:p w14:paraId="586E8980" w14:textId="77777777" w:rsidR="00233E2A" w:rsidRPr="00182E69" w:rsidRDefault="00233E2A" w:rsidP="00233E2A">
      <w:pPr>
        <w:spacing w:after="200" w:line="276" w:lineRule="auto"/>
        <w:jc w:val="both"/>
        <w:rPr>
          <w:rFonts w:eastAsia="Calibri"/>
        </w:rPr>
      </w:pPr>
      <w:r w:rsidRPr="00182E69">
        <w:rPr>
          <w:rFonts w:eastAsia="Calibri"/>
        </w:rPr>
        <w:t>**The key event 6, includes effects related to semen quality and the finding of hypospadias and AGD decrease in experimental species with expected adverse effects in humans regarding infertility(as part of the testicular dysgenesis syndrome) .</w:t>
      </w:r>
    </w:p>
    <w:p w14:paraId="239DC9BF" w14:textId="77777777" w:rsidR="00233E2A" w:rsidRDefault="00233E2A" w:rsidP="00233E2A">
      <w:pPr>
        <w:rPr>
          <w:b/>
        </w:rPr>
      </w:pPr>
    </w:p>
    <w:p w14:paraId="77515A7B" w14:textId="77777777" w:rsidR="00233E2A" w:rsidRDefault="00233E2A" w:rsidP="00233E2A">
      <w:pPr>
        <w:pStyle w:val="ListParagraph"/>
        <w:numPr>
          <w:ilvl w:val="0"/>
          <w:numId w:val="41"/>
        </w:numPr>
        <w:rPr>
          <w:b/>
        </w:rPr>
      </w:pPr>
      <w:r w:rsidRPr="000D405C">
        <w:rPr>
          <w:b/>
        </w:rPr>
        <w:t>Dose Response Relationships and Temporal Association</w:t>
      </w:r>
    </w:p>
    <w:p w14:paraId="0709266F" w14:textId="77777777" w:rsidR="00233E2A" w:rsidRPr="000D405C" w:rsidRDefault="00233E2A" w:rsidP="00233E2A">
      <w:pPr>
        <w:pStyle w:val="ListParagraph"/>
        <w:rPr>
          <w:b/>
        </w:rPr>
      </w:pPr>
    </w:p>
    <w:p w14:paraId="05142CA5" w14:textId="77777777" w:rsidR="00233E2A" w:rsidRPr="00D369B9" w:rsidRDefault="00233E2A" w:rsidP="00233E2A">
      <w:pPr>
        <w:rPr>
          <w:rFonts w:ascii="Verdana" w:hAnsi="Verdana"/>
          <w:sz w:val="20"/>
          <w:szCs w:val="20"/>
        </w:rPr>
      </w:pPr>
      <w:r w:rsidRPr="00D369B9">
        <w:rPr>
          <w:rFonts w:ascii="Verdana" w:hAnsi="Verdana"/>
          <w:sz w:val="20"/>
          <w:szCs w:val="20"/>
        </w:rPr>
        <w:t>The following table and figure summarise dose response elements from the available data, where it was possible to provide association of the key events with dose response, and temporal association. As the information comes from six different studies, the potency of effects observed indicated with “+” is relative indicating the occurrence of an effect and the severity (not necessarily exactly double or three times higher than the control); the effects reported in this table represent effects that are statistically significant when compared to the control groups.</w:t>
      </w:r>
    </w:p>
    <w:p w14:paraId="720171E2" w14:textId="77777777" w:rsidR="00233E2A" w:rsidRPr="00D369B9" w:rsidRDefault="00233E2A" w:rsidP="00233E2A">
      <w:pPr>
        <w:jc w:val="both"/>
        <w:rPr>
          <w:rFonts w:ascii="Verdana" w:hAnsi="Verdana"/>
          <w:sz w:val="20"/>
          <w:szCs w:val="20"/>
        </w:rPr>
      </w:pPr>
      <w:r w:rsidRPr="00D369B9">
        <w:rPr>
          <w:rFonts w:ascii="Verdana" w:hAnsi="Verdana"/>
          <w:b/>
          <w:i/>
          <w:sz w:val="20"/>
          <w:szCs w:val="20"/>
        </w:rPr>
        <w:t>Dose response relationship</w:t>
      </w:r>
      <w:r w:rsidRPr="00D369B9">
        <w:rPr>
          <w:rFonts w:ascii="Verdana" w:hAnsi="Verdana"/>
          <w:i/>
          <w:sz w:val="20"/>
          <w:szCs w:val="20"/>
        </w:rPr>
        <w:t xml:space="preserve">: </w:t>
      </w:r>
      <w:r w:rsidRPr="00D369B9">
        <w:rPr>
          <w:rFonts w:ascii="Verdana" w:hAnsi="Verdana"/>
          <w:sz w:val="20"/>
          <w:szCs w:val="20"/>
        </w:rPr>
        <w:t>The key events (Key events 3-5) are observed at doses below or similar to those associated with the (adverse) effect. In some case, as the results are from three different studies, not the same parameters have been examined, and therefore information only on one or two key events may be available.</w:t>
      </w:r>
    </w:p>
    <w:p w14:paraId="3C7AD0EE" w14:textId="77777777" w:rsidR="00233E2A" w:rsidRPr="00D369B9" w:rsidRDefault="00233E2A" w:rsidP="00233E2A">
      <w:pPr>
        <w:jc w:val="both"/>
        <w:rPr>
          <w:rFonts w:ascii="Verdana" w:hAnsi="Verdana"/>
          <w:sz w:val="20"/>
          <w:szCs w:val="20"/>
        </w:rPr>
      </w:pPr>
      <w:r w:rsidRPr="00D369B9">
        <w:rPr>
          <w:rFonts w:ascii="Verdana" w:hAnsi="Verdana"/>
          <w:b/>
          <w:i/>
          <w:sz w:val="20"/>
          <w:szCs w:val="20"/>
        </w:rPr>
        <w:t>Temporal association</w:t>
      </w:r>
      <w:r w:rsidRPr="00D369B9">
        <w:rPr>
          <w:rFonts w:ascii="Verdana" w:hAnsi="Verdana"/>
          <w:i/>
          <w:sz w:val="20"/>
          <w:szCs w:val="20"/>
        </w:rPr>
        <w:t xml:space="preserve">: </w:t>
      </w:r>
      <w:r w:rsidRPr="00D369B9">
        <w:rPr>
          <w:rFonts w:ascii="Verdana" w:hAnsi="Verdana"/>
          <w:sz w:val="20"/>
          <w:szCs w:val="20"/>
        </w:rPr>
        <w:t xml:space="preserve">The key events are presented in hypothesised order, starting with effects occurring at fetal stage during </w:t>
      </w:r>
      <w:r w:rsidRPr="00D369B9">
        <w:rPr>
          <w:rFonts w:ascii="Verdana" w:hAnsi="Verdana"/>
          <w:i/>
          <w:sz w:val="20"/>
          <w:szCs w:val="20"/>
        </w:rPr>
        <w:t>in utero</w:t>
      </w:r>
      <w:r w:rsidRPr="00D369B9">
        <w:rPr>
          <w:rFonts w:ascii="Verdana" w:hAnsi="Verdana"/>
          <w:sz w:val="20"/>
          <w:szCs w:val="20"/>
        </w:rPr>
        <w:t xml:space="preserve"> exposure and continuing manifestation at prepubertal, pubertal and adult stage even without continuation of exposure to the substance after delivery. </w:t>
      </w:r>
    </w:p>
    <w:p w14:paraId="4EAE0E9B" w14:textId="77777777" w:rsidR="00233E2A" w:rsidRPr="00D369B9" w:rsidRDefault="00233E2A" w:rsidP="00233E2A">
      <w:pPr>
        <w:pStyle w:val="BodyText"/>
      </w:pPr>
      <w:r w:rsidRPr="00D369B9">
        <w:t xml:space="preserve">The information from the dose response and temporal association is supportive to the fact that the key events (3-5) occur according to the hypothesised order (from earlier to latest key event) in a dose response manner and are irreversible. The information available indicate good quantitative concordance for the experimental species (rat). This information is further used in </w:t>
      </w:r>
      <w:r>
        <w:t xml:space="preserve">part </w:t>
      </w:r>
      <w:r w:rsidRPr="00D369B9">
        <w:t xml:space="preserve">c </w:t>
      </w:r>
      <w:r>
        <w:t>further below</w:t>
      </w:r>
      <w:r w:rsidRPr="00D369B9">
        <w:t>.</w:t>
      </w:r>
    </w:p>
    <w:p w14:paraId="0673297A" w14:textId="77777777" w:rsidR="00233E2A" w:rsidRPr="00D369B9" w:rsidRDefault="00233E2A" w:rsidP="00233E2A">
      <w:pPr>
        <w:rPr>
          <w:rFonts w:ascii="Verdana" w:hAnsi="Verdana"/>
          <w:sz w:val="20"/>
          <w:szCs w:val="20"/>
          <w:lang w:val="da-DK"/>
        </w:rPr>
      </w:pPr>
      <w:r w:rsidRPr="00D369B9">
        <w:rPr>
          <w:rFonts w:ascii="Verdana" w:hAnsi="Verdana"/>
          <w:sz w:val="20"/>
          <w:szCs w:val="20"/>
        </w:rPr>
        <w:br w:type="page"/>
      </w:r>
    </w:p>
    <w:tbl>
      <w:tblPr>
        <w:tblW w:w="1442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751"/>
        <w:gridCol w:w="1550"/>
        <w:gridCol w:w="1692"/>
        <w:gridCol w:w="1584"/>
        <w:gridCol w:w="1154"/>
        <w:gridCol w:w="1134"/>
        <w:gridCol w:w="2268"/>
        <w:gridCol w:w="2268"/>
      </w:tblGrid>
      <w:tr w:rsidR="00233E2A" w:rsidRPr="002A040C" w14:paraId="22A9451C" w14:textId="77777777" w:rsidTr="0010403B">
        <w:trPr>
          <w:trHeight w:val="480"/>
        </w:trPr>
        <w:tc>
          <w:tcPr>
            <w:tcW w:w="1024" w:type="dxa"/>
            <w:tcBorders>
              <w:bottom w:val="single" w:sz="4" w:space="0" w:color="auto"/>
            </w:tcBorders>
            <w:shd w:val="clear" w:color="auto" w:fill="auto"/>
          </w:tcPr>
          <w:p w14:paraId="0B0AE6A5" w14:textId="77777777" w:rsidR="00233E2A" w:rsidRPr="002F6538" w:rsidRDefault="00233E2A" w:rsidP="0010403B">
            <w:pPr>
              <w:rPr>
                <w:sz w:val="16"/>
                <w:szCs w:val="16"/>
              </w:rPr>
            </w:pPr>
          </w:p>
        </w:tc>
        <w:tc>
          <w:tcPr>
            <w:tcW w:w="1751" w:type="dxa"/>
            <w:tcBorders>
              <w:bottom w:val="single" w:sz="4" w:space="0" w:color="auto"/>
            </w:tcBorders>
            <w:shd w:val="clear" w:color="auto" w:fill="auto"/>
          </w:tcPr>
          <w:p w14:paraId="3C3EF9B2" w14:textId="77777777" w:rsidR="00233E2A" w:rsidRPr="002F6538" w:rsidRDefault="00233E2A" w:rsidP="0010403B">
            <w:pPr>
              <w:rPr>
                <w:sz w:val="16"/>
                <w:szCs w:val="16"/>
              </w:rPr>
            </w:pPr>
            <w:r w:rsidRPr="002F6538">
              <w:rPr>
                <w:sz w:val="16"/>
                <w:szCs w:val="16"/>
              </w:rPr>
              <w:t>Key Event 3</w:t>
            </w:r>
          </w:p>
        </w:tc>
        <w:tc>
          <w:tcPr>
            <w:tcW w:w="1550" w:type="dxa"/>
            <w:tcBorders>
              <w:bottom w:val="single" w:sz="4" w:space="0" w:color="auto"/>
            </w:tcBorders>
            <w:shd w:val="clear" w:color="auto" w:fill="auto"/>
          </w:tcPr>
          <w:p w14:paraId="56FDEC84" w14:textId="77777777" w:rsidR="00233E2A" w:rsidRPr="002F6538" w:rsidRDefault="00233E2A" w:rsidP="0010403B">
            <w:pPr>
              <w:rPr>
                <w:sz w:val="16"/>
                <w:szCs w:val="16"/>
              </w:rPr>
            </w:pPr>
            <w:r w:rsidRPr="002F6538">
              <w:rPr>
                <w:sz w:val="16"/>
                <w:szCs w:val="16"/>
              </w:rPr>
              <w:t>Key Event 4</w:t>
            </w:r>
          </w:p>
        </w:tc>
        <w:tc>
          <w:tcPr>
            <w:tcW w:w="1692" w:type="dxa"/>
            <w:tcBorders>
              <w:bottom w:val="single" w:sz="4" w:space="0" w:color="auto"/>
            </w:tcBorders>
            <w:shd w:val="clear" w:color="auto" w:fill="auto"/>
          </w:tcPr>
          <w:p w14:paraId="66676F66" w14:textId="77777777" w:rsidR="00233E2A" w:rsidRPr="002F6538" w:rsidRDefault="00233E2A" w:rsidP="0010403B">
            <w:pPr>
              <w:rPr>
                <w:sz w:val="16"/>
                <w:szCs w:val="16"/>
              </w:rPr>
            </w:pPr>
            <w:r w:rsidRPr="002F6538">
              <w:rPr>
                <w:sz w:val="16"/>
                <w:szCs w:val="16"/>
              </w:rPr>
              <w:t>Key Event 5</w:t>
            </w:r>
          </w:p>
        </w:tc>
        <w:tc>
          <w:tcPr>
            <w:tcW w:w="1584" w:type="dxa"/>
            <w:tcBorders>
              <w:bottom w:val="single" w:sz="4" w:space="0" w:color="auto"/>
            </w:tcBorders>
            <w:shd w:val="clear" w:color="auto" w:fill="auto"/>
          </w:tcPr>
          <w:p w14:paraId="29298807" w14:textId="77777777" w:rsidR="00233E2A" w:rsidRPr="002F6538" w:rsidRDefault="00233E2A" w:rsidP="0010403B">
            <w:pPr>
              <w:rPr>
                <w:sz w:val="16"/>
                <w:szCs w:val="16"/>
              </w:rPr>
            </w:pPr>
            <w:r w:rsidRPr="002F6538">
              <w:rPr>
                <w:sz w:val="16"/>
                <w:szCs w:val="16"/>
              </w:rPr>
              <w:t>Key Event 5</w:t>
            </w:r>
          </w:p>
        </w:tc>
        <w:tc>
          <w:tcPr>
            <w:tcW w:w="1154" w:type="dxa"/>
            <w:tcBorders>
              <w:bottom w:val="single" w:sz="4" w:space="0" w:color="auto"/>
            </w:tcBorders>
            <w:shd w:val="clear" w:color="auto" w:fill="auto"/>
          </w:tcPr>
          <w:p w14:paraId="39544491" w14:textId="77777777" w:rsidR="00233E2A" w:rsidRPr="002F6538" w:rsidRDefault="00233E2A" w:rsidP="0010403B">
            <w:pPr>
              <w:rPr>
                <w:sz w:val="16"/>
                <w:szCs w:val="16"/>
              </w:rPr>
            </w:pPr>
            <w:r w:rsidRPr="002F6538">
              <w:rPr>
                <w:sz w:val="16"/>
                <w:szCs w:val="16"/>
              </w:rPr>
              <w:t>Key Event 5</w:t>
            </w:r>
          </w:p>
        </w:tc>
        <w:tc>
          <w:tcPr>
            <w:tcW w:w="1134" w:type="dxa"/>
            <w:tcBorders>
              <w:bottom w:val="single" w:sz="4" w:space="0" w:color="auto"/>
            </w:tcBorders>
            <w:shd w:val="clear" w:color="auto" w:fill="auto"/>
          </w:tcPr>
          <w:p w14:paraId="70D74836" w14:textId="77777777" w:rsidR="00233E2A" w:rsidRPr="002F6538" w:rsidRDefault="00233E2A" w:rsidP="0010403B">
            <w:pPr>
              <w:rPr>
                <w:sz w:val="16"/>
                <w:szCs w:val="16"/>
              </w:rPr>
            </w:pPr>
            <w:r w:rsidRPr="002F6538">
              <w:rPr>
                <w:sz w:val="16"/>
                <w:szCs w:val="16"/>
              </w:rPr>
              <w:t>Key Event 5</w:t>
            </w:r>
          </w:p>
        </w:tc>
        <w:tc>
          <w:tcPr>
            <w:tcW w:w="2268" w:type="dxa"/>
            <w:tcBorders>
              <w:bottom w:val="single" w:sz="4" w:space="0" w:color="auto"/>
            </w:tcBorders>
            <w:shd w:val="clear" w:color="auto" w:fill="auto"/>
          </w:tcPr>
          <w:p w14:paraId="0DFA4225" w14:textId="77777777" w:rsidR="00233E2A" w:rsidRPr="002F6538" w:rsidRDefault="00233E2A" w:rsidP="0010403B">
            <w:pPr>
              <w:rPr>
                <w:sz w:val="16"/>
                <w:szCs w:val="16"/>
              </w:rPr>
            </w:pPr>
            <w:r w:rsidRPr="002F6538">
              <w:rPr>
                <w:sz w:val="16"/>
                <w:szCs w:val="16"/>
              </w:rPr>
              <w:t>Key Event 5</w:t>
            </w:r>
          </w:p>
        </w:tc>
        <w:tc>
          <w:tcPr>
            <w:tcW w:w="2268" w:type="dxa"/>
            <w:tcBorders>
              <w:bottom w:val="single" w:sz="4" w:space="0" w:color="auto"/>
            </w:tcBorders>
            <w:shd w:val="clear" w:color="auto" w:fill="auto"/>
          </w:tcPr>
          <w:p w14:paraId="54C8491A" w14:textId="77777777" w:rsidR="00233E2A" w:rsidRPr="002F6538" w:rsidRDefault="00233E2A" w:rsidP="0010403B">
            <w:pPr>
              <w:rPr>
                <w:sz w:val="16"/>
                <w:szCs w:val="16"/>
              </w:rPr>
            </w:pPr>
            <w:r w:rsidRPr="002F6538">
              <w:rPr>
                <w:sz w:val="16"/>
                <w:szCs w:val="16"/>
              </w:rPr>
              <w:t>Key Event 5</w:t>
            </w:r>
          </w:p>
        </w:tc>
      </w:tr>
      <w:tr w:rsidR="00233E2A" w:rsidRPr="002A040C" w14:paraId="756064A7" w14:textId="77777777" w:rsidTr="0010403B">
        <w:tc>
          <w:tcPr>
            <w:tcW w:w="1024" w:type="dxa"/>
            <w:shd w:val="clear" w:color="auto" w:fill="002060"/>
          </w:tcPr>
          <w:p w14:paraId="52CD14C5" w14:textId="77777777" w:rsidR="00233E2A" w:rsidRPr="002F6538" w:rsidRDefault="00233E2A" w:rsidP="0010403B">
            <w:pPr>
              <w:rPr>
                <w:color w:val="FFFFFF"/>
                <w:sz w:val="16"/>
                <w:szCs w:val="16"/>
              </w:rPr>
            </w:pPr>
            <w:r w:rsidRPr="002F6538">
              <w:rPr>
                <w:color w:val="FFFFFF"/>
                <w:sz w:val="16"/>
                <w:szCs w:val="16"/>
              </w:rPr>
              <w:t>Study type</w:t>
            </w:r>
          </w:p>
        </w:tc>
        <w:tc>
          <w:tcPr>
            <w:tcW w:w="1751" w:type="dxa"/>
            <w:shd w:val="clear" w:color="auto" w:fill="002060"/>
          </w:tcPr>
          <w:p w14:paraId="20A29BFD" w14:textId="77777777" w:rsidR="00233E2A" w:rsidRPr="002F6538" w:rsidRDefault="00233E2A" w:rsidP="0010403B">
            <w:pPr>
              <w:rPr>
                <w:color w:val="FFFFFF"/>
                <w:sz w:val="16"/>
                <w:szCs w:val="16"/>
              </w:rPr>
            </w:pPr>
            <w:r w:rsidRPr="002F6538">
              <w:rPr>
                <w:color w:val="FFFFFF"/>
                <w:sz w:val="16"/>
                <w:szCs w:val="16"/>
              </w:rPr>
              <w:t>Gestation</w:t>
            </w:r>
          </w:p>
          <w:p w14:paraId="19470B42" w14:textId="77777777" w:rsidR="00233E2A" w:rsidRPr="002F6538" w:rsidRDefault="00233E2A" w:rsidP="0010403B">
            <w:pPr>
              <w:rPr>
                <w:color w:val="FFFFFF"/>
                <w:sz w:val="16"/>
                <w:szCs w:val="16"/>
              </w:rPr>
            </w:pPr>
            <w:r w:rsidRPr="002F6538">
              <w:rPr>
                <w:color w:val="FFFFFF"/>
                <w:sz w:val="16"/>
                <w:szCs w:val="16"/>
              </w:rPr>
              <w:t>(treatment)</w:t>
            </w:r>
          </w:p>
        </w:tc>
        <w:tc>
          <w:tcPr>
            <w:tcW w:w="1550" w:type="dxa"/>
            <w:shd w:val="clear" w:color="auto" w:fill="002060"/>
          </w:tcPr>
          <w:p w14:paraId="5587AE5A" w14:textId="77777777" w:rsidR="00233E2A" w:rsidRPr="002F6538" w:rsidRDefault="00233E2A" w:rsidP="0010403B">
            <w:pPr>
              <w:rPr>
                <w:color w:val="FFFFFF"/>
                <w:sz w:val="16"/>
                <w:szCs w:val="16"/>
              </w:rPr>
            </w:pPr>
            <w:r w:rsidRPr="002F6538">
              <w:rPr>
                <w:color w:val="FFFFFF"/>
                <w:sz w:val="16"/>
                <w:szCs w:val="16"/>
              </w:rPr>
              <w:t>Gestation</w:t>
            </w:r>
          </w:p>
          <w:p w14:paraId="5138A88F" w14:textId="77777777" w:rsidR="00233E2A" w:rsidRPr="002F6538" w:rsidRDefault="00233E2A" w:rsidP="0010403B">
            <w:pPr>
              <w:rPr>
                <w:color w:val="FFFFFF"/>
                <w:sz w:val="16"/>
                <w:szCs w:val="16"/>
              </w:rPr>
            </w:pPr>
            <w:r w:rsidRPr="002F6538">
              <w:rPr>
                <w:color w:val="FFFFFF"/>
                <w:sz w:val="16"/>
                <w:szCs w:val="16"/>
              </w:rPr>
              <w:t>(treatment)</w:t>
            </w:r>
          </w:p>
        </w:tc>
        <w:tc>
          <w:tcPr>
            <w:tcW w:w="1692" w:type="dxa"/>
            <w:shd w:val="clear" w:color="auto" w:fill="002060"/>
          </w:tcPr>
          <w:p w14:paraId="05A74514" w14:textId="77777777" w:rsidR="00233E2A" w:rsidRPr="002F6538" w:rsidRDefault="00233E2A" w:rsidP="0010403B">
            <w:pPr>
              <w:rPr>
                <w:color w:val="FFFFFF"/>
                <w:sz w:val="16"/>
                <w:szCs w:val="16"/>
              </w:rPr>
            </w:pPr>
            <w:r w:rsidRPr="002F6538">
              <w:rPr>
                <w:color w:val="FFFFFF"/>
                <w:sz w:val="16"/>
                <w:szCs w:val="16"/>
              </w:rPr>
              <w:t>Gestation</w:t>
            </w:r>
          </w:p>
          <w:p w14:paraId="7D11BC8B" w14:textId="77777777" w:rsidR="00233E2A" w:rsidRPr="002F6538" w:rsidRDefault="00233E2A" w:rsidP="0010403B">
            <w:pPr>
              <w:rPr>
                <w:color w:val="FFFFFF"/>
                <w:sz w:val="16"/>
                <w:szCs w:val="16"/>
              </w:rPr>
            </w:pPr>
            <w:r w:rsidRPr="002F6538">
              <w:rPr>
                <w:color w:val="FFFFFF"/>
                <w:sz w:val="16"/>
                <w:szCs w:val="16"/>
              </w:rPr>
              <w:t>(treatment)</w:t>
            </w:r>
          </w:p>
        </w:tc>
        <w:tc>
          <w:tcPr>
            <w:tcW w:w="1584" w:type="dxa"/>
            <w:shd w:val="clear" w:color="auto" w:fill="002060"/>
          </w:tcPr>
          <w:p w14:paraId="2C7B2E1D" w14:textId="77777777" w:rsidR="00233E2A" w:rsidRPr="002F6538" w:rsidRDefault="00233E2A" w:rsidP="0010403B">
            <w:pPr>
              <w:rPr>
                <w:color w:val="FFFFFF"/>
                <w:sz w:val="16"/>
                <w:szCs w:val="16"/>
              </w:rPr>
            </w:pPr>
            <w:r w:rsidRPr="002F6538">
              <w:rPr>
                <w:color w:val="FFFFFF"/>
                <w:sz w:val="16"/>
                <w:szCs w:val="16"/>
              </w:rPr>
              <w:t>Gestation</w:t>
            </w:r>
          </w:p>
          <w:p w14:paraId="0CA4CDB4" w14:textId="77777777" w:rsidR="00233E2A" w:rsidRPr="002F6538" w:rsidRDefault="00233E2A" w:rsidP="0010403B">
            <w:pPr>
              <w:rPr>
                <w:color w:val="FFFFFF"/>
                <w:sz w:val="16"/>
                <w:szCs w:val="16"/>
              </w:rPr>
            </w:pPr>
            <w:r w:rsidRPr="002F6538">
              <w:rPr>
                <w:color w:val="FFFFFF"/>
                <w:sz w:val="16"/>
                <w:szCs w:val="16"/>
              </w:rPr>
              <w:t>(treatment)</w:t>
            </w:r>
          </w:p>
        </w:tc>
        <w:tc>
          <w:tcPr>
            <w:tcW w:w="1154" w:type="dxa"/>
            <w:shd w:val="clear" w:color="auto" w:fill="002060"/>
          </w:tcPr>
          <w:p w14:paraId="29742A97" w14:textId="77777777" w:rsidR="00233E2A" w:rsidRPr="002F6538" w:rsidRDefault="00233E2A" w:rsidP="0010403B">
            <w:pPr>
              <w:rPr>
                <w:color w:val="FFFFFF"/>
                <w:sz w:val="16"/>
                <w:szCs w:val="16"/>
              </w:rPr>
            </w:pPr>
            <w:r w:rsidRPr="002F6538">
              <w:rPr>
                <w:color w:val="FFFFFF"/>
                <w:sz w:val="16"/>
                <w:szCs w:val="16"/>
              </w:rPr>
              <w:t>Prepubertal (recovery)</w:t>
            </w:r>
          </w:p>
        </w:tc>
        <w:tc>
          <w:tcPr>
            <w:tcW w:w="1134" w:type="dxa"/>
            <w:shd w:val="clear" w:color="auto" w:fill="002060"/>
          </w:tcPr>
          <w:p w14:paraId="68929F2C" w14:textId="77777777" w:rsidR="00233E2A" w:rsidRPr="002F6538" w:rsidRDefault="00233E2A" w:rsidP="0010403B">
            <w:pPr>
              <w:rPr>
                <w:color w:val="FFFFFF"/>
                <w:sz w:val="16"/>
                <w:szCs w:val="16"/>
              </w:rPr>
            </w:pPr>
            <w:r w:rsidRPr="002F6538">
              <w:rPr>
                <w:color w:val="FFFFFF"/>
                <w:sz w:val="16"/>
                <w:szCs w:val="16"/>
              </w:rPr>
              <w:t>Pubertal</w:t>
            </w:r>
          </w:p>
          <w:p w14:paraId="5BF13D4A" w14:textId="77777777" w:rsidR="00233E2A" w:rsidRPr="002F6538" w:rsidRDefault="00233E2A" w:rsidP="0010403B">
            <w:pPr>
              <w:rPr>
                <w:color w:val="FFFFFF"/>
                <w:sz w:val="16"/>
                <w:szCs w:val="16"/>
              </w:rPr>
            </w:pPr>
            <w:r w:rsidRPr="002F6538">
              <w:rPr>
                <w:color w:val="FFFFFF"/>
                <w:sz w:val="16"/>
                <w:szCs w:val="16"/>
              </w:rPr>
              <w:t>(recovery)</w:t>
            </w:r>
          </w:p>
        </w:tc>
        <w:tc>
          <w:tcPr>
            <w:tcW w:w="2268" w:type="dxa"/>
            <w:shd w:val="clear" w:color="auto" w:fill="002060"/>
          </w:tcPr>
          <w:p w14:paraId="50C925B6" w14:textId="77777777" w:rsidR="00233E2A" w:rsidRPr="002F6538" w:rsidRDefault="00233E2A" w:rsidP="0010403B">
            <w:pPr>
              <w:rPr>
                <w:color w:val="FFFFFF"/>
                <w:sz w:val="16"/>
                <w:szCs w:val="16"/>
              </w:rPr>
            </w:pPr>
            <w:r w:rsidRPr="002F6538">
              <w:rPr>
                <w:color w:val="FFFFFF"/>
                <w:sz w:val="16"/>
                <w:szCs w:val="16"/>
              </w:rPr>
              <w:t>Adult</w:t>
            </w:r>
          </w:p>
          <w:p w14:paraId="4FB88B30" w14:textId="77777777" w:rsidR="00233E2A" w:rsidRPr="002F6538" w:rsidRDefault="00233E2A" w:rsidP="0010403B">
            <w:pPr>
              <w:rPr>
                <w:color w:val="FFFFFF"/>
                <w:sz w:val="16"/>
                <w:szCs w:val="16"/>
              </w:rPr>
            </w:pPr>
            <w:r w:rsidRPr="002F6538">
              <w:rPr>
                <w:color w:val="FFFFFF"/>
                <w:sz w:val="16"/>
                <w:szCs w:val="16"/>
              </w:rPr>
              <w:t>(recovery)</w:t>
            </w:r>
          </w:p>
        </w:tc>
        <w:tc>
          <w:tcPr>
            <w:tcW w:w="2268" w:type="dxa"/>
            <w:shd w:val="clear" w:color="auto" w:fill="002060"/>
          </w:tcPr>
          <w:p w14:paraId="75C082A2" w14:textId="77777777" w:rsidR="00233E2A" w:rsidRPr="002F6538" w:rsidRDefault="00233E2A" w:rsidP="0010403B">
            <w:pPr>
              <w:rPr>
                <w:color w:val="FFFFFF"/>
                <w:sz w:val="16"/>
                <w:szCs w:val="16"/>
              </w:rPr>
            </w:pPr>
            <w:r w:rsidRPr="002F6538">
              <w:rPr>
                <w:color w:val="FFFFFF"/>
                <w:sz w:val="16"/>
                <w:szCs w:val="16"/>
              </w:rPr>
              <w:t>F1/F2 Treatment (two generation study)</w:t>
            </w:r>
          </w:p>
        </w:tc>
      </w:tr>
      <w:tr w:rsidR="00233E2A" w:rsidRPr="002A040C" w14:paraId="50ACF440" w14:textId="77777777" w:rsidTr="0010403B">
        <w:tc>
          <w:tcPr>
            <w:tcW w:w="1024" w:type="dxa"/>
            <w:shd w:val="clear" w:color="auto" w:fill="auto"/>
          </w:tcPr>
          <w:p w14:paraId="0E0258C7" w14:textId="77777777" w:rsidR="00233E2A" w:rsidRPr="002F6538" w:rsidRDefault="00233E2A" w:rsidP="0010403B">
            <w:pPr>
              <w:rPr>
                <w:sz w:val="16"/>
                <w:szCs w:val="16"/>
              </w:rPr>
            </w:pPr>
            <w:r w:rsidRPr="002F6538">
              <w:rPr>
                <w:sz w:val="16"/>
                <w:szCs w:val="16"/>
              </w:rPr>
              <w:t>Observation at</w:t>
            </w:r>
          </w:p>
        </w:tc>
        <w:tc>
          <w:tcPr>
            <w:tcW w:w="1751" w:type="dxa"/>
            <w:shd w:val="clear" w:color="auto" w:fill="auto"/>
          </w:tcPr>
          <w:p w14:paraId="0B147262" w14:textId="77777777" w:rsidR="00233E2A" w:rsidRPr="002F6538" w:rsidRDefault="00233E2A" w:rsidP="0010403B">
            <w:pPr>
              <w:rPr>
                <w:sz w:val="16"/>
                <w:szCs w:val="16"/>
              </w:rPr>
            </w:pPr>
            <w:r w:rsidRPr="002F6538">
              <w:rPr>
                <w:sz w:val="16"/>
                <w:szCs w:val="16"/>
              </w:rPr>
              <w:t xml:space="preserve">Gestation day (GD) 20 </w:t>
            </w:r>
          </w:p>
        </w:tc>
        <w:tc>
          <w:tcPr>
            <w:tcW w:w="1550" w:type="dxa"/>
            <w:shd w:val="clear" w:color="auto" w:fill="auto"/>
          </w:tcPr>
          <w:p w14:paraId="2A74D3E6" w14:textId="77777777" w:rsidR="00233E2A" w:rsidRPr="002F6538" w:rsidRDefault="00233E2A" w:rsidP="0010403B">
            <w:pPr>
              <w:rPr>
                <w:sz w:val="16"/>
                <w:szCs w:val="16"/>
              </w:rPr>
            </w:pPr>
            <w:r w:rsidRPr="002F6538">
              <w:rPr>
                <w:sz w:val="16"/>
                <w:szCs w:val="16"/>
              </w:rPr>
              <w:t xml:space="preserve">GD 18/ 20 </w:t>
            </w:r>
          </w:p>
        </w:tc>
        <w:tc>
          <w:tcPr>
            <w:tcW w:w="1692" w:type="dxa"/>
            <w:shd w:val="clear" w:color="auto" w:fill="auto"/>
          </w:tcPr>
          <w:p w14:paraId="5EF1DE2B" w14:textId="77777777" w:rsidR="00233E2A" w:rsidRPr="002F6538" w:rsidRDefault="00233E2A" w:rsidP="0010403B">
            <w:pPr>
              <w:rPr>
                <w:sz w:val="16"/>
                <w:szCs w:val="16"/>
              </w:rPr>
            </w:pPr>
            <w:r w:rsidRPr="002F6538">
              <w:rPr>
                <w:sz w:val="16"/>
                <w:szCs w:val="16"/>
              </w:rPr>
              <w:t xml:space="preserve">GD 20 </w:t>
            </w:r>
          </w:p>
        </w:tc>
        <w:tc>
          <w:tcPr>
            <w:tcW w:w="1584" w:type="dxa"/>
            <w:shd w:val="clear" w:color="auto" w:fill="auto"/>
          </w:tcPr>
          <w:p w14:paraId="7FE4F9A0" w14:textId="77777777" w:rsidR="00233E2A" w:rsidRPr="002F6538" w:rsidRDefault="00233E2A" w:rsidP="0010403B">
            <w:pPr>
              <w:rPr>
                <w:sz w:val="16"/>
                <w:szCs w:val="16"/>
              </w:rPr>
            </w:pPr>
            <w:r w:rsidRPr="002F6538">
              <w:rPr>
                <w:sz w:val="16"/>
                <w:szCs w:val="16"/>
              </w:rPr>
              <w:t xml:space="preserve">GD 20 </w:t>
            </w:r>
          </w:p>
        </w:tc>
        <w:tc>
          <w:tcPr>
            <w:tcW w:w="1154" w:type="dxa"/>
            <w:shd w:val="clear" w:color="auto" w:fill="auto"/>
          </w:tcPr>
          <w:p w14:paraId="0E495F72" w14:textId="77777777" w:rsidR="00233E2A" w:rsidRPr="002F6538" w:rsidRDefault="00233E2A" w:rsidP="0010403B">
            <w:pPr>
              <w:rPr>
                <w:sz w:val="16"/>
                <w:szCs w:val="16"/>
              </w:rPr>
            </w:pPr>
            <w:r w:rsidRPr="002F6538">
              <w:rPr>
                <w:sz w:val="16"/>
                <w:szCs w:val="16"/>
              </w:rPr>
              <w:t>Postnatal day (PND) 20</w:t>
            </w:r>
          </w:p>
        </w:tc>
        <w:tc>
          <w:tcPr>
            <w:tcW w:w="1134" w:type="dxa"/>
            <w:shd w:val="clear" w:color="auto" w:fill="auto"/>
          </w:tcPr>
          <w:p w14:paraId="2FDF56AE" w14:textId="77777777" w:rsidR="00233E2A" w:rsidRPr="002F6538" w:rsidRDefault="00233E2A" w:rsidP="0010403B">
            <w:pPr>
              <w:rPr>
                <w:sz w:val="16"/>
                <w:szCs w:val="16"/>
              </w:rPr>
            </w:pPr>
            <w:r w:rsidRPr="002F6538">
              <w:rPr>
                <w:sz w:val="16"/>
                <w:szCs w:val="16"/>
              </w:rPr>
              <w:t>PND 32</w:t>
            </w:r>
          </w:p>
        </w:tc>
        <w:tc>
          <w:tcPr>
            <w:tcW w:w="2268" w:type="dxa"/>
            <w:shd w:val="clear" w:color="auto" w:fill="auto"/>
          </w:tcPr>
          <w:p w14:paraId="260D28E1" w14:textId="77777777" w:rsidR="00233E2A" w:rsidRPr="002F6538" w:rsidRDefault="00233E2A" w:rsidP="0010403B">
            <w:pPr>
              <w:rPr>
                <w:sz w:val="16"/>
                <w:szCs w:val="16"/>
              </w:rPr>
            </w:pPr>
            <w:r w:rsidRPr="002F6538">
              <w:rPr>
                <w:sz w:val="16"/>
                <w:szCs w:val="16"/>
              </w:rPr>
              <w:t>PND 90</w:t>
            </w:r>
          </w:p>
        </w:tc>
        <w:tc>
          <w:tcPr>
            <w:tcW w:w="2268" w:type="dxa"/>
            <w:shd w:val="clear" w:color="auto" w:fill="auto"/>
          </w:tcPr>
          <w:p w14:paraId="61E60725" w14:textId="77777777" w:rsidR="00233E2A" w:rsidRPr="002F6538" w:rsidRDefault="00233E2A" w:rsidP="0010403B">
            <w:pPr>
              <w:rPr>
                <w:sz w:val="16"/>
                <w:szCs w:val="16"/>
              </w:rPr>
            </w:pPr>
            <w:r w:rsidRPr="002F6538">
              <w:rPr>
                <w:sz w:val="16"/>
                <w:szCs w:val="16"/>
              </w:rPr>
              <w:t>F1: PND 21 and ≥17 wks/F2: PND 21</w:t>
            </w:r>
          </w:p>
        </w:tc>
      </w:tr>
      <w:tr w:rsidR="00233E2A" w:rsidRPr="002A040C" w14:paraId="1AF4159B" w14:textId="77777777" w:rsidTr="0010403B">
        <w:tc>
          <w:tcPr>
            <w:tcW w:w="1024" w:type="dxa"/>
            <w:shd w:val="clear" w:color="auto" w:fill="auto"/>
          </w:tcPr>
          <w:p w14:paraId="162324FA" w14:textId="77777777" w:rsidR="00233E2A" w:rsidRPr="002F6538" w:rsidRDefault="00233E2A" w:rsidP="0010403B">
            <w:pPr>
              <w:rPr>
                <w:sz w:val="14"/>
                <w:szCs w:val="14"/>
              </w:rPr>
            </w:pPr>
            <w:r w:rsidRPr="002F6538">
              <w:rPr>
                <w:b/>
                <w:i/>
                <w:sz w:val="14"/>
                <w:szCs w:val="14"/>
              </w:rPr>
              <w:t>Dose mg/kg bw/day</w:t>
            </w:r>
          </w:p>
        </w:tc>
        <w:tc>
          <w:tcPr>
            <w:tcW w:w="1751" w:type="dxa"/>
            <w:shd w:val="clear" w:color="auto" w:fill="auto"/>
          </w:tcPr>
          <w:p w14:paraId="5D4E499C" w14:textId="77777777" w:rsidR="00233E2A" w:rsidRPr="002F6538" w:rsidRDefault="00233E2A" w:rsidP="0010403B">
            <w:pPr>
              <w:rPr>
                <w:b/>
                <w:color w:val="000000"/>
                <w:sz w:val="14"/>
                <w:szCs w:val="14"/>
              </w:rPr>
            </w:pPr>
            <w:r w:rsidRPr="002F6538">
              <w:rPr>
                <w:b/>
                <w:color w:val="000000"/>
                <w:sz w:val="14"/>
                <w:szCs w:val="14"/>
              </w:rPr>
              <w:t xml:space="preserve">Early Leydig and Sertoli cells function alterations in </w:t>
            </w:r>
          </w:p>
          <w:p w14:paraId="1F6AC7C1" w14:textId="77777777" w:rsidR="00233E2A" w:rsidRPr="002F6538" w:rsidRDefault="00233E2A" w:rsidP="0010403B">
            <w:pPr>
              <w:rPr>
                <w:b/>
                <w:color w:val="000000"/>
                <w:sz w:val="14"/>
                <w:szCs w:val="14"/>
              </w:rPr>
            </w:pPr>
            <w:r w:rsidRPr="002F6538">
              <w:rPr>
                <w:b/>
                <w:color w:val="000000"/>
                <w:sz w:val="14"/>
                <w:szCs w:val="14"/>
              </w:rPr>
              <w:t>utero</w:t>
            </w:r>
            <w:r w:rsidRPr="002F6538">
              <w:rPr>
                <w:b/>
                <w:color w:val="000000"/>
                <w:sz w:val="14"/>
                <w:szCs w:val="14"/>
                <w:vertAlign w:val="superscript"/>
              </w:rPr>
              <w:t xml:space="preserve"> a</w:t>
            </w:r>
          </w:p>
          <w:p w14:paraId="5E7E0809" w14:textId="77777777" w:rsidR="00233E2A" w:rsidRPr="002F6538" w:rsidRDefault="00233E2A" w:rsidP="0010403B">
            <w:pPr>
              <w:rPr>
                <w:sz w:val="14"/>
                <w:szCs w:val="14"/>
              </w:rPr>
            </w:pPr>
          </w:p>
        </w:tc>
        <w:tc>
          <w:tcPr>
            <w:tcW w:w="1550" w:type="dxa"/>
            <w:shd w:val="clear" w:color="auto" w:fill="auto"/>
          </w:tcPr>
          <w:p w14:paraId="240721B4" w14:textId="77777777" w:rsidR="00233E2A" w:rsidRPr="002F6538" w:rsidRDefault="00233E2A" w:rsidP="0010403B">
            <w:pPr>
              <w:rPr>
                <w:b/>
                <w:color w:val="000000"/>
                <w:sz w:val="14"/>
                <w:szCs w:val="14"/>
              </w:rPr>
            </w:pPr>
            <w:r w:rsidRPr="002F6538">
              <w:rPr>
                <w:b/>
                <w:color w:val="000000"/>
                <w:sz w:val="14"/>
                <w:szCs w:val="14"/>
              </w:rPr>
              <w:t xml:space="preserve">Fetal testosterone levels </w:t>
            </w:r>
          </w:p>
          <w:p w14:paraId="40A4C777" w14:textId="77777777" w:rsidR="00233E2A" w:rsidRPr="002F6538" w:rsidRDefault="00233E2A" w:rsidP="0010403B">
            <w:pPr>
              <w:rPr>
                <w:b/>
                <w:color w:val="000000"/>
                <w:sz w:val="14"/>
                <w:szCs w:val="14"/>
              </w:rPr>
            </w:pPr>
            <w:r w:rsidRPr="002F6538">
              <w:rPr>
                <w:b/>
                <w:color w:val="000000"/>
                <w:sz w:val="14"/>
                <w:szCs w:val="14"/>
              </w:rPr>
              <w:t xml:space="preserve">decrease </w:t>
            </w:r>
            <w:r w:rsidRPr="002F6538">
              <w:rPr>
                <w:b/>
                <w:color w:val="000000"/>
                <w:sz w:val="14"/>
                <w:szCs w:val="14"/>
                <w:vertAlign w:val="superscript"/>
              </w:rPr>
              <w:t>b</w:t>
            </w:r>
          </w:p>
          <w:p w14:paraId="0C84E83D" w14:textId="77777777" w:rsidR="00233E2A" w:rsidRPr="002F6538" w:rsidRDefault="00233E2A" w:rsidP="0010403B">
            <w:pPr>
              <w:rPr>
                <w:sz w:val="14"/>
                <w:szCs w:val="14"/>
              </w:rPr>
            </w:pPr>
          </w:p>
        </w:tc>
        <w:tc>
          <w:tcPr>
            <w:tcW w:w="1692" w:type="dxa"/>
            <w:shd w:val="clear" w:color="auto" w:fill="auto"/>
          </w:tcPr>
          <w:p w14:paraId="61CE34FD" w14:textId="77777777" w:rsidR="00233E2A" w:rsidRPr="002F6538" w:rsidRDefault="00233E2A" w:rsidP="0010403B">
            <w:pPr>
              <w:rPr>
                <w:b/>
                <w:color w:val="000000"/>
                <w:sz w:val="14"/>
                <w:szCs w:val="14"/>
              </w:rPr>
            </w:pPr>
            <w:r w:rsidRPr="002F6538">
              <w:rPr>
                <w:b/>
                <w:color w:val="000000"/>
                <w:sz w:val="14"/>
                <w:szCs w:val="14"/>
              </w:rPr>
              <w:t>Male Reproduction system irreversible damage</w:t>
            </w:r>
          </w:p>
          <w:p w14:paraId="3ED3BD07" w14:textId="77777777" w:rsidR="00233E2A" w:rsidRPr="002F6538" w:rsidRDefault="00233E2A" w:rsidP="0010403B">
            <w:pPr>
              <w:rPr>
                <w:color w:val="000000"/>
                <w:sz w:val="14"/>
                <w:szCs w:val="14"/>
              </w:rPr>
            </w:pPr>
            <w:r w:rsidRPr="002F6538">
              <w:rPr>
                <w:color w:val="000000"/>
                <w:sz w:val="14"/>
                <w:szCs w:val="14"/>
              </w:rPr>
              <w:t>Testicular effects</w:t>
            </w:r>
          </w:p>
          <w:p w14:paraId="5C079DB1" w14:textId="77777777" w:rsidR="00233E2A" w:rsidRPr="0018736B" w:rsidRDefault="00233E2A" w:rsidP="0010403B">
            <w:pPr>
              <w:rPr>
                <w:b/>
                <w:color w:val="000000"/>
                <w:sz w:val="14"/>
                <w:szCs w:val="14"/>
                <w:lang w:val="fr-FR"/>
              </w:rPr>
            </w:pPr>
            <w:r w:rsidRPr="0018736B">
              <w:rPr>
                <w:color w:val="000000"/>
                <w:sz w:val="14"/>
                <w:szCs w:val="14"/>
                <w:lang w:val="fr-FR"/>
              </w:rPr>
              <w:t xml:space="preserve">(Leydig cells, Sertoli cells, Epididymis) </w:t>
            </w:r>
            <w:r w:rsidRPr="0018736B">
              <w:rPr>
                <w:b/>
                <w:color w:val="000000"/>
                <w:sz w:val="14"/>
                <w:szCs w:val="14"/>
                <w:vertAlign w:val="superscript"/>
                <w:lang w:val="fr-FR"/>
              </w:rPr>
              <w:t>c</w:t>
            </w:r>
          </w:p>
          <w:p w14:paraId="2B397B93" w14:textId="77777777" w:rsidR="00233E2A" w:rsidRPr="0018736B" w:rsidRDefault="00233E2A" w:rsidP="0010403B">
            <w:pPr>
              <w:rPr>
                <w:sz w:val="14"/>
                <w:szCs w:val="14"/>
                <w:lang w:val="fr-FR"/>
              </w:rPr>
            </w:pPr>
          </w:p>
        </w:tc>
        <w:tc>
          <w:tcPr>
            <w:tcW w:w="1584" w:type="dxa"/>
            <w:shd w:val="clear" w:color="auto" w:fill="auto"/>
          </w:tcPr>
          <w:p w14:paraId="57467BEF" w14:textId="77777777" w:rsidR="00233E2A" w:rsidRPr="002F6538" w:rsidRDefault="00233E2A" w:rsidP="0010403B">
            <w:pPr>
              <w:rPr>
                <w:b/>
                <w:sz w:val="14"/>
                <w:szCs w:val="14"/>
                <w:vertAlign w:val="superscript"/>
              </w:rPr>
            </w:pPr>
            <w:r w:rsidRPr="002F6538">
              <w:rPr>
                <w:b/>
                <w:color w:val="000000"/>
                <w:sz w:val="14"/>
                <w:szCs w:val="14"/>
              </w:rPr>
              <w:t xml:space="preserve">Male Reproduction system irreversible damage </w:t>
            </w:r>
            <w:r w:rsidRPr="002F6538">
              <w:rPr>
                <w:b/>
                <w:sz w:val="14"/>
                <w:szCs w:val="14"/>
                <w:vertAlign w:val="superscript"/>
              </w:rPr>
              <w:t>d</w:t>
            </w:r>
          </w:p>
        </w:tc>
        <w:tc>
          <w:tcPr>
            <w:tcW w:w="1154" w:type="dxa"/>
            <w:shd w:val="clear" w:color="auto" w:fill="auto"/>
          </w:tcPr>
          <w:p w14:paraId="460D6F3E" w14:textId="77777777" w:rsidR="00233E2A" w:rsidRPr="002F6538" w:rsidRDefault="00233E2A" w:rsidP="0010403B">
            <w:pPr>
              <w:rPr>
                <w:b/>
                <w:color w:val="000000"/>
                <w:sz w:val="14"/>
                <w:szCs w:val="14"/>
              </w:rPr>
            </w:pPr>
            <w:r w:rsidRPr="002F6538">
              <w:rPr>
                <w:b/>
                <w:color w:val="000000"/>
                <w:sz w:val="14"/>
                <w:szCs w:val="14"/>
              </w:rPr>
              <w:t>Male Reproduction system irreversible damage</w:t>
            </w:r>
          </w:p>
          <w:p w14:paraId="0C717B30" w14:textId="77777777" w:rsidR="00233E2A" w:rsidRPr="002F6538" w:rsidRDefault="00233E2A" w:rsidP="0010403B">
            <w:pPr>
              <w:rPr>
                <w:b/>
                <w:sz w:val="14"/>
                <w:szCs w:val="14"/>
                <w:vertAlign w:val="superscript"/>
              </w:rPr>
            </w:pPr>
            <w:r w:rsidRPr="002F6538">
              <w:rPr>
                <w:sz w:val="14"/>
                <w:szCs w:val="14"/>
              </w:rPr>
              <w:t xml:space="preserve">Testicular/Epididymis effects/Prostate </w:t>
            </w:r>
            <w:r w:rsidRPr="002F6538">
              <w:rPr>
                <w:b/>
                <w:sz w:val="14"/>
                <w:szCs w:val="14"/>
                <w:vertAlign w:val="superscript"/>
              </w:rPr>
              <w:t>e</w:t>
            </w:r>
          </w:p>
        </w:tc>
        <w:tc>
          <w:tcPr>
            <w:tcW w:w="1134" w:type="dxa"/>
            <w:shd w:val="clear" w:color="auto" w:fill="auto"/>
          </w:tcPr>
          <w:p w14:paraId="788F95DC" w14:textId="77777777" w:rsidR="00233E2A" w:rsidRPr="002F6538" w:rsidRDefault="00233E2A" w:rsidP="0010403B">
            <w:pPr>
              <w:rPr>
                <w:b/>
                <w:color w:val="000000"/>
                <w:sz w:val="14"/>
                <w:szCs w:val="14"/>
              </w:rPr>
            </w:pPr>
            <w:r w:rsidRPr="002F6538">
              <w:rPr>
                <w:b/>
                <w:color w:val="000000"/>
                <w:sz w:val="14"/>
                <w:szCs w:val="14"/>
              </w:rPr>
              <w:t>Male Reproduction system irreversible damage</w:t>
            </w:r>
          </w:p>
          <w:p w14:paraId="37750651" w14:textId="77777777" w:rsidR="00233E2A" w:rsidRPr="002F6538" w:rsidRDefault="00233E2A" w:rsidP="0010403B">
            <w:pPr>
              <w:rPr>
                <w:b/>
                <w:sz w:val="14"/>
                <w:szCs w:val="14"/>
                <w:vertAlign w:val="superscript"/>
              </w:rPr>
            </w:pPr>
            <w:r w:rsidRPr="002F6538">
              <w:rPr>
                <w:sz w:val="14"/>
                <w:szCs w:val="14"/>
              </w:rPr>
              <w:t xml:space="preserve">Testicular/Epididymis effects/ Prostate </w:t>
            </w:r>
            <w:r w:rsidRPr="002F6538">
              <w:rPr>
                <w:b/>
                <w:sz w:val="14"/>
                <w:szCs w:val="14"/>
                <w:vertAlign w:val="superscript"/>
              </w:rPr>
              <w:t>e</w:t>
            </w:r>
          </w:p>
        </w:tc>
        <w:tc>
          <w:tcPr>
            <w:tcW w:w="2268" w:type="dxa"/>
            <w:shd w:val="clear" w:color="auto" w:fill="auto"/>
          </w:tcPr>
          <w:p w14:paraId="1F8032C3" w14:textId="77777777" w:rsidR="00233E2A" w:rsidRPr="002F6538" w:rsidRDefault="00233E2A" w:rsidP="0010403B">
            <w:pPr>
              <w:rPr>
                <w:b/>
                <w:color w:val="000000"/>
                <w:sz w:val="14"/>
                <w:szCs w:val="14"/>
              </w:rPr>
            </w:pPr>
            <w:r w:rsidRPr="002F6538">
              <w:rPr>
                <w:b/>
                <w:color w:val="000000"/>
                <w:sz w:val="14"/>
                <w:szCs w:val="14"/>
              </w:rPr>
              <w:t>Male Reproduction system irreversible damage</w:t>
            </w:r>
          </w:p>
          <w:p w14:paraId="14281472" w14:textId="77777777" w:rsidR="00233E2A" w:rsidRPr="002F6538" w:rsidRDefault="00233E2A" w:rsidP="0010403B">
            <w:pPr>
              <w:rPr>
                <w:b/>
                <w:sz w:val="14"/>
                <w:szCs w:val="14"/>
                <w:vertAlign w:val="superscript"/>
              </w:rPr>
            </w:pPr>
            <w:r w:rsidRPr="002F6538">
              <w:rPr>
                <w:sz w:val="14"/>
                <w:szCs w:val="14"/>
              </w:rPr>
              <w:t xml:space="preserve">Testicular/Epididymis effects/ Prostate </w:t>
            </w:r>
            <w:r w:rsidRPr="002F6538">
              <w:rPr>
                <w:b/>
                <w:sz w:val="14"/>
                <w:szCs w:val="14"/>
                <w:vertAlign w:val="superscript"/>
              </w:rPr>
              <w:t>e</w:t>
            </w:r>
          </w:p>
        </w:tc>
        <w:tc>
          <w:tcPr>
            <w:tcW w:w="2268" w:type="dxa"/>
            <w:shd w:val="clear" w:color="auto" w:fill="auto"/>
          </w:tcPr>
          <w:p w14:paraId="60A51654" w14:textId="77777777" w:rsidR="00233E2A" w:rsidRPr="002F6538" w:rsidRDefault="00233E2A" w:rsidP="0010403B">
            <w:pPr>
              <w:rPr>
                <w:b/>
                <w:color w:val="000000"/>
                <w:sz w:val="14"/>
                <w:szCs w:val="14"/>
              </w:rPr>
            </w:pPr>
            <w:r w:rsidRPr="002F6538">
              <w:rPr>
                <w:b/>
                <w:color w:val="000000"/>
                <w:sz w:val="14"/>
                <w:szCs w:val="14"/>
              </w:rPr>
              <w:t>Male Reproduction system irreversible damage</w:t>
            </w:r>
          </w:p>
          <w:p w14:paraId="38568835" w14:textId="77777777" w:rsidR="00233E2A" w:rsidRPr="002F6538" w:rsidRDefault="00233E2A" w:rsidP="0010403B">
            <w:pPr>
              <w:rPr>
                <w:sz w:val="14"/>
                <w:szCs w:val="14"/>
              </w:rPr>
            </w:pPr>
            <w:r w:rsidRPr="002F6538">
              <w:rPr>
                <w:sz w:val="14"/>
                <w:szCs w:val="14"/>
              </w:rPr>
              <w:t>Testicular effects, Sperm effects, Decrease in AGD, increase in areolae</w:t>
            </w:r>
          </w:p>
          <w:p w14:paraId="6AB41E1C" w14:textId="77777777" w:rsidR="00233E2A" w:rsidRPr="002F6538" w:rsidRDefault="00233E2A" w:rsidP="0010403B">
            <w:pPr>
              <w:rPr>
                <w:b/>
                <w:sz w:val="14"/>
                <w:szCs w:val="14"/>
                <w:vertAlign w:val="superscript"/>
              </w:rPr>
            </w:pPr>
            <w:r w:rsidRPr="002F6538">
              <w:rPr>
                <w:sz w:val="14"/>
                <w:szCs w:val="14"/>
              </w:rPr>
              <w:t xml:space="preserve">mammae </w:t>
            </w:r>
            <w:r w:rsidRPr="002F6538">
              <w:rPr>
                <w:b/>
                <w:sz w:val="14"/>
                <w:szCs w:val="14"/>
                <w:vertAlign w:val="superscript"/>
              </w:rPr>
              <w:t>f</w:t>
            </w:r>
          </w:p>
        </w:tc>
      </w:tr>
      <w:tr w:rsidR="00233E2A" w:rsidRPr="002A040C" w14:paraId="0E31C92C" w14:textId="77777777" w:rsidTr="0010403B">
        <w:tc>
          <w:tcPr>
            <w:tcW w:w="1024" w:type="dxa"/>
            <w:shd w:val="clear" w:color="auto" w:fill="auto"/>
          </w:tcPr>
          <w:p w14:paraId="20ED9156" w14:textId="77777777" w:rsidR="00233E2A" w:rsidRPr="002F6538" w:rsidRDefault="00233E2A" w:rsidP="0010403B">
            <w:pPr>
              <w:rPr>
                <w:sz w:val="16"/>
                <w:szCs w:val="16"/>
              </w:rPr>
            </w:pPr>
            <w:r w:rsidRPr="002F6538">
              <w:rPr>
                <w:sz w:val="16"/>
                <w:szCs w:val="16"/>
              </w:rPr>
              <w:t>0</w:t>
            </w:r>
          </w:p>
        </w:tc>
        <w:tc>
          <w:tcPr>
            <w:tcW w:w="1751" w:type="dxa"/>
            <w:shd w:val="clear" w:color="auto" w:fill="auto"/>
          </w:tcPr>
          <w:p w14:paraId="54ED424B" w14:textId="77777777" w:rsidR="00233E2A" w:rsidRPr="002F6538" w:rsidRDefault="00233E2A" w:rsidP="0010403B">
            <w:pPr>
              <w:rPr>
                <w:sz w:val="16"/>
                <w:szCs w:val="16"/>
              </w:rPr>
            </w:pPr>
          </w:p>
        </w:tc>
        <w:tc>
          <w:tcPr>
            <w:tcW w:w="1550" w:type="dxa"/>
            <w:shd w:val="clear" w:color="auto" w:fill="auto"/>
          </w:tcPr>
          <w:p w14:paraId="2D151DF9" w14:textId="77777777" w:rsidR="00233E2A" w:rsidRPr="002F6538" w:rsidRDefault="00233E2A" w:rsidP="0010403B">
            <w:pPr>
              <w:rPr>
                <w:sz w:val="16"/>
                <w:szCs w:val="16"/>
              </w:rPr>
            </w:pPr>
          </w:p>
        </w:tc>
        <w:tc>
          <w:tcPr>
            <w:tcW w:w="1692" w:type="dxa"/>
            <w:shd w:val="clear" w:color="auto" w:fill="auto"/>
          </w:tcPr>
          <w:p w14:paraId="1E2BB46C" w14:textId="77777777" w:rsidR="00233E2A" w:rsidRPr="002F6538" w:rsidRDefault="00233E2A" w:rsidP="0010403B">
            <w:pPr>
              <w:rPr>
                <w:sz w:val="16"/>
                <w:szCs w:val="16"/>
              </w:rPr>
            </w:pPr>
          </w:p>
        </w:tc>
        <w:tc>
          <w:tcPr>
            <w:tcW w:w="1584" w:type="dxa"/>
            <w:shd w:val="clear" w:color="auto" w:fill="auto"/>
          </w:tcPr>
          <w:p w14:paraId="0DB55A58" w14:textId="77777777" w:rsidR="00233E2A" w:rsidRPr="002F6538" w:rsidRDefault="00233E2A" w:rsidP="0010403B">
            <w:pPr>
              <w:rPr>
                <w:sz w:val="16"/>
                <w:szCs w:val="16"/>
              </w:rPr>
            </w:pPr>
          </w:p>
        </w:tc>
        <w:tc>
          <w:tcPr>
            <w:tcW w:w="1154" w:type="dxa"/>
            <w:shd w:val="clear" w:color="auto" w:fill="auto"/>
          </w:tcPr>
          <w:p w14:paraId="0157A3E9" w14:textId="77777777" w:rsidR="00233E2A" w:rsidRPr="002F6538" w:rsidRDefault="00233E2A" w:rsidP="0010403B">
            <w:pPr>
              <w:rPr>
                <w:sz w:val="16"/>
                <w:szCs w:val="16"/>
              </w:rPr>
            </w:pPr>
          </w:p>
        </w:tc>
        <w:tc>
          <w:tcPr>
            <w:tcW w:w="1134" w:type="dxa"/>
            <w:shd w:val="clear" w:color="auto" w:fill="auto"/>
          </w:tcPr>
          <w:p w14:paraId="1A37CF21" w14:textId="77777777" w:rsidR="00233E2A" w:rsidRPr="002F6538" w:rsidRDefault="00233E2A" w:rsidP="0010403B">
            <w:pPr>
              <w:rPr>
                <w:sz w:val="16"/>
                <w:szCs w:val="16"/>
              </w:rPr>
            </w:pPr>
          </w:p>
        </w:tc>
        <w:tc>
          <w:tcPr>
            <w:tcW w:w="2268" w:type="dxa"/>
            <w:shd w:val="clear" w:color="auto" w:fill="auto"/>
          </w:tcPr>
          <w:p w14:paraId="6A11E247" w14:textId="77777777" w:rsidR="00233E2A" w:rsidRPr="002F6538" w:rsidRDefault="00233E2A" w:rsidP="0010403B">
            <w:pPr>
              <w:rPr>
                <w:sz w:val="16"/>
                <w:szCs w:val="16"/>
              </w:rPr>
            </w:pPr>
          </w:p>
        </w:tc>
        <w:tc>
          <w:tcPr>
            <w:tcW w:w="2268" w:type="dxa"/>
            <w:shd w:val="clear" w:color="auto" w:fill="auto"/>
          </w:tcPr>
          <w:p w14:paraId="4B22B976" w14:textId="77777777" w:rsidR="00233E2A" w:rsidRPr="002F6538" w:rsidRDefault="00233E2A" w:rsidP="0010403B">
            <w:pPr>
              <w:rPr>
                <w:sz w:val="16"/>
                <w:szCs w:val="16"/>
              </w:rPr>
            </w:pPr>
          </w:p>
        </w:tc>
      </w:tr>
      <w:tr w:rsidR="00233E2A" w:rsidRPr="002A040C" w14:paraId="5A451B03" w14:textId="77777777" w:rsidTr="0010403B">
        <w:tc>
          <w:tcPr>
            <w:tcW w:w="1024" w:type="dxa"/>
            <w:shd w:val="clear" w:color="auto" w:fill="auto"/>
          </w:tcPr>
          <w:p w14:paraId="26FF66A4" w14:textId="77777777" w:rsidR="00233E2A" w:rsidRPr="002F6538" w:rsidRDefault="00233E2A" w:rsidP="0010403B">
            <w:pPr>
              <w:rPr>
                <w:sz w:val="16"/>
                <w:szCs w:val="16"/>
              </w:rPr>
            </w:pPr>
            <w:r w:rsidRPr="002F6538">
              <w:rPr>
                <w:sz w:val="16"/>
                <w:szCs w:val="16"/>
              </w:rPr>
              <w:t>10</w:t>
            </w:r>
          </w:p>
        </w:tc>
        <w:tc>
          <w:tcPr>
            <w:tcW w:w="1751" w:type="dxa"/>
            <w:shd w:val="clear" w:color="auto" w:fill="auto"/>
          </w:tcPr>
          <w:p w14:paraId="2F116A43" w14:textId="77777777" w:rsidR="00233E2A" w:rsidRPr="002F6538" w:rsidRDefault="00233E2A" w:rsidP="0010403B">
            <w:pPr>
              <w:rPr>
                <w:sz w:val="16"/>
                <w:szCs w:val="16"/>
              </w:rPr>
            </w:pPr>
          </w:p>
        </w:tc>
        <w:tc>
          <w:tcPr>
            <w:tcW w:w="1550" w:type="dxa"/>
            <w:shd w:val="clear" w:color="auto" w:fill="auto"/>
          </w:tcPr>
          <w:p w14:paraId="4A264729" w14:textId="77777777" w:rsidR="00233E2A" w:rsidRPr="002F6538" w:rsidRDefault="00233E2A" w:rsidP="0010403B">
            <w:pPr>
              <w:rPr>
                <w:sz w:val="16"/>
                <w:szCs w:val="16"/>
              </w:rPr>
            </w:pPr>
          </w:p>
        </w:tc>
        <w:tc>
          <w:tcPr>
            <w:tcW w:w="1692" w:type="dxa"/>
            <w:shd w:val="clear" w:color="auto" w:fill="auto"/>
          </w:tcPr>
          <w:p w14:paraId="3984B9ED" w14:textId="77777777" w:rsidR="00233E2A" w:rsidRPr="002F6538" w:rsidRDefault="00233E2A" w:rsidP="0010403B">
            <w:pPr>
              <w:rPr>
                <w:sz w:val="16"/>
                <w:szCs w:val="16"/>
              </w:rPr>
            </w:pPr>
          </w:p>
        </w:tc>
        <w:tc>
          <w:tcPr>
            <w:tcW w:w="1584" w:type="dxa"/>
            <w:shd w:val="clear" w:color="auto" w:fill="auto"/>
          </w:tcPr>
          <w:p w14:paraId="33DD7E42" w14:textId="77777777" w:rsidR="00233E2A" w:rsidRPr="002F6538" w:rsidRDefault="00233E2A" w:rsidP="0010403B">
            <w:pPr>
              <w:rPr>
                <w:sz w:val="16"/>
                <w:szCs w:val="16"/>
              </w:rPr>
            </w:pPr>
          </w:p>
        </w:tc>
        <w:tc>
          <w:tcPr>
            <w:tcW w:w="1154" w:type="dxa"/>
            <w:shd w:val="clear" w:color="auto" w:fill="auto"/>
          </w:tcPr>
          <w:p w14:paraId="5341768D" w14:textId="77777777" w:rsidR="00233E2A" w:rsidRPr="002F6538" w:rsidRDefault="00233E2A" w:rsidP="0010403B">
            <w:pPr>
              <w:rPr>
                <w:sz w:val="16"/>
                <w:szCs w:val="16"/>
              </w:rPr>
            </w:pPr>
          </w:p>
        </w:tc>
        <w:tc>
          <w:tcPr>
            <w:tcW w:w="1134" w:type="dxa"/>
            <w:shd w:val="clear" w:color="auto" w:fill="auto"/>
          </w:tcPr>
          <w:p w14:paraId="116DF17E" w14:textId="77777777" w:rsidR="00233E2A" w:rsidRPr="002F6538" w:rsidRDefault="00233E2A" w:rsidP="0010403B">
            <w:pPr>
              <w:rPr>
                <w:sz w:val="16"/>
                <w:szCs w:val="16"/>
              </w:rPr>
            </w:pPr>
          </w:p>
        </w:tc>
        <w:tc>
          <w:tcPr>
            <w:tcW w:w="2268" w:type="dxa"/>
            <w:shd w:val="clear" w:color="auto" w:fill="auto"/>
          </w:tcPr>
          <w:p w14:paraId="41D62253" w14:textId="77777777" w:rsidR="00233E2A" w:rsidRPr="002F6538" w:rsidRDefault="00233E2A" w:rsidP="0010403B">
            <w:pPr>
              <w:rPr>
                <w:sz w:val="16"/>
                <w:szCs w:val="16"/>
              </w:rPr>
            </w:pPr>
          </w:p>
        </w:tc>
        <w:tc>
          <w:tcPr>
            <w:tcW w:w="2268" w:type="dxa"/>
            <w:shd w:val="clear" w:color="auto" w:fill="auto"/>
          </w:tcPr>
          <w:p w14:paraId="4EEFA2CB" w14:textId="77777777" w:rsidR="00233E2A" w:rsidRPr="002F6538" w:rsidRDefault="00233E2A" w:rsidP="0010403B">
            <w:pPr>
              <w:rPr>
                <w:sz w:val="16"/>
                <w:szCs w:val="16"/>
              </w:rPr>
            </w:pPr>
          </w:p>
        </w:tc>
      </w:tr>
      <w:tr w:rsidR="00233E2A" w:rsidRPr="002A040C" w14:paraId="53B09725" w14:textId="77777777" w:rsidTr="0010403B">
        <w:tc>
          <w:tcPr>
            <w:tcW w:w="1024" w:type="dxa"/>
            <w:shd w:val="clear" w:color="auto" w:fill="auto"/>
          </w:tcPr>
          <w:p w14:paraId="282A370E" w14:textId="77777777" w:rsidR="00233E2A" w:rsidRPr="002F6538" w:rsidRDefault="00233E2A" w:rsidP="0010403B">
            <w:pPr>
              <w:rPr>
                <w:sz w:val="16"/>
                <w:szCs w:val="16"/>
              </w:rPr>
            </w:pPr>
            <w:r w:rsidRPr="002F6538">
              <w:rPr>
                <w:sz w:val="16"/>
                <w:szCs w:val="16"/>
              </w:rPr>
              <w:t xml:space="preserve">20 </w:t>
            </w:r>
          </w:p>
        </w:tc>
        <w:tc>
          <w:tcPr>
            <w:tcW w:w="1751" w:type="dxa"/>
            <w:shd w:val="clear" w:color="auto" w:fill="auto"/>
          </w:tcPr>
          <w:p w14:paraId="768EDC50" w14:textId="77777777" w:rsidR="00233E2A" w:rsidRPr="002F6538" w:rsidRDefault="00233E2A" w:rsidP="0010403B">
            <w:pPr>
              <w:rPr>
                <w:sz w:val="16"/>
                <w:szCs w:val="16"/>
              </w:rPr>
            </w:pPr>
            <w:r w:rsidRPr="002F6538">
              <w:rPr>
                <w:sz w:val="16"/>
                <w:szCs w:val="16"/>
              </w:rPr>
              <w:t>+</w:t>
            </w:r>
          </w:p>
        </w:tc>
        <w:tc>
          <w:tcPr>
            <w:tcW w:w="1550" w:type="dxa"/>
            <w:shd w:val="clear" w:color="auto" w:fill="auto"/>
          </w:tcPr>
          <w:p w14:paraId="61A6ED29" w14:textId="77777777" w:rsidR="00233E2A" w:rsidRPr="002F6538" w:rsidRDefault="00233E2A" w:rsidP="0010403B">
            <w:pPr>
              <w:rPr>
                <w:sz w:val="16"/>
                <w:szCs w:val="16"/>
              </w:rPr>
            </w:pPr>
            <w:r w:rsidRPr="002F6538">
              <w:rPr>
                <w:sz w:val="16"/>
                <w:szCs w:val="16"/>
              </w:rPr>
              <w:t>++</w:t>
            </w:r>
          </w:p>
        </w:tc>
        <w:tc>
          <w:tcPr>
            <w:tcW w:w="1692" w:type="dxa"/>
            <w:shd w:val="clear" w:color="auto" w:fill="auto"/>
          </w:tcPr>
          <w:p w14:paraId="5BE520B9" w14:textId="77777777" w:rsidR="00233E2A" w:rsidRPr="002F6538" w:rsidRDefault="00233E2A" w:rsidP="0010403B">
            <w:pPr>
              <w:rPr>
                <w:sz w:val="16"/>
                <w:szCs w:val="16"/>
              </w:rPr>
            </w:pPr>
            <w:r w:rsidRPr="002F6538">
              <w:rPr>
                <w:sz w:val="16"/>
                <w:szCs w:val="16"/>
              </w:rPr>
              <w:t>++</w:t>
            </w:r>
          </w:p>
        </w:tc>
        <w:tc>
          <w:tcPr>
            <w:tcW w:w="1584" w:type="dxa"/>
            <w:shd w:val="clear" w:color="auto" w:fill="auto"/>
          </w:tcPr>
          <w:p w14:paraId="00254974" w14:textId="77777777" w:rsidR="00233E2A" w:rsidRPr="002F6538" w:rsidRDefault="00233E2A" w:rsidP="0010403B">
            <w:pPr>
              <w:rPr>
                <w:sz w:val="16"/>
                <w:szCs w:val="16"/>
              </w:rPr>
            </w:pPr>
            <w:r w:rsidRPr="002F6538">
              <w:rPr>
                <w:sz w:val="16"/>
                <w:szCs w:val="16"/>
              </w:rPr>
              <w:t>++</w:t>
            </w:r>
          </w:p>
        </w:tc>
        <w:tc>
          <w:tcPr>
            <w:tcW w:w="1154" w:type="dxa"/>
            <w:shd w:val="clear" w:color="auto" w:fill="auto"/>
          </w:tcPr>
          <w:p w14:paraId="317F9E5D" w14:textId="77777777" w:rsidR="00233E2A" w:rsidRPr="002F6538" w:rsidRDefault="00233E2A" w:rsidP="0010403B">
            <w:pPr>
              <w:rPr>
                <w:sz w:val="16"/>
                <w:szCs w:val="16"/>
              </w:rPr>
            </w:pPr>
            <w:r w:rsidRPr="002F6538">
              <w:rPr>
                <w:sz w:val="16"/>
                <w:szCs w:val="16"/>
              </w:rPr>
              <w:t>++</w:t>
            </w:r>
          </w:p>
        </w:tc>
        <w:tc>
          <w:tcPr>
            <w:tcW w:w="1134" w:type="dxa"/>
            <w:shd w:val="clear" w:color="auto" w:fill="auto"/>
          </w:tcPr>
          <w:p w14:paraId="07EB2A9C" w14:textId="77777777" w:rsidR="00233E2A" w:rsidRPr="002F6538" w:rsidRDefault="00233E2A" w:rsidP="0010403B">
            <w:pPr>
              <w:rPr>
                <w:sz w:val="16"/>
                <w:szCs w:val="16"/>
              </w:rPr>
            </w:pPr>
            <w:r w:rsidRPr="002F6538">
              <w:rPr>
                <w:sz w:val="16"/>
                <w:szCs w:val="16"/>
              </w:rPr>
              <w:t>++</w:t>
            </w:r>
          </w:p>
        </w:tc>
        <w:tc>
          <w:tcPr>
            <w:tcW w:w="2268" w:type="dxa"/>
            <w:shd w:val="clear" w:color="auto" w:fill="auto"/>
          </w:tcPr>
          <w:p w14:paraId="63CE55D9" w14:textId="77777777" w:rsidR="00233E2A" w:rsidRPr="002F6538" w:rsidRDefault="00233E2A" w:rsidP="0010403B">
            <w:pPr>
              <w:rPr>
                <w:sz w:val="16"/>
                <w:szCs w:val="16"/>
              </w:rPr>
            </w:pPr>
            <w:r w:rsidRPr="002F6538">
              <w:rPr>
                <w:sz w:val="16"/>
                <w:szCs w:val="16"/>
              </w:rPr>
              <w:t>++</w:t>
            </w:r>
          </w:p>
        </w:tc>
        <w:tc>
          <w:tcPr>
            <w:tcW w:w="2268" w:type="dxa"/>
            <w:shd w:val="clear" w:color="auto" w:fill="auto"/>
          </w:tcPr>
          <w:p w14:paraId="7DC041FE" w14:textId="77777777" w:rsidR="00233E2A" w:rsidRPr="002F6538" w:rsidRDefault="00233E2A" w:rsidP="0010403B">
            <w:pPr>
              <w:rPr>
                <w:sz w:val="16"/>
                <w:szCs w:val="16"/>
              </w:rPr>
            </w:pPr>
          </w:p>
        </w:tc>
      </w:tr>
      <w:tr w:rsidR="00233E2A" w:rsidRPr="002A040C" w14:paraId="186030AE" w14:textId="77777777" w:rsidTr="0010403B">
        <w:tc>
          <w:tcPr>
            <w:tcW w:w="1024" w:type="dxa"/>
            <w:shd w:val="clear" w:color="auto" w:fill="auto"/>
          </w:tcPr>
          <w:p w14:paraId="38A3599B" w14:textId="77777777" w:rsidR="00233E2A" w:rsidRPr="002F6538" w:rsidRDefault="00233E2A" w:rsidP="0010403B">
            <w:pPr>
              <w:rPr>
                <w:sz w:val="16"/>
                <w:szCs w:val="16"/>
              </w:rPr>
            </w:pPr>
            <w:r w:rsidRPr="002F6538">
              <w:rPr>
                <w:sz w:val="16"/>
                <w:szCs w:val="16"/>
              </w:rPr>
              <w:t>80</w:t>
            </w:r>
          </w:p>
        </w:tc>
        <w:tc>
          <w:tcPr>
            <w:tcW w:w="1751" w:type="dxa"/>
            <w:shd w:val="clear" w:color="auto" w:fill="auto"/>
          </w:tcPr>
          <w:p w14:paraId="6DB1701D" w14:textId="77777777" w:rsidR="00233E2A" w:rsidRPr="002F6538" w:rsidRDefault="00233E2A" w:rsidP="0010403B">
            <w:pPr>
              <w:rPr>
                <w:sz w:val="16"/>
                <w:szCs w:val="16"/>
              </w:rPr>
            </w:pPr>
          </w:p>
        </w:tc>
        <w:tc>
          <w:tcPr>
            <w:tcW w:w="1550" w:type="dxa"/>
            <w:shd w:val="clear" w:color="auto" w:fill="auto"/>
          </w:tcPr>
          <w:p w14:paraId="4B26FC73" w14:textId="77777777" w:rsidR="00233E2A" w:rsidRPr="002F6538" w:rsidRDefault="00233E2A" w:rsidP="0010403B">
            <w:pPr>
              <w:rPr>
                <w:sz w:val="16"/>
                <w:szCs w:val="16"/>
              </w:rPr>
            </w:pPr>
          </w:p>
        </w:tc>
        <w:tc>
          <w:tcPr>
            <w:tcW w:w="1692" w:type="dxa"/>
            <w:shd w:val="clear" w:color="auto" w:fill="auto"/>
          </w:tcPr>
          <w:p w14:paraId="31AFA19E" w14:textId="77777777" w:rsidR="00233E2A" w:rsidRPr="002F6538" w:rsidRDefault="00233E2A" w:rsidP="0010403B">
            <w:pPr>
              <w:rPr>
                <w:sz w:val="16"/>
                <w:szCs w:val="16"/>
              </w:rPr>
            </w:pPr>
          </w:p>
        </w:tc>
        <w:tc>
          <w:tcPr>
            <w:tcW w:w="1584" w:type="dxa"/>
            <w:shd w:val="clear" w:color="auto" w:fill="auto"/>
          </w:tcPr>
          <w:p w14:paraId="39D7FC12" w14:textId="77777777" w:rsidR="00233E2A" w:rsidRPr="002F6538" w:rsidRDefault="00233E2A" w:rsidP="0010403B">
            <w:pPr>
              <w:rPr>
                <w:sz w:val="16"/>
                <w:szCs w:val="16"/>
              </w:rPr>
            </w:pPr>
          </w:p>
        </w:tc>
        <w:tc>
          <w:tcPr>
            <w:tcW w:w="1154" w:type="dxa"/>
            <w:shd w:val="clear" w:color="auto" w:fill="auto"/>
          </w:tcPr>
          <w:p w14:paraId="2DEE17EE" w14:textId="77777777" w:rsidR="00233E2A" w:rsidRPr="002F6538" w:rsidRDefault="00233E2A" w:rsidP="0010403B">
            <w:pPr>
              <w:rPr>
                <w:sz w:val="16"/>
                <w:szCs w:val="16"/>
              </w:rPr>
            </w:pPr>
          </w:p>
        </w:tc>
        <w:tc>
          <w:tcPr>
            <w:tcW w:w="1134" w:type="dxa"/>
            <w:shd w:val="clear" w:color="auto" w:fill="auto"/>
          </w:tcPr>
          <w:p w14:paraId="2218D3B0" w14:textId="77777777" w:rsidR="00233E2A" w:rsidRPr="002F6538" w:rsidRDefault="00233E2A" w:rsidP="0010403B">
            <w:pPr>
              <w:rPr>
                <w:sz w:val="16"/>
                <w:szCs w:val="16"/>
              </w:rPr>
            </w:pPr>
          </w:p>
        </w:tc>
        <w:tc>
          <w:tcPr>
            <w:tcW w:w="2268" w:type="dxa"/>
            <w:shd w:val="clear" w:color="auto" w:fill="auto"/>
          </w:tcPr>
          <w:p w14:paraId="2D7DD2B1" w14:textId="77777777" w:rsidR="00233E2A" w:rsidRPr="002F6538" w:rsidRDefault="00233E2A" w:rsidP="0010403B">
            <w:pPr>
              <w:rPr>
                <w:sz w:val="16"/>
                <w:szCs w:val="16"/>
              </w:rPr>
            </w:pPr>
          </w:p>
        </w:tc>
        <w:tc>
          <w:tcPr>
            <w:tcW w:w="2268" w:type="dxa"/>
            <w:shd w:val="clear" w:color="auto" w:fill="auto"/>
          </w:tcPr>
          <w:p w14:paraId="4F089C47" w14:textId="77777777" w:rsidR="00233E2A" w:rsidRPr="002F6538" w:rsidRDefault="00233E2A" w:rsidP="0010403B">
            <w:pPr>
              <w:rPr>
                <w:sz w:val="16"/>
                <w:szCs w:val="16"/>
              </w:rPr>
            </w:pPr>
          </w:p>
        </w:tc>
      </w:tr>
      <w:tr w:rsidR="00233E2A" w:rsidRPr="002A040C" w14:paraId="0EA3D2DD" w14:textId="77777777" w:rsidTr="0010403B">
        <w:tc>
          <w:tcPr>
            <w:tcW w:w="1024" w:type="dxa"/>
            <w:shd w:val="clear" w:color="auto" w:fill="auto"/>
          </w:tcPr>
          <w:p w14:paraId="3D38315E" w14:textId="77777777" w:rsidR="00233E2A" w:rsidRPr="002F6538" w:rsidRDefault="00233E2A" w:rsidP="0010403B">
            <w:pPr>
              <w:rPr>
                <w:sz w:val="16"/>
                <w:szCs w:val="16"/>
              </w:rPr>
            </w:pPr>
            <w:r w:rsidRPr="002F6538">
              <w:rPr>
                <w:sz w:val="16"/>
                <w:szCs w:val="16"/>
              </w:rPr>
              <w:t>100</w:t>
            </w:r>
          </w:p>
        </w:tc>
        <w:tc>
          <w:tcPr>
            <w:tcW w:w="1751" w:type="dxa"/>
            <w:shd w:val="clear" w:color="auto" w:fill="auto"/>
          </w:tcPr>
          <w:p w14:paraId="2FCAB8CB" w14:textId="77777777" w:rsidR="00233E2A" w:rsidRPr="002F6538" w:rsidRDefault="00233E2A" w:rsidP="0010403B">
            <w:pPr>
              <w:rPr>
                <w:sz w:val="16"/>
                <w:szCs w:val="16"/>
              </w:rPr>
            </w:pPr>
            <w:r w:rsidRPr="002F6538">
              <w:rPr>
                <w:sz w:val="16"/>
                <w:szCs w:val="16"/>
              </w:rPr>
              <w:t>++</w:t>
            </w:r>
          </w:p>
        </w:tc>
        <w:tc>
          <w:tcPr>
            <w:tcW w:w="1550" w:type="dxa"/>
            <w:shd w:val="clear" w:color="auto" w:fill="auto"/>
          </w:tcPr>
          <w:p w14:paraId="0F200ED4" w14:textId="77777777" w:rsidR="00233E2A" w:rsidRPr="002F6538" w:rsidRDefault="00233E2A" w:rsidP="0010403B">
            <w:pPr>
              <w:rPr>
                <w:sz w:val="16"/>
                <w:szCs w:val="16"/>
              </w:rPr>
            </w:pPr>
            <w:r w:rsidRPr="002F6538">
              <w:rPr>
                <w:sz w:val="16"/>
                <w:szCs w:val="16"/>
              </w:rPr>
              <w:t>+++</w:t>
            </w:r>
          </w:p>
        </w:tc>
        <w:tc>
          <w:tcPr>
            <w:tcW w:w="1692" w:type="dxa"/>
            <w:shd w:val="clear" w:color="auto" w:fill="auto"/>
          </w:tcPr>
          <w:p w14:paraId="5BE58EA4" w14:textId="77777777" w:rsidR="00233E2A" w:rsidRPr="002F6538" w:rsidRDefault="00233E2A" w:rsidP="0010403B">
            <w:pPr>
              <w:rPr>
                <w:sz w:val="16"/>
                <w:szCs w:val="16"/>
              </w:rPr>
            </w:pPr>
            <w:r w:rsidRPr="002F6538">
              <w:rPr>
                <w:sz w:val="16"/>
                <w:szCs w:val="16"/>
              </w:rPr>
              <w:t>+++</w:t>
            </w:r>
          </w:p>
        </w:tc>
        <w:tc>
          <w:tcPr>
            <w:tcW w:w="1584" w:type="dxa"/>
            <w:shd w:val="clear" w:color="auto" w:fill="auto"/>
          </w:tcPr>
          <w:p w14:paraId="109E0931" w14:textId="77777777" w:rsidR="00233E2A" w:rsidRPr="002F6538" w:rsidRDefault="00233E2A" w:rsidP="0010403B">
            <w:pPr>
              <w:rPr>
                <w:sz w:val="16"/>
                <w:szCs w:val="16"/>
              </w:rPr>
            </w:pPr>
            <w:r w:rsidRPr="002F6538">
              <w:rPr>
                <w:sz w:val="16"/>
                <w:szCs w:val="16"/>
              </w:rPr>
              <w:t>++</w:t>
            </w:r>
          </w:p>
        </w:tc>
        <w:tc>
          <w:tcPr>
            <w:tcW w:w="1154" w:type="dxa"/>
            <w:shd w:val="clear" w:color="auto" w:fill="auto"/>
          </w:tcPr>
          <w:p w14:paraId="19D34796" w14:textId="77777777" w:rsidR="00233E2A" w:rsidRPr="002F6538" w:rsidRDefault="00233E2A" w:rsidP="0010403B">
            <w:pPr>
              <w:rPr>
                <w:sz w:val="16"/>
                <w:szCs w:val="16"/>
              </w:rPr>
            </w:pPr>
            <w:r w:rsidRPr="002F6538">
              <w:rPr>
                <w:sz w:val="16"/>
                <w:szCs w:val="16"/>
              </w:rPr>
              <w:t>++</w:t>
            </w:r>
          </w:p>
        </w:tc>
        <w:tc>
          <w:tcPr>
            <w:tcW w:w="1134" w:type="dxa"/>
            <w:shd w:val="clear" w:color="auto" w:fill="auto"/>
          </w:tcPr>
          <w:p w14:paraId="596E1477" w14:textId="77777777" w:rsidR="00233E2A" w:rsidRPr="002F6538" w:rsidRDefault="00233E2A" w:rsidP="0010403B">
            <w:pPr>
              <w:rPr>
                <w:sz w:val="16"/>
                <w:szCs w:val="16"/>
              </w:rPr>
            </w:pPr>
            <w:r w:rsidRPr="002F6538">
              <w:rPr>
                <w:sz w:val="16"/>
                <w:szCs w:val="16"/>
              </w:rPr>
              <w:t>++</w:t>
            </w:r>
          </w:p>
        </w:tc>
        <w:tc>
          <w:tcPr>
            <w:tcW w:w="2268" w:type="dxa"/>
            <w:shd w:val="clear" w:color="auto" w:fill="auto"/>
          </w:tcPr>
          <w:p w14:paraId="6F14044D" w14:textId="77777777" w:rsidR="00233E2A" w:rsidRPr="002F6538" w:rsidRDefault="00233E2A" w:rsidP="0010403B">
            <w:pPr>
              <w:rPr>
                <w:sz w:val="16"/>
                <w:szCs w:val="16"/>
              </w:rPr>
            </w:pPr>
            <w:r w:rsidRPr="002F6538">
              <w:rPr>
                <w:sz w:val="16"/>
                <w:szCs w:val="16"/>
              </w:rPr>
              <w:t>++</w:t>
            </w:r>
          </w:p>
        </w:tc>
        <w:tc>
          <w:tcPr>
            <w:tcW w:w="2268" w:type="dxa"/>
            <w:shd w:val="clear" w:color="auto" w:fill="auto"/>
          </w:tcPr>
          <w:p w14:paraId="6DF5ED77" w14:textId="77777777" w:rsidR="00233E2A" w:rsidRPr="002F6538" w:rsidRDefault="00233E2A" w:rsidP="0010403B">
            <w:pPr>
              <w:rPr>
                <w:sz w:val="16"/>
                <w:szCs w:val="16"/>
              </w:rPr>
            </w:pPr>
            <w:r w:rsidRPr="002F6538">
              <w:rPr>
                <w:sz w:val="16"/>
                <w:szCs w:val="16"/>
              </w:rPr>
              <w:t>+</w:t>
            </w:r>
          </w:p>
        </w:tc>
      </w:tr>
      <w:tr w:rsidR="00233E2A" w:rsidRPr="002A040C" w14:paraId="69978FF4" w14:textId="77777777" w:rsidTr="0010403B">
        <w:tc>
          <w:tcPr>
            <w:tcW w:w="1024" w:type="dxa"/>
            <w:shd w:val="clear" w:color="auto" w:fill="auto"/>
          </w:tcPr>
          <w:p w14:paraId="3DDD19AA" w14:textId="77777777" w:rsidR="00233E2A" w:rsidRPr="002F6538" w:rsidRDefault="00233E2A" w:rsidP="0010403B">
            <w:pPr>
              <w:rPr>
                <w:sz w:val="16"/>
                <w:szCs w:val="16"/>
              </w:rPr>
            </w:pPr>
            <w:r w:rsidRPr="002F6538">
              <w:rPr>
                <w:sz w:val="16"/>
                <w:szCs w:val="16"/>
              </w:rPr>
              <w:t>250</w:t>
            </w:r>
          </w:p>
        </w:tc>
        <w:tc>
          <w:tcPr>
            <w:tcW w:w="1751" w:type="dxa"/>
            <w:shd w:val="clear" w:color="auto" w:fill="auto"/>
          </w:tcPr>
          <w:p w14:paraId="662E5D21" w14:textId="77777777" w:rsidR="00233E2A" w:rsidRPr="002F6538" w:rsidRDefault="00233E2A" w:rsidP="0010403B">
            <w:pPr>
              <w:rPr>
                <w:sz w:val="16"/>
                <w:szCs w:val="16"/>
              </w:rPr>
            </w:pPr>
          </w:p>
        </w:tc>
        <w:tc>
          <w:tcPr>
            <w:tcW w:w="1550" w:type="dxa"/>
            <w:shd w:val="clear" w:color="auto" w:fill="auto"/>
          </w:tcPr>
          <w:p w14:paraId="1BB7BB0B" w14:textId="77777777" w:rsidR="00233E2A" w:rsidRPr="002F6538" w:rsidRDefault="00233E2A" w:rsidP="0010403B">
            <w:pPr>
              <w:rPr>
                <w:sz w:val="16"/>
                <w:szCs w:val="16"/>
              </w:rPr>
            </w:pPr>
          </w:p>
        </w:tc>
        <w:tc>
          <w:tcPr>
            <w:tcW w:w="1692" w:type="dxa"/>
            <w:shd w:val="clear" w:color="auto" w:fill="auto"/>
          </w:tcPr>
          <w:p w14:paraId="728F58BA" w14:textId="77777777" w:rsidR="00233E2A" w:rsidRPr="002F6538" w:rsidRDefault="00233E2A" w:rsidP="0010403B">
            <w:pPr>
              <w:rPr>
                <w:sz w:val="16"/>
                <w:szCs w:val="16"/>
              </w:rPr>
            </w:pPr>
          </w:p>
        </w:tc>
        <w:tc>
          <w:tcPr>
            <w:tcW w:w="1584" w:type="dxa"/>
            <w:shd w:val="clear" w:color="auto" w:fill="auto"/>
          </w:tcPr>
          <w:p w14:paraId="004BDF92" w14:textId="77777777" w:rsidR="00233E2A" w:rsidRPr="002F6538" w:rsidRDefault="00233E2A" w:rsidP="0010403B">
            <w:pPr>
              <w:rPr>
                <w:sz w:val="16"/>
                <w:szCs w:val="16"/>
              </w:rPr>
            </w:pPr>
          </w:p>
        </w:tc>
        <w:tc>
          <w:tcPr>
            <w:tcW w:w="1154" w:type="dxa"/>
            <w:shd w:val="clear" w:color="auto" w:fill="auto"/>
          </w:tcPr>
          <w:p w14:paraId="79CC8B39" w14:textId="77777777" w:rsidR="00233E2A" w:rsidRPr="002F6538" w:rsidRDefault="00233E2A" w:rsidP="0010403B">
            <w:pPr>
              <w:rPr>
                <w:sz w:val="16"/>
                <w:szCs w:val="16"/>
              </w:rPr>
            </w:pPr>
          </w:p>
        </w:tc>
        <w:tc>
          <w:tcPr>
            <w:tcW w:w="1134" w:type="dxa"/>
            <w:shd w:val="clear" w:color="auto" w:fill="auto"/>
          </w:tcPr>
          <w:p w14:paraId="370609D6" w14:textId="77777777" w:rsidR="00233E2A" w:rsidRPr="002F6538" w:rsidRDefault="00233E2A" w:rsidP="0010403B">
            <w:pPr>
              <w:rPr>
                <w:sz w:val="16"/>
                <w:szCs w:val="16"/>
              </w:rPr>
            </w:pPr>
          </w:p>
        </w:tc>
        <w:tc>
          <w:tcPr>
            <w:tcW w:w="2268" w:type="dxa"/>
            <w:shd w:val="clear" w:color="auto" w:fill="auto"/>
          </w:tcPr>
          <w:p w14:paraId="7DB42FD4" w14:textId="77777777" w:rsidR="00233E2A" w:rsidRPr="002F6538" w:rsidRDefault="00233E2A" w:rsidP="0010403B">
            <w:pPr>
              <w:rPr>
                <w:sz w:val="16"/>
                <w:szCs w:val="16"/>
              </w:rPr>
            </w:pPr>
          </w:p>
        </w:tc>
        <w:tc>
          <w:tcPr>
            <w:tcW w:w="2268" w:type="dxa"/>
            <w:shd w:val="clear" w:color="auto" w:fill="auto"/>
          </w:tcPr>
          <w:p w14:paraId="049BD719" w14:textId="77777777" w:rsidR="00233E2A" w:rsidRPr="002F6538" w:rsidRDefault="00233E2A" w:rsidP="0010403B">
            <w:pPr>
              <w:rPr>
                <w:sz w:val="16"/>
                <w:szCs w:val="16"/>
              </w:rPr>
            </w:pPr>
          </w:p>
        </w:tc>
      </w:tr>
      <w:tr w:rsidR="00233E2A" w:rsidRPr="002A040C" w14:paraId="05268505" w14:textId="77777777" w:rsidTr="0010403B">
        <w:tc>
          <w:tcPr>
            <w:tcW w:w="1024" w:type="dxa"/>
            <w:shd w:val="clear" w:color="auto" w:fill="auto"/>
          </w:tcPr>
          <w:p w14:paraId="767A747B" w14:textId="77777777" w:rsidR="00233E2A" w:rsidRPr="002F6538" w:rsidRDefault="00233E2A" w:rsidP="0010403B">
            <w:pPr>
              <w:rPr>
                <w:sz w:val="16"/>
                <w:szCs w:val="16"/>
              </w:rPr>
            </w:pPr>
            <w:r w:rsidRPr="002F6538">
              <w:rPr>
                <w:sz w:val="16"/>
                <w:szCs w:val="16"/>
              </w:rPr>
              <w:t>300</w:t>
            </w:r>
          </w:p>
        </w:tc>
        <w:tc>
          <w:tcPr>
            <w:tcW w:w="1751" w:type="dxa"/>
            <w:shd w:val="clear" w:color="auto" w:fill="auto"/>
          </w:tcPr>
          <w:p w14:paraId="52D381A7" w14:textId="77777777" w:rsidR="00233E2A" w:rsidRPr="002F6538" w:rsidRDefault="00233E2A" w:rsidP="0010403B">
            <w:pPr>
              <w:rPr>
                <w:sz w:val="16"/>
                <w:szCs w:val="16"/>
              </w:rPr>
            </w:pPr>
          </w:p>
        </w:tc>
        <w:tc>
          <w:tcPr>
            <w:tcW w:w="1550" w:type="dxa"/>
            <w:shd w:val="clear" w:color="auto" w:fill="auto"/>
          </w:tcPr>
          <w:p w14:paraId="1721BDF6" w14:textId="77777777" w:rsidR="00233E2A" w:rsidRPr="002F6538" w:rsidRDefault="00233E2A" w:rsidP="0010403B">
            <w:pPr>
              <w:rPr>
                <w:sz w:val="16"/>
                <w:szCs w:val="16"/>
              </w:rPr>
            </w:pPr>
            <w:r w:rsidRPr="002F6538">
              <w:rPr>
                <w:sz w:val="16"/>
                <w:szCs w:val="16"/>
              </w:rPr>
              <w:t>+++</w:t>
            </w:r>
          </w:p>
        </w:tc>
        <w:tc>
          <w:tcPr>
            <w:tcW w:w="1692" w:type="dxa"/>
            <w:shd w:val="clear" w:color="auto" w:fill="auto"/>
          </w:tcPr>
          <w:p w14:paraId="04813520" w14:textId="77777777" w:rsidR="00233E2A" w:rsidRPr="002F6538" w:rsidRDefault="00233E2A" w:rsidP="0010403B">
            <w:pPr>
              <w:rPr>
                <w:sz w:val="16"/>
                <w:szCs w:val="16"/>
              </w:rPr>
            </w:pPr>
          </w:p>
        </w:tc>
        <w:tc>
          <w:tcPr>
            <w:tcW w:w="1584" w:type="dxa"/>
            <w:shd w:val="clear" w:color="auto" w:fill="auto"/>
          </w:tcPr>
          <w:p w14:paraId="6BDFCD49" w14:textId="77777777" w:rsidR="00233E2A" w:rsidRPr="002F6538" w:rsidRDefault="00233E2A" w:rsidP="0010403B">
            <w:pPr>
              <w:rPr>
                <w:sz w:val="16"/>
                <w:szCs w:val="16"/>
              </w:rPr>
            </w:pPr>
          </w:p>
        </w:tc>
        <w:tc>
          <w:tcPr>
            <w:tcW w:w="1154" w:type="dxa"/>
            <w:shd w:val="clear" w:color="auto" w:fill="auto"/>
          </w:tcPr>
          <w:p w14:paraId="03D3605C" w14:textId="77777777" w:rsidR="00233E2A" w:rsidRPr="002F6538" w:rsidRDefault="00233E2A" w:rsidP="0010403B">
            <w:pPr>
              <w:rPr>
                <w:sz w:val="16"/>
                <w:szCs w:val="16"/>
              </w:rPr>
            </w:pPr>
          </w:p>
        </w:tc>
        <w:tc>
          <w:tcPr>
            <w:tcW w:w="1134" w:type="dxa"/>
            <w:shd w:val="clear" w:color="auto" w:fill="auto"/>
          </w:tcPr>
          <w:p w14:paraId="5F246031" w14:textId="77777777" w:rsidR="00233E2A" w:rsidRPr="002F6538" w:rsidRDefault="00233E2A" w:rsidP="0010403B">
            <w:pPr>
              <w:rPr>
                <w:sz w:val="16"/>
                <w:szCs w:val="16"/>
              </w:rPr>
            </w:pPr>
          </w:p>
        </w:tc>
        <w:tc>
          <w:tcPr>
            <w:tcW w:w="2268" w:type="dxa"/>
            <w:shd w:val="clear" w:color="auto" w:fill="auto"/>
          </w:tcPr>
          <w:p w14:paraId="118B2F8A" w14:textId="77777777" w:rsidR="00233E2A" w:rsidRPr="002F6538" w:rsidRDefault="00233E2A" w:rsidP="0010403B">
            <w:pPr>
              <w:rPr>
                <w:sz w:val="16"/>
                <w:szCs w:val="16"/>
              </w:rPr>
            </w:pPr>
          </w:p>
        </w:tc>
        <w:tc>
          <w:tcPr>
            <w:tcW w:w="2268" w:type="dxa"/>
            <w:shd w:val="clear" w:color="auto" w:fill="auto"/>
          </w:tcPr>
          <w:p w14:paraId="23AB7EA7" w14:textId="77777777" w:rsidR="00233E2A" w:rsidRPr="002F6538" w:rsidRDefault="00233E2A" w:rsidP="0010403B">
            <w:pPr>
              <w:rPr>
                <w:sz w:val="16"/>
                <w:szCs w:val="16"/>
              </w:rPr>
            </w:pPr>
          </w:p>
        </w:tc>
      </w:tr>
      <w:tr w:rsidR="00233E2A" w:rsidRPr="002A040C" w14:paraId="0212926A" w14:textId="77777777" w:rsidTr="0010403B">
        <w:tc>
          <w:tcPr>
            <w:tcW w:w="1024" w:type="dxa"/>
            <w:shd w:val="clear" w:color="auto" w:fill="auto"/>
          </w:tcPr>
          <w:p w14:paraId="31C9B4B5" w14:textId="77777777" w:rsidR="00233E2A" w:rsidRPr="002F6538" w:rsidRDefault="00233E2A" w:rsidP="0010403B">
            <w:pPr>
              <w:rPr>
                <w:sz w:val="16"/>
                <w:szCs w:val="16"/>
              </w:rPr>
            </w:pPr>
            <w:r w:rsidRPr="002F6538">
              <w:rPr>
                <w:sz w:val="16"/>
                <w:szCs w:val="16"/>
              </w:rPr>
              <w:t>400</w:t>
            </w:r>
          </w:p>
        </w:tc>
        <w:tc>
          <w:tcPr>
            <w:tcW w:w="1751" w:type="dxa"/>
            <w:shd w:val="clear" w:color="auto" w:fill="auto"/>
          </w:tcPr>
          <w:p w14:paraId="22265DD2" w14:textId="77777777" w:rsidR="00233E2A" w:rsidRPr="002F6538" w:rsidRDefault="00233E2A" w:rsidP="0010403B">
            <w:pPr>
              <w:rPr>
                <w:sz w:val="16"/>
                <w:szCs w:val="16"/>
              </w:rPr>
            </w:pPr>
          </w:p>
        </w:tc>
        <w:tc>
          <w:tcPr>
            <w:tcW w:w="1550" w:type="dxa"/>
            <w:shd w:val="clear" w:color="auto" w:fill="auto"/>
          </w:tcPr>
          <w:p w14:paraId="34EA0181" w14:textId="77777777" w:rsidR="00233E2A" w:rsidRPr="002F6538" w:rsidRDefault="00233E2A" w:rsidP="0010403B">
            <w:pPr>
              <w:rPr>
                <w:sz w:val="16"/>
                <w:szCs w:val="16"/>
              </w:rPr>
            </w:pPr>
          </w:p>
        </w:tc>
        <w:tc>
          <w:tcPr>
            <w:tcW w:w="1692" w:type="dxa"/>
            <w:shd w:val="clear" w:color="auto" w:fill="auto"/>
          </w:tcPr>
          <w:p w14:paraId="10487EE5" w14:textId="77777777" w:rsidR="00233E2A" w:rsidRPr="002F6538" w:rsidRDefault="00233E2A" w:rsidP="0010403B">
            <w:pPr>
              <w:rPr>
                <w:sz w:val="16"/>
                <w:szCs w:val="16"/>
              </w:rPr>
            </w:pPr>
          </w:p>
        </w:tc>
        <w:tc>
          <w:tcPr>
            <w:tcW w:w="1584" w:type="dxa"/>
            <w:shd w:val="clear" w:color="auto" w:fill="auto"/>
          </w:tcPr>
          <w:p w14:paraId="4838C02D" w14:textId="77777777" w:rsidR="00233E2A" w:rsidRPr="002F6538" w:rsidRDefault="00233E2A" w:rsidP="0010403B">
            <w:pPr>
              <w:rPr>
                <w:sz w:val="16"/>
                <w:szCs w:val="16"/>
              </w:rPr>
            </w:pPr>
          </w:p>
        </w:tc>
        <w:tc>
          <w:tcPr>
            <w:tcW w:w="1154" w:type="dxa"/>
            <w:shd w:val="clear" w:color="auto" w:fill="auto"/>
          </w:tcPr>
          <w:p w14:paraId="443165E6" w14:textId="77777777" w:rsidR="00233E2A" w:rsidRPr="002F6538" w:rsidRDefault="00233E2A" w:rsidP="0010403B">
            <w:pPr>
              <w:rPr>
                <w:sz w:val="16"/>
                <w:szCs w:val="16"/>
              </w:rPr>
            </w:pPr>
          </w:p>
        </w:tc>
        <w:tc>
          <w:tcPr>
            <w:tcW w:w="1134" w:type="dxa"/>
            <w:shd w:val="clear" w:color="auto" w:fill="auto"/>
          </w:tcPr>
          <w:p w14:paraId="361F0372" w14:textId="77777777" w:rsidR="00233E2A" w:rsidRPr="002F6538" w:rsidRDefault="00233E2A" w:rsidP="0010403B">
            <w:pPr>
              <w:rPr>
                <w:sz w:val="16"/>
                <w:szCs w:val="16"/>
              </w:rPr>
            </w:pPr>
          </w:p>
        </w:tc>
        <w:tc>
          <w:tcPr>
            <w:tcW w:w="2268" w:type="dxa"/>
            <w:shd w:val="clear" w:color="auto" w:fill="auto"/>
          </w:tcPr>
          <w:p w14:paraId="5ED3EC8D" w14:textId="77777777" w:rsidR="00233E2A" w:rsidRPr="002F6538" w:rsidRDefault="00233E2A" w:rsidP="0010403B">
            <w:pPr>
              <w:rPr>
                <w:sz w:val="16"/>
                <w:szCs w:val="16"/>
              </w:rPr>
            </w:pPr>
          </w:p>
        </w:tc>
        <w:tc>
          <w:tcPr>
            <w:tcW w:w="2268" w:type="dxa"/>
            <w:shd w:val="clear" w:color="auto" w:fill="auto"/>
          </w:tcPr>
          <w:p w14:paraId="0326C9A6" w14:textId="77777777" w:rsidR="00233E2A" w:rsidRPr="002F6538" w:rsidRDefault="00233E2A" w:rsidP="0010403B">
            <w:pPr>
              <w:rPr>
                <w:sz w:val="16"/>
                <w:szCs w:val="16"/>
              </w:rPr>
            </w:pPr>
            <w:r w:rsidRPr="002F6538">
              <w:rPr>
                <w:sz w:val="16"/>
                <w:szCs w:val="16"/>
              </w:rPr>
              <w:t>+</w:t>
            </w:r>
          </w:p>
        </w:tc>
      </w:tr>
      <w:tr w:rsidR="00233E2A" w:rsidRPr="002A040C" w14:paraId="3B1864B2" w14:textId="77777777" w:rsidTr="0010403B">
        <w:tc>
          <w:tcPr>
            <w:tcW w:w="1024" w:type="dxa"/>
            <w:shd w:val="clear" w:color="auto" w:fill="auto"/>
          </w:tcPr>
          <w:p w14:paraId="1D87AD53" w14:textId="77777777" w:rsidR="00233E2A" w:rsidRPr="002F6538" w:rsidRDefault="00233E2A" w:rsidP="0010403B">
            <w:pPr>
              <w:rPr>
                <w:sz w:val="16"/>
                <w:szCs w:val="16"/>
              </w:rPr>
            </w:pPr>
            <w:r w:rsidRPr="002F6538">
              <w:rPr>
                <w:sz w:val="16"/>
                <w:szCs w:val="16"/>
              </w:rPr>
              <w:t>500</w:t>
            </w:r>
          </w:p>
        </w:tc>
        <w:tc>
          <w:tcPr>
            <w:tcW w:w="1751" w:type="dxa"/>
            <w:shd w:val="clear" w:color="auto" w:fill="auto"/>
          </w:tcPr>
          <w:p w14:paraId="79111832" w14:textId="77777777" w:rsidR="00233E2A" w:rsidRPr="002F6538" w:rsidRDefault="00233E2A" w:rsidP="0010403B">
            <w:pPr>
              <w:rPr>
                <w:sz w:val="16"/>
                <w:szCs w:val="16"/>
              </w:rPr>
            </w:pPr>
            <w:r w:rsidRPr="002F6538">
              <w:rPr>
                <w:sz w:val="16"/>
                <w:szCs w:val="16"/>
              </w:rPr>
              <w:t>++</w:t>
            </w:r>
          </w:p>
        </w:tc>
        <w:tc>
          <w:tcPr>
            <w:tcW w:w="1550" w:type="dxa"/>
            <w:shd w:val="clear" w:color="auto" w:fill="auto"/>
          </w:tcPr>
          <w:p w14:paraId="1FDA2091" w14:textId="77777777" w:rsidR="00233E2A" w:rsidRPr="002F6538" w:rsidRDefault="00233E2A" w:rsidP="0010403B">
            <w:pPr>
              <w:rPr>
                <w:sz w:val="16"/>
                <w:szCs w:val="16"/>
              </w:rPr>
            </w:pPr>
            <w:r w:rsidRPr="002F6538">
              <w:rPr>
                <w:sz w:val="16"/>
                <w:szCs w:val="16"/>
              </w:rPr>
              <w:t>+++</w:t>
            </w:r>
          </w:p>
        </w:tc>
        <w:tc>
          <w:tcPr>
            <w:tcW w:w="1692" w:type="dxa"/>
            <w:shd w:val="clear" w:color="auto" w:fill="auto"/>
          </w:tcPr>
          <w:p w14:paraId="0E200B75" w14:textId="77777777" w:rsidR="00233E2A" w:rsidRPr="002F6538" w:rsidRDefault="00233E2A" w:rsidP="0010403B">
            <w:pPr>
              <w:rPr>
                <w:sz w:val="16"/>
                <w:szCs w:val="16"/>
              </w:rPr>
            </w:pPr>
            <w:r w:rsidRPr="002F6538">
              <w:rPr>
                <w:sz w:val="16"/>
                <w:szCs w:val="16"/>
              </w:rPr>
              <w:t>+++</w:t>
            </w:r>
          </w:p>
        </w:tc>
        <w:tc>
          <w:tcPr>
            <w:tcW w:w="1584" w:type="dxa"/>
            <w:shd w:val="clear" w:color="auto" w:fill="auto"/>
          </w:tcPr>
          <w:p w14:paraId="7E64447E" w14:textId="77777777" w:rsidR="00233E2A" w:rsidRPr="002F6538" w:rsidRDefault="00233E2A" w:rsidP="0010403B">
            <w:pPr>
              <w:rPr>
                <w:sz w:val="16"/>
                <w:szCs w:val="16"/>
              </w:rPr>
            </w:pPr>
            <w:r w:rsidRPr="002F6538">
              <w:rPr>
                <w:sz w:val="16"/>
                <w:szCs w:val="16"/>
              </w:rPr>
              <w:t>++</w:t>
            </w:r>
          </w:p>
        </w:tc>
        <w:tc>
          <w:tcPr>
            <w:tcW w:w="1154" w:type="dxa"/>
            <w:shd w:val="clear" w:color="auto" w:fill="auto"/>
          </w:tcPr>
          <w:p w14:paraId="67A4906E" w14:textId="77777777" w:rsidR="00233E2A" w:rsidRPr="002F6538" w:rsidRDefault="00233E2A" w:rsidP="0010403B">
            <w:pPr>
              <w:rPr>
                <w:sz w:val="16"/>
                <w:szCs w:val="16"/>
              </w:rPr>
            </w:pPr>
            <w:r w:rsidRPr="002F6538">
              <w:rPr>
                <w:sz w:val="16"/>
                <w:szCs w:val="16"/>
              </w:rPr>
              <w:t>++</w:t>
            </w:r>
          </w:p>
        </w:tc>
        <w:tc>
          <w:tcPr>
            <w:tcW w:w="1134" w:type="dxa"/>
            <w:shd w:val="clear" w:color="auto" w:fill="auto"/>
          </w:tcPr>
          <w:p w14:paraId="2F45B323" w14:textId="77777777" w:rsidR="00233E2A" w:rsidRPr="002F6538" w:rsidRDefault="00233E2A" w:rsidP="0010403B">
            <w:pPr>
              <w:rPr>
                <w:sz w:val="16"/>
                <w:szCs w:val="16"/>
              </w:rPr>
            </w:pPr>
            <w:r w:rsidRPr="002F6538">
              <w:rPr>
                <w:sz w:val="16"/>
                <w:szCs w:val="16"/>
              </w:rPr>
              <w:t>++</w:t>
            </w:r>
          </w:p>
        </w:tc>
        <w:tc>
          <w:tcPr>
            <w:tcW w:w="2268" w:type="dxa"/>
            <w:shd w:val="clear" w:color="auto" w:fill="auto"/>
          </w:tcPr>
          <w:p w14:paraId="1FF62420" w14:textId="77777777" w:rsidR="00233E2A" w:rsidRPr="002F6538" w:rsidRDefault="00233E2A" w:rsidP="0010403B">
            <w:pPr>
              <w:rPr>
                <w:sz w:val="16"/>
                <w:szCs w:val="16"/>
              </w:rPr>
            </w:pPr>
            <w:r w:rsidRPr="002F6538">
              <w:rPr>
                <w:sz w:val="16"/>
                <w:szCs w:val="16"/>
              </w:rPr>
              <w:t>++</w:t>
            </w:r>
          </w:p>
        </w:tc>
        <w:tc>
          <w:tcPr>
            <w:tcW w:w="2268" w:type="dxa"/>
            <w:shd w:val="clear" w:color="auto" w:fill="auto"/>
          </w:tcPr>
          <w:p w14:paraId="40D4B45F" w14:textId="77777777" w:rsidR="00233E2A" w:rsidRPr="002F6538" w:rsidRDefault="00233E2A" w:rsidP="0010403B">
            <w:pPr>
              <w:rPr>
                <w:sz w:val="16"/>
                <w:szCs w:val="16"/>
              </w:rPr>
            </w:pPr>
          </w:p>
        </w:tc>
      </w:tr>
      <w:tr w:rsidR="00233E2A" w:rsidRPr="002A040C" w14:paraId="2115F2CA" w14:textId="77777777" w:rsidTr="0010403B">
        <w:tc>
          <w:tcPr>
            <w:tcW w:w="1024" w:type="dxa"/>
            <w:shd w:val="clear" w:color="auto" w:fill="auto"/>
          </w:tcPr>
          <w:p w14:paraId="31DBE5BE" w14:textId="77777777" w:rsidR="00233E2A" w:rsidRPr="002F6538" w:rsidRDefault="00233E2A" w:rsidP="0010403B">
            <w:pPr>
              <w:rPr>
                <w:sz w:val="16"/>
                <w:szCs w:val="16"/>
              </w:rPr>
            </w:pPr>
            <w:r w:rsidRPr="002F6538">
              <w:rPr>
                <w:sz w:val="16"/>
                <w:szCs w:val="16"/>
              </w:rPr>
              <w:t>750</w:t>
            </w:r>
          </w:p>
        </w:tc>
        <w:tc>
          <w:tcPr>
            <w:tcW w:w="1751" w:type="dxa"/>
            <w:shd w:val="clear" w:color="auto" w:fill="auto"/>
          </w:tcPr>
          <w:p w14:paraId="5C098523" w14:textId="77777777" w:rsidR="00233E2A" w:rsidRPr="002F6538" w:rsidRDefault="00233E2A" w:rsidP="0010403B">
            <w:pPr>
              <w:rPr>
                <w:sz w:val="16"/>
                <w:szCs w:val="16"/>
              </w:rPr>
            </w:pPr>
          </w:p>
        </w:tc>
        <w:tc>
          <w:tcPr>
            <w:tcW w:w="1550" w:type="dxa"/>
            <w:shd w:val="clear" w:color="auto" w:fill="auto"/>
          </w:tcPr>
          <w:p w14:paraId="744564C1" w14:textId="77777777" w:rsidR="00233E2A" w:rsidRPr="002F6538" w:rsidRDefault="00233E2A" w:rsidP="0010403B">
            <w:pPr>
              <w:rPr>
                <w:sz w:val="16"/>
                <w:szCs w:val="16"/>
              </w:rPr>
            </w:pPr>
          </w:p>
        </w:tc>
        <w:tc>
          <w:tcPr>
            <w:tcW w:w="1692" w:type="dxa"/>
            <w:shd w:val="clear" w:color="auto" w:fill="auto"/>
          </w:tcPr>
          <w:p w14:paraId="25374689" w14:textId="77777777" w:rsidR="00233E2A" w:rsidRPr="002F6538" w:rsidRDefault="00233E2A" w:rsidP="0010403B">
            <w:pPr>
              <w:rPr>
                <w:sz w:val="16"/>
                <w:szCs w:val="16"/>
              </w:rPr>
            </w:pPr>
          </w:p>
        </w:tc>
        <w:tc>
          <w:tcPr>
            <w:tcW w:w="1584" w:type="dxa"/>
            <w:shd w:val="clear" w:color="auto" w:fill="auto"/>
          </w:tcPr>
          <w:p w14:paraId="5499CA83" w14:textId="77777777" w:rsidR="00233E2A" w:rsidRPr="002F6538" w:rsidRDefault="00233E2A" w:rsidP="0010403B">
            <w:pPr>
              <w:rPr>
                <w:sz w:val="16"/>
                <w:szCs w:val="16"/>
              </w:rPr>
            </w:pPr>
          </w:p>
        </w:tc>
        <w:tc>
          <w:tcPr>
            <w:tcW w:w="1154" w:type="dxa"/>
            <w:shd w:val="clear" w:color="auto" w:fill="auto"/>
          </w:tcPr>
          <w:p w14:paraId="2AFAEE24" w14:textId="77777777" w:rsidR="00233E2A" w:rsidRPr="002F6538" w:rsidRDefault="00233E2A" w:rsidP="0010403B">
            <w:pPr>
              <w:rPr>
                <w:sz w:val="16"/>
                <w:szCs w:val="16"/>
              </w:rPr>
            </w:pPr>
          </w:p>
        </w:tc>
        <w:tc>
          <w:tcPr>
            <w:tcW w:w="1134" w:type="dxa"/>
            <w:shd w:val="clear" w:color="auto" w:fill="auto"/>
          </w:tcPr>
          <w:p w14:paraId="778E99CA" w14:textId="77777777" w:rsidR="00233E2A" w:rsidRPr="002F6538" w:rsidRDefault="00233E2A" w:rsidP="0010403B">
            <w:pPr>
              <w:rPr>
                <w:sz w:val="16"/>
                <w:szCs w:val="16"/>
              </w:rPr>
            </w:pPr>
          </w:p>
        </w:tc>
        <w:tc>
          <w:tcPr>
            <w:tcW w:w="2268" w:type="dxa"/>
            <w:shd w:val="clear" w:color="auto" w:fill="auto"/>
          </w:tcPr>
          <w:p w14:paraId="34AEDBDC" w14:textId="77777777" w:rsidR="00233E2A" w:rsidRPr="002F6538" w:rsidRDefault="00233E2A" w:rsidP="0010403B">
            <w:pPr>
              <w:rPr>
                <w:sz w:val="16"/>
                <w:szCs w:val="16"/>
              </w:rPr>
            </w:pPr>
          </w:p>
        </w:tc>
        <w:tc>
          <w:tcPr>
            <w:tcW w:w="2268" w:type="dxa"/>
            <w:shd w:val="clear" w:color="auto" w:fill="auto"/>
          </w:tcPr>
          <w:p w14:paraId="33355BF7" w14:textId="77777777" w:rsidR="00233E2A" w:rsidRPr="002F6538" w:rsidRDefault="00233E2A" w:rsidP="0010403B">
            <w:pPr>
              <w:rPr>
                <w:sz w:val="16"/>
                <w:szCs w:val="16"/>
              </w:rPr>
            </w:pPr>
          </w:p>
        </w:tc>
      </w:tr>
      <w:tr w:rsidR="00233E2A" w:rsidRPr="002A040C" w14:paraId="3EB45AB7" w14:textId="77777777" w:rsidTr="0010403B">
        <w:tc>
          <w:tcPr>
            <w:tcW w:w="1024" w:type="dxa"/>
            <w:shd w:val="clear" w:color="auto" w:fill="auto"/>
          </w:tcPr>
          <w:p w14:paraId="621003FA" w14:textId="77777777" w:rsidR="00233E2A" w:rsidRPr="002F6538" w:rsidRDefault="00233E2A" w:rsidP="0010403B">
            <w:pPr>
              <w:rPr>
                <w:sz w:val="16"/>
                <w:szCs w:val="16"/>
              </w:rPr>
            </w:pPr>
            <w:r w:rsidRPr="002F6538">
              <w:rPr>
                <w:sz w:val="16"/>
                <w:szCs w:val="16"/>
              </w:rPr>
              <w:t>900</w:t>
            </w:r>
          </w:p>
        </w:tc>
        <w:tc>
          <w:tcPr>
            <w:tcW w:w="1751" w:type="dxa"/>
            <w:shd w:val="clear" w:color="auto" w:fill="auto"/>
          </w:tcPr>
          <w:p w14:paraId="1B756A6F" w14:textId="77777777" w:rsidR="00233E2A" w:rsidRPr="002F6538" w:rsidRDefault="00233E2A" w:rsidP="0010403B">
            <w:pPr>
              <w:rPr>
                <w:sz w:val="16"/>
                <w:szCs w:val="16"/>
              </w:rPr>
            </w:pPr>
          </w:p>
        </w:tc>
        <w:tc>
          <w:tcPr>
            <w:tcW w:w="1550" w:type="dxa"/>
            <w:shd w:val="clear" w:color="auto" w:fill="auto"/>
          </w:tcPr>
          <w:p w14:paraId="0280EB49" w14:textId="77777777" w:rsidR="00233E2A" w:rsidRPr="002F6538" w:rsidRDefault="00233E2A" w:rsidP="0010403B">
            <w:pPr>
              <w:rPr>
                <w:sz w:val="16"/>
                <w:szCs w:val="16"/>
              </w:rPr>
            </w:pPr>
            <w:r w:rsidRPr="002F6538">
              <w:rPr>
                <w:sz w:val="16"/>
                <w:szCs w:val="16"/>
              </w:rPr>
              <w:t>+++</w:t>
            </w:r>
          </w:p>
        </w:tc>
        <w:tc>
          <w:tcPr>
            <w:tcW w:w="1692" w:type="dxa"/>
            <w:shd w:val="clear" w:color="auto" w:fill="auto"/>
          </w:tcPr>
          <w:p w14:paraId="26CF0386" w14:textId="77777777" w:rsidR="00233E2A" w:rsidRPr="002F6538" w:rsidRDefault="00233E2A" w:rsidP="0010403B">
            <w:pPr>
              <w:rPr>
                <w:sz w:val="16"/>
                <w:szCs w:val="16"/>
              </w:rPr>
            </w:pPr>
          </w:p>
        </w:tc>
        <w:tc>
          <w:tcPr>
            <w:tcW w:w="1584" w:type="dxa"/>
            <w:shd w:val="clear" w:color="auto" w:fill="auto"/>
          </w:tcPr>
          <w:p w14:paraId="6EC6E167" w14:textId="77777777" w:rsidR="00233E2A" w:rsidRPr="002F6538" w:rsidRDefault="00233E2A" w:rsidP="0010403B">
            <w:pPr>
              <w:rPr>
                <w:sz w:val="16"/>
                <w:szCs w:val="16"/>
              </w:rPr>
            </w:pPr>
          </w:p>
        </w:tc>
        <w:tc>
          <w:tcPr>
            <w:tcW w:w="1154" w:type="dxa"/>
            <w:shd w:val="clear" w:color="auto" w:fill="auto"/>
          </w:tcPr>
          <w:p w14:paraId="5EC22653" w14:textId="77777777" w:rsidR="00233E2A" w:rsidRPr="002F6538" w:rsidRDefault="00233E2A" w:rsidP="0010403B">
            <w:pPr>
              <w:rPr>
                <w:sz w:val="16"/>
                <w:szCs w:val="16"/>
              </w:rPr>
            </w:pPr>
          </w:p>
        </w:tc>
        <w:tc>
          <w:tcPr>
            <w:tcW w:w="1134" w:type="dxa"/>
            <w:shd w:val="clear" w:color="auto" w:fill="auto"/>
          </w:tcPr>
          <w:p w14:paraId="59452C5F" w14:textId="77777777" w:rsidR="00233E2A" w:rsidRPr="002F6538" w:rsidRDefault="00233E2A" w:rsidP="0010403B">
            <w:pPr>
              <w:rPr>
                <w:sz w:val="16"/>
                <w:szCs w:val="16"/>
              </w:rPr>
            </w:pPr>
          </w:p>
        </w:tc>
        <w:tc>
          <w:tcPr>
            <w:tcW w:w="2268" w:type="dxa"/>
            <w:shd w:val="clear" w:color="auto" w:fill="auto"/>
          </w:tcPr>
          <w:p w14:paraId="4DC419C5" w14:textId="77777777" w:rsidR="00233E2A" w:rsidRPr="002F6538" w:rsidRDefault="00233E2A" w:rsidP="0010403B">
            <w:pPr>
              <w:rPr>
                <w:sz w:val="16"/>
                <w:szCs w:val="16"/>
              </w:rPr>
            </w:pPr>
          </w:p>
        </w:tc>
        <w:tc>
          <w:tcPr>
            <w:tcW w:w="2268" w:type="dxa"/>
            <w:shd w:val="clear" w:color="auto" w:fill="auto"/>
          </w:tcPr>
          <w:p w14:paraId="771D6B90" w14:textId="77777777" w:rsidR="00233E2A" w:rsidRPr="002F6538" w:rsidRDefault="00233E2A" w:rsidP="0010403B">
            <w:pPr>
              <w:rPr>
                <w:sz w:val="16"/>
                <w:szCs w:val="16"/>
              </w:rPr>
            </w:pPr>
          </w:p>
        </w:tc>
      </w:tr>
    </w:tbl>
    <w:p w14:paraId="2808EB6F" w14:textId="77777777" w:rsidR="00233E2A" w:rsidRPr="000D405C" w:rsidRDefault="00233E2A" w:rsidP="00233E2A">
      <w:r w:rsidRPr="008C46C0">
        <w:rPr>
          <w:sz w:val="16"/>
          <w:szCs w:val="16"/>
          <w:lang w:val="da-DK"/>
        </w:rPr>
        <w:t>a) Including dose response related reduction in 3β-HSD (Leydig cell function biomarker) and MIS (Sertoli function biomarker) (Aydogan and Barlas 2015)</w:t>
      </w:r>
    </w:p>
    <w:p w14:paraId="793CC9B4" w14:textId="77777777" w:rsidR="00233E2A" w:rsidRDefault="00233E2A" w:rsidP="00233E2A">
      <w:pPr>
        <w:rPr>
          <w:sz w:val="16"/>
          <w:szCs w:val="16"/>
          <w:lang w:val="da-DK"/>
        </w:rPr>
      </w:pPr>
      <w:r w:rsidRPr="00770415">
        <w:rPr>
          <w:sz w:val="16"/>
          <w:szCs w:val="16"/>
          <w:lang w:val="da-DK"/>
        </w:rPr>
        <w:t>b</w:t>
      </w:r>
      <w:r>
        <w:rPr>
          <w:sz w:val="16"/>
          <w:szCs w:val="16"/>
          <w:lang w:val="da-DK"/>
        </w:rPr>
        <w:t>)</w:t>
      </w:r>
      <w:r w:rsidRPr="00770415">
        <w:rPr>
          <w:sz w:val="16"/>
          <w:szCs w:val="16"/>
          <w:lang w:val="da-DK"/>
        </w:rPr>
        <w:t xml:space="preserve"> Aydogan and Barlas</w:t>
      </w:r>
      <w:r>
        <w:rPr>
          <w:sz w:val="16"/>
          <w:szCs w:val="16"/>
          <w:lang w:val="da-DK"/>
        </w:rPr>
        <w:t xml:space="preserve"> (</w:t>
      </w:r>
      <w:r w:rsidRPr="00770415">
        <w:rPr>
          <w:sz w:val="16"/>
          <w:szCs w:val="16"/>
          <w:lang w:val="da-DK"/>
        </w:rPr>
        <w:t>2015</w:t>
      </w:r>
      <w:r>
        <w:rPr>
          <w:sz w:val="16"/>
          <w:szCs w:val="16"/>
          <w:lang w:val="da-DK"/>
        </w:rPr>
        <w:t>) for gestation date 20</w:t>
      </w:r>
      <w:r w:rsidRPr="00770415">
        <w:rPr>
          <w:sz w:val="16"/>
          <w:szCs w:val="16"/>
          <w:lang w:val="da-DK"/>
        </w:rPr>
        <w:t xml:space="preserve"> and Furr et al</w:t>
      </w:r>
      <w:r>
        <w:rPr>
          <w:sz w:val="16"/>
          <w:szCs w:val="16"/>
          <w:lang w:val="da-DK"/>
        </w:rPr>
        <w:t>.</w:t>
      </w:r>
      <w:r w:rsidRPr="00770415">
        <w:rPr>
          <w:sz w:val="16"/>
          <w:szCs w:val="16"/>
          <w:lang w:val="da-DK"/>
        </w:rPr>
        <w:t xml:space="preserve"> </w:t>
      </w:r>
      <w:r>
        <w:rPr>
          <w:sz w:val="16"/>
          <w:szCs w:val="16"/>
          <w:lang w:val="da-DK"/>
        </w:rPr>
        <w:t>(</w:t>
      </w:r>
      <w:r w:rsidRPr="00770415">
        <w:rPr>
          <w:sz w:val="16"/>
          <w:szCs w:val="16"/>
          <w:lang w:val="da-DK"/>
        </w:rPr>
        <w:t>2014</w:t>
      </w:r>
      <w:r>
        <w:rPr>
          <w:sz w:val="16"/>
          <w:szCs w:val="16"/>
          <w:lang w:val="da-DK"/>
        </w:rPr>
        <w:t>) for gestation date 18</w:t>
      </w:r>
    </w:p>
    <w:p w14:paraId="2C12EA10" w14:textId="77777777" w:rsidR="00233E2A" w:rsidRPr="00770415" w:rsidRDefault="00233E2A" w:rsidP="00233E2A">
      <w:pPr>
        <w:rPr>
          <w:sz w:val="16"/>
          <w:szCs w:val="16"/>
          <w:lang w:val="da-DK"/>
        </w:rPr>
      </w:pPr>
    </w:p>
    <w:p w14:paraId="6CAA4266" w14:textId="77777777" w:rsidR="00233E2A" w:rsidRPr="00770415" w:rsidRDefault="00233E2A" w:rsidP="00233E2A">
      <w:pPr>
        <w:rPr>
          <w:rFonts w:cs="Arial"/>
          <w:sz w:val="16"/>
          <w:szCs w:val="16"/>
          <w:lang w:eastAsia="en-GB"/>
        </w:rPr>
      </w:pPr>
      <w:r w:rsidRPr="00770415">
        <w:rPr>
          <w:sz w:val="16"/>
          <w:szCs w:val="16"/>
        </w:rPr>
        <w:lastRenderedPageBreak/>
        <w:t>c</w:t>
      </w:r>
      <w:r>
        <w:rPr>
          <w:sz w:val="16"/>
          <w:szCs w:val="16"/>
        </w:rPr>
        <w:t>)</w:t>
      </w:r>
      <w:r w:rsidRPr="00770415">
        <w:rPr>
          <w:rFonts w:cs="Arial"/>
          <w:sz w:val="16"/>
          <w:szCs w:val="16"/>
          <w:lang w:eastAsia="en-GB"/>
        </w:rPr>
        <w:t xml:space="preserve"> Fetal Testicular effects: Atrophic and small seminiferous chords, decreased germ cell numbers in chords, </w:t>
      </w:r>
      <w:r w:rsidRPr="00770415">
        <w:rPr>
          <w:rFonts w:cs="Arial"/>
          <w:b/>
          <w:sz w:val="16"/>
          <w:szCs w:val="16"/>
          <w:lang w:eastAsia="en-GB"/>
        </w:rPr>
        <w:t>Sertoli cell</w:t>
      </w:r>
      <w:r w:rsidRPr="00770415">
        <w:rPr>
          <w:rFonts w:cs="Arial"/>
          <w:sz w:val="16"/>
          <w:szCs w:val="16"/>
          <w:lang w:eastAsia="en-GB"/>
        </w:rPr>
        <w:t xml:space="preserve"> only chords, detached cells from chord wall, multinucleated gonocytes. </w:t>
      </w:r>
      <w:r w:rsidRPr="00770415">
        <w:rPr>
          <w:rFonts w:cs="Arial"/>
          <w:b/>
          <w:sz w:val="16"/>
          <w:szCs w:val="16"/>
          <w:lang w:eastAsia="en-GB"/>
        </w:rPr>
        <w:t>Leydig cells</w:t>
      </w:r>
      <w:r w:rsidRPr="00770415">
        <w:rPr>
          <w:rFonts w:cs="Arial"/>
          <w:sz w:val="16"/>
          <w:szCs w:val="16"/>
          <w:lang w:eastAsia="en-GB"/>
        </w:rPr>
        <w:t xml:space="preserve">: Increase of medium and large clusters with increasing doses (Aydogan and Barlas 2015). </w:t>
      </w:r>
    </w:p>
    <w:p w14:paraId="5AC2340C" w14:textId="77777777" w:rsidR="00233E2A" w:rsidRPr="00770415" w:rsidRDefault="00233E2A" w:rsidP="00233E2A">
      <w:pPr>
        <w:rPr>
          <w:rFonts w:cs="Arial"/>
          <w:sz w:val="16"/>
          <w:szCs w:val="16"/>
          <w:lang w:eastAsia="en-GB"/>
        </w:rPr>
      </w:pPr>
      <w:r w:rsidRPr="00770415">
        <w:rPr>
          <w:rFonts w:cs="Arial"/>
          <w:sz w:val="16"/>
          <w:szCs w:val="16"/>
          <w:lang w:eastAsia="en-GB"/>
        </w:rPr>
        <w:t>d</w:t>
      </w:r>
      <w:r>
        <w:rPr>
          <w:rFonts w:cs="Arial"/>
          <w:sz w:val="16"/>
          <w:szCs w:val="16"/>
          <w:lang w:eastAsia="en-GB"/>
        </w:rPr>
        <w:t>)</w:t>
      </w:r>
      <w:r w:rsidRPr="00770415">
        <w:rPr>
          <w:rFonts w:cs="Arial"/>
          <w:sz w:val="16"/>
          <w:szCs w:val="16"/>
          <w:lang w:eastAsia="en-GB"/>
        </w:rPr>
        <w:t xml:space="preserve"> Decrease in </w:t>
      </w:r>
      <w:r>
        <w:rPr>
          <w:rFonts w:cs="Arial"/>
          <w:sz w:val="16"/>
          <w:szCs w:val="16"/>
          <w:lang w:eastAsia="en-GB"/>
        </w:rPr>
        <w:t>AGD</w:t>
      </w:r>
      <w:r w:rsidRPr="00770415">
        <w:rPr>
          <w:rFonts w:cs="Arial"/>
          <w:sz w:val="16"/>
          <w:szCs w:val="16"/>
          <w:lang w:eastAsia="en-GB"/>
        </w:rPr>
        <w:t xml:space="preserve"> (Saillenfait et al</w:t>
      </w:r>
      <w:r>
        <w:rPr>
          <w:rFonts w:cs="Arial"/>
          <w:sz w:val="16"/>
          <w:szCs w:val="16"/>
          <w:lang w:eastAsia="en-GB"/>
        </w:rPr>
        <w:t>.</w:t>
      </w:r>
      <w:r w:rsidRPr="00770415">
        <w:rPr>
          <w:rFonts w:cs="Arial"/>
          <w:sz w:val="16"/>
          <w:szCs w:val="16"/>
          <w:lang w:eastAsia="en-GB"/>
        </w:rPr>
        <w:t xml:space="preserve"> 2009</w:t>
      </w:r>
      <w:r>
        <w:rPr>
          <w:sz w:val="16"/>
          <w:szCs w:val="16"/>
        </w:rPr>
        <w:t>,</w:t>
      </w:r>
      <w:r w:rsidRPr="00770415">
        <w:rPr>
          <w:sz w:val="16"/>
          <w:szCs w:val="16"/>
        </w:rPr>
        <w:t xml:space="preserve"> OECD 2013</w:t>
      </w:r>
      <w:r w:rsidRPr="00770415">
        <w:rPr>
          <w:rFonts w:cs="Arial"/>
          <w:sz w:val="16"/>
          <w:szCs w:val="16"/>
          <w:lang w:eastAsia="en-GB"/>
        </w:rPr>
        <w:t>), Prostate weight reduction (Yamasaki et al</w:t>
      </w:r>
      <w:r>
        <w:rPr>
          <w:rFonts w:cs="Arial"/>
          <w:sz w:val="16"/>
          <w:szCs w:val="16"/>
          <w:lang w:eastAsia="en-GB"/>
        </w:rPr>
        <w:t>.</w:t>
      </w:r>
      <w:r w:rsidRPr="00770415">
        <w:rPr>
          <w:rFonts w:cs="Arial"/>
          <w:sz w:val="16"/>
          <w:szCs w:val="16"/>
          <w:lang w:eastAsia="en-GB"/>
        </w:rPr>
        <w:t xml:space="preserve"> 2009)</w:t>
      </w:r>
    </w:p>
    <w:p w14:paraId="675386E6" w14:textId="77777777" w:rsidR="00233E2A" w:rsidRPr="00770415" w:rsidRDefault="00233E2A" w:rsidP="00233E2A">
      <w:pPr>
        <w:rPr>
          <w:rFonts w:cs="Arial"/>
          <w:sz w:val="16"/>
          <w:szCs w:val="16"/>
          <w:lang w:eastAsia="en-GB"/>
        </w:rPr>
      </w:pPr>
      <w:r w:rsidRPr="00770415">
        <w:rPr>
          <w:rFonts w:cs="Arial"/>
          <w:sz w:val="16"/>
          <w:szCs w:val="16"/>
          <w:lang w:eastAsia="en-GB"/>
        </w:rPr>
        <w:t>e</w:t>
      </w:r>
      <w:r>
        <w:rPr>
          <w:rFonts w:cs="Arial"/>
          <w:sz w:val="16"/>
          <w:szCs w:val="16"/>
          <w:lang w:eastAsia="en-GB"/>
        </w:rPr>
        <w:t xml:space="preserve">) </w:t>
      </w:r>
      <w:r w:rsidRPr="00770415">
        <w:rPr>
          <w:rFonts w:cs="Arial"/>
          <w:sz w:val="16"/>
          <w:szCs w:val="16"/>
          <w:lang w:eastAsia="en-GB"/>
        </w:rPr>
        <w:t xml:space="preserve">Aydogan and Barlas (2013): a number of testicular effects are evident in prepuberal and pubertal stages, whereas in the adult stage for some of the observations slight recovery is observed. The treatment occurred only </w:t>
      </w:r>
      <w:r w:rsidRPr="005A120C">
        <w:rPr>
          <w:rFonts w:cs="Arial"/>
          <w:i/>
          <w:sz w:val="16"/>
          <w:szCs w:val="16"/>
          <w:lang w:eastAsia="en-GB"/>
        </w:rPr>
        <w:t>in utero</w:t>
      </w:r>
      <w:r w:rsidRPr="00770415">
        <w:rPr>
          <w:rFonts w:cs="Arial"/>
          <w:sz w:val="16"/>
          <w:szCs w:val="16"/>
          <w:lang w:eastAsia="en-GB"/>
        </w:rPr>
        <w:t xml:space="preserve">. Attached seminiferous tubules and effects on epididymis are however evident also in adult stage, indicating irreversible damage from the </w:t>
      </w:r>
      <w:r w:rsidRPr="005A120C">
        <w:rPr>
          <w:rFonts w:cs="Arial"/>
          <w:i/>
          <w:sz w:val="16"/>
          <w:szCs w:val="16"/>
          <w:lang w:eastAsia="en-GB"/>
        </w:rPr>
        <w:t>in utero</w:t>
      </w:r>
      <w:r w:rsidRPr="00770415">
        <w:rPr>
          <w:rFonts w:cs="Arial"/>
          <w:sz w:val="16"/>
          <w:szCs w:val="16"/>
          <w:lang w:eastAsia="en-GB"/>
        </w:rPr>
        <w:t xml:space="preserve"> exposure. In addition prostate relate effects are seen in prepubertal, pubertal and adult stage with atrophic tubules and prostatic intraepithelial neoplasia. This can be seen from plotting results presented in the publication as shown below in figure 1 (the individual observations of parameters for testicular, epididymis and prostate related effects have been pooled to provide an overview of male reproductive organ effects with increasing doses at different time points of revovery).</w:t>
      </w:r>
    </w:p>
    <w:p w14:paraId="0A6B1DE5" w14:textId="77777777" w:rsidR="00233E2A" w:rsidRPr="00770415" w:rsidRDefault="00233E2A" w:rsidP="00233E2A">
      <w:pPr>
        <w:jc w:val="both"/>
        <w:rPr>
          <w:sz w:val="16"/>
          <w:szCs w:val="16"/>
        </w:rPr>
      </w:pPr>
      <w:r w:rsidRPr="00770415">
        <w:rPr>
          <w:sz w:val="16"/>
          <w:szCs w:val="16"/>
        </w:rPr>
        <w:t>f</w:t>
      </w:r>
      <w:r>
        <w:rPr>
          <w:sz w:val="16"/>
          <w:szCs w:val="16"/>
        </w:rPr>
        <w:t>)</w:t>
      </w:r>
      <w:r w:rsidRPr="00770415">
        <w:rPr>
          <w:sz w:val="16"/>
          <w:szCs w:val="16"/>
        </w:rPr>
        <w:t xml:space="preserve"> AGD and areola mammae effects occur at lower dose levels in F2 than in F1. (Hoshino et al</w:t>
      </w:r>
      <w:r>
        <w:rPr>
          <w:sz w:val="16"/>
          <w:szCs w:val="16"/>
        </w:rPr>
        <w:t>.</w:t>
      </w:r>
      <w:r w:rsidRPr="00770415">
        <w:rPr>
          <w:sz w:val="16"/>
          <w:szCs w:val="16"/>
        </w:rPr>
        <w:t xml:space="preserve"> 2005</w:t>
      </w:r>
      <w:r>
        <w:rPr>
          <w:sz w:val="16"/>
          <w:szCs w:val="16"/>
        </w:rPr>
        <w:t>,</w:t>
      </w:r>
      <w:r w:rsidRPr="00770415">
        <w:rPr>
          <w:sz w:val="16"/>
          <w:szCs w:val="16"/>
        </w:rPr>
        <w:t xml:space="preserve"> OECD 2013).</w:t>
      </w:r>
    </w:p>
    <w:p w14:paraId="4A6682BA" w14:textId="77777777" w:rsidR="00233E2A" w:rsidRDefault="00233E2A" w:rsidP="00233E2A">
      <w:pPr>
        <w:pStyle w:val="BodyText"/>
      </w:pPr>
    </w:p>
    <w:p w14:paraId="59B1FDAC" w14:textId="77777777" w:rsidR="00233E2A" w:rsidRPr="00DD017E" w:rsidRDefault="00233E2A" w:rsidP="00233E2A">
      <w:pPr>
        <w:rPr>
          <w:sz w:val="18"/>
          <w:szCs w:val="18"/>
        </w:rPr>
      </w:pPr>
      <w:r>
        <w:br w:type="page"/>
      </w:r>
      <w:r w:rsidRPr="00DD017E">
        <w:rPr>
          <w:sz w:val="18"/>
          <w:szCs w:val="18"/>
        </w:rPr>
        <w:lastRenderedPageBreak/>
        <w:t xml:space="preserve">The following figure provides in dose response and temporal association manner the linkage of the decrease of fetal testosterone levels following </w:t>
      </w:r>
      <w:r w:rsidRPr="005A120C">
        <w:rPr>
          <w:i/>
          <w:sz w:val="18"/>
          <w:szCs w:val="18"/>
        </w:rPr>
        <w:t>in utero</w:t>
      </w:r>
      <w:r w:rsidRPr="00DD017E">
        <w:rPr>
          <w:sz w:val="18"/>
          <w:szCs w:val="18"/>
        </w:rPr>
        <w:t xml:space="preserve"> exposure to DCHP with the male reproductive system irreversible damage; individual observations of parameters for testicular, epididymis and prostate related effects have been pooled from the publications available to provide an overview of male reproductive organ effects with increasing doses at different time points of recovery. Fetal testosterone levels from Furr et al</w:t>
      </w:r>
      <w:r>
        <w:rPr>
          <w:sz w:val="18"/>
          <w:szCs w:val="18"/>
        </w:rPr>
        <w:t>.</w:t>
      </w:r>
      <w:r w:rsidRPr="00DD017E">
        <w:rPr>
          <w:sz w:val="18"/>
          <w:szCs w:val="18"/>
        </w:rPr>
        <w:t xml:space="preserve"> (2014) with treatment at gestational day (GD) 14-18 and measurement of fetal testicular testosterone production </w:t>
      </w:r>
      <w:r w:rsidRPr="00EA7002">
        <w:rPr>
          <w:i/>
          <w:sz w:val="18"/>
          <w:szCs w:val="18"/>
        </w:rPr>
        <w:t>ex vivo</w:t>
      </w:r>
      <w:r w:rsidRPr="00DD017E">
        <w:rPr>
          <w:sz w:val="18"/>
          <w:szCs w:val="18"/>
        </w:rPr>
        <w:t xml:space="preserve"> at GD 18 (B) and from Aydogan and Barlas (2015) with treatment gestational day (GD) 6-19 and blood testosterone levels measured at GD 20 (A).</w:t>
      </w:r>
    </w:p>
    <w:p w14:paraId="1C5DA31A" w14:textId="77777777" w:rsidR="00233E2A" w:rsidRDefault="00233E2A" w:rsidP="00233E2A">
      <w:pPr>
        <w:rPr>
          <w:noProof/>
          <w:lang w:eastAsia="en-GB"/>
        </w:rPr>
      </w:pPr>
      <w:r>
        <w:rPr>
          <w:noProof/>
          <w:lang w:eastAsia="en-GB"/>
        </w:rPr>
        <mc:AlternateContent>
          <mc:Choice Requires="wps">
            <w:drawing>
              <wp:anchor distT="0" distB="0" distL="114300" distR="114300" simplePos="0" relativeHeight="251686400" behindDoc="0" locked="0" layoutInCell="1" allowOverlap="1" wp14:anchorId="251573F3" wp14:editId="430DF8E9">
                <wp:simplePos x="0" y="0"/>
                <wp:positionH relativeFrom="column">
                  <wp:posOffset>6464300</wp:posOffset>
                </wp:positionH>
                <wp:positionV relativeFrom="paragraph">
                  <wp:posOffset>278765</wp:posOffset>
                </wp:positionV>
                <wp:extent cx="581025" cy="333375"/>
                <wp:effectExtent l="0" t="0" r="28575" b="28575"/>
                <wp:wrapNone/>
                <wp:docPr id="20483" name="Rectangle 20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31628785" w14:textId="77777777" w:rsidR="00FE7D9E" w:rsidRDefault="00FE7D9E" w:rsidP="00233E2A">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1573F3" id="Rectangle 20483" o:spid="_x0000_s1091" style="position:absolute;margin-left:509pt;margin-top:21.95pt;width:45.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" fillcolor="#5b9bd5" strokecolor="#41719c" strokeweight="1pt">
                <v:path arrowok="t"/>
                <v:textbox>
                  <w:txbxContent>
                    <w:p w14:paraId="31628785" w14:textId="77777777" w:rsidR="00FE7D9E" w:rsidRDefault="00FE7D9E" w:rsidP="00233E2A">
                      <w:pPr>
                        <w:jc w:val="center"/>
                      </w:pPr>
                      <w:r>
                        <w:t>B</w:t>
                      </w:r>
                    </w:p>
                  </w:txbxContent>
                </v:textbox>
              </v:rect>
            </w:pict>
          </mc:Fallback>
        </mc:AlternateContent>
      </w:r>
      <w:r>
        <w:rPr>
          <w:noProof/>
          <w:lang w:eastAsia="en-GB"/>
        </w:rPr>
        <mc:AlternateContent>
          <mc:Choice Requires="wps">
            <w:drawing>
              <wp:anchor distT="0" distB="0" distL="114300" distR="114300" simplePos="0" relativeHeight="251685376" behindDoc="0" locked="0" layoutInCell="1" allowOverlap="1" wp14:anchorId="0A12CF00" wp14:editId="0E9BEA00">
                <wp:simplePos x="0" y="0"/>
                <wp:positionH relativeFrom="column">
                  <wp:posOffset>2715895</wp:posOffset>
                </wp:positionH>
                <wp:positionV relativeFrom="paragraph">
                  <wp:posOffset>278765</wp:posOffset>
                </wp:positionV>
                <wp:extent cx="581025" cy="333375"/>
                <wp:effectExtent l="0" t="0" r="28575" b="28575"/>
                <wp:wrapNone/>
                <wp:docPr id="20485" name="Rectangle 20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0CE4030C" w14:textId="77777777" w:rsidR="00FE7D9E" w:rsidRDefault="00FE7D9E" w:rsidP="00233E2A">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12CF00" id="Rectangle 20485" o:spid="_x0000_s1092" style="position:absolute;margin-left:213.85pt;margin-top:21.95pt;width:45.75pt;height:2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" fillcolor="#5b9bd5" strokecolor="#41719c" strokeweight="1pt">
                <v:path arrowok="t"/>
                <v:textbox>
                  <w:txbxContent>
                    <w:p w14:paraId="0CE4030C" w14:textId="77777777" w:rsidR="00FE7D9E" w:rsidRDefault="00FE7D9E" w:rsidP="00233E2A">
                      <w:pPr>
                        <w:jc w:val="center"/>
                      </w:pPr>
                      <w:r>
                        <w:t>A</w:t>
                      </w:r>
                    </w:p>
                  </w:txbxContent>
                </v:textbox>
              </v:rect>
            </w:pict>
          </mc:Fallback>
        </mc:AlternateContent>
      </w:r>
      <w:r w:rsidRPr="00DD017E">
        <w:rPr>
          <w:sz w:val="18"/>
          <w:szCs w:val="18"/>
        </w:rPr>
        <w:t>Incidence of testicular, prostate and epididymis effects (pooled data from Aydogan and Barlas 2013) showing irreversibility of effects (</w:t>
      </w:r>
      <w:r w:rsidRPr="005A120C">
        <w:rPr>
          <w:i/>
          <w:sz w:val="18"/>
          <w:szCs w:val="18"/>
        </w:rPr>
        <w:t>in utero</w:t>
      </w:r>
      <w:r w:rsidRPr="00DD017E">
        <w:rPr>
          <w:sz w:val="18"/>
          <w:szCs w:val="18"/>
        </w:rPr>
        <w:t xml:space="preserve"> treatment only) at postnatal day 20, 32 and 90 (C)</w:t>
      </w:r>
      <w:r>
        <w:rPr>
          <w:sz w:val="18"/>
          <w:szCs w:val="18"/>
        </w:rPr>
        <w:t xml:space="preserve"> </w:t>
      </w:r>
      <w:r w:rsidRPr="00B017FF">
        <w:rPr>
          <w:noProof/>
          <w:lang w:eastAsia="en-GB"/>
        </w:rPr>
        <w:drawing>
          <wp:inline distT="0" distB="0" distL="0" distR="0" wp14:anchorId="0E6CC1EB" wp14:editId="7D580585">
            <wp:extent cx="3317240" cy="2254250"/>
            <wp:effectExtent l="0" t="0" r="0" b="0"/>
            <wp:docPr id="20496" name="Picture 2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17240" cy="2254250"/>
                    </a:xfrm>
                    <a:prstGeom prst="rect">
                      <a:avLst/>
                    </a:prstGeom>
                    <a:noFill/>
                    <a:ln>
                      <a:noFill/>
                    </a:ln>
                  </pic:spPr>
                </pic:pic>
              </a:graphicData>
            </a:graphic>
          </wp:inline>
        </w:drawing>
      </w:r>
      <w:r w:rsidRPr="00B017FF">
        <w:rPr>
          <w:noProof/>
          <w:lang w:eastAsia="en-GB"/>
        </w:rPr>
        <w:drawing>
          <wp:inline distT="0" distB="0" distL="0" distR="0" wp14:anchorId="34D8C584" wp14:editId="7B1E18B7">
            <wp:extent cx="3731895" cy="2254250"/>
            <wp:effectExtent l="0" t="0" r="1905" b="0"/>
            <wp:docPr id="20499" name="Picture 2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31895" cy="2254250"/>
                    </a:xfrm>
                    <a:prstGeom prst="rect">
                      <a:avLst/>
                    </a:prstGeom>
                    <a:noFill/>
                    <a:ln>
                      <a:noFill/>
                    </a:ln>
                  </pic:spPr>
                </pic:pic>
              </a:graphicData>
            </a:graphic>
          </wp:inline>
        </w:drawing>
      </w:r>
    </w:p>
    <w:p w14:paraId="4F46DA56" w14:textId="77777777" w:rsidR="00233E2A" w:rsidRDefault="00233E2A" w:rsidP="00233E2A">
      <w:pPr>
        <w:rPr>
          <w:noProof/>
          <w:lang w:eastAsia="en-GB"/>
        </w:rPr>
      </w:pPr>
      <w:r>
        <w:rPr>
          <w:noProof/>
          <w:lang w:eastAsia="en-GB"/>
        </w:rPr>
        <mc:AlternateContent>
          <mc:Choice Requires="wps">
            <w:drawing>
              <wp:anchor distT="0" distB="0" distL="114300" distR="114300" simplePos="0" relativeHeight="251689472" behindDoc="0" locked="0" layoutInCell="1" allowOverlap="1" wp14:anchorId="4CA7146C" wp14:editId="40C75B76">
                <wp:simplePos x="0" y="0"/>
                <wp:positionH relativeFrom="column">
                  <wp:posOffset>8046085</wp:posOffset>
                </wp:positionH>
                <wp:positionV relativeFrom="paragraph">
                  <wp:posOffset>154940</wp:posOffset>
                </wp:positionV>
                <wp:extent cx="581025" cy="333375"/>
                <wp:effectExtent l="0" t="0" r="28575" b="28575"/>
                <wp:wrapNone/>
                <wp:docPr id="20493" name="Rectangle 20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4ADB66A5" w14:textId="77777777" w:rsidR="00FE7D9E" w:rsidRDefault="00FE7D9E" w:rsidP="00233E2A">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A7146C" id="Rectangle 20493" o:spid="_x0000_s1093" style="position:absolute;margin-left:633.55pt;margin-top:12.2pt;width:45.75pt;height:2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" fillcolor="#5b9bd5" strokecolor="#41719c" strokeweight="1pt">
                <v:path arrowok="t"/>
                <v:textbox>
                  <w:txbxContent>
                    <w:p w14:paraId="4ADB66A5" w14:textId="77777777" w:rsidR="00FE7D9E" w:rsidRDefault="00FE7D9E" w:rsidP="00233E2A">
                      <w:pPr>
                        <w:jc w:val="center"/>
                      </w:pPr>
                      <w:r>
                        <w:t>C</w:t>
                      </w:r>
                    </w:p>
                  </w:txbxContent>
                </v:textbox>
              </v:rect>
            </w:pict>
          </mc:Fallback>
        </mc:AlternateContent>
      </w:r>
    </w:p>
    <w:p w14:paraId="6C32F06D" w14:textId="77777777" w:rsidR="00233E2A" w:rsidRDefault="00233E2A" w:rsidP="00233E2A">
      <w:r>
        <w:rPr>
          <w:noProof/>
          <w:lang w:eastAsia="en-GB"/>
        </w:rPr>
        <mc:AlternateContent>
          <mc:Choice Requires="wps">
            <w:drawing>
              <wp:anchor distT="0" distB="0" distL="114300" distR="114300" simplePos="0" relativeHeight="251688448" behindDoc="0" locked="0" layoutInCell="1" allowOverlap="1" wp14:anchorId="3B0C8ABF" wp14:editId="6B3382CC">
                <wp:simplePos x="0" y="0"/>
                <wp:positionH relativeFrom="column">
                  <wp:posOffset>5191125</wp:posOffset>
                </wp:positionH>
                <wp:positionV relativeFrom="paragraph">
                  <wp:posOffset>635</wp:posOffset>
                </wp:positionV>
                <wp:extent cx="581025" cy="333375"/>
                <wp:effectExtent l="0" t="0" r="28575" b="28575"/>
                <wp:wrapNone/>
                <wp:docPr id="20494" name="Rectangle 20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64C737C0" w14:textId="77777777" w:rsidR="00FE7D9E" w:rsidRDefault="00FE7D9E" w:rsidP="00233E2A">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0C8ABF" id="Rectangle 20494" o:spid="_x0000_s1094" style="position:absolute;margin-left:408.75pt;margin-top:.05pt;width:45.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" fillcolor="#5b9bd5" strokecolor="#41719c" strokeweight="1pt">
                <v:path arrowok="t"/>
                <v:textbox>
                  <w:txbxContent>
                    <w:p w14:paraId="64C737C0" w14:textId="77777777" w:rsidR="00FE7D9E" w:rsidRDefault="00FE7D9E" w:rsidP="00233E2A">
                      <w:pPr>
                        <w:jc w:val="center"/>
                      </w:pPr>
                      <w:r>
                        <w:t>C</w:t>
                      </w:r>
                    </w:p>
                  </w:txbxContent>
                </v:textbox>
              </v:rect>
            </w:pict>
          </mc:Fallback>
        </mc:AlternateContent>
      </w:r>
      <w:r>
        <w:rPr>
          <w:noProof/>
          <w:lang w:eastAsia="en-GB"/>
        </w:rPr>
        <mc:AlternateContent>
          <mc:Choice Requires="wps">
            <w:drawing>
              <wp:anchor distT="0" distB="0" distL="114300" distR="114300" simplePos="0" relativeHeight="251687424" behindDoc="0" locked="0" layoutInCell="1" allowOverlap="1" wp14:anchorId="322DBBE7" wp14:editId="1F8E670F">
                <wp:simplePos x="0" y="0"/>
                <wp:positionH relativeFrom="column">
                  <wp:posOffset>2305050</wp:posOffset>
                </wp:positionH>
                <wp:positionV relativeFrom="paragraph">
                  <wp:posOffset>635</wp:posOffset>
                </wp:positionV>
                <wp:extent cx="581025" cy="333375"/>
                <wp:effectExtent l="0" t="0" r="28575" b="28575"/>
                <wp:wrapNone/>
                <wp:docPr id="20495" name="Rectangle 20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6781DAC1" w14:textId="77777777" w:rsidR="00FE7D9E" w:rsidRDefault="00FE7D9E" w:rsidP="00233E2A">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DBBE7" id="Rectangle 20495" o:spid="_x0000_s1095" style="position:absolute;margin-left:181.5pt;margin-top:.05pt;width:45.75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" fillcolor="#5b9bd5" strokecolor="#41719c" strokeweight="1pt">
                <v:path arrowok="t"/>
                <v:textbox>
                  <w:txbxContent>
                    <w:p w14:paraId="6781DAC1" w14:textId="77777777" w:rsidR="00FE7D9E" w:rsidRDefault="00FE7D9E" w:rsidP="00233E2A">
                      <w:pPr>
                        <w:jc w:val="center"/>
                      </w:pPr>
                      <w:r>
                        <w:t>C</w:t>
                      </w:r>
                    </w:p>
                  </w:txbxContent>
                </v:textbox>
              </v:rect>
            </w:pict>
          </mc:Fallback>
        </mc:AlternateContent>
      </w:r>
      <w:r w:rsidRPr="00B017FF">
        <w:rPr>
          <w:noProof/>
          <w:lang w:eastAsia="en-GB"/>
        </w:rPr>
        <w:drawing>
          <wp:inline distT="0" distB="0" distL="0" distR="0" wp14:anchorId="351471A2" wp14:editId="6C581CC1">
            <wp:extent cx="2891790" cy="1998980"/>
            <wp:effectExtent l="0" t="0" r="3810" b="1270"/>
            <wp:docPr id="20500" name="Picture 2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91790" cy="1998980"/>
                    </a:xfrm>
                    <a:prstGeom prst="rect">
                      <a:avLst/>
                    </a:prstGeom>
                    <a:noFill/>
                    <a:ln>
                      <a:noFill/>
                    </a:ln>
                  </pic:spPr>
                </pic:pic>
              </a:graphicData>
            </a:graphic>
          </wp:inline>
        </w:drawing>
      </w:r>
      <w:r w:rsidRPr="00B017FF">
        <w:rPr>
          <w:noProof/>
          <w:lang w:eastAsia="en-GB"/>
        </w:rPr>
        <w:drawing>
          <wp:inline distT="0" distB="0" distL="0" distR="0" wp14:anchorId="0B540E34" wp14:editId="32B19E8F">
            <wp:extent cx="2870835" cy="1998980"/>
            <wp:effectExtent l="0" t="0" r="5715" b="1270"/>
            <wp:docPr id="20501" name="Picture 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70835" cy="1998980"/>
                    </a:xfrm>
                    <a:prstGeom prst="rect">
                      <a:avLst/>
                    </a:prstGeom>
                    <a:noFill/>
                    <a:ln>
                      <a:noFill/>
                    </a:ln>
                  </pic:spPr>
                </pic:pic>
              </a:graphicData>
            </a:graphic>
          </wp:inline>
        </w:drawing>
      </w:r>
      <w:r w:rsidRPr="00B017FF">
        <w:rPr>
          <w:noProof/>
          <w:lang w:eastAsia="en-GB"/>
        </w:rPr>
        <w:drawing>
          <wp:inline distT="0" distB="0" distL="0" distR="0" wp14:anchorId="631C9A3B" wp14:editId="5B55B1CF">
            <wp:extent cx="2870835" cy="1998980"/>
            <wp:effectExtent l="0" t="0" r="5715" b="1270"/>
            <wp:docPr id="20502" name="Picture 2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70835" cy="1998980"/>
                    </a:xfrm>
                    <a:prstGeom prst="rect">
                      <a:avLst/>
                    </a:prstGeom>
                    <a:noFill/>
                    <a:ln>
                      <a:noFill/>
                    </a:ln>
                  </pic:spPr>
                </pic:pic>
              </a:graphicData>
            </a:graphic>
          </wp:inline>
        </w:drawing>
      </w:r>
    </w:p>
    <w:p w14:paraId="793E87F8" w14:textId="77777777" w:rsidR="00233E2A" w:rsidRPr="00770415" w:rsidRDefault="00233E2A" w:rsidP="00233E2A">
      <w:pPr>
        <w:jc w:val="both"/>
        <w:rPr>
          <w:i/>
        </w:rPr>
        <w:sectPr w:rsidR="00233E2A" w:rsidRPr="00770415" w:rsidSect="00233E2A">
          <w:footerReference w:type="default" r:id="rId72"/>
          <w:headerReference w:type="first" r:id="rId73"/>
          <w:pgSz w:w="16838" w:h="11906" w:orient="landscape"/>
          <w:pgMar w:top="1440" w:right="1440" w:bottom="1440" w:left="1440" w:header="708" w:footer="708" w:gutter="0"/>
          <w:cols w:space="708"/>
          <w:docGrid w:linePitch="360"/>
        </w:sectPr>
      </w:pPr>
    </w:p>
    <w:p w14:paraId="6EF33764" w14:textId="77777777" w:rsidR="00233E2A" w:rsidRPr="000D405C" w:rsidRDefault="00233E2A" w:rsidP="00233E2A">
      <w:pPr>
        <w:pStyle w:val="ListParagraph"/>
        <w:numPr>
          <w:ilvl w:val="0"/>
          <w:numId w:val="41"/>
        </w:numPr>
        <w:jc w:val="both"/>
        <w:rPr>
          <w:i/>
        </w:rPr>
      </w:pPr>
      <w:r w:rsidRPr="000D405C">
        <w:rPr>
          <w:b/>
        </w:rPr>
        <w:br w:type="page"/>
      </w:r>
      <w:r w:rsidRPr="000D405C">
        <w:rPr>
          <w:b/>
        </w:rPr>
        <w:lastRenderedPageBreak/>
        <w:t>Consistency &amp; Specificity – Biological Plausibility</w:t>
      </w:r>
    </w:p>
    <w:p w14:paraId="03A0F2BD" w14:textId="77777777" w:rsidR="00233E2A" w:rsidRDefault="00233E2A" w:rsidP="00233E2A">
      <w:pPr>
        <w:rPr>
          <w:rFonts w:ascii="Verdana" w:hAnsi="Verdana"/>
          <w:b/>
          <w:sz w:val="20"/>
          <w:szCs w:val="20"/>
        </w:rPr>
      </w:pPr>
    </w:p>
    <w:p w14:paraId="508CF66E" w14:textId="77777777" w:rsidR="00233E2A" w:rsidRPr="000D405C" w:rsidRDefault="00233E2A" w:rsidP="00233E2A">
      <w:pPr>
        <w:rPr>
          <w:rFonts w:ascii="Verdana" w:hAnsi="Verdana"/>
          <w:b/>
          <w:sz w:val="20"/>
          <w:szCs w:val="20"/>
        </w:rPr>
      </w:pPr>
      <w:r w:rsidRPr="000D405C">
        <w:rPr>
          <w:rFonts w:ascii="Verdana" w:hAnsi="Verdana"/>
          <w:b/>
          <w:sz w:val="20"/>
          <w:szCs w:val="20"/>
        </w:rPr>
        <w:t>Consistency &amp; Specificity</w:t>
      </w:r>
    </w:p>
    <w:p w14:paraId="4AD6B586" w14:textId="77777777" w:rsidR="00233E2A" w:rsidRPr="00222621" w:rsidRDefault="00233E2A" w:rsidP="00233E2A">
      <w:pPr>
        <w:jc w:val="both"/>
        <w:rPr>
          <w:rFonts w:ascii="Verdana" w:hAnsi="Verdana"/>
          <w:sz w:val="20"/>
          <w:szCs w:val="20"/>
        </w:rPr>
      </w:pPr>
      <w:r w:rsidRPr="000D405C">
        <w:rPr>
          <w:rFonts w:ascii="Verdana" w:hAnsi="Verdana"/>
          <w:sz w:val="20"/>
          <w:szCs w:val="20"/>
        </w:rPr>
        <w:t xml:space="preserve">A number of experimental studies with DCHP indicate that the effects in male reproduction system are irreversible following </w:t>
      </w:r>
      <w:r w:rsidRPr="000D405C">
        <w:rPr>
          <w:rFonts w:ascii="Verdana" w:hAnsi="Verdana"/>
          <w:i/>
          <w:sz w:val="20"/>
          <w:szCs w:val="20"/>
        </w:rPr>
        <w:t>in utero</w:t>
      </w:r>
      <w:r w:rsidRPr="000D405C">
        <w:rPr>
          <w:rFonts w:ascii="Verdana" w:hAnsi="Verdana"/>
          <w:sz w:val="20"/>
          <w:szCs w:val="20"/>
        </w:rPr>
        <w:t xml:space="preserve"> exposure. This section addresses that the effects observed for each key event separately are consistent and specific for DCHP as well as that there is causal relationship/linking of the key events with each other and with the toxicological response (key events relationships). It also addresses whether the pattern of effects across species is consistent with the hypothesised mode of action. </w:t>
      </w:r>
    </w:p>
    <w:tbl>
      <w:tblPr>
        <w:tblW w:w="0" w:type="auto"/>
        <w:tblBorders>
          <w:top w:val="single" w:sz="12" w:space="0" w:color="auto"/>
          <w:left w:val="single" w:sz="12" w:space="0" w:color="auto"/>
          <w:bottom w:val="single" w:sz="12" w:space="0" w:color="auto"/>
          <w:right w:val="single" w:sz="12" w:space="0" w:color="auto"/>
        </w:tblBorders>
        <w:shd w:val="clear" w:color="auto" w:fill="0070C0"/>
        <w:tblLook w:val="04A0" w:firstRow="1" w:lastRow="0" w:firstColumn="1" w:lastColumn="0" w:noHBand="0" w:noVBand="1"/>
      </w:tblPr>
      <w:tblGrid>
        <w:gridCol w:w="13928"/>
      </w:tblGrid>
      <w:tr w:rsidR="00233E2A" w:rsidRPr="00770415" w14:paraId="22A91B45" w14:textId="77777777" w:rsidTr="0010403B">
        <w:trPr>
          <w:trHeight w:val="1102"/>
        </w:trPr>
        <w:tc>
          <w:tcPr>
            <w:tcW w:w="13968" w:type="dxa"/>
            <w:shd w:val="clear" w:color="auto" w:fill="0070C0"/>
          </w:tcPr>
          <w:p w14:paraId="29FEAE2C" w14:textId="77777777" w:rsidR="00233E2A" w:rsidRPr="002F6538" w:rsidRDefault="00233E2A" w:rsidP="0010403B">
            <w:pPr>
              <w:rPr>
                <w:b/>
                <w:color w:val="FFFFFF"/>
              </w:rPr>
            </w:pPr>
            <w:r>
              <w:rPr>
                <w:b/>
                <w:color w:val="FFFFFF"/>
              </w:rPr>
              <w:t>Key Event 1 &amp; Key Event 2</w:t>
            </w:r>
          </w:p>
          <w:p w14:paraId="2A6C9551" w14:textId="77777777" w:rsidR="00233E2A" w:rsidRPr="002F6538" w:rsidRDefault="00233E2A" w:rsidP="0010403B">
            <w:pPr>
              <w:rPr>
                <w:b/>
                <w:color w:val="FFFFFF"/>
              </w:rPr>
            </w:pPr>
            <w:r>
              <w:rPr>
                <w:b/>
                <w:color w:val="FFFFFF"/>
              </w:rPr>
              <w:t>Metabolism of DCHP to MCHP</w:t>
            </w:r>
          </w:p>
        </w:tc>
      </w:tr>
      <w:tr w:rsidR="00233E2A" w:rsidRPr="00770415" w14:paraId="15B0F8A4" w14:textId="77777777" w:rsidTr="0010403B">
        <w:trPr>
          <w:trHeight w:val="544"/>
        </w:trPr>
        <w:tc>
          <w:tcPr>
            <w:tcW w:w="13968" w:type="dxa"/>
            <w:shd w:val="clear" w:color="auto" w:fill="0070C0"/>
          </w:tcPr>
          <w:p w14:paraId="4C87ED8C" w14:textId="77777777" w:rsidR="00233E2A" w:rsidRPr="002F6538" w:rsidRDefault="00233E2A" w:rsidP="0010403B">
            <w:pPr>
              <w:rPr>
                <w:b/>
                <w:color w:val="FFFFFF"/>
              </w:rPr>
            </w:pPr>
            <w:r>
              <w:rPr>
                <w:b/>
                <w:color w:val="FFFFFF"/>
              </w:rPr>
              <w:t>Placenta Transfer</w:t>
            </w:r>
          </w:p>
        </w:tc>
      </w:tr>
    </w:tbl>
    <w:p w14:paraId="413F6AD1" w14:textId="77777777" w:rsidR="00233E2A" w:rsidRPr="00770415" w:rsidRDefault="00233E2A" w:rsidP="00233E2A">
      <w:pPr>
        <w:rPr>
          <w:rFonts w:cs="Arial"/>
          <w:lang w:eastAsia="en-GB"/>
        </w:rPr>
      </w:pPr>
    </w:p>
    <w:p w14:paraId="38F1B974"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The data available, taking into account data and assessments from other phthalates, indicate that metabolism to the monoester is needed for effects to occur. This is supported by available evidence that metabolism to the monoester is likely to occur in humans. According to Lake et al. (1977) a study on the hydrolysis of phthalates, including that of DCHP, showed that there is species similarity in the metabolism of phthalate diesters between man, rodent, non-rodent and nonhuman primate species. In addition the data indicates that the metabolism to the mono-ester (MCHP) would take place primarily in the intestine. The intestinal metabolism of DCHP to MCHP by both rats and human intestine is further confirmed by a study with 16hr incubation of 1%DCHP </w:t>
      </w:r>
      <w:r w:rsidRPr="000D405C">
        <w:rPr>
          <w:rFonts w:ascii="Verdana" w:hAnsi="Verdana" w:cs="Arial"/>
          <w:i/>
          <w:sz w:val="20"/>
          <w:szCs w:val="20"/>
          <w:lang w:eastAsia="en-GB"/>
        </w:rPr>
        <w:t>in vitro</w:t>
      </w:r>
      <w:r w:rsidRPr="000D405C">
        <w:rPr>
          <w:rFonts w:ascii="Verdana" w:hAnsi="Verdana" w:cs="Arial"/>
          <w:sz w:val="20"/>
          <w:szCs w:val="20"/>
          <w:lang w:eastAsia="en-GB"/>
        </w:rPr>
        <w:t xml:space="preserve"> (IUCLID datasheet, ECB). MCHP but not cyclohexanol produced marked testicular atrophy in a rat study (Lake et al, 1982). There is evidence that phthalate monoesters can cross the human placenta and reach the human fetus (Mose et al: 2007).</w:t>
      </w:r>
    </w:p>
    <w:p w14:paraId="2C6475B4" w14:textId="77777777" w:rsidR="00233E2A" w:rsidRPr="000D405C" w:rsidRDefault="00233E2A" w:rsidP="00233E2A">
      <w:pPr>
        <w:pStyle w:val="BodyText"/>
        <w:rPr>
          <w:rFonts w:cs="Arial"/>
          <w:lang w:eastAsia="en-GB"/>
        </w:rPr>
      </w:pPr>
      <w:r w:rsidRPr="000D405C">
        <w:rPr>
          <w:rFonts w:cs="Arial"/>
          <w:i/>
          <w:lang w:eastAsia="en-GB"/>
        </w:rPr>
        <w:t>In utero</w:t>
      </w:r>
      <w:r w:rsidRPr="000D405C">
        <w:rPr>
          <w:rFonts w:cs="Arial"/>
          <w:lang w:eastAsia="en-GB"/>
        </w:rPr>
        <w:t xml:space="preserve"> exposure is most sensitive for the elicitation of the adverse effects in the male reproductive system (Hoshino et al. 2005, Yamasaki et al. 2009, Saillenfait et al 2009, Ahbab and Barlas 2013 and 2015, Furr et al. 2014). Lake et al. (1982) showed testicular damage in adult animals exposed to the higher doses during adulthood. The Hershberger assay has been negative indicating absence of male reproductive effects after short term exposure of adult animals (METI 2002). Thus, a higher sensitivity for damage is present for </w:t>
      </w:r>
      <w:r w:rsidRPr="000D405C">
        <w:rPr>
          <w:rFonts w:cs="Arial"/>
          <w:i/>
          <w:lang w:eastAsia="en-GB"/>
        </w:rPr>
        <w:t>in utero</w:t>
      </w:r>
      <w:r w:rsidRPr="000D405C">
        <w:rPr>
          <w:rFonts w:cs="Arial"/>
          <w:lang w:eastAsia="en-GB"/>
        </w:rPr>
        <w:t xml:space="preserve"> exposure. </w:t>
      </w:r>
    </w:p>
    <w:p w14:paraId="250436B6" w14:textId="77777777" w:rsidR="00233E2A"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Overall, key event 1 and key event 2 are considered essential for the elucidation of the subsequent key events since metabolism is required and placenta transfer to initiate the next key events. </w:t>
      </w:r>
    </w:p>
    <w:p w14:paraId="2DB3A010" w14:textId="77777777" w:rsidR="00233E2A" w:rsidRPr="000D405C" w:rsidRDefault="00233E2A" w:rsidP="00233E2A">
      <w:pPr>
        <w:rPr>
          <w:rFonts w:ascii="Verdana" w:hAnsi="Verdana" w:cs="Arial"/>
          <w:sz w:val="20"/>
          <w:szCs w:val="20"/>
          <w:lang w:eastAsia="en-GB"/>
        </w:rPr>
      </w:pPr>
    </w:p>
    <w:tbl>
      <w:tblPr>
        <w:tblW w:w="0" w:type="auto"/>
        <w:tblBorders>
          <w:top w:val="single" w:sz="12" w:space="0" w:color="auto"/>
          <w:left w:val="single" w:sz="12" w:space="0" w:color="auto"/>
          <w:bottom w:val="single" w:sz="12" w:space="0" w:color="auto"/>
          <w:right w:val="single" w:sz="12" w:space="0" w:color="auto"/>
        </w:tblBorders>
        <w:shd w:val="clear" w:color="auto" w:fill="0070C0"/>
        <w:tblLook w:val="04A0" w:firstRow="1" w:lastRow="0" w:firstColumn="1" w:lastColumn="0" w:noHBand="0" w:noVBand="1"/>
      </w:tblPr>
      <w:tblGrid>
        <w:gridCol w:w="13638"/>
      </w:tblGrid>
      <w:tr w:rsidR="00233E2A" w:rsidRPr="00770415" w14:paraId="1DF04A7E" w14:textId="77777777" w:rsidTr="0010403B">
        <w:trPr>
          <w:trHeight w:val="928"/>
        </w:trPr>
        <w:tc>
          <w:tcPr>
            <w:tcW w:w="13638" w:type="dxa"/>
            <w:shd w:val="clear" w:color="auto" w:fill="0070C0"/>
          </w:tcPr>
          <w:p w14:paraId="5F104546" w14:textId="77777777" w:rsidR="00233E2A" w:rsidRPr="002F6538" w:rsidRDefault="00233E2A" w:rsidP="0010403B">
            <w:pPr>
              <w:rPr>
                <w:b/>
                <w:color w:val="FFFFFF"/>
              </w:rPr>
            </w:pPr>
            <w:r>
              <w:rPr>
                <w:b/>
                <w:color w:val="FFFFFF"/>
              </w:rPr>
              <w:t>Key Event 3 &amp; Key Event 4</w:t>
            </w:r>
          </w:p>
          <w:p w14:paraId="0E3E88DE" w14:textId="77777777" w:rsidR="00233E2A" w:rsidRPr="002F6538" w:rsidRDefault="00233E2A" w:rsidP="0010403B">
            <w:pPr>
              <w:rPr>
                <w:b/>
                <w:color w:val="FFFFFF"/>
              </w:rPr>
            </w:pPr>
            <w:r w:rsidRPr="002F6538">
              <w:rPr>
                <w:b/>
                <w:color w:val="FFFFFF"/>
              </w:rPr>
              <w:t xml:space="preserve">Early Leydig and Sertoli cells function alterations </w:t>
            </w:r>
            <w:r w:rsidRPr="005A120C">
              <w:rPr>
                <w:b/>
                <w:i/>
                <w:color w:val="FFFFFF"/>
              </w:rPr>
              <w:t>in utero</w:t>
            </w:r>
          </w:p>
          <w:p w14:paraId="1015587C" w14:textId="77777777" w:rsidR="00233E2A" w:rsidRPr="002F6538" w:rsidRDefault="00233E2A" w:rsidP="0010403B">
            <w:pPr>
              <w:rPr>
                <w:b/>
                <w:color w:val="FFFFFF"/>
              </w:rPr>
            </w:pPr>
            <w:r w:rsidRPr="002F6538">
              <w:rPr>
                <w:b/>
                <w:color w:val="FFFFFF"/>
              </w:rPr>
              <w:t>Hormonal changes (</w:t>
            </w:r>
            <w:r w:rsidRPr="002F6538">
              <w:rPr>
                <w:color w:val="FFFFFF"/>
              </w:rPr>
              <w:t>Fetal testosterone levels decrease</w:t>
            </w:r>
            <w:r>
              <w:rPr>
                <w:b/>
                <w:color w:val="FFFFFF"/>
              </w:rPr>
              <w:t>)</w:t>
            </w:r>
          </w:p>
        </w:tc>
      </w:tr>
      <w:tr w:rsidR="00233E2A" w:rsidRPr="00770415" w14:paraId="43A9278B" w14:textId="77777777" w:rsidTr="0010403B">
        <w:trPr>
          <w:trHeight w:val="67"/>
        </w:trPr>
        <w:tc>
          <w:tcPr>
            <w:tcW w:w="13638" w:type="dxa"/>
            <w:shd w:val="clear" w:color="auto" w:fill="0070C0"/>
          </w:tcPr>
          <w:p w14:paraId="26667527" w14:textId="77777777" w:rsidR="00233E2A" w:rsidRPr="002F6538" w:rsidRDefault="00233E2A" w:rsidP="0010403B">
            <w:pPr>
              <w:rPr>
                <w:b/>
                <w:color w:val="FFFFFF"/>
              </w:rPr>
            </w:pPr>
          </w:p>
        </w:tc>
      </w:tr>
    </w:tbl>
    <w:p w14:paraId="4B5ED92F" w14:textId="77777777" w:rsidR="00233E2A" w:rsidRPr="00770415" w:rsidRDefault="00233E2A" w:rsidP="00233E2A">
      <w:pPr>
        <w:rPr>
          <w:rFonts w:cs="Arial"/>
          <w:b/>
          <w:lang w:eastAsia="en-GB"/>
        </w:rPr>
      </w:pPr>
    </w:p>
    <w:p w14:paraId="10BECA2D"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Testosterone is synthesised within testis from Leydig cells that have a central role in endocrine control of reproduction and the paracrine control of spermatogenesis in mammalian species. The latter is enabled with the contribution of the Sertoli cells in the testis. Functional alterations in Leydig and Sertoli cells (either at cellular or biochemical level) can result in altered testosterone biosynthesis and interference with the normal development of the male reproductive system and its function. Testosterone produced in fetal rat testis by Leydig cells is first detectable at GD15 and reaches a maximum at GD 18-19. </w:t>
      </w:r>
    </w:p>
    <w:p w14:paraId="025EDB9F"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DCHP causes a decrease in fetal testosterone with increasing doses of DCHP, decrease of 3β-HSD enzyme (responsible for testosterone production), as well as decrease in MIS (responsible for regression of Mullerian ducts) and Sertoli cells function biomarker in rats (Aydogan and Barlas 2015). Increasing doses of DCHP also caused impairment of Sertoli cells function and increase of medium and large clusters of Leydig cells in rats (Aydogan and Barlas 2015). </w:t>
      </w:r>
    </w:p>
    <w:p w14:paraId="0C1C09E1" w14:textId="77777777" w:rsidR="00233E2A" w:rsidRPr="000D405C" w:rsidRDefault="00233E2A" w:rsidP="00233E2A">
      <w:pPr>
        <w:rPr>
          <w:rFonts w:ascii="Verdana" w:hAnsi="Verdana" w:cs="Arial"/>
          <w:color w:val="000000"/>
          <w:sz w:val="20"/>
          <w:szCs w:val="20"/>
          <w:lang w:eastAsia="en-GB"/>
        </w:rPr>
      </w:pPr>
      <w:r w:rsidRPr="000D405C">
        <w:rPr>
          <w:rFonts w:ascii="Verdana" w:hAnsi="Verdana" w:cs="Arial"/>
          <w:color w:val="000000"/>
          <w:sz w:val="20"/>
          <w:szCs w:val="20"/>
          <w:lang w:eastAsia="en-GB"/>
        </w:rPr>
        <w:t xml:space="preserve">The effect of DCHP on testosterone levels linked to Leydig cells functionality is further supported by </w:t>
      </w:r>
      <w:r w:rsidRPr="000D405C">
        <w:rPr>
          <w:rFonts w:ascii="Verdana" w:hAnsi="Verdana" w:cs="Arial"/>
          <w:i/>
          <w:color w:val="000000"/>
          <w:sz w:val="20"/>
          <w:szCs w:val="20"/>
          <w:lang w:eastAsia="en-GB"/>
        </w:rPr>
        <w:t>in vitro</w:t>
      </w:r>
      <w:r w:rsidRPr="000D405C">
        <w:rPr>
          <w:rFonts w:ascii="Verdana" w:hAnsi="Verdana"/>
          <w:color w:val="000000"/>
          <w:sz w:val="20"/>
          <w:szCs w:val="20"/>
        </w:rPr>
        <w:t xml:space="preserve"> data that indicate that DCHP can interfere with testosterone biosynthesis in rats and humans via inhibition of specific enzymes (3β- hydroxysteriod dehydrogenase (3β-HSD) and 17β- hydroxysteroid dehydrogenase type 3 (17β- HSD3)) involved in the biosynthesis of androgens in testes (Yuan et al. 2012).</w:t>
      </w:r>
    </w:p>
    <w:p w14:paraId="2AB3A92D"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Foetal testosterone production is dose-dependently reduced in testis tissue examined ex vivo at GD 18 after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to DCHP (0, 100, 300, 600, 900 mg/kg bw/day) GD14 to GD 18 (Furr et al. 2014). Supportive data from other phthalates (DBP) link fetal testosterone insufficiency and abnormal proliferation of Leydig cells in rats (Mylchreest et al. 2002). In addition it is proposed that in general phthalates alter gene expression for cholesterol transport and steroidogenesis in Leydig cells (Report to the US Consumer Product Safety Commission, July 2014). Furthermore exposure of rats to DEHP and DHP have also been shown to cause decrease in fetal testicular testosterone levels (Borch et al. 2006, Borch et al. 2004, Hannas et al, 2012), providing further supporting evidence of the essentiality of this key event (hormonal changes) in the mode of action analysis that is observed also with DCHP. The effect of another similar substance, DPeP (dipentyl phthalate), on CD mice regarding reduction in fetal testosterone levels (Furr et al. 2014) further supports the absence of significant species differences in relation to key event 4.</w:t>
      </w:r>
    </w:p>
    <w:p w14:paraId="496DE2CD"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lastRenderedPageBreak/>
        <w:t xml:space="preserve">Equivocal results on blood hormonal levels (Testosterone, Inhibin B, MIS, FSH, LH) are shown in the Aydogan and Barlas (2013) publication following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to DCHP, but measuring the hormones at postnatal stages when exposure has ceased. Significant changes are found but not in a dose dependent manner and varying for the different age groups (PND 20, 32 and 90), However, for Inhibin B a reduction in a dose dependent manner in all dose groups and significantly different from the control group in the 100 and 500 mg/kg bw/day adult group (PND 90) are seen. Likewise, the testosterone levels in the 2-generation study (Hoshino et al. 2005) were significantly increased in the F0 middle dose group, but not in the low and high and not in the F1. No firm conclusions can be drawn when these parameters are examined after exposure ceases; as these are most likely earlier key events and their examination within the experimental design should occur at the stage of actual exposure to understand their role in the toxicological adverse pathway.</w:t>
      </w:r>
    </w:p>
    <w:p w14:paraId="17A2BDA9" w14:textId="77777777" w:rsidR="00233E2A" w:rsidRPr="000D405C" w:rsidRDefault="00233E2A" w:rsidP="00233E2A">
      <w:pPr>
        <w:rPr>
          <w:rFonts w:ascii="Verdana" w:hAnsi="Verdana" w:cs="Arial"/>
          <w:sz w:val="20"/>
          <w:szCs w:val="20"/>
          <w:lang w:eastAsia="en-GB"/>
        </w:rPr>
      </w:pPr>
      <w:r w:rsidRPr="000D405C">
        <w:rPr>
          <w:rFonts w:ascii="Verdana" w:hAnsi="Verdana"/>
          <w:sz w:val="20"/>
          <w:szCs w:val="20"/>
        </w:rPr>
        <w:t xml:space="preserve">Furthermore, in a study by Moody et al. (2012) using mice exposed to dibutylphthalate (0, 1, 10, 50, 100, 250 and 500 mg/kg bw/day) prepubertally (PND 4 – PND 7, 14 or 21) lowered testosterone levels were detected in the high dose group, however endocrine effects at lower dose levels were indicated by effects on AGD already at 1 mg/kg bw/day. </w:t>
      </w:r>
      <w:r w:rsidRPr="000D405C">
        <w:rPr>
          <w:rFonts w:ascii="Verdana" w:hAnsi="Verdana" w:cs="Arial"/>
          <w:sz w:val="20"/>
          <w:szCs w:val="20"/>
          <w:lang w:eastAsia="en-GB"/>
        </w:rPr>
        <w:t xml:space="preserve"> Reversibility of testosterone levels in adult stage has been shown following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to dibutyl phthalate, but with male reproductive adverse effects being irreversible in adulthood (Thompson et al. 2004, Barlow et al. 2004). The overall evidence indicates that only fetal testosterone appears to be a sensitive biomarker of the likely initiating events of antiandrogenic properties of DCHP, as changes in serum testosterone outside the critical window of susceptibility (GD 14-18) appear not detectable in dose response manner. </w:t>
      </w:r>
    </w:p>
    <w:p w14:paraId="5952BCD5"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Overall, there is consistency with the available evidence on the occurrence of key event 3 and 4 caused by DCHP </w:t>
      </w:r>
      <w:r w:rsidRPr="000D405C">
        <w:rPr>
          <w:rFonts w:ascii="Verdana" w:hAnsi="Verdana" w:cs="Arial"/>
          <w:i/>
          <w:sz w:val="20"/>
          <w:szCs w:val="20"/>
          <w:lang w:eastAsia="en-GB"/>
        </w:rPr>
        <w:t>in utero</w:t>
      </w:r>
      <w:r w:rsidRPr="000D405C">
        <w:rPr>
          <w:rFonts w:ascii="Verdana" w:hAnsi="Verdana" w:cs="Arial"/>
          <w:sz w:val="20"/>
          <w:szCs w:val="20"/>
          <w:lang w:eastAsia="en-GB"/>
        </w:rPr>
        <w:t>, as an early key event required to trigger the next key event.</w:t>
      </w:r>
    </w:p>
    <w:p w14:paraId="5623194F" w14:textId="77777777" w:rsidR="00233E2A" w:rsidRDefault="00233E2A" w:rsidP="00233E2A">
      <w:pPr>
        <w:rPr>
          <w:rFonts w:cs="Arial"/>
          <w:lang w:eastAsia="en-GB"/>
        </w:rPr>
      </w:pPr>
    </w:p>
    <w:p w14:paraId="1B8ED50D" w14:textId="77777777" w:rsidR="00233E2A" w:rsidRDefault="00233E2A" w:rsidP="00233E2A">
      <w:pPr>
        <w:rPr>
          <w:rFonts w:cs="Arial"/>
          <w:lang w:eastAsia="en-GB"/>
        </w:rPr>
      </w:pPr>
    </w:p>
    <w:p w14:paraId="51901609" w14:textId="77777777" w:rsidR="00233E2A" w:rsidRDefault="00233E2A" w:rsidP="00233E2A">
      <w:pPr>
        <w:rPr>
          <w:rFonts w:cs="Arial"/>
          <w:lang w:eastAsia="en-GB"/>
        </w:rPr>
      </w:pPr>
    </w:p>
    <w:p w14:paraId="1FAA2798" w14:textId="77777777" w:rsidR="00233E2A" w:rsidRDefault="00233E2A" w:rsidP="00233E2A">
      <w:pPr>
        <w:rPr>
          <w:rFonts w:cs="Arial"/>
          <w:lang w:eastAsia="en-GB"/>
        </w:rPr>
      </w:pPr>
    </w:p>
    <w:p w14:paraId="5DBDC144" w14:textId="77777777" w:rsidR="00233E2A" w:rsidRDefault="00233E2A" w:rsidP="00233E2A">
      <w:pPr>
        <w:rPr>
          <w:rFonts w:cs="Arial"/>
          <w:lang w:eastAsia="en-GB"/>
        </w:rPr>
      </w:pPr>
    </w:p>
    <w:p w14:paraId="53AC3FBE" w14:textId="77777777" w:rsidR="00233E2A" w:rsidRDefault="00233E2A" w:rsidP="00233E2A">
      <w:pPr>
        <w:rPr>
          <w:rFonts w:cs="Arial"/>
          <w:lang w:eastAsia="en-GB"/>
        </w:rPr>
      </w:pPr>
    </w:p>
    <w:p w14:paraId="12164766" w14:textId="77777777" w:rsidR="00233E2A" w:rsidRDefault="00233E2A" w:rsidP="00233E2A">
      <w:pPr>
        <w:rPr>
          <w:rFonts w:cs="Arial"/>
          <w:lang w:eastAsia="en-GB"/>
        </w:rPr>
      </w:pPr>
    </w:p>
    <w:p w14:paraId="7BBDD2B1" w14:textId="77777777" w:rsidR="00233E2A" w:rsidRDefault="00233E2A" w:rsidP="00233E2A">
      <w:pPr>
        <w:rPr>
          <w:rFonts w:cs="Arial"/>
          <w:lang w:eastAsia="en-GB"/>
        </w:rPr>
      </w:pPr>
    </w:p>
    <w:p w14:paraId="3C48CACF" w14:textId="77777777" w:rsidR="00233E2A" w:rsidRDefault="00233E2A" w:rsidP="00233E2A">
      <w:pPr>
        <w:rPr>
          <w:rFonts w:cs="Arial"/>
          <w:lang w:eastAsia="en-GB"/>
        </w:rPr>
      </w:pPr>
    </w:p>
    <w:p w14:paraId="4F994070" w14:textId="77777777" w:rsidR="00233E2A" w:rsidRPr="00770415" w:rsidRDefault="00233E2A" w:rsidP="00233E2A">
      <w:pPr>
        <w:rPr>
          <w:rFonts w:cs="Arial"/>
          <w:lang w:eastAsia="en-GB"/>
        </w:rPr>
        <w:sectPr w:rsidR="00233E2A" w:rsidRPr="00770415" w:rsidSect="0010403B">
          <w:type w:val="continuous"/>
          <w:pgSz w:w="16838" w:h="11906" w:orient="landscape"/>
          <w:pgMar w:top="1440" w:right="1440" w:bottom="1440" w:left="1440" w:header="708" w:footer="708"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tblBorders>
        <w:shd w:val="clear" w:color="auto" w:fill="0070C0"/>
        <w:tblLook w:val="04A0" w:firstRow="1" w:lastRow="0" w:firstColumn="1" w:lastColumn="0" w:noHBand="0" w:noVBand="1"/>
      </w:tblPr>
      <w:tblGrid>
        <w:gridCol w:w="13638"/>
      </w:tblGrid>
      <w:tr w:rsidR="00233E2A" w:rsidRPr="00770415" w14:paraId="17D6CF2D" w14:textId="77777777" w:rsidTr="0010403B">
        <w:trPr>
          <w:trHeight w:val="928"/>
        </w:trPr>
        <w:tc>
          <w:tcPr>
            <w:tcW w:w="13638" w:type="dxa"/>
            <w:shd w:val="clear" w:color="auto" w:fill="0070C0"/>
          </w:tcPr>
          <w:p w14:paraId="4549EF57" w14:textId="77777777" w:rsidR="00233E2A" w:rsidRPr="002F6538" w:rsidRDefault="00233E2A" w:rsidP="0010403B">
            <w:pPr>
              <w:rPr>
                <w:b/>
                <w:color w:val="FFFFFF"/>
              </w:rPr>
            </w:pPr>
            <w:r>
              <w:rPr>
                <w:b/>
                <w:color w:val="FFFFFF"/>
              </w:rPr>
              <w:lastRenderedPageBreak/>
              <w:t>Key Event 5</w:t>
            </w:r>
          </w:p>
          <w:p w14:paraId="406FB09A" w14:textId="77777777" w:rsidR="00233E2A" w:rsidRPr="002F6538" w:rsidRDefault="00233E2A" w:rsidP="0010403B">
            <w:pPr>
              <w:rPr>
                <w:b/>
                <w:color w:val="FFFFFF"/>
              </w:rPr>
            </w:pPr>
            <w:r w:rsidRPr="002F6538">
              <w:rPr>
                <w:b/>
                <w:color w:val="FFFFFF"/>
              </w:rPr>
              <w:t xml:space="preserve">Male Reproductive system irreversible damage </w:t>
            </w:r>
            <w:r w:rsidRPr="002F6538">
              <w:rPr>
                <w:color w:val="FFFFFF"/>
              </w:rPr>
              <w:t>(testicular effects, prostate effects, sperm effects, AGD decrease, hypospadias)</w:t>
            </w:r>
          </w:p>
        </w:tc>
      </w:tr>
      <w:tr w:rsidR="00233E2A" w:rsidRPr="00770415" w14:paraId="159A6C04" w14:textId="77777777" w:rsidTr="0010403B">
        <w:trPr>
          <w:trHeight w:val="67"/>
        </w:trPr>
        <w:tc>
          <w:tcPr>
            <w:tcW w:w="13638" w:type="dxa"/>
            <w:shd w:val="clear" w:color="auto" w:fill="0070C0"/>
          </w:tcPr>
          <w:p w14:paraId="26D6B2E9" w14:textId="77777777" w:rsidR="00233E2A" w:rsidRPr="002F6538" w:rsidRDefault="00233E2A" w:rsidP="0010403B">
            <w:pPr>
              <w:rPr>
                <w:b/>
                <w:color w:val="FFFFFF"/>
              </w:rPr>
            </w:pPr>
          </w:p>
        </w:tc>
      </w:tr>
    </w:tbl>
    <w:p w14:paraId="602E80FC"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Testosterone is essential for the male reproductive tract differentiation in mammalian species (fetal testicular development, epididymis, prostate) (Nef. 2000). Changes of the normal fetal testosterone levels (Key event 4) can result in effects like hypospadias, and decrease in AGD (androgen dependent in male rodents) (Wolf et al. 1999, Bowman et al. 2003) </w:t>
      </w:r>
    </w:p>
    <w:p w14:paraId="731731D7" w14:textId="77777777" w:rsidR="00233E2A" w:rsidRPr="000D405C" w:rsidRDefault="00233E2A" w:rsidP="00233E2A">
      <w:pPr>
        <w:rPr>
          <w:rFonts w:ascii="Verdana" w:hAnsi="Verdana" w:cs="Arial"/>
          <w:sz w:val="20"/>
          <w:szCs w:val="20"/>
          <w:lang w:eastAsia="en-GB"/>
        </w:rPr>
      </w:pPr>
      <w:r w:rsidRPr="000D405C">
        <w:rPr>
          <w:rFonts w:ascii="Verdana" w:hAnsi="Verdana" w:cs="Arial"/>
          <w:b/>
          <w:sz w:val="20"/>
          <w:szCs w:val="20"/>
          <w:u w:val="single"/>
          <w:lang w:eastAsia="en-GB"/>
        </w:rPr>
        <w:t>Fetal Testicular effects</w:t>
      </w:r>
      <w:r w:rsidRPr="000D405C">
        <w:rPr>
          <w:rFonts w:ascii="Verdana" w:hAnsi="Verdana" w:cs="Arial"/>
          <w:sz w:val="20"/>
          <w:szCs w:val="20"/>
          <w:lang w:eastAsia="en-GB"/>
        </w:rPr>
        <w:t xml:space="preserve"> following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to DCHP (0, 20, 100, 500 mg/kg bw/day) include: </w:t>
      </w:r>
    </w:p>
    <w:p w14:paraId="5BDFED54" w14:textId="77777777" w:rsidR="00233E2A" w:rsidRPr="000D405C" w:rsidRDefault="00233E2A" w:rsidP="00233E2A">
      <w:pPr>
        <w:pStyle w:val="ListParagraph"/>
        <w:widowControl/>
        <w:numPr>
          <w:ilvl w:val="0"/>
          <w:numId w:val="38"/>
        </w:numPr>
        <w:spacing w:after="200" w:line="276" w:lineRule="auto"/>
        <w:rPr>
          <w:rFonts w:cs="Arial"/>
          <w:lang w:eastAsia="en-GB"/>
        </w:rPr>
      </w:pPr>
      <w:r w:rsidRPr="000D405C">
        <w:rPr>
          <w:rFonts w:cs="Arial"/>
          <w:lang w:eastAsia="en-GB"/>
        </w:rPr>
        <w:t xml:space="preserve">Atrophic and small seminiferous chords, decreased germ cells in chords, Sertoli cell only chords, detached cells from chord wall, presence of multinuclear gonocytes (Aydogan and Barlas 2015). </w:t>
      </w:r>
    </w:p>
    <w:p w14:paraId="38A0A2D5" w14:textId="77777777" w:rsidR="00233E2A" w:rsidRPr="000D405C" w:rsidRDefault="00233E2A" w:rsidP="00233E2A">
      <w:pPr>
        <w:rPr>
          <w:rFonts w:ascii="Verdana" w:hAnsi="Verdana" w:cs="Arial"/>
          <w:sz w:val="20"/>
          <w:szCs w:val="20"/>
          <w:lang w:eastAsia="en-GB"/>
        </w:rPr>
      </w:pPr>
      <w:r w:rsidRPr="000D405C">
        <w:rPr>
          <w:rFonts w:ascii="Verdana" w:hAnsi="Verdana" w:cs="Arial"/>
          <w:b/>
          <w:sz w:val="20"/>
          <w:szCs w:val="20"/>
          <w:u w:val="single"/>
          <w:lang w:eastAsia="en-GB"/>
        </w:rPr>
        <w:t>Decrease in AGD</w:t>
      </w:r>
      <w:r w:rsidRPr="000D405C">
        <w:rPr>
          <w:rFonts w:ascii="Verdana" w:hAnsi="Verdana" w:cs="Arial"/>
          <w:sz w:val="20"/>
          <w:szCs w:val="20"/>
          <w:lang w:eastAsia="en-GB"/>
        </w:rPr>
        <w:t xml:space="preserve">, has been observed in male pups following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to 0, 250, 500 and 750 mg/kg bw/day of DCHP in a dose dependent manner (Saillenfait et al. 2009).</w:t>
      </w:r>
    </w:p>
    <w:p w14:paraId="05938DC3"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A number of </w:t>
      </w:r>
      <w:r w:rsidRPr="000D405C">
        <w:rPr>
          <w:rFonts w:ascii="Verdana" w:hAnsi="Verdana" w:cs="Arial"/>
          <w:b/>
          <w:sz w:val="20"/>
          <w:szCs w:val="20"/>
          <w:u w:val="single"/>
          <w:lang w:eastAsia="en-GB"/>
        </w:rPr>
        <w:t>testicular effects</w:t>
      </w:r>
      <w:r w:rsidRPr="000D405C">
        <w:rPr>
          <w:rFonts w:ascii="Verdana" w:hAnsi="Verdana" w:cs="Arial"/>
          <w:sz w:val="20"/>
          <w:szCs w:val="20"/>
          <w:lang w:eastAsia="en-GB"/>
        </w:rPr>
        <w:t xml:space="preserve"> are evident in prepubertal and pubertal stages, whereas in the adult stage for some of the observations recovery is observed. The treatment occurred only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Attached seminiferous tubules and effects on epididymis, and increased presence of abnormal sperm are however evident also in adult stage, indicating </w:t>
      </w:r>
      <w:r w:rsidRPr="000D405C">
        <w:rPr>
          <w:rFonts w:ascii="Verdana" w:hAnsi="Verdana" w:cs="Arial"/>
          <w:b/>
          <w:sz w:val="20"/>
          <w:szCs w:val="20"/>
          <w:u w:val="single"/>
          <w:lang w:eastAsia="en-GB"/>
        </w:rPr>
        <w:t>irreversible damage</w:t>
      </w:r>
      <w:r w:rsidRPr="000D405C">
        <w:rPr>
          <w:rFonts w:ascii="Verdana" w:hAnsi="Verdana" w:cs="Arial"/>
          <w:sz w:val="20"/>
          <w:szCs w:val="20"/>
          <w:lang w:eastAsia="en-GB"/>
        </w:rPr>
        <w:t xml:space="preserve"> from the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(Aydogan and Barlas 2013).</w:t>
      </w:r>
    </w:p>
    <w:p w14:paraId="08B23727"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 xml:space="preserve">The sequence of events does not seem to be reversible when dosing is stopped as indicated by the presence of male reproductive organ effects even at adult stage following only </w:t>
      </w:r>
      <w:r w:rsidRPr="000D405C">
        <w:rPr>
          <w:rFonts w:ascii="Verdana" w:hAnsi="Verdana" w:cs="Arial"/>
          <w:i/>
          <w:sz w:val="20"/>
          <w:szCs w:val="20"/>
          <w:lang w:eastAsia="en-GB"/>
        </w:rPr>
        <w:t>in utero</w:t>
      </w:r>
      <w:r w:rsidRPr="000D405C">
        <w:rPr>
          <w:rFonts w:ascii="Verdana" w:hAnsi="Verdana" w:cs="Arial"/>
          <w:sz w:val="20"/>
          <w:szCs w:val="20"/>
          <w:lang w:eastAsia="en-GB"/>
        </w:rPr>
        <w:t xml:space="preserve"> exposure (Aydogan and Barlas 2013 and 2015)</w:t>
      </w:r>
    </w:p>
    <w:p w14:paraId="37FA8752" w14:textId="77777777" w:rsidR="00233E2A" w:rsidRPr="000D405C" w:rsidRDefault="00233E2A" w:rsidP="00233E2A">
      <w:pPr>
        <w:rPr>
          <w:rFonts w:ascii="Verdana" w:hAnsi="Verdana" w:cs="Arial"/>
          <w:sz w:val="20"/>
          <w:szCs w:val="20"/>
          <w:lang w:eastAsia="en-GB"/>
        </w:rPr>
      </w:pPr>
      <w:r w:rsidRPr="000D405C">
        <w:rPr>
          <w:rFonts w:ascii="Verdana" w:hAnsi="Verdana" w:cs="Arial"/>
          <w:sz w:val="20"/>
          <w:szCs w:val="20"/>
          <w:lang w:eastAsia="en-GB"/>
        </w:rPr>
        <w:t>The following observations are indicative of irreversible male reproductive systems advese effects:</w:t>
      </w:r>
    </w:p>
    <w:p w14:paraId="21261874" w14:textId="77777777" w:rsidR="00233E2A" w:rsidRPr="000D405C" w:rsidRDefault="00233E2A" w:rsidP="00233E2A">
      <w:pPr>
        <w:pStyle w:val="ListParagraph"/>
        <w:widowControl/>
        <w:numPr>
          <w:ilvl w:val="0"/>
          <w:numId w:val="39"/>
        </w:numPr>
        <w:spacing w:after="200" w:line="276" w:lineRule="auto"/>
        <w:rPr>
          <w:rFonts w:cs="Arial"/>
          <w:lang w:eastAsia="en-GB"/>
        </w:rPr>
      </w:pPr>
      <w:r w:rsidRPr="000D405C">
        <w:rPr>
          <w:rFonts w:cs="Arial"/>
          <w:lang w:eastAsia="en-GB"/>
        </w:rPr>
        <w:t xml:space="preserve">Incidence of </w:t>
      </w:r>
      <w:r w:rsidRPr="000D405C">
        <w:rPr>
          <w:rFonts w:cs="Arial"/>
          <w:b/>
          <w:u w:val="single"/>
          <w:lang w:eastAsia="en-GB"/>
        </w:rPr>
        <w:t>testicular effects</w:t>
      </w:r>
      <w:r w:rsidRPr="000D405C">
        <w:rPr>
          <w:rFonts w:cs="Arial"/>
          <w:lang w:eastAsia="en-GB"/>
        </w:rPr>
        <w:t xml:space="preserve"> (tubular atrophy, germinal cell debris, increase in apoptotic cells) in prepubertal and pubertal stages increase with increasing doses of </w:t>
      </w:r>
      <w:r w:rsidRPr="000D405C">
        <w:rPr>
          <w:rFonts w:cs="Arial"/>
          <w:i/>
          <w:lang w:eastAsia="en-GB"/>
        </w:rPr>
        <w:t>in utero</w:t>
      </w:r>
      <w:r w:rsidRPr="000D405C">
        <w:rPr>
          <w:rFonts w:cs="Arial"/>
          <w:lang w:eastAsia="en-GB"/>
        </w:rPr>
        <w:t xml:space="preserve"> exposure to DCHP. Reversibility in adult stage.</w:t>
      </w:r>
    </w:p>
    <w:p w14:paraId="4D84CE71" w14:textId="77777777" w:rsidR="00233E2A" w:rsidRPr="000D405C" w:rsidRDefault="00233E2A" w:rsidP="00233E2A">
      <w:pPr>
        <w:pStyle w:val="ListParagraph"/>
        <w:widowControl/>
        <w:numPr>
          <w:ilvl w:val="0"/>
          <w:numId w:val="39"/>
        </w:numPr>
        <w:spacing w:after="200" w:line="276" w:lineRule="auto"/>
        <w:rPr>
          <w:rFonts w:cs="Arial"/>
          <w:lang w:eastAsia="en-GB"/>
        </w:rPr>
      </w:pPr>
      <w:r w:rsidRPr="000D405C">
        <w:rPr>
          <w:rFonts w:cs="Arial"/>
          <w:lang w:eastAsia="en-GB"/>
        </w:rPr>
        <w:t xml:space="preserve">Incidence of testicular effects (attached seminiferous tubules) increase in prepubertal, pubertal and adult stage with increasing </w:t>
      </w:r>
      <w:r w:rsidRPr="000D405C">
        <w:rPr>
          <w:rFonts w:cs="Arial"/>
          <w:i/>
          <w:lang w:eastAsia="en-GB"/>
        </w:rPr>
        <w:t>in utero</w:t>
      </w:r>
      <w:r w:rsidRPr="000D405C">
        <w:rPr>
          <w:rFonts w:cs="Arial"/>
          <w:lang w:eastAsia="en-GB"/>
        </w:rPr>
        <w:t xml:space="preserve"> doses.</w:t>
      </w:r>
    </w:p>
    <w:p w14:paraId="7AF096A5" w14:textId="77777777" w:rsidR="00233E2A" w:rsidRPr="000D405C" w:rsidRDefault="00233E2A" w:rsidP="00233E2A">
      <w:pPr>
        <w:pStyle w:val="ListParagraph"/>
        <w:widowControl/>
        <w:numPr>
          <w:ilvl w:val="0"/>
          <w:numId w:val="39"/>
        </w:numPr>
        <w:spacing w:after="200" w:line="276" w:lineRule="auto"/>
        <w:rPr>
          <w:rFonts w:cs="Arial"/>
          <w:lang w:eastAsia="en-GB"/>
        </w:rPr>
      </w:pPr>
      <w:r w:rsidRPr="000D405C">
        <w:rPr>
          <w:rFonts w:cs="Arial"/>
          <w:lang w:eastAsia="en-GB"/>
        </w:rPr>
        <w:t xml:space="preserve">Incidence of </w:t>
      </w:r>
      <w:r w:rsidRPr="000D405C">
        <w:rPr>
          <w:rFonts w:cs="Arial"/>
          <w:b/>
          <w:u w:val="single"/>
          <w:lang w:eastAsia="en-GB"/>
        </w:rPr>
        <w:t>epididymis effects</w:t>
      </w:r>
      <w:r w:rsidRPr="000D405C">
        <w:rPr>
          <w:rFonts w:cs="Arial"/>
          <w:lang w:eastAsia="en-GB"/>
        </w:rPr>
        <w:t xml:space="preserve"> (atrophic tubules) increase in prepubertal, pubertal and adult stage with increasing </w:t>
      </w:r>
      <w:r w:rsidRPr="000D405C">
        <w:rPr>
          <w:rFonts w:cs="Arial"/>
          <w:i/>
          <w:lang w:eastAsia="en-GB"/>
        </w:rPr>
        <w:t>in utero</w:t>
      </w:r>
      <w:r w:rsidRPr="000D405C">
        <w:rPr>
          <w:rFonts w:cs="Arial"/>
          <w:lang w:eastAsia="en-GB"/>
        </w:rPr>
        <w:t xml:space="preserve"> doses. </w:t>
      </w:r>
    </w:p>
    <w:p w14:paraId="7AD030B9" w14:textId="77777777" w:rsidR="00233E2A" w:rsidRPr="000D405C" w:rsidRDefault="00233E2A" w:rsidP="00233E2A">
      <w:pPr>
        <w:pStyle w:val="ListParagraph"/>
        <w:widowControl/>
        <w:numPr>
          <w:ilvl w:val="0"/>
          <w:numId w:val="39"/>
        </w:numPr>
        <w:spacing w:after="200" w:line="276" w:lineRule="auto"/>
        <w:rPr>
          <w:rFonts w:cs="Arial"/>
          <w:lang w:eastAsia="en-GB"/>
        </w:rPr>
      </w:pPr>
      <w:r w:rsidRPr="000D405C">
        <w:rPr>
          <w:rFonts w:cs="Arial"/>
          <w:lang w:eastAsia="en-GB"/>
        </w:rPr>
        <w:t>Incidence of prostate related effects are seen in prepubertal, pubertal and adult stage with atrophic tubules and prostatic intraepithelial neoplasia (Aydogan and Barlas, 2013).</w:t>
      </w:r>
    </w:p>
    <w:p w14:paraId="1FEA21EB"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lastRenderedPageBreak/>
        <w:t xml:space="preserve">The two generation study showed atrophy of seminiferous tubules and atrophy of testicular changes at 400mg/kg bw/day in F1 generation and </w:t>
      </w:r>
      <w:r w:rsidRPr="00D556D8">
        <w:rPr>
          <w:rFonts w:ascii="Verdana" w:hAnsi="Verdana" w:cs="Arial"/>
          <w:b/>
          <w:sz w:val="20"/>
          <w:szCs w:val="20"/>
          <w:u w:val="single"/>
          <w:lang w:eastAsia="en-GB"/>
        </w:rPr>
        <w:t>decrease of AGD</w:t>
      </w:r>
      <w:r w:rsidRPr="00D556D8">
        <w:rPr>
          <w:rFonts w:ascii="Verdana" w:hAnsi="Verdana" w:cs="Arial"/>
          <w:sz w:val="20"/>
          <w:szCs w:val="20"/>
          <w:lang w:eastAsia="en-GB"/>
        </w:rPr>
        <w:t xml:space="preserve"> in F1 and F2 generation at 400 and at 100, 400mg/kg bw/day, respectively (Hoshino et al. 2005). </w:t>
      </w:r>
    </w:p>
    <w:p w14:paraId="7423FFD2"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 xml:space="preserve">The two generation study showed </w:t>
      </w:r>
      <w:r w:rsidRPr="00D556D8">
        <w:rPr>
          <w:rFonts w:ascii="Verdana" w:hAnsi="Verdana" w:cs="Arial"/>
          <w:b/>
          <w:sz w:val="20"/>
          <w:szCs w:val="20"/>
          <w:lang w:eastAsia="en-GB"/>
        </w:rPr>
        <w:t>reduction of spermatids in testis</w:t>
      </w:r>
      <w:r w:rsidRPr="00D556D8">
        <w:rPr>
          <w:rFonts w:ascii="Verdana" w:hAnsi="Verdana" w:cs="Arial"/>
          <w:sz w:val="20"/>
          <w:szCs w:val="20"/>
          <w:lang w:eastAsia="en-GB"/>
        </w:rPr>
        <w:t xml:space="preserve"> at 100 and 400mg/kg bw/day in F1 generation, DCHP also affected the </w:t>
      </w:r>
      <w:r w:rsidRPr="00D556D8">
        <w:rPr>
          <w:rFonts w:ascii="Verdana" w:hAnsi="Verdana" w:cs="Arial"/>
          <w:b/>
          <w:sz w:val="20"/>
          <w:szCs w:val="20"/>
          <w:lang w:eastAsia="en-GB"/>
        </w:rPr>
        <w:t>sperm production and maturation</w:t>
      </w:r>
      <w:r w:rsidRPr="00D556D8">
        <w:rPr>
          <w:rFonts w:ascii="Verdana" w:hAnsi="Verdana" w:cs="Arial"/>
          <w:sz w:val="20"/>
          <w:szCs w:val="20"/>
          <w:lang w:eastAsia="en-GB"/>
        </w:rPr>
        <w:t xml:space="preserve"> in rats in a dose-dependent manner (Aydogan and Barlas 2013). </w:t>
      </w:r>
    </w:p>
    <w:p w14:paraId="241A181F"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 xml:space="preserve">In a supportive study, 2 cases of </w:t>
      </w:r>
      <w:r w:rsidRPr="00D556D8">
        <w:rPr>
          <w:rFonts w:ascii="Verdana" w:hAnsi="Verdana" w:cs="Arial"/>
          <w:b/>
          <w:sz w:val="20"/>
          <w:szCs w:val="20"/>
          <w:u w:val="single"/>
          <w:lang w:eastAsia="en-GB"/>
        </w:rPr>
        <w:t>hypospadias</w:t>
      </w:r>
      <w:r w:rsidRPr="00D556D8">
        <w:rPr>
          <w:rFonts w:ascii="Verdana" w:hAnsi="Verdana" w:cs="Arial"/>
          <w:sz w:val="20"/>
          <w:szCs w:val="20"/>
          <w:lang w:eastAsia="en-GB"/>
        </w:rPr>
        <w:t xml:space="preserve"> were found in the high dose group (500 mg/kg bw) (Yamasaki et al. 2009) as well as a decreased AGD, further pointing to effects on the development of the male reproductive organs.</w:t>
      </w:r>
    </w:p>
    <w:p w14:paraId="181C286B"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 xml:space="preserve">Mitchell et al. (2012) and Heger et al. (2012) reported that DBP exposure of human fetal testes, that were xenografted into castrate male nude mice, produced no effects on testosterone production compared to rat fetal testis xenografts that were exposed to DBP as a positive control. However, this information does not contradict the hypothesised mode of action for DCHP as the xenograft studies do not take into account </w:t>
      </w:r>
      <w:r w:rsidRPr="00D556D8">
        <w:rPr>
          <w:rFonts w:ascii="Verdana" w:hAnsi="Verdana" w:cs="Arial"/>
          <w:i/>
          <w:sz w:val="20"/>
          <w:szCs w:val="20"/>
          <w:lang w:eastAsia="en-GB"/>
        </w:rPr>
        <w:t>in utero</w:t>
      </w:r>
      <w:r w:rsidRPr="00D556D8">
        <w:rPr>
          <w:rFonts w:ascii="Verdana" w:hAnsi="Verdana" w:cs="Arial"/>
          <w:sz w:val="20"/>
          <w:szCs w:val="20"/>
          <w:lang w:eastAsia="en-GB"/>
        </w:rPr>
        <w:t xml:space="preserve"> exposure to phthalates throughout the male reproductive organ development (the male programming window) and therefore is not considered strong enough to disregard the proposed mode of action as relevant for humans. In addition, the study from Furr et al. (2014) further confirms that fetal testicular decrease in rats and mice is an early key event with no qualitative species differences observed, but only with some different sensitivity as a result of dose levels of dipentyl phthalate required to trigger the effect.</w:t>
      </w:r>
    </w:p>
    <w:p w14:paraId="0B474B78"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Overall, there is consistency at the doses at which the later key events appear in relation to earlie</w:t>
      </w:r>
      <w:r>
        <w:rPr>
          <w:rFonts w:ascii="Verdana" w:hAnsi="Verdana" w:cs="Arial"/>
          <w:sz w:val="20"/>
          <w:szCs w:val="20"/>
          <w:lang w:eastAsia="en-GB"/>
        </w:rPr>
        <w:t xml:space="preserve">r key events (see also part </w:t>
      </w:r>
      <w:r w:rsidRPr="00D556D8">
        <w:rPr>
          <w:rFonts w:ascii="Verdana" w:hAnsi="Verdana" w:cs="Arial"/>
          <w:sz w:val="20"/>
          <w:szCs w:val="20"/>
          <w:lang w:eastAsia="en-GB"/>
        </w:rPr>
        <w:t>a</w:t>
      </w:r>
      <w:r>
        <w:rPr>
          <w:rFonts w:ascii="Verdana" w:hAnsi="Verdana" w:cs="Arial"/>
          <w:sz w:val="20"/>
          <w:szCs w:val="20"/>
          <w:lang w:eastAsia="en-GB"/>
        </w:rPr>
        <w:t xml:space="preserve"> above)</w:t>
      </w:r>
      <w:r w:rsidRPr="00D556D8">
        <w:rPr>
          <w:rFonts w:ascii="Verdana" w:hAnsi="Verdana" w:cs="Arial"/>
          <w:sz w:val="20"/>
          <w:szCs w:val="20"/>
          <w:lang w:eastAsia="en-GB"/>
        </w:rPr>
        <w:t xml:space="preserve">. </w:t>
      </w:r>
    </w:p>
    <w:p w14:paraId="4926EFB8" w14:textId="77777777" w:rsidR="00233E2A" w:rsidRPr="00D556D8" w:rsidRDefault="00233E2A" w:rsidP="00233E2A">
      <w:pPr>
        <w:pStyle w:val="BodyText"/>
      </w:pPr>
      <w:r w:rsidRPr="00D556D8">
        <w:rPr>
          <w:rFonts w:cs="Arial"/>
          <w:lang w:eastAsia="en-GB"/>
        </w:rPr>
        <w:t>There is consistency in the effects observed (taking also into account similar chemicals e.g. other phthalates) in other species.</w:t>
      </w:r>
    </w:p>
    <w:p w14:paraId="75C7375D" w14:textId="77777777" w:rsidR="00233E2A" w:rsidRDefault="00233E2A" w:rsidP="00233E2A">
      <w:pPr>
        <w:pStyle w:val="BodyText"/>
      </w:pPr>
      <w:r>
        <w:br w:type="page"/>
      </w:r>
    </w:p>
    <w:tbl>
      <w:tblPr>
        <w:tblW w:w="0" w:type="auto"/>
        <w:tblBorders>
          <w:top w:val="single" w:sz="12" w:space="0" w:color="auto"/>
          <w:left w:val="single" w:sz="12" w:space="0" w:color="auto"/>
          <w:bottom w:val="single" w:sz="12" w:space="0" w:color="auto"/>
          <w:right w:val="single" w:sz="12" w:space="0" w:color="auto"/>
        </w:tblBorders>
        <w:shd w:val="clear" w:color="auto" w:fill="0070C0"/>
        <w:tblLook w:val="04A0" w:firstRow="1" w:lastRow="0" w:firstColumn="1" w:lastColumn="0" w:noHBand="0" w:noVBand="1"/>
      </w:tblPr>
      <w:tblGrid>
        <w:gridCol w:w="13638"/>
      </w:tblGrid>
      <w:tr w:rsidR="00233E2A" w:rsidRPr="0009437C" w14:paraId="0FFB4B76" w14:textId="77777777" w:rsidTr="0010403B">
        <w:trPr>
          <w:trHeight w:val="928"/>
        </w:trPr>
        <w:tc>
          <w:tcPr>
            <w:tcW w:w="13638" w:type="dxa"/>
            <w:shd w:val="clear" w:color="auto" w:fill="0070C0"/>
          </w:tcPr>
          <w:p w14:paraId="76A3DC99" w14:textId="77777777" w:rsidR="00233E2A" w:rsidRPr="002F6538" w:rsidRDefault="00233E2A" w:rsidP="0010403B">
            <w:pPr>
              <w:rPr>
                <w:b/>
                <w:color w:val="FFFFFF"/>
              </w:rPr>
            </w:pPr>
            <w:r>
              <w:rPr>
                <w:b/>
                <w:color w:val="FFFFFF"/>
              </w:rPr>
              <w:lastRenderedPageBreak/>
              <w:t>Key Event 6</w:t>
            </w:r>
          </w:p>
          <w:p w14:paraId="0752D67E" w14:textId="77777777" w:rsidR="00233E2A" w:rsidRPr="002F6538" w:rsidRDefault="00233E2A" w:rsidP="0010403B">
            <w:pPr>
              <w:rPr>
                <w:b/>
                <w:color w:val="FFFFFF"/>
              </w:rPr>
            </w:pPr>
            <w:r w:rsidRPr="002F6538">
              <w:rPr>
                <w:b/>
                <w:color w:val="FFFFFF"/>
              </w:rPr>
              <w:t>Male Impaired Fertility</w:t>
            </w:r>
          </w:p>
        </w:tc>
      </w:tr>
      <w:tr w:rsidR="00233E2A" w:rsidRPr="0009437C" w14:paraId="7EC4257E" w14:textId="77777777" w:rsidTr="0010403B">
        <w:trPr>
          <w:trHeight w:val="67"/>
        </w:trPr>
        <w:tc>
          <w:tcPr>
            <w:tcW w:w="13638" w:type="dxa"/>
            <w:shd w:val="clear" w:color="auto" w:fill="0070C0"/>
          </w:tcPr>
          <w:p w14:paraId="368A9D5F" w14:textId="77777777" w:rsidR="00233E2A" w:rsidRPr="002F6538" w:rsidRDefault="00233E2A" w:rsidP="0010403B">
            <w:pPr>
              <w:rPr>
                <w:b/>
                <w:color w:val="FFFFFF"/>
              </w:rPr>
            </w:pPr>
          </w:p>
        </w:tc>
      </w:tr>
    </w:tbl>
    <w:p w14:paraId="45DF46C3" w14:textId="77777777" w:rsidR="00233E2A" w:rsidRPr="0009437C" w:rsidRDefault="00233E2A" w:rsidP="00233E2A"/>
    <w:p w14:paraId="21AA8793" w14:textId="77777777" w:rsidR="00233E2A" w:rsidRPr="00D556D8" w:rsidRDefault="00233E2A" w:rsidP="00233E2A">
      <w:pPr>
        <w:rPr>
          <w:rFonts w:ascii="Verdana" w:hAnsi="Verdana"/>
          <w:sz w:val="20"/>
          <w:szCs w:val="20"/>
        </w:rPr>
      </w:pPr>
      <w:r w:rsidRPr="00D556D8">
        <w:rPr>
          <w:rFonts w:ascii="Verdana" w:hAnsi="Verdana"/>
          <w:sz w:val="20"/>
          <w:szCs w:val="20"/>
        </w:rPr>
        <w:t xml:space="preserve">Adverse effects in relation to the development of the male reproductive system and its function are likely to have effects in fertility. </w:t>
      </w:r>
    </w:p>
    <w:p w14:paraId="261FD8FD"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The two generation study with DCHP indicates effects in reproductive organs and function parameters but these effects were not severe enough to render effects on fertility, however, it is known that histopathological changes is a more sensitive indicator of reproductive toxicity than are reduced fertility. Decreased fertility as revealed by effect on fertility index is a rather insensitive endpoint in rats. This may be explained by the rather high sperm reserve available in rats compared to humans (OECD 2008).</w:t>
      </w:r>
    </w:p>
    <w:p w14:paraId="2ED4196F" w14:textId="77777777" w:rsidR="00233E2A" w:rsidRPr="00D556D8" w:rsidRDefault="00233E2A" w:rsidP="00233E2A">
      <w:pPr>
        <w:rPr>
          <w:rFonts w:ascii="Verdana" w:hAnsi="Verdana" w:cs="Arial"/>
          <w:sz w:val="20"/>
          <w:szCs w:val="20"/>
          <w:lang w:eastAsia="en-GB"/>
        </w:rPr>
      </w:pPr>
      <w:r w:rsidRPr="00D556D8">
        <w:rPr>
          <w:rFonts w:ascii="Verdana" w:hAnsi="Verdana"/>
          <w:sz w:val="20"/>
          <w:szCs w:val="20"/>
        </w:rPr>
        <w:t xml:space="preserve">Although the experimental evidence of direct impact of DCHP on male fertility is not very strong, there is strong evidence that male reproductive system irreversible effects (e.g. hypospadias, sperm quality effects, decrease in anogenital distance) observed in key event 5 are linked to fertility adverse </w:t>
      </w:r>
      <w:r w:rsidRPr="00D556D8">
        <w:rPr>
          <w:rFonts w:ascii="Verdana" w:hAnsi="Verdana" w:cs="Arial"/>
          <w:sz w:val="20"/>
          <w:szCs w:val="20"/>
          <w:lang w:eastAsia="en-GB"/>
        </w:rPr>
        <w:t xml:space="preserve">effects in mammalian species (Asklund et al. 2010, Bracka 1989, Kurzrock and Karpman 2004, Silver 2004, Skakkebaeck et al,.2001). Overall,  fetal disturbance of the developing male reproductive system can have multiple effects in mammalian species as described  by Skakkebaeck et al. (2001) and summarised as  the testicular dysgenesis syndrome (TDS). The disturbed fetal development resulting in alterations in Sertoli cell function and decreased Leydig cell function cause impaired germ cell differentiation and androgen insufficiency; which in turn can lead to reduced semen quality, hypospadias  and testicular effects (testicular cancer and testicular descent).  The testicular dysgenesis syndrome summarises a number of potential adverse effects due to fetal male reproduction development disturbances but not all of them are always likely to occur concurrently (Akre and Richiardi 2009, Wohlfahrt-Veje et al. 2009). </w:t>
      </w:r>
    </w:p>
    <w:p w14:paraId="19E081A8"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 xml:space="preserve">The available experimental evidence with DCHP point to the direction of potential effects in fertility rather </w:t>
      </w:r>
      <w:r>
        <w:rPr>
          <w:rFonts w:ascii="Verdana" w:hAnsi="Verdana" w:cs="Arial"/>
          <w:sz w:val="20"/>
          <w:szCs w:val="20"/>
          <w:lang w:eastAsia="en-GB"/>
        </w:rPr>
        <w:t xml:space="preserve">than testicular cancer. This is </w:t>
      </w:r>
      <w:r w:rsidRPr="00D556D8">
        <w:rPr>
          <w:rFonts w:ascii="Verdana" w:hAnsi="Verdana" w:cs="Arial"/>
          <w:sz w:val="20"/>
          <w:szCs w:val="20"/>
          <w:lang w:eastAsia="en-GB"/>
        </w:rPr>
        <w:t xml:space="preserve">also further supported by the experimental evidence from similar chemicals (e.g. di-n-butyl phthalate), where testicular cancer in experimental species has not been reported. </w:t>
      </w:r>
    </w:p>
    <w:p w14:paraId="54DAC4B3" w14:textId="77777777" w:rsidR="00233E2A" w:rsidRDefault="00233E2A" w:rsidP="00233E2A">
      <w:pPr>
        <w:pStyle w:val="BodyText"/>
        <w:rPr>
          <w:rFonts w:cs="Arial"/>
          <w:lang w:eastAsia="en-GB"/>
        </w:rPr>
      </w:pPr>
      <w:r w:rsidRPr="00D556D8">
        <w:rPr>
          <w:rFonts w:cs="Arial"/>
          <w:lang w:eastAsia="en-GB"/>
        </w:rPr>
        <w:t>The experimental evidence with DCHP on functional alterations of Leydig and Sertoli cells, the fetal testosterone decrease, the testicular histopathological changes and the decrease in AGD, hypospadias and alterations is sperm quality strongly support the hypotheses that</w:t>
      </w:r>
      <w:r>
        <w:rPr>
          <w:rFonts w:cs="Arial"/>
          <w:lang w:eastAsia="en-GB"/>
        </w:rPr>
        <w:t xml:space="preserve"> impairment of male fertility is likely to occur .</w:t>
      </w:r>
    </w:p>
    <w:p w14:paraId="67B8E97B" w14:textId="77777777" w:rsidR="00233E2A" w:rsidRPr="00D556D8" w:rsidRDefault="00233E2A" w:rsidP="00233E2A">
      <w:pPr>
        <w:pStyle w:val="BodyText"/>
      </w:pPr>
      <w:r w:rsidRPr="00782CD8">
        <w:rPr>
          <w:rFonts w:cs="Arial"/>
          <w:lang w:eastAsia="en-GB"/>
        </w:rPr>
        <w:t>Evidence from</w:t>
      </w:r>
      <w:r>
        <w:rPr>
          <w:rFonts w:cs="Arial"/>
          <w:lang w:eastAsia="en-GB"/>
        </w:rPr>
        <w:t xml:space="preserve"> human</w:t>
      </w:r>
      <w:r w:rsidRPr="00782CD8">
        <w:rPr>
          <w:rFonts w:cs="Arial"/>
          <w:lang w:eastAsia="en-GB"/>
        </w:rPr>
        <w:t xml:space="preserve"> epidemiological studies also show that fetal male reproductive systems development related effects correlate well with low semen quality, disturbances in testosterone levels and histopathological effects</w:t>
      </w:r>
      <w:r>
        <w:rPr>
          <w:rFonts w:cs="Arial"/>
          <w:lang w:eastAsia="en-GB"/>
        </w:rPr>
        <w:t>, and there are links between</w:t>
      </w:r>
      <w:r w:rsidRPr="00782CD8">
        <w:rPr>
          <w:rFonts w:cs="Arial"/>
          <w:lang w:eastAsia="en-GB"/>
        </w:rPr>
        <w:t xml:space="preserve"> infertility observed in men  </w:t>
      </w:r>
      <w:r>
        <w:rPr>
          <w:rFonts w:cs="Arial"/>
          <w:lang w:eastAsia="en-GB"/>
        </w:rPr>
        <w:t>and</w:t>
      </w:r>
      <w:r w:rsidRPr="00782CD8">
        <w:rPr>
          <w:rFonts w:cs="Arial"/>
          <w:lang w:eastAsia="en-GB"/>
        </w:rPr>
        <w:t xml:space="preserve"> adverse effects on Sertoli cells and Leydig cells (</w:t>
      </w:r>
      <w:r>
        <w:rPr>
          <w:rFonts w:cs="Arial"/>
          <w:lang w:eastAsia="en-GB"/>
        </w:rPr>
        <w:t>Juul</w:t>
      </w:r>
      <w:r w:rsidRPr="00782CD8">
        <w:rPr>
          <w:rFonts w:cs="Arial"/>
          <w:lang w:eastAsia="en-GB"/>
        </w:rPr>
        <w:t xml:space="preserve"> et al</w:t>
      </w:r>
      <w:r>
        <w:rPr>
          <w:rFonts w:cs="Arial"/>
          <w:lang w:eastAsia="en-GB"/>
        </w:rPr>
        <w:t>.</w:t>
      </w:r>
      <w:r w:rsidRPr="00782CD8">
        <w:rPr>
          <w:rFonts w:cs="Arial"/>
          <w:lang w:eastAsia="en-GB"/>
        </w:rPr>
        <w:t xml:space="preserve"> 2014). Consistency of positive correlation of AGD with sperm </w:t>
      </w:r>
      <w:r w:rsidRPr="00D556D8">
        <w:rPr>
          <w:rFonts w:cs="Arial"/>
          <w:lang w:eastAsia="en-GB"/>
        </w:rPr>
        <w:lastRenderedPageBreak/>
        <w:t>count, fertility, testis size and testosterone levels has been reported between human and rats (Dean and Sharpe 2013) further supported by findings that longer AGD in humans can be predictive of normal male reproductive performance in humans (Eisenberg et al. 2011).</w:t>
      </w:r>
    </w:p>
    <w:p w14:paraId="3BE20773"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Overall, the experimental evidence are consistent with the order the last key event (key event 6) is expected to occur in relation to the previous key events.</w:t>
      </w:r>
    </w:p>
    <w:p w14:paraId="6944929A" w14:textId="77777777" w:rsidR="00233E2A" w:rsidRPr="00D556D8" w:rsidRDefault="00233E2A" w:rsidP="00233E2A">
      <w:pPr>
        <w:rPr>
          <w:rFonts w:ascii="Verdana" w:hAnsi="Verdana" w:cs="Arial"/>
          <w:sz w:val="20"/>
          <w:szCs w:val="20"/>
          <w:lang w:eastAsia="en-GB"/>
        </w:rPr>
      </w:pPr>
      <w:r w:rsidRPr="00D556D8">
        <w:rPr>
          <w:rFonts w:ascii="Verdana" w:hAnsi="Verdana" w:cs="Arial"/>
          <w:sz w:val="20"/>
          <w:szCs w:val="20"/>
          <w:lang w:eastAsia="en-GB"/>
        </w:rPr>
        <w:t xml:space="preserve">There is consistency in the effects observed (taking also into account similar chemicals e.g. other phthalates) in other species. </w:t>
      </w:r>
    </w:p>
    <w:p w14:paraId="06B91742" w14:textId="77777777" w:rsidR="00233E2A" w:rsidRPr="00D556D8" w:rsidRDefault="00233E2A" w:rsidP="00233E2A">
      <w:pPr>
        <w:rPr>
          <w:rFonts w:ascii="Verdana" w:hAnsi="Verdana"/>
          <w:sz w:val="20"/>
          <w:szCs w:val="20"/>
        </w:rPr>
        <w:sectPr w:rsidR="00233E2A" w:rsidRPr="00D556D8" w:rsidSect="0010403B">
          <w:type w:val="continuous"/>
          <w:pgSz w:w="16838" w:h="11906" w:orient="landscape"/>
          <w:pgMar w:top="1440" w:right="1440" w:bottom="1440" w:left="1440" w:header="708" w:footer="708" w:gutter="0"/>
          <w:cols w:space="708"/>
          <w:docGrid w:linePitch="360"/>
        </w:sectPr>
      </w:pPr>
    </w:p>
    <w:p w14:paraId="05BDF561" w14:textId="77777777" w:rsidR="00233E2A" w:rsidRPr="0009437C" w:rsidRDefault="00233E2A" w:rsidP="00233E2A">
      <w:pPr>
        <w:rPr>
          <w:b/>
          <w:i/>
        </w:rPr>
      </w:pPr>
      <w:r w:rsidRPr="0009437C">
        <w:rPr>
          <w:b/>
          <w:i/>
        </w:rPr>
        <w:lastRenderedPageBreak/>
        <w:t>Biological Plausibility</w:t>
      </w:r>
    </w:p>
    <w:p w14:paraId="637B38C4" w14:textId="77777777" w:rsidR="00233E2A" w:rsidRPr="00D556D8" w:rsidRDefault="00233E2A" w:rsidP="00233E2A">
      <w:pPr>
        <w:rPr>
          <w:rFonts w:ascii="Verdana" w:hAnsi="Verdana"/>
          <w:sz w:val="20"/>
          <w:szCs w:val="20"/>
        </w:rPr>
      </w:pPr>
      <w:r w:rsidRPr="00D556D8">
        <w:rPr>
          <w:rFonts w:ascii="Verdana" w:hAnsi="Verdana"/>
          <w:sz w:val="20"/>
          <w:szCs w:val="20"/>
        </w:rPr>
        <w:t xml:space="preserve">The hypothesised mode of action is supported by general biochemical and pharmacology knowledge on the essentiality of testosterone for the normal development of male reproductive system in all mammalian species (e.g. rodents and humans). Disturbances in the normal levels of fetal testosterone can cause adverse effects in human male sexual development (hypospadias, decrease of AGD, lower semen quality, testicular histopathological changes) which in turn is likely to cause fertility effects (Nef 2000, </w:t>
      </w:r>
      <w:r w:rsidRPr="00D556D8">
        <w:rPr>
          <w:rFonts w:ascii="Verdana" w:hAnsi="Verdana" w:cs="Arial"/>
          <w:sz w:val="20"/>
          <w:szCs w:val="20"/>
          <w:lang w:eastAsia="en-GB"/>
        </w:rPr>
        <w:t>Dean and Sharpe 2013, Juul et al. 2014, Kurzrock and Karpman 2004, Silver 2004</w:t>
      </w:r>
      <w:r w:rsidRPr="00D556D8">
        <w:rPr>
          <w:rFonts w:ascii="Verdana" w:hAnsi="Verdana"/>
          <w:sz w:val="20"/>
          <w:szCs w:val="20"/>
        </w:rPr>
        <w:t>).</w:t>
      </w:r>
    </w:p>
    <w:p w14:paraId="093DAFB1" w14:textId="77777777" w:rsidR="00233E2A" w:rsidRPr="00D556D8" w:rsidRDefault="00233E2A" w:rsidP="00233E2A">
      <w:pPr>
        <w:rPr>
          <w:rFonts w:ascii="Verdana" w:hAnsi="Verdana"/>
          <w:sz w:val="20"/>
          <w:szCs w:val="20"/>
        </w:rPr>
      </w:pPr>
      <w:r w:rsidRPr="00D556D8">
        <w:rPr>
          <w:rFonts w:ascii="Verdana" w:hAnsi="Verdana"/>
          <w:sz w:val="20"/>
          <w:szCs w:val="20"/>
        </w:rPr>
        <w:t xml:space="preserve">The data available does not allow to distinguish whether the target for the metabolite of DCHP is the Leydig cells and/or the Sertoli cells. As the most relevant data are from prenatal toxicity studies, the measurement of the parameters is performed at the final stage of gestation. </w:t>
      </w:r>
    </w:p>
    <w:p w14:paraId="1E89CFC7" w14:textId="77777777" w:rsidR="00233E2A" w:rsidRPr="00D556D8" w:rsidRDefault="00233E2A" w:rsidP="00233E2A">
      <w:pPr>
        <w:rPr>
          <w:rFonts w:ascii="Verdana" w:hAnsi="Verdana"/>
          <w:sz w:val="20"/>
          <w:szCs w:val="20"/>
        </w:rPr>
      </w:pPr>
      <w:r w:rsidRPr="00D556D8">
        <w:rPr>
          <w:rFonts w:ascii="Verdana" w:hAnsi="Verdana"/>
          <w:sz w:val="20"/>
          <w:szCs w:val="20"/>
        </w:rPr>
        <w:t xml:space="preserve">It might be that following </w:t>
      </w:r>
      <w:r w:rsidRPr="00D556D8">
        <w:rPr>
          <w:rFonts w:ascii="Verdana" w:hAnsi="Verdana"/>
          <w:i/>
          <w:sz w:val="20"/>
          <w:szCs w:val="20"/>
        </w:rPr>
        <w:t>in utero</w:t>
      </w:r>
      <w:r w:rsidRPr="00D556D8">
        <w:rPr>
          <w:rFonts w:ascii="Verdana" w:hAnsi="Verdana"/>
          <w:sz w:val="20"/>
          <w:szCs w:val="20"/>
        </w:rPr>
        <w:t xml:space="preserve"> exposure to DCHP, MCHP interferes directly with the biochemical pathway of testosterone biosynthesis in Leydig cells or the initial target is the Sertoli cells (via interference with MIS) which can affect the function of Leydig cells and production of testosterone.</w:t>
      </w:r>
    </w:p>
    <w:p w14:paraId="27F4BACB" w14:textId="77777777" w:rsidR="00233E2A" w:rsidRPr="00D556D8" w:rsidRDefault="00233E2A" w:rsidP="00233E2A">
      <w:pPr>
        <w:pStyle w:val="BodyText"/>
      </w:pPr>
      <w:r w:rsidRPr="00D556D8">
        <w:t>The following table summarises the evidence-based analysis for consistency, specificity and biological plausibility that allow establishing the mode of action in experimental species.</w:t>
      </w:r>
    </w:p>
    <w:p w14:paraId="72AECBBE" w14:textId="77777777" w:rsidR="00233E2A" w:rsidRDefault="00233E2A" w:rsidP="00233E2A">
      <w:pPr>
        <w:rPr>
          <w:rFonts w:ascii="Verdana" w:eastAsia="Times New Roman" w:hAnsi="Verdana" w:cs="Times New Roman"/>
          <w:snapToGrid w:val="0"/>
          <w:sz w:val="18"/>
          <w:szCs w:val="18"/>
          <w:lang w:eastAsia="fi-FI"/>
        </w:rPr>
      </w:pPr>
      <w:r>
        <w:rPr>
          <w:sz w:val="18"/>
          <w:szCs w:val="18"/>
        </w:rPr>
        <w:br w:type="page"/>
      </w:r>
    </w:p>
    <w:p w14:paraId="36CB3B99" w14:textId="77777777" w:rsidR="00233E2A" w:rsidRDefault="00233E2A" w:rsidP="00233E2A">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058"/>
        <w:gridCol w:w="2285"/>
        <w:gridCol w:w="1830"/>
        <w:gridCol w:w="2105"/>
        <w:gridCol w:w="1979"/>
        <w:gridCol w:w="1969"/>
      </w:tblGrid>
      <w:tr w:rsidR="00233E2A" w14:paraId="60722176" w14:textId="77777777" w:rsidTr="0010403B">
        <w:tc>
          <w:tcPr>
            <w:tcW w:w="1746" w:type="dxa"/>
            <w:shd w:val="clear" w:color="auto" w:fill="auto"/>
          </w:tcPr>
          <w:p w14:paraId="2DBA34ED" w14:textId="77777777" w:rsidR="00233E2A" w:rsidRPr="002F6538" w:rsidRDefault="00233E2A" w:rsidP="0010403B">
            <w:pPr>
              <w:rPr>
                <w:sz w:val="18"/>
                <w:szCs w:val="18"/>
              </w:rPr>
            </w:pPr>
          </w:p>
        </w:tc>
        <w:tc>
          <w:tcPr>
            <w:tcW w:w="2093" w:type="dxa"/>
            <w:shd w:val="clear" w:color="auto" w:fill="auto"/>
          </w:tcPr>
          <w:p w14:paraId="5B8D217E" w14:textId="77777777" w:rsidR="00233E2A" w:rsidRPr="002F6538" w:rsidRDefault="00233E2A" w:rsidP="0010403B">
            <w:pPr>
              <w:rPr>
                <w:b/>
                <w:i/>
                <w:sz w:val="18"/>
                <w:szCs w:val="18"/>
              </w:rPr>
            </w:pPr>
            <w:r w:rsidRPr="002F6538">
              <w:rPr>
                <w:b/>
                <w:color w:val="000000"/>
                <w:sz w:val="18"/>
                <w:szCs w:val="18"/>
              </w:rPr>
              <w:t>Metabolism of DCHP to MCHP</w:t>
            </w:r>
            <w:r w:rsidRPr="002F6538">
              <w:rPr>
                <w:b/>
                <w:i/>
                <w:sz w:val="18"/>
                <w:szCs w:val="18"/>
              </w:rPr>
              <w:t xml:space="preserve"> </w:t>
            </w:r>
          </w:p>
        </w:tc>
        <w:tc>
          <w:tcPr>
            <w:tcW w:w="2334" w:type="dxa"/>
            <w:shd w:val="clear" w:color="auto" w:fill="auto"/>
          </w:tcPr>
          <w:p w14:paraId="504ABDDB" w14:textId="77777777" w:rsidR="00233E2A" w:rsidRPr="002F6538" w:rsidRDefault="00233E2A" w:rsidP="0010403B">
            <w:pPr>
              <w:rPr>
                <w:b/>
                <w:i/>
                <w:sz w:val="18"/>
                <w:szCs w:val="18"/>
              </w:rPr>
            </w:pPr>
            <w:r w:rsidRPr="002F6538">
              <w:rPr>
                <w:b/>
                <w:color w:val="000000"/>
                <w:sz w:val="18"/>
                <w:szCs w:val="18"/>
              </w:rPr>
              <w:t>Placenta Transfer</w:t>
            </w:r>
            <w:r w:rsidRPr="002F6538">
              <w:rPr>
                <w:b/>
                <w:i/>
                <w:sz w:val="18"/>
                <w:szCs w:val="18"/>
              </w:rPr>
              <w:t xml:space="preserve"> </w:t>
            </w:r>
          </w:p>
        </w:tc>
        <w:tc>
          <w:tcPr>
            <w:tcW w:w="1862" w:type="dxa"/>
            <w:shd w:val="clear" w:color="auto" w:fill="auto"/>
          </w:tcPr>
          <w:p w14:paraId="5E6267A7" w14:textId="77777777" w:rsidR="00233E2A" w:rsidRPr="002F6538" w:rsidRDefault="00233E2A" w:rsidP="0010403B">
            <w:pPr>
              <w:rPr>
                <w:b/>
                <w:i/>
                <w:sz w:val="18"/>
                <w:szCs w:val="18"/>
              </w:rPr>
            </w:pPr>
            <w:r w:rsidRPr="002F6538">
              <w:rPr>
                <w:b/>
                <w:color w:val="000000"/>
                <w:sz w:val="18"/>
                <w:szCs w:val="18"/>
              </w:rPr>
              <w:t xml:space="preserve">Early Leydig and Sertoli cells function alterations </w:t>
            </w:r>
            <w:r w:rsidRPr="005A120C">
              <w:rPr>
                <w:b/>
                <w:i/>
                <w:color w:val="000000"/>
                <w:sz w:val="18"/>
                <w:szCs w:val="18"/>
              </w:rPr>
              <w:t>in utero</w:t>
            </w:r>
            <w:r w:rsidRPr="002F6538">
              <w:rPr>
                <w:b/>
                <w:i/>
                <w:sz w:val="18"/>
                <w:szCs w:val="18"/>
              </w:rPr>
              <w:t xml:space="preserve"> </w:t>
            </w:r>
          </w:p>
        </w:tc>
        <w:tc>
          <w:tcPr>
            <w:tcW w:w="2141" w:type="dxa"/>
            <w:shd w:val="clear" w:color="auto" w:fill="auto"/>
          </w:tcPr>
          <w:p w14:paraId="002F5D7E" w14:textId="77777777" w:rsidR="00233E2A" w:rsidRPr="002F6538" w:rsidRDefault="00233E2A" w:rsidP="0010403B">
            <w:pPr>
              <w:rPr>
                <w:b/>
                <w:color w:val="000000"/>
                <w:sz w:val="18"/>
                <w:szCs w:val="18"/>
              </w:rPr>
            </w:pPr>
            <w:r w:rsidRPr="002F6538">
              <w:rPr>
                <w:b/>
                <w:color w:val="000000"/>
                <w:sz w:val="18"/>
                <w:szCs w:val="18"/>
              </w:rPr>
              <w:t>Hormonal changes (Fetal testosterone levels decrease)</w:t>
            </w:r>
          </w:p>
          <w:p w14:paraId="34226CDC" w14:textId="77777777" w:rsidR="00233E2A" w:rsidRPr="002F6538" w:rsidRDefault="00233E2A" w:rsidP="0010403B">
            <w:pPr>
              <w:rPr>
                <w:sz w:val="18"/>
                <w:szCs w:val="18"/>
              </w:rPr>
            </w:pPr>
          </w:p>
        </w:tc>
        <w:tc>
          <w:tcPr>
            <w:tcW w:w="1999" w:type="dxa"/>
            <w:shd w:val="clear" w:color="auto" w:fill="auto"/>
          </w:tcPr>
          <w:p w14:paraId="27B715B5" w14:textId="77777777" w:rsidR="00233E2A" w:rsidRPr="002F6538" w:rsidRDefault="00233E2A" w:rsidP="0010403B">
            <w:pPr>
              <w:rPr>
                <w:b/>
                <w:color w:val="000000"/>
                <w:sz w:val="18"/>
                <w:szCs w:val="18"/>
              </w:rPr>
            </w:pPr>
            <w:r w:rsidRPr="002F6538">
              <w:rPr>
                <w:b/>
                <w:color w:val="000000"/>
                <w:sz w:val="18"/>
                <w:szCs w:val="18"/>
              </w:rPr>
              <w:t>Male Reproduction system irreversible damage</w:t>
            </w:r>
          </w:p>
          <w:p w14:paraId="35C88431" w14:textId="77777777" w:rsidR="00233E2A" w:rsidRPr="002F6538" w:rsidRDefault="00233E2A" w:rsidP="0010403B">
            <w:pPr>
              <w:rPr>
                <w:b/>
                <w:color w:val="000000"/>
                <w:sz w:val="18"/>
                <w:szCs w:val="18"/>
              </w:rPr>
            </w:pPr>
            <w:r w:rsidRPr="002F6538">
              <w:rPr>
                <w:b/>
                <w:color w:val="000000"/>
                <w:sz w:val="18"/>
                <w:szCs w:val="18"/>
              </w:rPr>
              <w:t>Testicular effects</w:t>
            </w:r>
          </w:p>
          <w:p w14:paraId="6884118F" w14:textId="77777777" w:rsidR="00233E2A" w:rsidRPr="0018736B" w:rsidRDefault="00233E2A" w:rsidP="0010403B">
            <w:pPr>
              <w:rPr>
                <w:b/>
                <w:color w:val="000000"/>
                <w:sz w:val="18"/>
                <w:szCs w:val="18"/>
                <w:lang w:val="fr-FR"/>
              </w:rPr>
            </w:pPr>
            <w:r w:rsidRPr="0018736B">
              <w:rPr>
                <w:b/>
                <w:color w:val="000000"/>
                <w:sz w:val="18"/>
                <w:szCs w:val="18"/>
                <w:lang w:val="fr-FR"/>
              </w:rPr>
              <w:t>(Leydig cells, Sertoli cells, Epididymis)</w:t>
            </w:r>
          </w:p>
          <w:p w14:paraId="2DA278E9" w14:textId="77777777" w:rsidR="00233E2A" w:rsidRPr="0018736B" w:rsidRDefault="00233E2A" w:rsidP="0010403B">
            <w:pPr>
              <w:rPr>
                <w:b/>
                <w:color w:val="000000"/>
                <w:sz w:val="18"/>
                <w:szCs w:val="18"/>
                <w:lang w:val="fr-FR"/>
              </w:rPr>
            </w:pPr>
          </w:p>
        </w:tc>
        <w:tc>
          <w:tcPr>
            <w:tcW w:w="1999" w:type="dxa"/>
            <w:shd w:val="clear" w:color="auto" w:fill="auto"/>
          </w:tcPr>
          <w:p w14:paraId="4D0553F1" w14:textId="77777777" w:rsidR="00233E2A" w:rsidRPr="002F6538" w:rsidRDefault="00233E2A" w:rsidP="0010403B">
            <w:pPr>
              <w:rPr>
                <w:b/>
                <w:color w:val="000000"/>
                <w:sz w:val="18"/>
                <w:szCs w:val="18"/>
              </w:rPr>
            </w:pPr>
            <w:r w:rsidRPr="002F6538">
              <w:rPr>
                <w:b/>
                <w:color w:val="000000"/>
                <w:sz w:val="18"/>
                <w:szCs w:val="18"/>
              </w:rPr>
              <w:t>Male Impaired Fertility</w:t>
            </w:r>
          </w:p>
        </w:tc>
      </w:tr>
      <w:tr w:rsidR="00233E2A" w14:paraId="48BBF7C4" w14:textId="77777777" w:rsidTr="0010403B">
        <w:tc>
          <w:tcPr>
            <w:tcW w:w="1746" w:type="dxa"/>
            <w:shd w:val="clear" w:color="auto" w:fill="auto"/>
          </w:tcPr>
          <w:p w14:paraId="157A8EB3" w14:textId="77777777" w:rsidR="00233E2A" w:rsidRPr="002F6538" w:rsidRDefault="00233E2A" w:rsidP="0010403B">
            <w:pPr>
              <w:rPr>
                <w:b/>
                <w:i/>
                <w:sz w:val="18"/>
                <w:szCs w:val="18"/>
              </w:rPr>
            </w:pPr>
            <w:r w:rsidRPr="002F6538">
              <w:rPr>
                <w:b/>
                <w:i/>
                <w:sz w:val="18"/>
                <w:szCs w:val="18"/>
              </w:rPr>
              <w:t>Consistency &amp; Specificity</w:t>
            </w:r>
          </w:p>
          <w:p w14:paraId="19C132E9" w14:textId="77777777" w:rsidR="00233E2A" w:rsidRPr="002F6538" w:rsidRDefault="00233E2A" w:rsidP="0010403B">
            <w:pPr>
              <w:rPr>
                <w:sz w:val="18"/>
                <w:szCs w:val="18"/>
              </w:rPr>
            </w:pPr>
          </w:p>
          <w:p w14:paraId="23CACBDE" w14:textId="77777777" w:rsidR="00233E2A" w:rsidRPr="002F6538" w:rsidRDefault="00233E2A" w:rsidP="0010403B">
            <w:pPr>
              <w:rPr>
                <w:sz w:val="18"/>
                <w:szCs w:val="18"/>
              </w:rPr>
            </w:pPr>
          </w:p>
          <w:p w14:paraId="35FBD878" w14:textId="77777777" w:rsidR="00233E2A" w:rsidRPr="002F6538" w:rsidRDefault="00233E2A" w:rsidP="0010403B">
            <w:pPr>
              <w:rPr>
                <w:sz w:val="18"/>
                <w:szCs w:val="18"/>
              </w:rPr>
            </w:pPr>
          </w:p>
          <w:p w14:paraId="19AC3EC0" w14:textId="77777777" w:rsidR="00233E2A" w:rsidRPr="002F6538" w:rsidRDefault="00233E2A" w:rsidP="0010403B">
            <w:pPr>
              <w:rPr>
                <w:sz w:val="18"/>
                <w:szCs w:val="18"/>
              </w:rPr>
            </w:pPr>
          </w:p>
          <w:p w14:paraId="7FF00657" w14:textId="77777777" w:rsidR="00233E2A" w:rsidRPr="002F6538" w:rsidRDefault="00233E2A" w:rsidP="0010403B">
            <w:pPr>
              <w:rPr>
                <w:sz w:val="18"/>
                <w:szCs w:val="18"/>
              </w:rPr>
            </w:pPr>
          </w:p>
          <w:p w14:paraId="36303975" w14:textId="77777777" w:rsidR="00233E2A" w:rsidRPr="002F6538" w:rsidRDefault="00233E2A" w:rsidP="0010403B">
            <w:pPr>
              <w:rPr>
                <w:sz w:val="18"/>
                <w:szCs w:val="18"/>
              </w:rPr>
            </w:pPr>
          </w:p>
        </w:tc>
        <w:tc>
          <w:tcPr>
            <w:tcW w:w="2093" w:type="dxa"/>
            <w:shd w:val="clear" w:color="auto" w:fill="auto"/>
          </w:tcPr>
          <w:p w14:paraId="73190F19" w14:textId="77777777" w:rsidR="00233E2A" w:rsidRPr="002F6538" w:rsidRDefault="00233E2A" w:rsidP="0010403B">
            <w:pPr>
              <w:rPr>
                <w:sz w:val="18"/>
                <w:szCs w:val="18"/>
              </w:rPr>
            </w:pPr>
            <w:r w:rsidRPr="002F6538">
              <w:rPr>
                <w:sz w:val="18"/>
                <w:szCs w:val="18"/>
              </w:rPr>
              <w:t>Consistent; Evidence supporting the hypothesised key event</w:t>
            </w:r>
          </w:p>
          <w:p w14:paraId="23652ADE" w14:textId="77777777" w:rsidR="00233E2A" w:rsidRPr="002F6538" w:rsidRDefault="00233E2A" w:rsidP="0010403B">
            <w:pPr>
              <w:rPr>
                <w:sz w:val="18"/>
                <w:szCs w:val="18"/>
              </w:rPr>
            </w:pPr>
          </w:p>
          <w:p w14:paraId="7B2A58FE" w14:textId="77777777" w:rsidR="00233E2A" w:rsidRPr="002F6538" w:rsidRDefault="00233E2A" w:rsidP="0010403B">
            <w:pPr>
              <w:rPr>
                <w:sz w:val="18"/>
                <w:szCs w:val="18"/>
              </w:rPr>
            </w:pPr>
          </w:p>
          <w:p w14:paraId="22A4FA04" w14:textId="77777777" w:rsidR="00233E2A" w:rsidRPr="002F6538" w:rsidRDefault="00233E2A" w:rsidP="0010403B">
            <w:pPr>
              <w:rPr>
                <w:sz w:val="18"/>
                <w:szCs w:val="18"/>
              </w:rPr>
            </w:pPr>
          </w:p>
        </w:tc>
        <w:tc>
          <w:tcPr>
            <w:tcW w:w="2334" w:type="dxa"/>
            <w:shd w:val="clear" w:color="auto" w:fill="auto"/>
          </w:tcPr>
          <w:p w14:paraId="2E183B1A" w14:textId="77777777" w:rsidR="00233E2A" w:rsidRPr="002F6538" w:rsidRDefault="00233E2A" w:rsidP="0010403B">
            <w:pPr>
              <w:rPr>
                <w:sz w:val="18"/>
                <w:szCs w:val="18"/>
              </w:rPr>
            </w:pPr>
            <w:r w:rsidRPr="002F6538">
              <w:rPr>
                <w:sz w:val="18"/>
                <w:szCs w:val="18"/>
              </w:rPr>
              <w:t>Some evidence provides indication of placenta transfer of formed metabolite.</w:t>
            </w:r>
          </w:p>
        </w:tc>
        <w:tc>
          <w:tcPr>
            <w:tcW w:w="1862" w:type="dxa"/>
            <w:shd w:val="clear" w:color="auto" w:fill="auto"/>
          </w:tcPr>
          <w:p w14:paraId="72A03181" w14:textId="77777777" w:rsidR="00233E2A" w:rsidRPr="002F6538" w:rsidRDefault="00233E2A" w:rsidP="0010403B">
            <w:pPr>
              <w:rPr>
                <w:sz w:val="18"/>
                <w:szCs w:val="18"/>
              </w:rPr>
            </w:pPr>
            <w:r w:rsidRPr="002F6538">
              <w:rPr>
                <w:sz w:val="18"/>
                <w:szCs w:val="18"/>
              </w:rPr>
              <w:t>Consistent; Available data indicating changes at cellular level.</w:t>
            </w:r>
          </w:p>
        </w:tc>
        <w:tc>
          <w:tcPr>
            <w:tcW w:w="2141" w:type="dxa"/>
            <w:shd w:val="clear" w:color="auto" w:fill="auto"/>
          </w:tcPr>
          <w:p w14:paraId="069812A2" w14:textId="77777777" w:rsidR="00233E2A" w:rsidRPr="002F6538" w:rsidRDefault="00233E2A" w:rsidP="0010403B">
            <w:pPr>
              <w:rPr>
                <w:sz w:val="18"/>
                <w:szCs w:val="18"/>
              </w:rPr>
            </w:pPr>
            <w:r w:rsidRPr="002F6538">
              <w:rPr>
                <w:sz w:val="18"/>
                <w:szCs w:val="18"/>
              </w:rPr>
              <w:t>Consistent: Available data shows decrease of fetal testosterone, further supported from knowledge on other phthalate substances</w:t>
            </w:r>
          </w:p>
        </w:tc>
        <w:tc>
          <w:tcPr>
            <w:tcW w:w="1999" w:type="dxa"/>
            <w:shd w:val="clear" w:color="auto" w:fill="auto"/>
          </w:tcPr>
          <w:p w14:paraId="130F9291" w14:textId="77777777" w:rsidR="00233E2A" w:rsidRPr="002F6538" w:rsidRDefault="00233E2A" w:rsidP="0010403B">
            <w:pPr>
              <w:rPr>
                <w:sz w:val="18"/>
                <w:szCs w:val="18"/>
              </w:rPr>
            </w:pPr>
            <w:r w:rsidRPr="002F6538">
              <w:rPr>
                <w:sz w:val="18"/>
                <w:szCs w:val="18"/>
              </w:rPr>
              <w:t>Consistent: Histopathological evidence of testicular effects decrease of AGD, testicular effects observed even at recovery phases, hypospadias in one supportive study</w:t>
            </w:r>
          </w:p>
        </w:tc>
        <w:tc>
          <w:tcPr>
            <w:tcW w:w="1999" w:type="dxa"/>
            <w:shd w:val="clear" w:color="auto" w:fill="auto"/>
          </w:tcPr>
          <w:p w14:paraId="5776839D" w14:textId="77777777" w:rsidR="00233E2A" w:rsidRPr="002F6538" w:rsidRDefault="00233E2A" w:rsidP="0010403B">
            <w:pPr>
              <w:rPr>
                <w:sz w:val="18"/>
                <w:szCs w:val="18"/>
              </w:rPr>
            </w:pPr>
            <w:r w:rsidRPr="002F6538">
              <w:rPr>
                <w:sz w:val="18"/>
                <w:szCs w:val="18"/>
              </w:rPr>
              <w:t xml:space="preserve">Consistent with general knowledge on impact of male reproduction abnormalities (hypospadias, sperm quality) to fertility; not supported by DCHP treated rat specific information </w:t>
            </w:r>
          </w:p>
          <w:p w14:paraId="78A40E0D" w14:textId="77777777" w:rsidR="00233E2A" w:rsidRPr="002F6538" w:rsidRDefault="00233E2A" w:rsidP="0010403B">
            <w:pPr>
              <w:rPr>
                <w:sz w:val="18"/>
                <w:szCs w:val="18"/>
              </w:rPr>
            </w:pPr>
          </w:p>
        </w:tc>
      </w:tr>
      <w:tr w:rsidR="00233E2A" w14:paraId="436FCB6F" w14:textId="77777777" w:rsidTr="0010403B">
        <w:trPr>
          <w:trHeight w:val="422"/>
        </w:trPr>
        <w:tc>
          <w:tcPr>
            <w:tcW w:w="1746" w:type="dxa"/>
            <w:shd w:val="clear" w:color="auto" w:fill="auto"/>
          </w:tcPr>
          <w:p w14:paraId="6E1CFB88" w14:textId="77777777" w:rsidR="00233E2A" w:rsidRPr="002F6538" w:rsidRDefault="00233E2A" w:rsidP="0010403B">
            <w:pPr>
              <w:rPr>
                <w:b/>
                <w:i/>
                <w:sz w:val="18"/>
                <w:szCs w:val="18"/>
              </w:rPr>
            </w:pPr>
            <w:r w:rsidRPr="002F6538">
              <w:rPr>
                <w:b/>
                <w:i/>
                <w:sz w:val="18"/>
                <w:szCs w:val="18"/>
              </w:rPr>
              <w:t>Biological Plausibility</w:t>
            </w:r>
          </w:p>
        </w:tc>
        <w:tc>
          <w:tcPr>
            <w:tcW w:w="2093" w:type="dxa"/>
            <w:shd w:val="clear" w:color="auto" w:fill="auto"/>
          </w:tcPr>
          <w:p w14:paraId="68EA8EBC" w14:textId="77777777" w:rsidR="00233E2A" w:rsidRPr="002F6538" w:rsidRDefault="00233E2A" w:rsidP="0010403B">
            <w:pPr>
              <w:rPr>
                <w:sz w:val="18"/>
                <w:szCs w:val="18"/>
              </w:rPr>
            </w:pPr>
            <w:r w:rsidRPr="002F6538">
              <w:rPr>
                <w:sz w:val="18"/>
                <w:szCs w:val="18"/>
              </w:rPr>
              <w:t>Plausible</w:t>
            </w:r>
          </w:p>
          <w:p w14:paraId="0972A5BB" w14:textId="77777777" w:rsidR="00233E2A" w:rsidRPr="002F6538" w:rsidRDefault="00233E2A" w:rsidP="0010403B">
            <w:pPr>
              <w:rPr>
                <w:sz w:val="18"/>
                <w:szCs w:val="18"/>
              </w:rPr>
            </w:pPr>
          </w:p>
        </w:tc>
        <w:tc>
          <w:tcPr>
            <w:tcW w:w="2334" w:type="dxa"/>
            <w:shd w:val="clear" w:color="auto" w:fill="auto"/>
          </w:tcPr>
          <w:p w14:paraId="0E4CABD6" w14:textId="77777777" w:rsidR="00233E2A" w:rsidRPr="002F6538" w:rsidRDefault="00233E2A" w:rsidP="0010403B">
            <w:pPr>
              <w:rPr>
                <w:sz w:val="18"/>
                <w:szCs w:val="18"/>
              </w:rPr>
            </w:pPr>
            <w:r w:rsidRPr="002F6538">
              <w:rPr>
                <w:sz w:val="18"/>
                <w:szCs w:val="18"/>
              </w:rPr>
              <w:t>Plausible</w:t>
            </w:r>
          </w:p>
        </w:tc>
        <w:tc>
          <w:tcPr>
            <w:tcW w:w="1862" w:type="dxa"/>
            <w:shd w:val="clear" w:color="auto" w:fill="auto"/>
          </w:tcPr>
          <w:p w14:paraId="2E68ED5C" w14:textId="77777777" w:rsidR="00233E2A" w:rsidRPr="002F6538" w:rsidRDefault="00233E2A" w:rsidP="0010403B">
            <w:pPr>
              <w:rPr>
                <w:sz w:val="18"/>
                <w:szCs w:val="18"/>
              </w:rPr>
            </w:pPr>
            <w:r w:rsidRPr="002F6538">
              <w:rPr>
                <w:sz w:val="18"/>
                <w:szCs w:val="18"/>
              </w:rPr>
              <w:t>Plausible</w:t>
            </w:r>
          </w:p>
        </w:tc>
        <w:tc>
          <w:tcPr>
            <w:tcW w:w="2141" w:type="dxa"/>
            <w:shd w:val="clear" w:color="auto" w:fill="auto"/>
          </w:tcPr>
          <w:p w14:paraId="0A66BA3E" w14:textId="77777777" w:rsidR="00233E2A" w:rsidRPr="002F6538" w:rsidRDefault="00233E2A" w:rsidP="0010403B">
            <w:pPr>
              <w:rPr>
                <w:sz w:val="18"/>
                <w:szCs w:val="18"/>
              </w:rPr>
            </w:pPr>
            <w:r w:rsidRPr="002F6538">
              <w:rPr>
                <w:sz w:val="18"/>
                <w:szCs w:val="18"/>
              </w:rPr>
              <w:t>Plausible</w:t>
            </w:r>
          </w:p>
        </w:tc>
        <w:tc>
          <w:tcPr>
            <w:tcW w:w="1999" w:type="dxa"/>
            <w:shd w:val="clear" w:color="auto" w:fill="auto"/>
          </w:tcPr>
          <w:p w14:paraId="22038B81" w14:textId="77777777" w:rsidR="00233E2A" w:rsidRPr="002F6538" w:rsidRDefault="00233E2A" w:rsidP="0010403B">
            <w:pPr>
              <w:rPr>
                <w:sz w:val="18"/>
                <w:szCs w:val="18"/>
              </w:rPr>
            </w:pPr>
            <w:r w:rsidRPr="002F6538">
              <w:rPr>
                <w:sz w:val="18"/>
                <w:szCs w:val="18"/>
              </w:rPr>
              <w:t>Plausible</w:t>
            </w:r>
          </w:p>
        </w:tc>
        <w:tc>
          <w:tcPr>
            <w:tcW w:w="1999" w:type="dxa"/>
            <w:shd w:val="clear" w:color="auto" w:fill="auto"/>
          </w:tcPr>
          <w:p w14:paraId="7D0BA96E" w14:textId="77777777" w:rsidR="00233E2A" w:rsidRPr="002F6538" w:rsidRDefault="00233E2A" w:rsidP="0010403B">
            <w:pPr>
              <w:rPr>
                <w:sz w:val="18"/>
                <w:szCs w:val="18"/>
              </w:rPr>
            </w:pPr>
            <w:r w:rsidRPr="002F6538">
              <w:rPr>
                <w:sz w:val="18"/>
                <w:szCs w:val="18"/>
              </w:rPr>
              <w:t>Plausible</w:t>
            </w:r>
          </w:p>
        </w:tc>
      </w:tr>
    </w:tbl>
    <w:p w14:paraId="32DC3F83" w14:textId="77777777" w:rsidR="00233E2A" w:rsidRDefault="00233E2A" w:rsidP="00233E2A">
      <w:pPr>
        <w:pStyle w:val="BodyText"/>
      </w:pPr>
    </w:p>
    <w:p w14:paraId="467D446E" w14:textId="77777777" w:rsidR="00233E2A" w:rsidRPr="0018736B" w:rsidRDefault="00233E2A" w:rsidP="00233E2A">
      <w:pPr>
        <w:spacing w:after="200" w:line="276" w:lineRule="auto"/>
        <w:rPr>
          <w:rFonts w:ascii="Verdana" w:hAnsi="Verdana"/>
          <w:i/>
          <w:sz w:val="18"/>
          <w:szCs w:val="18"/>
        </w:rPr>
      </w:pPr>
    </w:p>
    <w:p w14:paraId="4EB70082" w14:textId="77777777" w:rsidR="00233E2A" w:rsidRDefault="00233E2A" w:rsidP="00233E2A">
      <w:pPr>
        <w:rPr>
          <w:rFonts w:ascii="Verdana" w:hAnsi="Verdana"/>
          <w:b/>
          <w:i/>
          <w:sz w:val="18"/>
          <w:szCs w:val="18"/>
        </w:rPr>
      </w:pPr>
    </w:p>
    <w:p w14:paraId="5D9B5F2E" w14:textId="77777777" w:rsidR="00233E2A" w:rsidRDefault="00233E2A" w:rsidP="00233E2A">
      <w:pPr>
        <w:rPr>
          <w:rFonts w:ascii="Verdana" w:hAnsi="Verdana"/>
          <w:b/>
          <w:i/>
          <w:sz w:val="18"/>
          <w:szCs w:val="18"/>
        </w:rPr>
      </w:pPr>
    </w:p>
    <w:p w14:paraId="2C9F4D64" w14:textId="77777777" w:rsidR="00233E2A" w:rsidRDefault="00233E2A" w:rsidP="00233E2A">
      <w:pPr>
        <w:rPr>
          <w:rFonts w:ascii="Verdana" w:hAnsi="Verdana"/>
          <w:b/>
          <w:i/>
          <w:sz w:val="18"/>
          <w:szCs w:val="18"/>
        </w:rPr>
      </w:pPr>
    </w:p>
    <w:p w14:paraId="7668BB75" w14:textId="77777777" w:rsidR="00233E2A" w:rsidRDefault="00233E2A" w:rsidP="00233E2A">
      <w:pPr>
        <w:rPr>
          <w:rFonts w:ascii="Verdana" w:hAnsi="Verdana"/>
          <w:b/>
          <w:i/>
          <w:sz w:val="18"/>
          <w:szCs w:val="18"/>
        </w:rPr>
      </w:pPr>
    </w:p>
    <w:p w14:paraId="2AEC784F" w14:textId="77777777" w:rsidR="00233E2A" w:rsidRPr="000D405C" w:rsidRDefault="00233E2A" w:rsidP="00233E2A">
      <w:pPr>
        <w:pStyle w:val="ListParagraph"/>
        <w:numPr>
          <w:ilvl w:val="0"/>
          <w:numId w:val="41"/>
        </w:numPr>
        <w:jc w:val="both"/>
        <w:rPr>
          <w:b/>
        </w:rPr>
      </w:pPr>
      <w:r w:rsidRPr="000D405C">
        <w:rPr>
          <w:b/>
        </w:rPr>
        <w:lastRenderedPageBreak/>
        <w:t>Qualitative and Quantitative Human Concordance</w:t>
      </w:r>
    </w:p>
    <w:p w14:paraId="4CD02B77" w14:textId="77777777" w:rsidR="00233E2A" w:rsidRPr="00D556D8" w:rsidRDefault="00233E2A" w:rsidP="00233E2A">
      <w:pPr>
        <w:jc w:val="both"/>
        <w:rPr>
          <w:rFonts w:ascii="Verdana" w:hAnsi="Verdana"/>
          <w:sz w:val="20"/>
          <w:szCs w:val="20"/>
        </w:rPr>
      </w:pPr>
      <w:r w:rsidRPr="00D556D8">
        <w:rPr>
          <w:rFonts w:ascii="Verdana" w:hAnsi="Verdana"/>
          <w:sz w:val="20"/>
          <w:szCs w:val="20"/>
        </w:rPr>
        <w:t xml:space="preserve">In this section, the established mode of action is presented in a Weight of Evidence process indicating the confidence levels, as derived by the use of the Bradford Hill considerations (see previous sections). In addition it presents the likelihood (plausibility) of human relevance in a qualitative manner and quantitative manner (for some of the key events in experimental species) (in the absence of DCHP specific human data). </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853"/>
        <w:gridCol w:w="1978"/>
        <w:gridCol w:w="1556"/>
        <w:gridCol w:w="2823"/>
        <w:gridCol w:w="1837"/>
      </w:tblGrid>
      <w:tr w:rsidR="00233E2A" w:rsidRPr="0009437C" w14:paraId="035901CC" w14:textId="77777777" w:rsidTr="0010403B">
        <w:tc>
          <w:tcPr>
            <w:tcW w:w="2915" w:type="dxa"/>
            <w:shd w:val="clear" w:color="auto" w:fill="auto"/>
          </w:tcPr>
          <w:p w14:paraId="692059FB" w14:textId="77777777" w:rsidR="00233E2A" w:rsidRPr="002F6538" w:rsidRDefault="00233E2A" w:rsidP="0010403B">
            <w:pPr>
              <w:rPr>
                <w:b/>
                <w:i/>
                <w:sz w:val="18"/>
                <w:szCs w:val="18"/>
              </w:rPr>
            </w:pPr>
          </w:p>
        </w:tc>
        <w:tc>
          <w:tcPr>
            <w:tcW w:w="4848" w:type="dxa"/>
            <w:gridSpan w:val="2"/>
            <w:shd w:val="clear" w:color="auto" w:fill="auto"/>
          </w:tcPr>
          <w:p w14:paraId="1928E5A7" w14:textId="77777777" w:rsidR="00233E2A" w:rsidRPr="002F6538" w:rsidRDefault="00233E2A" w:rsidP="0010403B">
            <w:pPr>
              <w:tabs>
                <w:tab w:val="left" w:pos="1540"/>
              </w:tabs>
              <w:rPr>
                <w:b/>
                <w:i/>
                <w:sz w:val="18"/>
                <w:szCs w:val="18"/>
              </w:rPr>
            </w:pPr>
            <w:r w:rsidRPr="002F6538">
              <w:rPr>
                <w:b/>
                <w:i/>
                <w:sz w:val="18"/>
                <w:szCs w:val="18"/>
              </w:rPr>
              <w:tab/>
              <w:t>Qualitative Concordance</w:t>
            </w:r>
          </w:p>
        </w:tc>
        <w:tc>
          <w:tcPr>
            <w:tcW w:w="1559" w:type="dxa"/>
            <w:shd w:val="clear" w:color="auto" w:fill="auto"/>
          </w:tcPr>
          <w:p w14:paraId="50FEE79F" w14:textId="77777777" w:rsidR="00233E2A" w:rsidRPr="002F6538" w:rsidRDefault="00233E2A" w:rsidP="0010403B">
            <w:pPr>
              <w:rPr>
                <w:b/>
                <w:i/>
                <w:sz w:val="18"/>
                <w:szCs w:val="18"/>
              </w:rPr>
            </w:pPr>
          </w:p>
        </w:tc>
        <w:tc>
          <w:tcPr>
            <w:tcW w:w="2835" w:type="dxa"/>
            <w:shd w:val="clear" w:color="auto" w:fill="auto"/>
          </w:tcPr>
          <w:p w14:paraId="5E08A231" w14:textId="77777777" w:rsidR="00233E2A" w:rsidRPr="002F6538" w:rsidRDefault="00233E2A" w:rsidP="0010403B">
            <w:pPr>
              <w:rPr>
                <w:b/>
                <w:i/>
                <w:sz w:val="18"/>
                <w:szCs w:val="18"/>
              </w:rPr>
            </w:pPr>
            <w:r w:rsidRPr="002F6538">
              <w:rPr>
                <w:b/>
                <w:i/>
                <w:sz w:val="18"/>
                <w:szCs w:val="18"/>
              </w:rPr>
              <w:t>Quantitative Concordance</w:t>
            </w:r>
          </w:p>
        </w:tc>
        <w:tc>
          <w:tcPr>
            <w:tcW w:w="1843" w:type="dxa"/>
            <w:shd w:val="clear" w:color="auto" w:fill="auto"/>
          </w:tcPr>
          <w:p w14:paraId="0C430D11" w14:textId="77777777" w:rsidR="00233E2A" w:rsidRPr="002F6538" w:rsidRDefault="00233E2A" w:rsidP="0010403B">
            <w:pPr>
              <w:rPr>
                <w:b/>
                <w:i/>
                <w:sz w:val="18"/>
                <w:szCs w:val="18"/>
              </w:rPr>
            </w:pPr>
          </w:p>
        </w:tc>
      </w:tr>
      <w:tr w:rsidR="00233E2A" w:rsidRPr="0009437C" w14:paraId="6F623F86" w14:textId="77777777" w:rsidTr="0010403B">
        <w:tc>
          <w:tcPr>
            <w:tcW w:w="2915" w:type="dxa"/>
            <w:shd w:val="clear" w:color="auto" w:fill="auto"/>
          </w:tcPr>
          <w:p w14:paraId="08A6A091" w14:textId="77777777" w:rsidR="00233E2A" w:rsidRPr="002F6538" w:rsidRDefault="00233E2A" w:rsidP="0010403B">
            <w:pPr>
              <w:rPr>
                <w:b/>
                <w:i/>
                <w:sz w:val="18"/>
                <w:szCs w:val="18"/>
              </w:rPr>
            </w:pPr>
          </w:p>
          <w:p w14:paraId="7B6A89A7" w14:textId="77777777" w:rsidR="00233E2A" w:rsidRPr="002F6538" w:rsidRDefault="00233E2A" w:rsidP="0010403B">
            <w:pPr>
              <w:rPr>
                <w:b/>
                <w:i/>
                <w:sz w:val="18"/>
                <w:szCs w:val="18"/>
              </w:rPr>
            </w:pPr>
            <w:r w:rsidRPr="002F6538">
              <w:rPr>
                <w:b/>
                <w:i/>
                <w:sz w:val="18"/>
                <w:szCs w:val="18"/>
              </w:rPr>
              <w:t>Key Event (name)</w:t>
            </w:r>
          </w:p>
        </w:tc>
        <w:tc>
          <w:tcPr>
            <w:tcW w:w="2863" w:type="dxa"/>
            <w:shd w:val="clear" w:color="auto" w:fill="auto"/>
          </w:tcPr>
          <w:p w14:paraId="412FC79A" w14:textId="77777777" w:rsidR="00233E2A" w:rsidRPr="002F6538" w:rsidRDefault="00233E2A" w:rsidP="0010403B">
            <w:pPr>
              <w:rPr>
                <w:b/>
                <w:i/>
                <w:sz w:val="18"/>
                <w:szCs w:val="18"/>
              </w:rPr>
            </w:pPr>
            <w:r w:rsidRPr="002F6538">
              <w:rPr>
                <w:b/>
                <w:i/>
                <w:sz w:val="18"/>
                <w:szCs w:val="18"/>
              </w:rPr>
              <w:t xml:space="preserve"> (Evidence in Experimental Species)</w:t>
            </w:r>
          </w:p>
        </w:tc>
        <w:tc>
          <w:tcPr>
            <w:tcW w:w="1985" w:type="dxa"/>
            <w:shd w:val="clear" w:color="auto" w:fill="auto"/>
          </w:tcPr>
          <w:p w14:paraId="61092334" w14:textId="77777777" w:rsidR="00233E2A" w:rsidRPr="002F6538" w:rsidRDefault="00233E2A" w:rsidP="0010403B">
            <w:pPr>
              <w:rPr>
                <w:b/>
                <w:i/>
                <w:sz w:val="18"/>
                <w:szCs w:val="18"/>
              </w:rPr>
            </w:pPr>
            <w:r w:rsidRPr="002F6538">
              <w:rPr>
                <w:b/>
                <w:i/>
                <w:sz w:val="18"/>
                <w:szCs w:val="18"/>
              </w:rPr>
              <w:t xml:space="preserve"> (Evidence in Humans)</w:t>
            </w:r>
          </w:p>
        </w:tc>
        <w:tc>
          <w:tcPr>
            <w:tcW w:w="1559" w:type="dxa"/>
            <w:shd w:val="clear" w:color="auto" w:fill="auto"/>
          </w:tcPr>
          <w:p w14:paraId="36986DF0" w14:textId="77777777" w:rsidR="00233E2A" w:rsidRPr="002F6538" w:rsidRDefault="00233E2A" w:rsidP="0010403B">
            <w:pPr>
              <w:rPr>
                <w:b/>
                <w:i/>
                <w:sz w:val="18"/>
                <w:szCs w:val="18"/>
              </w:rPr>
            </w:pPr>
            <w:r w:rsidRPr="002F6538">
              <w:rPr>
                <w:b/>
                <w:i/>
                <w:sz w:val="18"/>
                <w:szCs w:val="18"/>
              </w:rPr>
              <w:t>Confidence</w:t>
            </w:r>
          </w:p>
        </w:tc>
        <w:tc>
          <w:tcPr>
            <w:tcW w:w="2835" w:type="dxa"/>
            <w:shd w:val="clear" w:color="auto" w:fill="auto"/>
          </w:tcPr>
          <w:p w14:paraId="10BE672F" w14:textId="77777777" w:rsidR="00233E2A" w:rsidRPr="002F6538" w:rsidRDefault="00233E2A" w:rsidP="0010403B">
            <w:pPr>
              <w:rPr>
                <w:b/>
                <w:i/>
                <w:sz w:val="18"/>
                <w:szCs w:val="18"/>
              </w:rPr>
            </w:pPr>
            <w:r w:rsidRPr="002F6538">
              <w:rPr>
                <w:b/>
                <w:i/>
                <w:sz w:val="18"/>
                <w:szCs w:val="18"/>
              </w:rPr>
              <w:t>(Evidence in Experimental Species)</w:t>
            </w:r>
          </w:p>
        </w:tc>
        <w:tc>
          <w:tcPr>
            <w:tcW w:w="1843" w:type="dxa"/>
            <w:shd w:val="clear" w:color="auto" w:fill="auto"/>
          </w:tcPr>
          <w:p w14:paraId="73892520" w14:textId="77777777" w:rsidR="00233E2A" w:rsidRPr="002F6538" w:rsidRDefault="00233E2A" w:rsidP="0010403B">
            <w:pPr>
              <w:rPr>
                <w:b/>
                <w:i/>
                <w:sz w:val="18"/>
                <w:szCs w:val="18"/>
              </w:rPr>
            </w:pPr>
            <w:r w:rsidRPr="002F6538">
              <w:rPr>
                <w:b/>
                <w:i/>
                <w:sz w:val="18"/>
                <w:szCs w:val="18"/>
              </w:rPr>
              <w:t>Confidence</w:t>
            </w:r>
          </w:p>
        </w:tc>
      </w:tr>
      <w:tr w:rsidR="00233E2A" w:rsidRPr="0009437C" w14:paraId="7D73EB16" w14:textId="77777777" w:rsidTr="0010403B">
        <w:tc>
          <w:tcPr>
            <w:tcW w:w="2915" w:type="dxa"/>
            <w:shd w:val="clear" w:color="auto" w:fill="auto"/>
          </w:tcPr>
          <w:p w14:paraId="272BDE1C" w14:textId="77777777" w:rsidR="00233E2A" w:rsidRPr="002F6538" w:rsidRDefault="00233E2A" w:rsidP="0010403B">
            <w:pPr>
              <w:rPr>
                <w:b/>
                <w:i/>
                <w:sz w:val="18"/>
                <w:szCs w:val="18"/>
              </w:rPr>
            </w:pPr>
            <w:r w:rsidRPr="002F6538">
              <w:rPr>
                <w:b/>
                <w:color w:val="000000"/>
                <w:sz w:val="18"/>
                <w:szCs w:val="18"/>
              </w:rPr>
              <w:t>Metabolism of DCHP to MCHP</w:t>
            </w:r>
            <w:r w:rsidRPr="002F6538">
              <w:rPr>
                <w:b/>
                <w:i/>
                <w:sz w:val="18"/>
                <w:szCs w:val="18"/>
              </w:rPr>
              <w:t xml:space="preserve"> </w:t>
            </w:r>
          </w:p>
        </w:tc>
        <w:tc>
          <w:tcPr>
            <w:tcW w:w="2863" w:type="dxa"/>
            <w:shd w:val="clear" w:color="auto" w:fill="auto"/>
          </w:tcPr>
          <w:p w14:paraId="58F49756" w14:textId="77777777" w:rsidR="00233E2A" w:rsidRPr="002F6538" w:rsidRDefault="00233E2A" w:rsidP="0010403B">
            <w:pPr>
              <w:rPr>
                <w:sz w:val="18"/>
                <w:szCs w:val="18"/>
              </w:rPr>
            </w:pPr>
            <w:r w:rsidRPr="002F6538">
              <w:rPr>
                <w:sz w:val="18"/>
                <w:szCs w:val="18"/>
              </w:rPr>
              <w:t>Evidence based</w:t>
            </w:r>
          </w:p>
        </w:tc>
        <w:tc>
          <w:tcPr>
            <w:tcW w:w="1985" w:type="dxa"/>
            <w:shd w:val="clear" w:color="auto" w:fill="auto"/>
          </w:tcPr>
          <w:p w14:paraId="3A5E9CCD" w14:textId="77777777" w:rsidR="00233E2A" w:rsidRPr="002F6538" w:rsidRDefault="00233E2A" w:rsidP="0010403B">
            <w:pPr>
              <w:rPr>
                <w:sz w:val="18"/>
                <w:szCs w:val="18"/>
              </w:rPr>
            </w:pPr>
            <w:r w:rsidRPr="002F6538">
              <w:rPr>
                <w:sz w:val="18"/>
                <w:szCs w:val="18"/>
              </w:rPr>
              <w:t>Plausible and some evidence based</w:t>
            </w:r>
          </w:p>
        </w:tc>
        <w:tc>
          <w:tcPr>
            <w:tcW w:w="1559" w:type="dxa"/>
            <w:shd w:val="clear" w:color="auto" w:fill="auto"/>
          </w:tcPr>
          <w:p w14:paraId="5AB24727" w14:textId="77777777" w:rsidR="00233E2A" w:rsidRPr="002F6538" w:rsidRDefault="00233E2A" w:rsidP="0010403B">
            <w:pPr>
              <w:rPr>
                <w:sz w:val="18"/>
                <w:szCs w:val="18"/>
              </w:rPr>
            </w:pPr>
            <w:r w:rsidRPr="002F6538">
              <w:rPr>
                <w:sz w:val="18"/>
                <w:szCs w:val="18"/>
              </w:rPr>
              <w:t>High</w:t>
            </w:r>
          </w:p>
        </w:tc>
        <w:tc>
          <w:tcPr>
            <w:tcW w:w="2835" w:type="dxa"/>
            <w:shd w:val="clear" w:color="auto" w:fill="auto"/>
          </w:tcPr>
          <w:p w14:paraId="0460857A" w14:textId="77777777" w:rsidR="00233E2A" w:rsidRPr="002F6538" w:rsidRDefault="00233E2A" w:rsidP="0010403B">
            <w:pPr>
              <w:rPr>
                <w:sz w:val="18"/>
                <w:szCs w:val="18"/>
              </w:rPr>
            </w:pPr>
          </w:p>
        </w:tc>
        <w:tc>
          <w:tcPr>
            <w:tcW w:w="1843" w:type="dxa"/>
            <w:shd w:val="clear" w:color="auto" w:fill="auto"/>
          </w:tcPr>
          <w:p w14:paraId="05ED58CA" w14:textId="77777777" w:rsidR="00233E2A" w:rsidRPr="002F6538" w:rsidRDefault="00233E2A" w:rsidP="0010403B">
            <w:pPr>
              <w:rPr>
                <w:sz w:val="18"/>
                <w:szCs w:val="18"/>
              </w:rPr>
            </w:pPr>
          </w:p>
        </w:tc>
      </w:tr>
      <w:tr w:rsidR="00233E2A" w:rsidRPr="0009437C" w14:paraId="2ED16061" w14:textId="77777777" w:rsidTr="0010403B">
        <w:tc>
          <w:tcPr>
            <w:tcW w:w="2915" w:type="dxa"/>
            <w:shd w:val="clear" w:color="auto" w:fill="auto"/>
          </w:tcPr>
          <w:p w14:paraId="630EA38D" w14:textId="77777777" w:rsidR="00233E2A" w:rsidRPr="002F6538" w:rsidRDefault="00233E2A" w:rsidP="0010403B">
            <w:pPr>
              <w:rPr>
                <w:b/>
                <w:i/>
                <w:sz w:val="18"/>
                <w:szCs w:val="18"/>
              </w:rPr>
            </w:pPr>
          </w:p>
          <w:p w14:paraId="43A53C1A" w14:textId="77777777" w:rsidR="00233E2A" w:rsidRPr="002F6538" w:rsidRDefault="00233E2A" w:rsidP="0010403B">
            <w:pPr>
              <w:rPr>
                <w:b/>
                <w:i/>
                <w:sz w:val="18"/>
                <w:szCs w:val="18"/>
              </w:rPr>
            </w:pPr>
            <w:r w:rsidRPr="002F6538">
              <w:rPr>
                <w:b/>
                <w:color w:val="000000"/>
                <w:sz w:val="18"/>
                <w:szCs w:val="18"/>
              </w:rPr>
              <w:t>Placenta Transfer</w:t>
            </w:r>
            <w:r w:rsidRPr="002F6538">
              <w:rPr>
                <w:b/>
                <w:i/>
                <w:sz w:val="18"/>
                <w:szCs w:val="18"/>
              </w:rPr>
              <w:t xml:space="preserve"> </w:t>
            </w:r>
          </w:p>
        </w:tc>
        <w:tc>
          <w:tcPr>
            <w:tcW w:w="2863" w:type="dxa"/>
            <w:shd w:val="clear" w:color="auto" w:fill="auto"/>
          </w:tcPr>
          <w:p w14:paraId="34FF9028" w14:textId="77777777" w:rsidR="00233E2A" w:rsidRPr="002F6538" w:rsidRDefault="00233E2A" w:rsidP="0010403B">
            <w:pPr>
              <w:rPr>
                <w:sz w:val="18"/>
                <w:szCs w:val="18"/>
              </w:rPr>
            </w:pPr>
            <w:r w:rsidRPr="002F6538">
              <w:rPr>
                <w:sz w:val="18"/>
                <w:szCs w:val="18"/>
              </w:rPr>
              <w:t>Likely, sufficient evidence available</w:t>
            </w:r>
          </w:p>
        </w:tc>
        <w:tc>
          <w:tcPr>
            <w:tcW w:w="1985" w:type="dxa"/>
            <w:shd w:val="clear" w:color="auto" w:fill="auto"/>
          </w:tcPr>
          <w:p w14:paraId="4B4A18C9" w14:textId="77777777" w:rsidR="00233E2A" w:rsidRPr="002F6538" w:rsidRDefault="00233E2A" w:rsidP="0010403B">
            <w:pPr>
              <w:rPr>
                <w:sz w:val="18"/>
                <w:szCs w:val="18"/>
              </w:rPr>
            </w:pPr>
            <w:r w:rsidRPr="002F6538">
              <w:rPr>
                <w:sz w:val="18"/>
                <w:szCs w:val="18"/>
              </w:rPr>
              <w:t>Plausible</w:t>
            </w:r>
          </w:p>
        </w:tc>
        <w:tc>
          <w:tcPr>
            <w:tcW w:w="1559" w:type="dxa"/>
            <w:shd w:val="clear" w:color="auto" w:fill="auto"/>
          </w:tcPr>
          <w:p w14:paraId="74A5B115" w14:textId="77777777" w:rsidR="00233E2A" w:rsidRPr="002F6538" w:rsidRDefault="00233E2A" w:rsidP="0010403B">
            <w:pPr>
              <w:rPr>
                <w:sz w:val="18"/>
                <w:szCs w:val="18"/>
              </w:rPr>
            </w:pPr>
            <w:r w:rsidRPr="002F6538">
              <w:rPr>
                <w:sz w:val="18"/>
                <w:szCs w:val="18"/>
              </w:rPr>
              <w:t>Medium*</w:t>
            </w:r>
          </w:p>
        </w:tc>
        <w:tc>
          <w:tcPr>
            <w:tcW w:w="2835" w:type="dxa"/>
            <w:shd w:val="clear" w:color="auto" w:fill="auto"/>
          </w:tcPr>
          <w:p w14:paraId="13875935" w14:textId="77777777" w:rsidR="00233E2A" w:rsidRPr="002F6538" w:rsidRDefault="00233E2A" w:rsidP="0010403B">
            <w:pPr>
              <w:rPr>
                <w:sz w:val="18"/>
                <w:szCs w:val="18"/>
              </w:rPr>
            </w:pPr>
          </w:p>
        </w:tc>
        <w:tc>
          <w:tcPr>
            <w:tcW w:w="1843" w:type="dxa"/>
            <w:shd w:val="clear" w:color="auto" w:fill="auto"/>
          </w:tcPr>
          <w:p w14:paraId="4A76135B" w14:textId="77777777" w:rsidR="00233E2A" w:rsidRPr="002F6538" w:rsidRDefault="00233E2A" w:rsidP="0010403B">
            <w:pPr>
              <w:rPr>
                <w:sz w:val="18"/>
                <w:szCs w:val="18"/>
              </w:rPr>
            </w:pPr>
          </w:p>
        </w:tc>
      </w:tr>
      <w:tr w:rsidR="00233E2A" w:rsidRPr="0009437C" w14:paraId="535CEA2A" w14:textId="77777777" w:rsidTr="0010403B">
        <w:tc>
          <w:tcPr>
            <w:tcW w:w="2915" w:type="dxa"/>
            <w:shd w:val="clear" w:color="auto" w:fill="auto"/>
          </w:tcPr>
          <w:p w14:paraId="316B264E" w14:textId="77777777" w:rsidR="00233E2A" w:rsidRPr="002F6538" w:rsidRDefault="00233E2A" w:rsidP="0010403B">
            <w:pPr>
              <w:rPr>
                <w:b/>
                <w:i/>
                <w:sz w:val="18"/>
                <w:szCs w:val="18"/>
              </w:rPr>
            </w:pPr>
            <w:r w:rsidRPr="002F6538">
              <w:rPr>
                <w:b/>
                <w:color w:val="000000"/>
                <w:sz w:val="18"/>
                <w:szCs w:val="18"/>
              </w:rPr>
              <w:t xml:space="preserve">Early Leydig and Sertoli cells function alterations </w:t>
            </w:r>
            <w:r w:rsidRPr="005A120C">
              <w:rPr>
                <w:b/>
                <w:i/>
                <w:color w:val="000000"/>
                <w:sz w:val="18"/>
                <w:szCs w:val="18"/>
              </w:rPr>
              <w:t>in utero</w:t>
            </w:r>
            <w:r w:rsidRPr="002F6538">
              <w:rPr>
                <w:b/>
                <w:i/>
                <w:sz w:val="18"/>
                <w:szCs w:val="18"/>
              </w:rPr>
              <w:t xml:space="preserve"> </w:t>
            </w:r>
          </w:p>
        </w:tc>
        <w:tc>
          <w:tcPr>
            <w:tcW w:w="2863" w:type="dxa"/>
            <w:shd w:val="clear" w:color="auto" w:fill="auto"/>
          </w:tcPr>
          <w:p w14:paraId="76A95998" w14:textId="77777777" w:rsidR="00233E2A" w:rsidRPr="002F6538" w:rsidRDefault="00233E2A" w:rsidP="0010403B">
            <w:pPr>
              <w:rPr>
                <w:sz w:val="18"/>
                <w:szCs w:val="18"/>
              </w:rPr>
            </w:pPr>
            <w:r w:rsidRPr="002F6538">
              <w:rPr>
                <w:sz w:val="18"/>
                <w:szCs w:val="18"/>
              </w:rPr>
              <w:t>Evidence based</w:t>
            </w:r>
          </w:p>
        </w:tc>
        <w:tc>
          <w:tcPr>
            <w:tcW w:w="1985" w:type="dxa"/>
            <w:shd w:val="clear" w:color="auto" w:fill="auto"/>
          </w:tcPr>
          <w:p w14:paraId="59DF2590" w14:textId="77777777" w:rsidR="00233E2A" w:rsidRPr="002F6538" w:rsidRDefault="00233E2A" w:rsidP="0010403B">
            <w:pPr>
              <w:rPr>
                <w:sz w:val="18"/>
                <w:szCs w:val="18"/>
              </w:rPr>
            </w:pPr>
            <w:r w:rsidRPr="002F6538">
              <w:rPr>
                <w:sz w:val="18"/>
                <w:szCs w:val="18"/>
              </w:rPr>
              <w:t>Plausible and some evidence based</w:t>
            </w:r>
          </w:p>
        </w:tc>
        <w:tc>
          <w:tcPr>
            <w:tcW w:w="1559" w:type="dxa"/>
            <w:shd w:val="clear" w:color="auto" w:fill="auto"/>
          </w:tcPr>
          <w:p w14:paraId="60B0DD34" w14:textId="77777777" w:rsidR="00233E2A" w:rsidRPr="002F6538" w:rsidRDefault="00233E2A" w:rsidP="0010403B">
            <w:pPr>
              <w:rPr>
                <w:sz w:val="18"/>
                <w:szCs w:val="18"/>
              </w:rPr>
            </w:pPr>
            <w:r w:rsidRPr="002F6538">
              <w:rPr>
                <w:sz w:val="18"/>
                <w:szCs w:val="18"/>
              </w:rPr>
              <w:t>Medium **</w:t>
            </w:r>
          </w:p>
        </w:tc>
        <w:tc>
          <w:tcPr>
            <w:tcW w:w="2835" w:type="dxa"/>
            <w:shd w:val="clear" w:color="auto" w:fill="auto"/>
          </w:tcPr>
          <w:p w14:paraId="7C22F033" w14:textId="77777777" w:rsidR="00233E2A" w:rsidRPr="002F6538" w:rsidRDefault="00233E2A" w:rsidP="0010403B">
            <w:pPr>
              <w:rPr>
                <w:sz w:val="18"/>
                <w:szCs w:val="18"/>
              </w:rPr>
            </w:pPr>
            <w:r w:rsidRPr="002F6538">
              <w:rPr>
                <w:sz w:val="18"/>
                <w:szCs w:val="18"/>
              </w:rPr>
              <w:t>Evidence based (see section 5a)</w:t>
            </w:r>
          </w:p>
        </w:tc>
        <w:tc>
          <w:tcPr>
            <w:tcW w:w="1843" w:type="dxa"/>
            <w:shd w:val="clear" w:color="auto" w:fill="auto"/>
          </w:tcPr>
          <w:p w14:paraId="6365CC56" w14:textId="77777777" w:rsidR="00233E2A" w:rsidRPr="002F6538" w:rsidRDefault="00233E2A" w:rsidP="0010403B">
            <w:pPr>
              <w:rPr>
                <w:sz w:val="18"/>
                <w:szCs w:val="18"/>
              </w:rPr>
            </w:pPr>
            <w:r w:rsidRPr="002F6538">
              <w:rPr>
                <w:sz w:val="18"/>
                <w:szCs w:val="18"/>
              </w:rPr>
              <w:t>Medium</w:t>
            </w:r>
          </w:p>
        </w:tc>
      </w:tr>
      <w:tr w:rsidR="00233E2A" w:rsidRPr="0009437C" w14:paraId="43C1E853" w14:textId="77777777" w:rsidTr="0010403B">
        <w:tc>
          <w:tcPr>
            <w:tcW w:w="2915" w:type="dxa"/>
            <w:shd w:val="clear" w:color="auto" w:fill="auto"/>
          </w:tcPr>
          <w:p w14:paraId="2E902ED1" w14:textId="77777777" w:rsidR="00233E2A" w:rsidRPr="002F6538" w:rsidRDefault="00233E2A" w:rsidP="0010403B">
            <w:pPr>
              <w:rPr>
                <w:b/>
                <w:color w:val="000000"/>
                <w:sz w:val="18"/>
                <w:szCs w:val="18"/>
              </w:rPr>
            </w:pPr>
            <w:r w:rsidRPr="002F6538">
              <w:rPr>
                <w:b/>
                <w:color w:val="000000"/>
                <w:sz w:val="18"/>
                <w:szCs w:val="18"/>
              </w:rPr>
              <w:t xml:space="preserve">Hormonal changes </w:t>
            </w:r>
          </w:p>
          <w:p w14:paraId="6C60CE6E" w14:textId="77777777" w:rsidR="00233E2A" w:rsidRPr="002F6538" w:rsidRDefault="00233E2A" w:rsidP="0010403B">
            <w:pPr>
              <w:rPr>
                <w:b/>
                <w:color w:val="000000"/>
                <w:sz w:val="18"/>
                <w:szCs w:val="18"/>
              </w:rPr>
            </w:pPr>
            <w:r w:rsidRPr="002F6538">
              <w:rPr>
                <w:b/>
                <w:color w:val="000000"/>
                <w:sz w:val="18"/>
                <w:szCs w:val="18"/>
              </w:rPr>
              <w:t>(Fetal testosterone levels decrease)</w:t>
            </w:r>
          </w:p>
          <w:p w14:paraId="58DC4F3D" w14:textId="77777777" w:rsidR="00233E2A" w:rsidRPr="002F6538" w:rsidRDefault="00233E2A" w:rsidP="0010403B">
            <w:pPr>
              <w:rPr>
                <w:b/>
                <w:i/>
                <w:sz w:val="18"/>
                <w:szCs w:val="18"/>
              </w:rPr>
            </w:pPr>
          </w:p>
        </w:tc>
        <w:tc>
          <w:tcPr>
            <w:tcW w:w="2863" w:type="dxa"/>
            <w:shd w:val="clear" w:color="auto" w:fill="auto"/>
          </w:tcPr>
          <w:p w14:paraId="16D8CBFA" w14:textId="77777777" w:rsidR="00233E2A" w:rsidRPr="002F6538" w:rsidRDefault="00233E2A" w:rsidP="0010403B">
            <w:pPr>
              <w:rPr>
                <w:sz w:val="18"/>
                <w:szCs w:val="18"/>
              </w:rPr>
            </w:pPr>
            <w:r w:rsidRPr="002F6538">
              <w:rPr>
                <w:sz w:val="18"/>
                <w:szCs w:val="18"/>
              </w:rPr>
              <w:t>Evidence based</w:t>
            </w:r>
          </w:p>
        </w:tc>
        <w:tc>
          <w:tcPr>
            <w:tcW w:w="1985" w:type="dxa"/>
            <w:shd w:val="clear" w:color="auto" w:fill="auto"/>
          </w:tcPr>
          <w:p w14:paraId="1615F01E" w14:textId="77777777" w:rsidR="00233E2A" w:rsidRPr="002F6538" w:rsidRDefault="00233E2A" w:rsidP="0010403B">
            <w:pPr>
              <w:rPr>
                <w:sz w:val="18"/>
                <w:szCs w:val="18"/>
              </w:rPr>
            </w:pPr>
            <w:r w:rsidRPr="002F6538">
              <w:rPr>
                <w:sz w:val="18"/>
                <w:szCs w:val="18"/>
              </w:rPr>
              <w:t>Plausible</w:t>
            </w:r>
          </w:p>
        </w:tc>
        <w:tc>
          <w:tcPr>
            <w:tcW w:w="1559" w:type="dxa"/>
            <w:shd w:val="clear" w:color="auto" w:fill="auto"/>
          </w:tcPr>
          <w:p w14:paraId="62A96E83" w14:textId="77777777" w:rsidR="00233E2A" w:rsidRPr="002F6538" w:rsidRDefault="00233E2A" w:rsidP="0010403B">
            <w:pPr>
              <w:rPr>
                <w:sz w:val="18"/>
                <w:szCs w:val="18"/>
              </w:rPr>
            </w:pPr>
            <w:r w:rsidRPr="002F6538">
              <w:rPr>
                <w:sz w:val="18"/>
                <w:szCs w:val="18"/>
              </w:rPr>
              <w:t>High</w:t>
            </w:r>
          </w:p>
        </w:tc>
        <w:tc>
          <w:tcPr>
            <w:tcW w:w="2835" w:type="dxa"/>
            <w:shd w:val="clear" w:color="auto" w:fill="auto"/>
          </w:tcPr>
          <w:p w14:paraId="19017999" w14:textId="77777777" w:rsidR="00233E2A" w:rsidRPr="002F6538" w:rsidRDefault="00233E2A" w:rsidP="0010403B">
            <w:pPr>
              <w:rPr>
                <w:sz w:val="18"/>
                <w:szCs w:val="18"/>
              </w:rPr>
            </w:pPr>
            <w:r w:rsidRPr="002F6538">
              <w:rPr>
                <w:sz w:val="18"/>
                <w:szCs w:val="18"/>
              </w:rPr>
              <w:t>Evidence based (see section 5a)</w:t>
            </w:r>
          </w:p>
        </w:tc>
        <w:tc>
          <w:tcPr>
            <w:tcW w:w="1843" w:type="dxa"/>
            <w:shd w:val="clear" w:color="auto" w:fill="auto"/>
          </w:tcPr>
          <w:p w14:paraId="68A2AC89" w14:textId="77777777" w:rsidR="00233E2A" w:rsidRPr="002F6538" w:rsidRDefault="00233E2A" w:rsidP="0010403B">
            <w:pPr>
              <w:rPr>
                <w:sz w:val="18"/>
                <w:szCs w:val="18"/>
              </w:rPr>
            </w:pPr>
            <w:r w:rsidRPr="002F6538">
              <w:rPr>
                <w:sz w:val="18"/>
                <w:szCs w:val="18"/>
              </w:rPr>
              <w:t>High</w:t>
            </w:r>
          </w:p>
        </w:tc>
      </w:tr>
      <w:tr w:rsidR="00233E2A" w:rsidRPr="0009437C" w14:paraId="1BF554DD" w14:textId="77777777" w:rsidTr="0010403B">
        <w:tc>
          <w:tcPr>
            <w:tcW w:w="2915" w:type="dxa"/>
            <w:shd w:val="clear" w:color="auto" w:fill="auto"/>
          </w:tcPr>
          <w:p w14:paraId="00FA88DB" w14:textId="77777777" w:rsidR="00233E2A" w:rsidRPr="002F6538" w:rsidRDefault="00233E2A" w:rsidP="0010403B">
            <w:pPr>
              <w:rPr>
                <w:b/>
                <w:color w:val="000000"/>
                <w:sz w:val="18"/>
                <w:szCs w:val="18"/>
              </w:rPr>
            </w:pPr>
            <w:r w:rsidRPr="002F6538">
              <w:rPr>
                <w:b/>
                <w:color w:val="000000"/>
                <w:sz w:val="18"/>
                <w:szCs w:val="18"/>
              </w:rPr>
              <w:t xml:space="preserve">Male Reproduction system irreversible damage </w:t>
            </w:r>
          </w:p>
          <w:p w14:paraId="2660DEBA" w14:textId="77777777" w:rsidR="00233E2A" w:rsidRPr="002F6538" w:rsidRDefault="00233E2A" w:rsidP="0010403B">
            <w:pPr>
              <w:rPr>
                <w:b/>
                <w:color w:val="000000"/>
                <w:sz w:val="18"/>
                <w:szCs w:val="18"/>
              </w:rPr>
            </w:pPr>
            <w:r w:rsidRPr="002F6538">
              <w:rPr>
                <w:b/>
                <w:color w:val="000000"/>
                <w:sz w:val="18"/>
                <w:szCs w:val="18"/>
              </w:rPr>
              <w:t>Testicular effects</w:t>
            </w:r>
          </w:p>
          <w:p w14:paraId="6D4D3CA4" w14:textId="77777777" w:rsidR="00233E2A" w:rsidRPr="0018736B" w:rsidRDefault="00233E2A" w:rsidP="0010403B">
            <w:pPr>
              <w:rPr>
                <w:b/>
                <w:color w:val="000000"/>
                <w:sz w:val="18"/>
                <w:szCs w:val="18"/>
                <w:lang w:val="fr-FR"/>
              </w:rPr>
            </w:pPr>
            <w:r w:rsidRPr="0018736B">
              <w:rPr>
                <w:b/>
                <w:color w:val="000000"/>
                <w:sz w:val="18"/>
                <w:szCs w:val="18"/>
                <w:lang w:val="fr-FR"/>
              </w:rPr>
              <w:t>(Leydig cells, Sertoli cells, Epididymis)</w:t>
            </w:r>
          </w:p>
          <w:p w14:paraId="471C5853" w14:textId="77777777" w:rsidR="00233E2A" w:rsidRPr="0018736B" w:rsidRDefault="00233E2A" w:rsidP="0010403B">
            <w:pPr>
              <w:rPr>
                <w:b/>
                <w:color w:val="000000"/>
                <w:sz w:val="18"/>
                <w:szCs w:val="18"/>
                <w:lang w:val="fr-FR"/>
              </w:rPr>
            </w:pPr>
          </w:p>
        </w:tc>
        <w:tc>
          <w:tcPr>
            <w:tcW w:w="2863" w:type="dxa"/>
            <w:shd w:val="clear" w:color="auto" w:fill="auto"/>
          </w:tcPr>
          <w:p w14:paraId="25754A3C" w14:textId="77777777" w:rsidR="00233E2A" w:rsidRPr="002F6538" w:rsidRDefault="00233E2A" w:rsidP="0010403B">
            <w:pPr>
              <w:rPr>
                <w:sz w:val="18"/>
                <w:szCs w:val="18"/>
              </w:rPr>
            </w:pPr>
            <w:r w:rsidRPr="002F6538">
              <w:rPr>
                <w:sz w:val="18"/>
                <w:szCs w:val="18"/>
              </w:rPr>
              <w:t>Evidence based</w:t>
            </w:r>
          </w:p>
        </w:tc>
        <w:tc>
          <w:tcPr>
            <w:tcW w:w="1985" w:type="dxa"/>
            <w:shd w:val="clear" w:color="auto" w:fill="auto"/>
          </w:tcPr>
          <w:p w14:paraId="1FADB0B9" w14:textId="77777777" w:rsidR="00233E2A" w:rsidRPr="002F6538" w:rsidRDefault="00233E2A" w:rsidP="0010403B">
            <w:pPr>
              <w:rPr>
                <w:sz w:val="18"/>
                <w:szCs w:val="18"/>
              </w:rPr>
            </w:pPr>
            <w:r w:rsidRPr="002F6538">
              <w:rPr>
                <w:sz w:val="18"/>
                <w:szCs w:val="18"/>
              </w:rPr>
              <w:t>Plausible</w:t>
            </w:r>
          </w:p>
        </w:tc>
        <w:tc>
          <w:tcPr>
            <w:tcW w:w="1559" w:type="dxa"/>
            <w:shd w:val="clear" w:color="auto" w:fill="auto"/>
          </w:tcPr>
          <w:p w14:paraId="65616346" w14:textId="77777777" w:rsidR="00233E2A" w:rsidRPr="002F6538" w:rsidRDefault="00233E2A" w:rsidP="0010403B">
            <w:pPr>
              <w:rPr>
                <w:sz w:val="18"/>
                <w:szCs w:val="18"/>
              </w:rPr>
            </w:pPr>
            <w:r w:rsidRPr="002F6538">
              <w:rPr>
                <w:sz w:val="18"/>
                <w:szCs w:val="18"/>
              </w:rPr>
              <w:t>High</w:t>
            </w:r>
          </w:p>
        </w:tc>
        <w:tc>
          <w:tcPr>
            <w:tcW w:w="2835" w:type="dxa"/>
            <w:shd w:val="clear" w:color="auto" w:fill="auto"/>
          </w:tcPr>
          <w:p w14:paraId="642A6BDD" w14:textId="77777777" w:rsidR="00233E2A" w:rsidRPr="002F6538" w:rsidRDefault="00233E2A" w:rsidP="0010403B">
            <w:pPr>
              <w:rPr>
                <w:sz w:val="18"/>
                <w:szCs w:val="18"/>
              </w:rPr>
            </w:pPr>
            <w:r w:rsidRPr="002F6538">
              <w:rPr>
                <w:sz w:val="18"/>
                <w:szCs w:val="18"/>
              </w:rPr>
              <w:t>Evidence based (see section 5a)</w:t>
            </w:r>
          </w:p>
        </w:tc>
        <w:tc>
          <w:tcPr>
            <w:tcW w:w="1843" w:type="dxa"/>
            <w:shd w:val="clear" w:color="auto" w:fill="auto"/>
          </w:tcPr>
          <w:p w14:paraId="4A78EBA7" w14:textId="77777777" w:rsidR="00233E2A" w:rsidRPr="002F6538" w:rsidRDefault="00233E2A" w:rsidP="0010403B">
            <w:pPr>
              <w:rPr>
                <w:sz w:val="18"/>
                <w:szCs w:val="18"/>
              </w:rPr>
            </w:pPr>
            <w:r w:rsidRPr="002F6538">
              <w:rPr>
                <w:sz w:val="18"/>
                <w:szCs w:val="18"/>
              </w:rPr>
              <w:t>High</w:t>
            </w:r>
          </w:p>
        </w:tc>
      </w:tr>
      <w:tr w:rsidR="00233E2A" w:rsidRPr="0009437C" w14:paraId="771B0427" w14:textId="77777777" w:rsidTr="0010403B">
        <w:tc>
          <w:tcPr>
            <w:tcW w:w="2915" w:type="dxa"/>
            <w:shd w:val="clear" w:color="auto" w:fill="auto"/>
          </w:tcPr>
          <w:p w14:paraId="2DC56B0B" w14:textId="77777777" w:rsidR="00233E2A" w:rsidRPr="002F6538" w:rsidRDefault="00233E2A" w:rsidP="0010403B">
            <w:pPr>
              <w:rPr>
                <w:b/>
                <w:color w:val="000000"/>
                <w:sz w:val="18"/>
                <w:szCs w:val="18"/>
              </w:rPr>
            </w:pPr>
            <w:r w:rsidRPr="002F6538">
              <w:rPr>
                <w:b/>
                <w:color w:val="000000"/>
                <w:sz w:val="18"/>
                <w:szCs w:val="18"/>
              </w:rPr>
              <w:t>Male Impaired Fertility</w:t>
            </w:r>
          </w:p>
        </w:tc>
        <w:tc>
          <w:tcPr>
            <w:tcW w:w="2863" w:type="dxa"/>
            <w:shd w:val="clear" w:color="auto" w:fill="auto"/>
          </w:tcPr>
          <w:p w14:paraId="09A846C9" w14:textId="77777777" w:rsidR="00233E2A" w:rsidRPr="002F6538" w:rsidRDefault="00233E2A" w:rsidP="0010403B">
            <w:pPr>
              <w:rPr>
                <w:sz w:val="18"/>
                <w:szCs w:val="18"/>
              </w:rPr>
            </w:pPr>
            <w:r w:rsidRPr="002F6538">
              <w:rPr>
                <w:sz w:val="18"/>
                <w:szCs w:val="18"/>
              </w:rPr>
              <w:t>Likely, not chemical specific (DCHP) based</w:t>
            </w:r>
          </w:p>
        </w:tc>
        <w:tc>
          <w:tcPr>
            <w:tcW w:w="1985" w:type="dxa"/>
            <w:shd w:val="clear" w:color="auto" w:fill="auto"/>
          </w:tcPr>
          <w:p w14:paraId="17B052EE" w14:textId="77777777" w:rsidR="00233E2A" w:rsidRPr="002F6538" w:rsidRDefault="00233E2A" w:rsidP="0010403B">
            <w:pPr>
              <w:rPr>
                <w:sz w:val="18"/>
                <w:szCs w:val="18"/>
              </w:rPr>
            </w:pPr>
            <w:r w:rsidRPr="002F6538">
              <w:rPr>
                <w:sz w:val="18"/>
                <w:szCs w:val="18"/>
              </w:rPr>
              <w:t>Plausible</w:t>
            </w:r>
          </w:p>
        </w:tc>
        <w:tc>
          <w:tcPr>
            <w:tcW w:w="1559" w:type="dxa"/>
            <w:shd w:val="clear" w:color="auto" w:fill="auto"/>
          </w:tcPr>
          <w:p w14:paraId="626A39FE" w14:textId="77777777" w:rsidR="00233E2A" w:rsidRPr="002F6538" w:rsidRDefault="00233E2A" w:rsidP="0010403B">
            <w:pPr>
              <w:rPr>
                <w:sz w:val="18"/>
                <w:szCs w:val="18"/>
              </w:rPr>
            </w:pPr>
            <w:r w:rsidRPr="002F6538">
              <w:rPr>
                <w:sz w:val="18"/>
                <w:szCs w:val="18"/>
              </w:rPr>
              <w:t>Medium***</w:t>
            </w:r>
          </w:p>
        </w:tc>
        <w:tc>
          <w:tcPr>
            <w:tcW w:w="2835" w:type="dxa"/>
            <w:shd w:val="clear" w:color="auto" w:fill="auto"/>
          </w:tcPr>
          <w:p w14:paraId="203FB4B2" w14:textId="77777777" w:rsidR="00233E2A" w:rsidRPr="002F6538" w:rsidRDefault="00233E2A" w:rsidP="0010403B">
            <w:pPr>
              <w:rPr>
                <w:sz w:val="18"/>
                <w:szCs w:val="18"/>
              </w:rPr>
            </w:pPr>
          </w:p>
        </w:tc>
        <w:tc>
          <w:tcPr>
            <w:tcW w:w="1843" w:type="dxa"/>
            <w:shd w:val="clear" w:color="auto" w:fill="auto"/>
          </w:tcPr>
          <w:p w14:paraId="4703C7F6" w14:textId="77777777" w:rsidR="00233E2A" w:rsidRPr="002F6538" w:rsidRDefault="00233E2A" w:rsidP="0010403B">
            <w:pPr>
              <w:rPr>
                <w:sz w:val="18"/>
                <w:szCs w:val="18"/>
              </w:rPr>
            </w:pPr>
          </w:p>
        </w:tc>
      </w:tr>
    </w:tbl>
    <w:p w14:paraId="627B3990" w14:textId="77777777" w:rsidR="00233E2A" w:rsidRPr="0009437C" w:rsidRDefault="00233E2A" w:rsidP="00233E2A">
      <w:pPr>
        <w:jc w:val="both"/>
        <w:rPr>
          <w:sz w:val="18"/>
          <w:szCs w:val="18"/>
        </w:rPr>
      </w:pPr>
    </w:p>
    <w:p w14:paraId="2C5C2AA5" w14:textId="77777777" w:rsidR="00233E2A" w:rsidRPr="00D556D8" w:rsidRDefault="00233E2A" w:rsidP="00233E2A">
      <w:pPr>
        <w:jc w:val="both"/>
        <w:rPr>
          <w:rFonts w:ascii="Verdana" w:hAnsi="Verdana"/>
          <w:sz w:val="20"/>
          <w:szCs w:val="20"/>
        </w:rPr>
      </w:pPr>
      <w:r w:rsidRPr="00D556D8">
        <w:rPr>
          <w:rFonts w:ascii="Verdana" w:hAnsi="Verdana"/>
          <w:sz w:val="20"/>
          <w:szCs w:val="20"/>
        </w:rPr>
        <w:lastRenderedPageBreak/>
        <w:t>Overall, the weight of evidence is sufficient to establish the hypothesised mode of action in experimental species.</w:t>
      </w:r>
    </w:p>
    <w:p w14:paraId="66DCD3E8" w14:textId="77777777" w:rsidR="00233E2A" w:rsidRPr="00D556D8" w:rsidRDefault="00233E2A" w:rsidP="00233E2A">
      <w:pPr>
        <w:jc w:val="both"/>
        <w:rPr>
          <w:rFonts w:ascii="Verdana" w:hAnsi="Verdana"/>
          <w:sz w:val="20"/>
          <w:szCs w:val="20"/>
        </w:rPr>
      </w:pPr>
      <w:r w:rsidRPr="00D556D8">
        <w:rPr>
          <w:rFonts w:ascii="Verdana" w:hAnsi="Verdana"/>
          <w:sz w:val="20"/>
          <w:szCs w:val="20"/>
        </w:rPr>
        <w:t>There are no fundamental qualitative differences in key events observed in experimental species and those expected in humans. Human relevance cannot be excluded due to kinetic and dynamic factors.</w:t>
      </w:r>
    </w:p>
    <w:p w14:paraId="40BA4E90" w14:textId="77777777" w:rsidR="00233E2A" w:rsidRDefault="00233E2A" w:rsidP="00233E2A">
      <w:pPr>
        <w:pStyle w:val="BodyText"/>
      </w:pPr>
    </w:p>
    <w:p w14:paraId="4664B7A3" w14:textId="1CB4A963" w:rsidR="00233E2A" w:rsidRPr="0014195F" w:rsidRDefault="00233E2A" w:rsidP="00233E2A">
      <w:pPr>
        <w:jc w:val="both"/>
      </w:pPr>
      <w:r w:rsidRPr="0014195F">
        <w:t>*</w:t>
      </w:r>
      <w:r w:rsidRPr="00974B32">
        <w:t>Some remaining uncertainty as there is not extensive experimental evidence on quantitative aspect</w:t>
      </w:r>
      <w:r>
        <w:t>s</w:t>
      </w:r>
      <w:r w:rsidRPr="00974B32">
        <w:t xml:space="preserve"> of placental transfer; however the presence of the treatment related adverse effects are clear. </w:t>
      </w:r>
      <w:r w:rsidRPr="005A120C">
        <w:rPr>
          <w:i/>
        </w:rPr>
        <w:t>In vitro</w:t>
      </w:r>
      <w:r w:rsidRPr="0014195F">
        <w:t xml:space="preserve"> evidence suggestive of interference of DCHP with steroidogenic enzyme activity in testis both in rats and in humans (Yuan et al</w:t>
      </w:r>
      <w:r>
        <w:t>.</w:t>
      </w:r>
      <w:r w:rsidRPr="0014195F">
        <w:t xml:space="preserve"> 2012).</w:t>
      </w:r>
    </w:p>
    <w:p w14:paraId="20E5D370" w14:textId="77777777" w:rsidR="00233E2A" w:rsidRPr="00974B32" w:rsidRDefault="00233E2A" w:rsidP="00233E2A">
      <w:r w:rsidRPr="00974B32">
        <w:t xml:space="preserve">** Some remaining uncertainty on whether the adverse effect is due to interference with testosterone biosynthesis or with functional changes of Leydig or Sertoli cells. It may also be through a combination of effects on these cell types. </w:t>
      </w:r>
    </w:p>
    <w:p w14:paraId="2BED46C1" w14:textId="77777777" w:rsidR="00233E2A" w:rsidRPr="00974B32" w:rsidRDefault="00233E2A" w:rsidP="00233E2A">
      <w:r w:rsidRPr="00974B32">
        <w:t>*** Some remaining uncertainty regarding the evidence available for impairment of fertility in experimental species and human relevance. Although there are no effects observed in fertility parameters in a two generation reproductive study the observed effects on sperm count are indicative of an adverse effect in humans (OECD 2008). Considering the reproductive capacity of rats, decreased fertility as revealed by effect on fertility index is a rather insensitive endpoint. This may be explained by the rather high sperm reserve available in rats compared to humans (OECD 2008). Difference in outcomes for the sperm parameters between the 2-generation study (Hoshino et al</w:t>
      </w:r>
      <w:r>
        <w:t>.</w:t>
      </w:r>
      <w:r w:rsidRPr="00974B32">
        <w:t xml:space="preserve"> 2005) and the Aydogan and Barlas studies (2013 and 2015) may depend on the different periods of exposure and use of different species of rats. It could be hypothesised that the longer exposure time in the 2-generation study caused defective germ cells to completely disappear, while the more short term exposure (GD 6-19) left damaged cells still viable to produce sperm of lower quality. The available evidence for qualitative correlation of male impaired fertility with the previous key events indicate plausibility on the basis of strong evidence (not DCHP specific) as descri</w:t>
      </w:r>
      <w:r>
        <w:t xml:space="preserve">bed for Key event 6 in part </w:t>
      </w:r>
      <w:r w:rsidRPr="00974B32">
        <w:t>b above.</w:t>
      </w:r>
    </w:p>
    <w:p w14:paraId="48C03680" w14:textId="77777777" w:rsidR="00233E2A" w:rsidRDefault="00233E2A" w:rsidP="00233E2A">
      <w:pPr>
        <w:pStyle w:val="BodyText"/>
      </w:pPr>
    </w:p>
    <w:p w14:paraId="10F7A4EB" w14:textId="77777777" w:rsidR="00233E2A" w:rsidRPr="00D556D8" w:rsidRDefault="00233E2A" w:rsidP="00233E2A">
      <w:pPr>
        <w:pStyle w:val="ListParagraph"/>
        <w:widowControl/>
        <w:numPr>
          <w:ilvl w:val="0"/>
          <w:numId w:val="35"/>
        </w:numPr>
        <w:spacing w:after="200" w:line="276" w:lineRule="auto"/>
        <w:rPr>
          <w:b/>
        </w:rPr>
      </w:pPr>
      <w:r>
        <w:br w:type="page"/>
      </w:r>
      <w:r w:rsidRPr="00D556D8">
        <w:rPr>
          <w:b/>
        </w:rPr>
        <w:lastRenderedPageBreak/>
        <w:t>Other potential Modes of Action</w:t>
      </w:r>
    </w:p>
    <w:p w14:paraId="077E8BBD" w14:textId="77777777" w:rsidR="00233E2A" w:rsidRDefault="00233E2A" w:rsidP="00233E2A">
      <w:pPr>
        <w:rPr>
          <w:rFonts w:ascii="Verdana" w:hAnsi="Verdana"/>
          <w:b/>
          <w:sz w:val="20"/>
          <w:szCs w:val="20"/>
        </w:rPr>
      </w:pPr>
      <w:r w:rsidRPr="00D556D8">
        <w:rPr>
          <w:rFonts w:ascii="Verdana" w:hAnsi="Verdana"/>
          <w:b/>
          <w:sz w:val="20"/>
          <w:szCs w:val="20"/>
        </w:rPr>
        <w:t>The following modes of action have been considered as part of the weight of evidence analysis within the context of establishing specificity and biological plausibility of the observed adverse effects. It is concluded that the following modes of action are not likely to occur based on the available data and the existing knowledge on these pathways.</w:t>
      </w:r>
    </w:p>
    <w:p w14:paraId="1CC38643" w14:textId="77777777" w:rsidR="00233E2A" w:rsidRPr="00D556D8" w:rsidRDefault="00233E2A" w:rsidP="00233E2A">
      <w:pPr>
        <w:rPr>
          <w:rFonts w:ascii="Verdana" w:hAnsi="Verdana"/>
          <w:b/>
          <w:sz w:val="20"/>
          <w:szCs w:val="20"/>
        </w:rPr>
      </w:pPr>
    </w:p>
    <w:p w14:paraId="14027F73" w14:textId="77777777" w:rsidR="00233E2A" w:rsidRPr="00D556D8" w:rsidRDefault="00233E2A" w:rsidP="00233E2A">
      <w:pPr>
        <w:pStyle w:val="ListParagraph"/>
        <w:widowControl/>
        <w:numPr>
          <w:ilvl w:val="0"/>
          <w:numId w:val="40"/>
        </w:numPr>
        <w:spacing w:after="200" w:line="276" w:lineRule="auto"/>
        <w:rPr>
          <w:i/>
          <w:u w:val="single"/>
        </w:rPr>
      </w:pPr>
      <w:r w:rsidRPr="00D556D8">
        <w:rPr>
          <w:i/>
          <w:u w:val="single"/>
        </w:rPr>
        <w:t>Receptor Mediated Pathways</w:t>
      </w:r>
    </w:p>
    <w:p w14:paraId="3EE020B7" w14:textId="77777777" w:rsidR="00233E2A" w:rsidRPr="00D556D8" w:rsidRDefault="00233E2A" w:rsidP="00233E2A">
      <w:pPr>
        <w:rPr>
          <w:rFonts w:ascii="Verdana" w:hAnsi="Verdana"/>
          <w:sz w:val="20"/>
          <w:szCs w:val="20"/>
        </w:rPr>
      </w:pPr>
      <w:r w:rsidRPr="00D556D8">
        <w:rPr>
          <w:rFonts w:ascii="Verdana" w:hAnsi="Verdana"/>
          <w:sz w:val="20"/>
          <w:szCs w:val="20"/>
        </w:rPr>
        <w:t xml:space="preserve">Endocrine mediated effects involved in the male reproductive system development could include receptor mediated pathways. However in the case of DCHP, the available </w:t>
      </w:r>
      <w:r w:rsidRPr="00D556D8">
        <w:rPr>
          <w:rFonts w:ascii="Verdana" w:hAnsi="Verdana"/>
          <w:i/>
          <w:sz w:val="20"/>
          <w:szCs w:val="20"/>
        </w:rPr>
        <w:t>in vivo</w:t>
      </w:r>
      <w:r w:rsidRPr="00D556D8">
        <w:rPr>
          <w:rFonts w:ascii="Verdana" w:hAnsi="Verdana"/>
          <w:sz w:val="20"/>
          <w:szCs w:val="20"/>
        </w:rPr>
        <w:t xml:space="preserve"> data (Hersberger (METI 2002) and Uterotrophic assays (Yamasaki et al. 2002), METI 2002) indicate that this mode of action is not plausible in the absence of any significant estrogen or androgen effects. This is further supported from data on other phthalates that also show no </w:t>
      </w:r>
      <w:r w:rsidRPr="00D556D8">
        <w:rPr>
          <w:rFonts w:ascii="Verdana" w:hAnsi="Verdana"/>
          <w:i/>
          <w:sz w:val="20"/>
          <w:szCs w:val="20"/>
        </w:rPr>
        <w:t>in vivo</w:t>
      </w:r>
      <w:r w:rsidRPr="00D556D8">
        <w:rPr>
          <w:rFonts w:ascii="Verdana" w:hAnsi="Verdana"/>
          <w:sz w:val="20"/>
          <w:szCs w:val="20"/>
        </w:rPr>
        <w:t xml:space="preserve"> receptor (androgen or estrogen) activity. </w:t>
      </w:r>
    </w:p>
    <w:p w14:paraId="3753E053" w14:textId="77777777" w:rsidR="00233E2A" w:rsidRPr="00D556D8" w:rsidRDefault="00233E2A" w:rsidP="00233E2A">
      <w:pPr>
        <w:rPr>
          <w:rFonts w:ascii="Verdana" w:hAnsi="Verdana"/>
          <w:sz w:val="20"/>
          <w:szCs w:val="20"/>
        </w:rPr>
      </w:pPr>
      <w:r w:rsidRPr="00D556D8">
        <w:rPr>
          <w:rFonts w:ascii="Verdana" w:hAnsi="Verdana"/>
          <w:sz w:val="20"/>
          <w:szCs w:val="20"/>
        </w:rPr>
        <w:t xml:space="preserve">DCHP shows </w:t>
      </w:r>
      <w:r w:rsidRPr="00D556D8">
        <w:rPr>
          <w:rFonts w:ascii="Verdana" w:hAnsi="Verdana"/>
          <w:i/>
          <w:sz w:val="20"/>
          <w:szCs w:val="20"/>
        </w:rPr>
        <w:t>in vitro</w:t>
      </w:r>
      <w:r w:rsidRPr="00D556D8">
        <w:rPr>
          <w:rFonts w:ascii="Verdana" w:hAnsi="Verdana"/>
          <w:sz w:val="20"/>
          <w:szCs w:val="20"/>
        </w:rPr>
        <w:t xml:space="preserve"> estrogenic, antiestrogenic and antiandrogenic effects through binding to ERα, ERβ and AR (Takeuchi et al. 2005). However, since negative results from one Uterotrophic assay (Yamasaki et al. 2002) and one Hershberger assay (METI 2002) have been reported, effects mediated directly through receptor binding are less likely to be the main source of the adverse effects observed. </w:t>
      </w:r>
    </w:p>
    <w:p w14:paraId="27D1B3CF" w14:textId="77777777" w:rsidR="00233E2A" w:rsidRPr="00D556D8" w:rsidRDefault="00233E2A" w:rsidP="00233E2A">
      <w:pPr>
        <w:rPr>
          <w:rFonts w:ascii="Verdana" w:hAnsi="Verdana"/>
          <w:sz w:val="20"/>
          <w:szCs w:val="20"/>
        </w:rPr>
      </w:pPr>
    </w:p>
    <w:p w14:paraId="32EBD601" w14:textId="77777777" w:rsidR="00233E2A" w:rsidRPr="00D556D8" w:rsidRDefault="00233E2A" w:rsidP="00233E2A">
      <w:pPr>
        <w:pStyle w:val="ListParagraph"/>
        <w:widowControl/>
        <w:numPr>
          <w:ilvl w:val="0"/>
          <w:numId w:val="40"/>
        </w:numPr>
        <w:spacing w:after="200" w:line="276" w:lineRule="auto"/>
        <w:rPr>
          <w:i/>
          <w:u w:val="single"/>
        </w:rPr>
      </w:pPr>
      <w:r w:rsidRPr="00D556D8">
        <w:rPr>
          <w:i/>
          <w:u w:val="single"/>
        </w:rPr>
        <w:t>Cholesterol Biosynthesis/Availability Pathway</w:t>
      </w:r>
    </w:p>
    <w:p w14:paraId="1C7DBAFC" w14:textId="77777777" w:rsidR="00233E2A" w:rsidRPr="00D556D8" w:rsidRDefault="00233E2A" w:rsidP="00233E2A">
      <w:pPr>
        <w:rPr>
          <w:rFonts w:ascii="Verdana" w:hAnsi="Verdana"/>
          <w:sz w:val="20"/>
          <w:szCs w:val="20"/>
        </w:rPr>
      </w:pPr>
      <w:r w:rsidRPr="00D556D8">
        <w:rPr>
          <w:rFonts w:ascii="Verdana" w:hAnsi="Verdana"/>
          <w:sz w:val="20"/>
          <w:szCs w:val="20"/>
        </w:rPr>
        <w:t>Competition of cholesterol related pathways during fetal development is more likely to occur at a stage relevant only of the normal development of the fetal male reproductive system. Cholesterol is essential during pregnancy for the development of the fetus as it is the precursor of steroidogenesis. However since no effects are observed in females in the 2-generation study (Hoshino et al. 2005), it is less likely that DCHP interferes either with the availability/transfer of cholesterol via the placenta, or with the first biochemical reactions of conversion to pregnenolone to a greater extent.  However this would not exclude potential interference with cholesterol/testosterone biochemical pathway triggered through interference with fetal male specific receptors or pathways; for the latter there is no conclusive evidence for DCHP to support the elaboration of key events that would occur earlier to the functional changes at cellular level or testosterone biosynthesis (key events 3 and 4 of the hypothesised mode of action). Cholesterol lowering drugs have been shown to lower fetal testosterone levels in rat with additive effect when co administered with dipentyl phthalate (Beverly et al. 2014) as well as linking with reproductive tract development alteration in rats (Beverly et al. 2015).</w:t>
      </w:r>
    </w:p>
    <w:p w14:paraId="1E7B0820" w14:textId="77777777" w:rsidR="00233E2A" w:rsidRDefault="00233E2A" w:rsidP="00233E2A">
      <w:pPr>
        <w:rPr>
          <w:rFonts w:ascii="Verdana" w:hAnsi="Verdana"/>
          <w:sz w:val="20"/>
          <w:szCs w:val="20"/>
        </w:rPr>
      </w:pPr>
    </w:p>
    <w:p w14:paraId="70F37E67" w14:textId="77777777" w:rsidR="00233E2A" w:rsidRPr="00D556D8" w:rsidRDefault="00233E2A" w:rsidP="00233E2A">
      <w:pPr>
        <w:rPr>
          <w:rFonts w:ascii="Verdana" w:hAnsi="Verdana"/>
          <w:sz w:val="20"/>
          <w:szCs w:val="20"/>
        </w:rPr>
      </w:pPr>
    </w:p>
    <w:p w14:paraId="484519E6" w14:textId="77777777" w:rsidR="00233E2A" w:rsidRPr="00D556D8" w:rsidRDefault="00233E2A" w:rsidP="00233E2A">
      <w:pPr>
        <w:pStyle w:val="ListParagraph"/>
        <w:widowControl/>
        <w:numPr>
          <w:ilvl w:val="0"/>
          <w:numId w:val="40"/>
        </w:numPr>
        <w:spacing w:after="200" w:line="276" w:lineRule="auto"/>
        <w:rPr>
          <w:i/>
          <w:u w:val="single"/>
        </w:rPr>
      </w:pPr>
      <w:r w:rsidRPr="00D556D8">
        <w:rPr>
          <w:i/>
          <w:u w:val="single"/>
        </w:rPr>
        <w:lastRenderedPageBreak/>
        <w:t>Pituitary / Hormonal regulation</w:t>
      </w:r>
    </w:p>
    <w:p w14:paraId="1DFF565D" w14:textId="77777777" w:rsidR="00233E2A" w:rsidRPr="00D556D8" w:rsidRDefault="00233E2A" w:rsidP="00233E2A">
      <w:pPr>
        <w:rPr>
          <w:rFonts w:ascii="Verdana" w:hAnsi="Verdana"/>
          <w:sz w:val="20"/>
          <w:szCs w:val="20"/>
        </w:rPr>
      </w:pPr>
      <w:r w:rsidRPr="00D556D8">
        <w:rPr>
          <w:rFonts w:ascii="Verdana" w:hAnsi="Verdana"/>
          <w:sz w:val="20"/>
          <w:szCs w:val="20"/>
        </w:rPr>
        <w:t xml:space="preserve">Involvement of pathways that include pituitary regulation are less likely. DCHP does not cause any effects without </w:t>
      </w:r>
      <w:r w:rsidRPr="00D556D8">
        <w:rPr>
          <w:rFonts w:ascii="Verdana" w:hAnsi="Verdana"/>
          <w:i/>
          <w:sz w:val="20"/>
          <w:szCs w:val="20"/>
        </w:rPr>
        <w:t>in utero</w:t>
      </w:r>
      <w:r w:rsidRPr="00D556D8">
        <w:rPr>
          <w:rFonts w:ascii="Verdana" w:hAnsi="Verdana"/>
          <w:sz w:val="20"/>
          <w:szCs w:val="20"/>
        </w:rPr>
        <w:t xml:space="preserve"> exposure; in the Hershberger assay no effects were seen suggesting absence of effects involving regulation of testosterone from the pituitary axis.</w:t>
      </w:r>
    </w:p>
    <w:p w14:paraId="67A0DE09" w14:textId="77777777" w:rsidR="00233E2A" w:rsidRPr="00D556D8" w:rsidRDefault="00233E2A" w:rsidP="00233E2A">
      <w:pPr>
        <w:rPr>
          <w:rFonts w:ascii="Verdana" w:hAnsi="Verdana"/>
          <w:sz w:val="20"/>
          <w:szCs w:val="20"/>
        </w:rPr>
      </w:pPr>
    </w:p>
    <w:p w14:paraId="2172FE93" w14:textId="77777777" w:rsidR="00233E2A" w:rsidRPr="00D556D8" w:rsidRDefault="00233E2A" w:rsidP="00233E2A">
      <w:pPr>
        <w:pStyle w:val="ListParagraph"/>
        <w:numPr>
          <w:ilvl w:val="0"/>
          <w:numId w:val="40"/>
        </w:numPr>
        <w:spacing w:after="200" w:line="276" w:lineRule="auto"/>
        <w:rPr>
          <w:i/>
          <w:u w:val="single"/>
        </w:rPr>
      </w:pPr>
      <w:r w:rsidRPr="00D556D8">
        <w:rPr>
          <w:i/>
          <w:u w:val="single"/>
        </w:rPr>
        <w:t>Genotoxicity Mediated Pathways</w:t>
      </w:r>
    </w:p>
    <w:p w14:paraId="539D182E" w14:textId="77777777" w:rsidR="00233E2A" w:rsidRPr="00D556D8" w:rsidRDefault="00233E2A" w:rsidP="00233E2A">
      <w:pPr>
        <w:rPr>
          <w:rFonts w:ascii="Verdana" w:hAnsi="Verdana"/>
          <w:sz w:val="20"/>
          <w:szCs w:val="20"/>
        </w:rPr>
      </w:pPr>
      <w:r w:rsidRPr="00D556D8">
        <w:rPr>
          <w:rFonts w:ascii="Verdana" w:hAnsi="Verdana"/>
          <w:sz w:val="20"/>
          <w:szCs w:val="20"/>
        </w:rPr>
        <w:t xml:space="preserve">Consideration of genotoxicity on testicular cells of male rats following </w:t>
      </w:r>
      <w:r w:rsidRPr="00D556D8">
        <w:rPr>
          <w:rFonts w:ascii="Verdana" w:hAnsi="Verdana"/>
          <w:i/>
          <w:sz w:val="20"/>
          <w:szCs w:val="20"/>
        </w:rPr>
        <w:t>in utero</w:t>
      </w:r>
      <w:r w:rsidRPr="00D556D8">
        <w:rPr>
          <w:rFonts w:ascii="Verdana" w:hAnsi="Verdana"/>
          <w:sz w:val="20"/>
          <w:szCs w:val="20"/>
        </w:rPr>
        <w:t xml:space="preserve"> exposure to DCHP has also been investigated (Ahbab et al. 2013). However it is unlikely that a genotoxic mode of action for DCHP is involved as the observations on DNA damage are observed at the same time points as the ones involved in the testosterone biosynthesis mode of action proposed. It is likely that the genotoxicity is secondary to the cellular effects observed. There is no other data from similar substances to support genotoxic potential as an alternative mode of action. In addition, the overall data set including the two generation reproductive toxicity assay do not reveal any results that could be associated with an irreversible genotoxic mode of action.</w:t>
      </w:r>
    </w:p>
    <w:p w14:paraId="4CB58130" w14:textId="77777777" w:rsidR="00233E2A" w:rsidRDefault="00233E2A" w:rsidP="00233E2A">
      <w:pPr>
        <w:rPr>
          <w:rFonts w:ascii="Verdana" w:hAnsi="Verdana"/>
          <w:b/>
          <w:i/>
          <w:sz w:val="18"/>
          <w:szCs w:val="18"/>
        </w:rPr>
      </w:pPr>
    </w:p>
    <w:p w14:paraId="6A29FE87" w14:textId="77777777" w:rsidR="00233E2A" w:rsidRDefault="00233E2A" w:rsidP="00233E2A">
      <w:pPr>
        <w:rPr>
          <w:rFonts w:ascii="Verdana" w:hAnsi="Verdana"/>
          <w:b/>
          <w:i/>
          <w:sz w:val="18"/>
          <w:szCs w:val="18"/>
        </w:rPr>
      </w:pPr>
    </w:p>
    <w:p w14:paraId="6816770E" w14:textId="77777777" w:rsidR="00233E2A" w:rsidRDefault="00233E2A" w:rsidP="00233E2A">
      <w:pPr>
        <w:rPr>
          <w:rFonts w:ascii="Verdana" w:hAnsi="Verdana"/>
          <w:b/>
          <w:i/>
          <w:sz w:val="18"/>
          <w:szCs w:val="18"/>
        </w:rPr>
      </w:pPr>
    </w:p>
    <w:p w14:paraId="40E23126" w14:textId="77777777" w:rsidR="00233E2A" w:rsidRDefault="00233E2A" w:rsidP="00233E2A">
      <w:pPr>
        <w:rPr>
          <w:rFonts w:ascii="Verdana" w:hAnsi="Verdana"/>
          <w:b/>
          <w:i/>
          <w:sz w:val="18"/>
          <w:szCs w:val="18"/>
        </w:rPr>
      </w:pPr>
    </w:p>
    <w:p w14:paraId="40844935" w14:textId="77777777" w:rsidR="00233E2A" w:rsidRDefault="00233E2A" w:rsidP="00233E2A">
      <w:pPr>
        <w:rPr>
          <w:rFonts w:ascii="Verdana" w:hAnsi="Verdana"/>
          <w:b/>
          <w:i/>
          <w:sz w:val="18"/>
          <w:szCs w:val="18"/>
        </w:rPr>
      </w:pPr>
    </w:p>
    <w:p w14:paraId="2DF95E41" w14:textId="77777777" w:rsidR="00233E2A" w:rsidRDefault="00233E2A" w:rsidP="00233E2A">
      <w:pPr>
        <w:rPr>
          <w:b/>
        </w:rPr>
      </w:pPr>
    </w:p>
    <w:p w14:paraId="52A1C1F2" w14:textId="77777777" w:rsidR="00233E2A" w:rsidRDefault="00233E2A" w:rsidP="00233E2A">
      <w:pPr>
        <w:rPr>
          <w:rFonts w:ascii="Verdana" w:hAnsi="Verdana"/>
          <w:b/>
        </w:rPr>
      </w:pPr>
      <w:r>
        <w:rPr>
          <w:rFonts w:ascii="Verdana" w:hAnsi="Verdana"/>
          <w:b/>
        </w:rPr>
        <w:br w:type="page"/>
      </w:r>
    </w:p>
    <w:p w14:paraId="229A550E" w14:textId="77777777" w:rsidR="00233E2A" w:rsidRPr="00725510" w:rsidRDefault="00233E2A" w:rsidP="00233E2A">
      <w:pPr>
        <w:rPr>
          <w:rFonts w:ascii="Verdana" w:hAnsi="Verdana"/>
          <w:b/>
        </w:rPr>
      </w:pPr>
      <w:r w:rsidRPr="00725510">
        <w:rPr>
          <w:rFonts w:ascii="Verdana" w:hAnsi="Verdana"/>
          <w:b/>
        </w:rPr>
        <w:lastRenderedPageBreak/>
        <w:t>SECTION 5</w:t>
      </w:r>
    </w:p>
    <w:p w14:paraId="15BDC265" w14:textId="0AE3C692" w:rsidR="00233E2A" w:rsidRPr="00725510" w:rsidRDefault="002B1CE8" w:rsidP="00233E2A">
      <w:pPr>
        <w:rPr>
          <w:rFonts w:ascii="Verdana" w:hAnsi="Verdana"/>
          <w:b/>
        </w:rPr>
      </w:pPr>
      <w:r>
        <w:rPr>
          <w:rFonts w:ascii="Verdana" w:hAnsi="Verdana"/>
          <w:b/>
        </w:rPr>
        <w:t>Uncertainty Analysis</w:t>
      </w:r>
    </w:p>
    <w:p w14:paraId="2BD75B09" w14:textId="77777777" w:rsidR="00233E2A" w:rsidRPr="00D556D8" w:rsidRDefault="00233E2A" w:rsidP="00233E2A">
      <w:pPr>
        <w:rPr>
          <w:rFonts w:ascii="Verdana" w:hAnsi="Verdana"/>
          <w:sz w:val="20"/>
          <w:szCs w:val="20"/>
        </w:rPr>
      </w:pPr>
      <w:r w:rsidRPr="00D556D8">
        <w:rPr>
          <w:rFonts w:ascii="Verdana" w:hAnsi="Verdana"/>
          <w:sz w:val="20"/>
          <w:szCs w:val="20"/>
        </w:rPr>
        <w:t xml:space="preserve">There are no major data gaps identified in establishing the mode of action. The data and the analysis indicate that DCHP </w:t>
      </w:r>
      <w:r w:rsidRPr="00D556D8">
        <w:rPr>
          <w:rFonts w:ascii="Verdana" w:hAnsi="Verdana"/>
          <w:i/>
          <w:sz w:val="20"/>
          <w:szCs w:val="20"/>
        </w:rPr>
        <w:t>in utero</w:t>
      </w:r>
      <w:r w:rsidRPr="00D556D8">
        <w:rPr>
          <w:rFonts w:ascii="Verdana" w:hAnsi="Verdana"/>
          <w:sz w:val="20"/>
          <w:szCs w:val="20"/>
        </w:rPr>
        <w:t xml:space="preserve"> exposure interferes with steroidogenesis of the male reproductive system development, and an endocrine mediated mode of action is responsible for the adverse effects observed that are of irreversible nature. The mode of action is based on evidence in experimental species and is found plausible with high confidence for humans.</w:t>
      </w:r>
    </w:p>
    <w:p w14:paraId="7FCC208A" w14:textId="77777777" w:rsidR="00233E2A" w:rsidRPr="00D556D8" w:rsidRDefault="00233E2A" w:rsidP="00233E2A">
      <w:pPr>
        <w:rPr>
          <w:rFonts w:ascii="Verdana" w:hAnsi="Verdana"/>
          <w:sz w:val="20"/>
          <w:szCs w:val="20"/>
        </w:rPr>
      </w:pPr>
      <w:r w:rsidRPr="00D556D8">
        <w:rPr>
          <w:rFonts w:ascii="Verdana" w:hAnsi="Verdana"/>
          <w:sz w:val="20"/>
          <w:szCs w:val="20"/>
        </w:rPr>
        <w:t xml:space="preserve">Remaining uncertainty regarding the exact temporal relation of the cellular key events involved could be resolved with further research </w:t>
      </w:r>
      <w:r w:rsidRPr="00D556D8">
        <w:rPr>
          <w:rFonts w:ascii="Verdana" w:hAnsi="Verdana"/>
          <w:i/>
          <w:sz w:val="20"/>
          <w:szCs w:val="20"/>
        </w:rPr>
        <w:t>in vitro</w:t>
      </w:r>
      <w:r w:rsidRPr="00D556D8">
        <w:rPr>
          <w:rFonts w:ascii="Verdana" w:hAnsi="Verdana"/>
          <w:sz w:val="20"/>
          <w:szCs w:val="20"/>
        </w:rPr>
        <w:t xml:space="preserve"> to identify if MCHP competes with the regular biochemical pathway of testosterone biosynthesis (cholesterol male mediated pathways) or the effects are due to functional changes of Sertoli cells that in turn affect the testosterone production from Leydig cells or other modes of action. </w:t>
      </w:r>
    </w:p>
    <w:p w14:paraId="550937C8" w14:textId="77777777" w:rsidR="00233E2A" w:rsidRDefault="00233E2A" w:rsidP="00233E2A">
      <w:r>
        <w:br w:type="page"/>
      </w:r>
    </w:p>
    <w:p w14:paraId="5DADD1FD" w14:textId="77777777" w:rsidR="00233E2A" w:rsidRPr="00A40439" w:rsidRDefault="00233E2A" w:rsidP="00233E2A">
      <w:pPr>
        <w:rPr>
          <w:rFonts w:ascii="Verdana" w:hAnsi="Verdana"/>
          <w:b/>
        </w:rPr>
      </w:pPr>
      <w:r w:rsidRPr="00A40439">
        <w:rPr>
          <w:rFonts w:ascii="Verdana" w:hAnsi="Verdana"/>
          <w:b/>
        </w:rPr>
        <w:lastRenderedPageBreak/>
        <w:t>SECTION 6</w:t>
      </w:r>
    </w:p>
    <w:p w14:paraId="705DCB0C" w14:textId="3F0FB785" w:rsidR="00233E2A" w:rsidRPr="00A40439" w:rsidRDefault="00233E2A" w:rsidP="00233E2A">
      <w:pPr>
        <w:rPr>
          <w:rFonts w:ascii="Verdana" w:hAnsi="Verdana"/>
          <w:b/>
        </w:rPr>
      </w:pPr>
      <w:r w:rsidRPr="00A40439">
        <w:rPr>
          <w:rFonts w:ascii="Verdana" w:hAnsi="Verdana"/>
          <w:b/>
        </w:rPr>
        <w:t>C</w:t>
      </w:r>
      <w:r w:rsidR="002B1CE8">
        <w:rPr>
          <w:rFonts w:ascii="Verdana" w:hAnsi="Verdana"/>
          <w:b/>
        </w:rPr>
        <w:t>onclusions</w:t>
      </w:r>
    </w:p>
    <w:p w14:paraId="59437A07" w14:textId="77777777" w:rsidR="00233E2A" w:rsidRDefault="00233E2A" w:rsidP="00233E2A">
      <w:pPr>
        <w:pStyle w:val="BodyText"/>
      </w:pPr>
      <w:r w:rsidRPr="0009437C">
        <w:t>The hypothesised mode of action of DCHP for endocrine mediated irreversible effects to the male reproductive system with the potential to affect male reproductive function and its relevance to humans has been established with medium/high confidence.</w:t>
      </w:r>
      <w:r>
        <w:t xml:space="preserve"> </w:t>
      </w:r>
      <w:r w:rsidRPr="00AF7BC4">
        <w:t xml:space="preserve">The overall weight of evidence analysis shows that the male reproductive effects observed following </w:t>
      </w:r>
      <w:r w:rsidRPr="005A120C">
        <w:rPr>
          <w:i/>
        </w:rPr>
        <w:t>in utero</w:t>
      </w:r>
      <w:r w:rsidRPr="00AF7BC4">
        <w:t xml:space="preserve"> exposure to DCHP are mediated via an endocrine (antiandrogenic) mode of action that involves irreversible effects induced by alterations in steroidogenesis in fetal life</w:t>
      </w:r>
      <w:r>
        <w:t>. This is supported by the available experimental evidence, the biological plausibility for human relevance and the absence of inconsistent evidence.</w:t>
      </w:r>
    </w:p>
    <w:p w14:paraId="0CAD4353" w14:textId="77777777" w:rsidR="00233E2A" w:rsidRDefault="00233E2A" w:rsidP="00233E2A">
      <w:pPr>
        <w:rPr>
          <w:rFonts w:ascii="Verdana" w:hAnsi="Verdana"/>
        </w:rPr>
      </w:pPr>
      <w:r>
        <w:rPr>
          <w:rFonts w:ascii="Verdana" w:hAnsi="Verdana"/>
        </w:rPr>
        <w:br w:type="page"/>
      </w:r>
    </w:p>
    <w:p w14:paraId="6DFC8664" w14:textId="77777777" w:rsidR="00233E2A" w:rsidRPr="000F6E58" w:rsidRDefault="00233E2A" w:rsidP="000F6E58">
      <w:pPr>
        <w:pStyle w:val="Title"/>
        <w:rPr>
          <w:rFonts w:ascii="Verdana" w:hAnsi="Verdana"/>
          <w:b/>
          <w:sz w:val="24"/>
          <w:szCs w:val="24"/>
        </w:rPr>
      </w:pPr>
      <w:bookmarkStart w:id="24" w:name="_Toc425755829"/>
      <w:r w:rsidRPr="000F6E58">
        <w:rPr>
          <w:rFonts w:ascii="Verdana" w:hAnsi="Verdana"/>
          <w:b/>
          <w:sz w:val="24"/>
          <w:szCs w:val="24"/>
        </w:rPr>
        <w:lastRenderedPageBreak/>
        <w:t>Annex I – Method for collection and assessment of the data used for preparing SVHC-dossier for dicyclohexyl phthalate (DCHP)</w:t>
      </w:r>
      <w:bookmarkEnd w:id="24"/>
    </w:p>
    <w:p w14:paraId="0BBC8FDC" w14:textId="77777777" w:rsidR="00233E2A" w:rsidRPr="00D556D8" w:rsidRDefault="00233E2A" w:rsidP="00233E2A">
      <w:pPr>
        <w:rPr>
          <w:rFonts w:ascii="Verdana" w:hAnsi="Verdana"/>
          <w:sz w:val="20"/>
          <w:szCs w:val="20"/>
        </w:rPr>
      </w:pPr>
      <w:r w:rsidRPr="00D556D8">
        <w:rPr>
          <w:rFonts w:ascii="Verdana" w:hAnsi="Verdana"/>
          <w:sz w:val="20"/>
          <w:szCs w:val="20"/>
        </w:rPr>
        <w:t xml:space="preserve">The information used in the CLH-report and the RAC-documentation for the classification of DCHP was used as the starting material. An additional search was done in PubMed July 2014, complemented in June 2015, using the search term: dicyclohexyl phthalate. Additional information on similar substances (other phthalates) as available in registration dossiers, in previous RAC opinions as well as existing regulatory reviews of these substances were considered as part of the strategy of collecting the available information. </w:t>
      </w:r>
    </w:p>
    <w:p w14:paraId="5BE7A331" w14:textId="77777777" w:rsidR="00233E2A" w:rsidRPr="00D556D8" w:rsidRDefault="00233E2A" w:rsidP="00233E2A">
      <w:pPr>
        <w:rPr>
          <w:rFonts w:ascii="Verdana" w:hAnsi="Verdana"/>
          <w:sz w:val="20"/>
          <w:szCs w:val="20"/>
        </w:rPr>
      </w:pPr>
      <w:r w:rsidRPr="00D556D8">
        <w:rPr>
          <w:rFonts w:ascii="Verdana" w:hAnsi="Verdana"/>
          <w:sz w:val="20"/>
          <w:szCs w:val="20"/>
        </w:rPr>
        <w:t xml:space="preserve">In this Annex, the reliability of the </w:t>
      </w:r>
      <w:r w:rsidRPr="00D556D8">
        <w:rPr>
          <w:rFonts w:ascii="Verdana" w:hAnsi="Verdana"/>
          <w:i/>
          <w:sz w:val="20"/>
          <w:szCs w:val="20"/>
        </w:rPr>
        <w:t>in vivo</w:t>
      </w:r>
      <w:r w:rsidRPr="00D556D8">
        <w:rPr>
          <w:rFonts w:ascii="Verdana" w:hAnsi="Verdana"/>
          <w:sz w:val="20"/>
          <w:szCs w:val="20"/>
        </w:rPr>
        <w:t xml:space="preserve"> studies considered for the preparation of the SVHC dossier is further elaborated. The reliability of other types of information (</w:t>
      </w:r>
      <w:r w:rsidRPr="00D556D8">
        <w:rPr>
          <w:rFonts w:ascii="Verdana" w:hAnsi="Verdana"/>
          <w:i/>
          <w:sz w:val="20"/>
          <w:szCs w:val="20"/>
        </w:rPr>
        <w:t>in vitro</w:t>
      </w:r>
      <w:r w:rsidRPr="00D556D8">
        <w:rPr>
          <w:rFonts w:ascii="Verdana" w:hAnsi="Verdana"/>
          <w:sz w:val="20"/>
          <w:szCs w:val="20"/>
        </w:rPr>
        <w:t xml:space="preserve"> studies, bridging information from other phthalates) is addressed with confidence levels using the Weight of Evidence approach within the Mode of Action/ Human Relevance Framework on the basis of the Bradford Hill considerations, for more information see Annex II</w:t>
      </w:r>
    </w:p>
    <w:p w14:paraId="606C7873" w14:textId="77777777" w:rsidR="00233E2A" w:rsidRPr="00D556D8" w:rsidRDefault="00233E2A" w:rsidP="00233E2A">
      <w:pPr>
        <w:rPr>
          <w:rFonts w:ascii="Verdana" w:hAnsi="Verdana"/>
          <w:sz w:val="20"/>
          <w:szCs w:val="20"/>
        </w:rPr>
      </w:pPr>
      <w:r w:rsidRPr="00D556D8">
        <w:rPr>
          <w:rFonts w:ascii="Verdana" w:hAnsi="Verdana"/>
          <w:sz w:val="20"/>
          <w:szCs w:val="20"/>
        </w:rPr>
        <w:t xml:space="preserve">The studies were all considered relevant as already used by RAC and/or fulfilling the relevance criteria of the Science in Risk Assessment and Policy (Scirap) tool. The used </w:t>
      </w:r>
      <w:r w:rsidRPr="00D556D8">
        <w:rPr>
          <w:rFonts w:ascii="Verdana" w:hAnsi="Verdana"/>
          <w:i/>
          <w:sz w:val="20"/>
          <w:szCs w:val="20"/>
        </w:rPr>
        <w:t>in vivo</w:t>
      </w:r>
      <w:r w:rsidRPr="00D556D8">
        <w:rPr>
          <w:rFonts w:ascii="Verdana" w:hAnsi="Verdana"/>
          <w:sz w:val="20"/>
          <w:szCs w:val="20"/>
        </w:rPr>
        <w:t xml:space="preserve"> studies were evaluated using Scirap tool available at </w:t>
      </w:r>
      <w:hyperlink r:id="rId74" w:history="1">
        <w:r w:rsidRPr="00D556D8">
          <w:rPr>
            <w:rStyle w:val="Hyperlink"/>
            <w:szCs w:val="20"/>
          </w:rPr>
          <w:t>www.scirap.org</w:t>
        </w:r>
      </w:hyperlink>
      <w:r w:rsidRPr="00D556D8">
        <w:rPr>
          <w:rFonts w:ascii="Verdana" w:hAnsi="Verdana"/>
          <w:sz w:val="20"/>
          <w:szCs w:val="20"/>
        </w:rPr>
        <w:t xml:space="preserve">. The tier I and II tool was used to evaluate the reliability of the studies. </w:t>
      </w:r>
    </w:p>
    <w:p w14:paraId="3C55B1F6" w14:textId="77777777" w:rsidR="00233E2A" w:rsidRPr="00D556D8" w:rsidRDefault="00233E2A" w:rsidP="00233E2A">
      <w:pPr>
        <w:rPr>
          <w:rFonts w:ascii="Verdana" w:hAnsi="Verdana"/>
          <w:sz w:val="20"/>
          <w:szCs w:val="20"/>
        </w:rPr>
      </w:pPr>
      <w:r w:rsidRPr="00D556D8">
        <w:rPr>
          <w:rFonts w:ascii="Verdana" w:hAnsi="Verdana"/>
          <w:sz w:val="20"/>
          <w:szCs w:val="20"/>
        </w:rPr>
        <w:t>During the preparation of the dossier contact was taken with authors for complementary information if the papers contained crucial information with some flaws in the reporting with regards to the study design. This made it possible to better evaluate the reliability of the study results.</w:t>
      </w:r>
    </w:p>
    <w:p w14:paraId="3E991092" w14:textId="77777777" w:rsidR="00233E2A" w:rsidRPr="00D556D8" w:rsidRDefault="00233E2A" w:rsidP="00233E2A">
      <w:pPr>
        <w:rPr>
          <w:rFonts w:ascii="Verdana" w:hAnsi="Verdana"/>
          <w:sz w:val="20"/>
          <w:szCs w:val="20"/>
        </w:rPr>
      </w:pPr>
      <w:r w:rsidRPr="00D556D8">
        <w:rPr>
          <w:rFonts w:ascii="Verdana" w:hAnsi="Verdana"/>
          <w:sz w:val="20"/>
          <w:szCs w:val="20"/>
        </w:rPr>
        <w:t>The reliability categories used are adapted from the Klimisch score by Moermond et al. (submitted manuscript) and defined as follows:</w:t>
      </w:r>
    </w:p>
    <w:p w14:paraId="111D8197" w14:textId="77777777" w:rsidR="00233E2A" w:rsidRPr="00D556D8" w:rsidRDefault="00233E2A" w:rsidP="00233E2A">
      <w:pPr>
        <w:rPr>
          <w:rFonts w:ascii="Verdana" w:hAnsi="Verdana"/>
          <w:sz w:val="20"/>
          <w:szCs w:val="20"/>
        </w:rPr>
      </w:pPr>
      <w:r w:rsidRPr="00D556D8">
        <w:rPr>
          <w:rFonts w:ascii="Verdana" w:hAnsi="Verdana"/>
          <w:b/>
          <w:sz w:val="20"/>
          <w:szCs w:val="20"/>
        </w:rPr>
        <w:t>R1 Reliable without restrictions</w:t>
      </w:r>
      <w:r w:rsidRPr="00D556D8">
        <w:rPr>
          <w:rFonts w:ascii="Verdana" w:hAnsi="Verdana"/>
          <w:sz w:val="20"/>
          <w:szCs w:val="20"/>
        </w:rPr>
        <w:t>: All critical reliability criteria for this study are fulfilled. The study is well designed and performed, and it does not contain flaws that affect the reliability of the study.</w:t>
      </w:r>
    </w:p>
    <w:p w14:paraId="34013B73" w14:textId="77777777" w:rsidR="00233E2A" w:rsidRPr="00D556D8" w:rsidRDefault="00233E2A" w:rsidP="00233E2A">
      <w:pPr>
        <w:rPr>
          <w:rFonts w:ascii="Verdana" w:hAnsi="Verdana"/>
          <w:sz w:val="20"/>
          <w:szCs w:val="20"/>
        </w:rPr>
      </w:pPr>
      <w:r w:rsidRPr="00D556D8">
        <w:rPr>
          <w:rFonts w:ascii="Verdana" w:hAnsi="Verdana"/>
          <w:b/>
          <w:sz w:val="20"/>
          <w:szCs w:val="20"/>
        </w:rPr>
        <w:t>R2 Reliable with restrictions</w:t>
      </w:r>
      <w:r w:rsidRPr="00D556D8">
        <w:rPr>
          <w:rFonts w:ascii="Verdana" w:hAnsi="Verdana"/>
          <w:sz w:val="20"/>
          <w:szCs w:val="20"/>
        </w:rPr>
        <w:t>: The study is generally well designed and performed, but some minor flaws in the documentation or setup may be present.</w:t>
      </w:r>
    </w:p>
    <w:p w14:paraId="2E526A18" w14:textId="77777777" w:rsidR="00233E2A" w:rsidRPr="00D556D8" w:rsidRDefault="00233E2A" w:rsidP="00233E2A">
      <w:pPr>
        <w:rPr>
          <w:rFonts w:ascii="Verdana" w:hAnsi="Verdana"/>
          <w:sz w:val="20"/>
          <w:szCs w:val="20"/>
        </w:rPr>
      </w:pPr>
      <w:r w:rsidRPr="00D556D8">
        <w:rPr>
          <w:rFonts w:ascii="Verdana" w:hAnsi="Verdana"/>
          <w:b/>
          <w:sz w:val="20"/>
          <w:szCs w:val="20"/>
        </w:rPr>
        <w:t>R3 Not reliable</w:t>
      </w:r>
      <w:r w:rsidRPr="00D556D8">
        <w:rPr>
          <w:rFonts w:ascii="Verdana" w:hAnsi="Verdana"/>
          <w:sz w:val="20"/>
          <w:szCs w:val="20"/>
        </w:rPr>
        <w:t>: Not all critical reliability criteria for this study are fulfilled. The study has clear flaws in study design and/or how it was performed.</w:t>
      </w:r>
    </w:p>
    <w:p w14:paraId="2ABCE0DA" w14:textId="77777777" w:rsidR="00233E2A" w:rsidRPr="00D556D8" w:rsidRDefault="00233E2A" w:rsidP="00233E2A">
      <w:pPr>
        <w:rPr>
          <w:rFonts w:ascii="Verdana" w:hAnsi="Verdana"/>
          <w:sz w:val="20"/>
          <w:szCs w:val="20"/>
        </w:rPr>
      </w:pPr>
      <w:r w:rsidRPr="00D556D8">
        <w:rPr>
          <w:rFonts w:ascii="Verdana" w:hAnsi="Verdana"/>
          <w:b/>
          <w:sz w:val="20"/>
          <w:szCs w:val="20"/>
        </w:rPr>
        <w:t>R4 Not assignable</w:t>
      </w:r>
      <w:r w:rsidRPr="00D556D8">
        <w:rPr>
          <w:rFonts w:ascii="Verdana" w:hAnsi="Verdana"/>
          <w:sz w:val="20"/>
          <w:szCs w:val="20"/>
        </w:rPr>
        <w:t>: Information needed to make an assessment of the study is missing. This concerns studies which do not give sufficient experimental details and which are only listed in abstracts or secondary literature (books, reviews, etc.), or studies of which the documentation is not sufficient for assessment of reliability for one or more vital parameters.</w:t>
      </w:r>
    </w:p>
    <w:p w14:paraId="2B0AE5A3" w14:textId="77777777" w:rsidR="00233E2A" w:rsidRPr="00D556D8" w:rsidRDefault="00233E2A" w:rsidP="00233E2A">
      <w:pPr>
        <w:rPr>
          <w:rFonts w:ascii="Verdana" w:hAnsi="Verdana"/>
          <w:sz w:val="20"/>
          <w:szCs w:val="20"/>
        </w:rPr>
      </w:pPr>
    </w:p>
    <w:p w14:paraId="5C185AE8" w14:textId="77777777" w:rsidR="00233E2A" w:rsidRDefault="00233E2A" w:rsidP="00233E2A">
      <w:r w:rsidRPr="00F16E78">
        <w:rPr>
          <w:b/>
        </w:rPr>
        <w:t>Table</w:t>
      </w:r>
      <w:r w:rsidRPr="00FC3B6F">
        <w:t xml:space="preserve">. Summary of the evaluations on </w:t>
      </w:r>
      <w:r w:rsidRPr="005A120C">
        <w:rPr>
          <w:i/>
        </w:rPr>
        <w:t>in vivo</w:t>
      </w:r>
      <w:r w:rsidRPr="00FC3B6F">
        <w:t xml:space="preserve"> DCHP publications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4A0" w:firstRow="1" w:lastRow="0" w:firstColumn="1" w:lastColumn="0" w:noHBand="0" w:noVBand="1"/>
      </w:tblPr>
      <w:tblGrid>
        <w:gridCol w:w="2263"/>
        <w:gridCol w:w="1843"/>
        <w:gridCol w:w="2835"/>
        <w:gridCol w:w="3686"/>
        <w:gridCol w:w="2268"/>
      </w:tblGrid>
      <w:tr w:rsidR="00233E2A" w:rsidRPr="0093326B" w14:paraId="2E7EA56A" w14:textId="77777777" w:rsidTr="0010403B">
        <w:tc>
          <w:tcPr>
            <w:tcW w:w="2263" w:type="dxa"/>
            <w:shd w:val="clear" w:color="auto" w:fill="F2F2F2"/>
          </w:tcPr>
          <w:p w14:paraId="2D645511" w14:textId="77777777" w:rsidR="00233E2A" w:rsidRPr="002F6538" w:rsidRDefault="00233E2A" w:rsidP="0010403B">
            <w:pPr>
              <w:rPr>
                <w:rFonts w:eastAsia="Garamond"/>
                <w:b/>
                <w:sz w:val="18"/>
                <w:szCs w:val="18"/>
              </w:rPr>
            </w:pPr>
            <w:r w:rsidRPr="002F6538">
              <w:rPr>
                <w:rFonts w:eastAsia="Garamond"/>
                <w:b/>
                <w:sz w:val="18"/>
                <w:szCs w:val="18"/>
              </w:rPr>
              <w:lastRenderedPageBreak/>
              <w:t>Reference</w:t>
            </w:r>
          </w:p>
        </w:tc>
        <w:tc>
          <w:tcPr>
            <w:tcW w:w="1843" w:type="dxa"/>
            <w:shd w:val="clear" w:color="auto" w:fill="F2F2F2"/>
          </w:tcPr>
          <w:p w14:paraId="7D203E65" w14:textId="77777777" w:rsidR="00233E2A" w:rsidRPr="002F6538" w:rsidRDefault="00233E2A" w:rsidP="0010403B">
            <w:pPr>
              <w:rPr>
                <w:rFonts w:eastAsia="Garamond"/>
                <w:b/>
                <w:sz w:val="18"/>
                <w:szCs w:val="18"/>
              </w:rPr>
            </w:pPr>
            <w:r w:rsidRPr="002F6538">
              <w:rPr>
                <w:rFonts w:eastAsia="Garamond"/>
                <w:b/>
                <w:sz w:val="18"/>
                <w:szCs w:val="18"/>
              </w:rPr>
              <w:t>Study design</w:t>
            </w:r>
          </w:p>
        </w:tc>
        <w:tc>
          <w:tcPr>
            <w:tcW w:w="2835" w:type="dxa"/>
            <w:shd w:val="clear" w:color="auto" w:fill="F2F2F2"/>
          </w:tcPr>
          <w:p w14:paraId="5906A4FF" w14:textId="77777777" w:rsidR="00233E2A" w:rsidRPr="002F6538" w:rsidRDefault="00233E2A" w:rsidP="0010403B">
            <w:pPr>
              <w:rPr>
                <w:rFonts w:eastAsia="Garamond"/>
                <w:b/>
                <w:sz w:val="18"/>
                <w:szCs w:val="18"/>
              </w:rPr>
            </w:pPr>
            <w:r w:rsidRPr="002F6538">
              <w:rPr>
                <w:rFonts w:eastAsia="Garamond"/>
                <w:b/>
                <w:sz w:val="18"/>
                <w:szCs w:val="18"/>
              </w:rPr>
              <w:t xml:space="preserve">Scirap summary </w:t>
            </w:r>
          </w:p>
          <w:p w14:paraId="6EF4B1A9" w14:textId="77777777" w:rsidR="00233E2A" w:rsidRPr="002F6538" w:rsidRDefault="00233E2A" w:rsidP="0010403B">
            <w:pPr>
              <w:rPr>
                <w:rFonts w:eastAsia="Garamond"/>
                <w:b/>
                <w:sz w:val="18"/>
                <w:szCs w:val="18"/>
              </w:rPr>
            </w:pPr>
            <w:r w:rsidRPr="002F6538">
              <w:rPr>
                <w:rFonts w:eastAsia="Garamond"/>
                <w:b/>
                <w:sz w:val="18"/>
                <w:szCs w:val="18"/>
              </w:rPr>
              <w:t>(tier II)</w:t>
            </w:r>
          </w:p>
        </w:tc>
        <w:tc>
          <w:tcPr>
            <w:tcW w:w="3686" w:type="dxa"/>
            <w:shd w:val="clear" w:color="auto" w:fill="F2F2F2"/>
          </w:tcPr>
          <w:p w14:paraId="3C50973B" w14:textId="77777777" w:rsidR="00233E2A" w:rsidRPr="002F6538" w:rsidRDefault="00233E2A" w:rsidP="0010403B">
            <w:pPr>
              <w:rPr>
                <w:rFonts w:eastAsia="Garamond"/>
                <w:b/>
                <w:sz w:val="18"/>
                <w:szCs w:val="18"/>
              </w:rPr>
            </w:pPr>
            <w:r w:rsidRPr="002F6538">
              <w:rPr>
                <w:rFonts w:eastAsia="Garamond"/>
                <w:b/>
                <w:sz w:val="18"/>
                <w:szCs w:val="18"/>
              </w:rPr>
              <w:t>Comments</w:t>
            </w:r>
          </w:p>
        </w:tc>
        <w:tc>
          <w:tcPr>
            <w:tcW w:w="2268" w:type="dxa"/>
            <w:shd w:val="clear" w:color="auto" w:fill="F2F2F2"/>
          </w:tcPr>
          <w:p w14:paraId="7AC68F91" w14:textId="77777777" w:rsidR="00233E2A" w:rsidRPr="002F6538" w:rsidRDefault="00233E2A" w:rsidP="0010403B">
            <w:pPr>
              <w:rPr>
                <w:rFonts w:eastAsia="Garamond"/>
                <w:b/>
                <w:sz w:val="18"/>
                <w:szCs w:val="18"/>
              </w:rPr>
            </w:pPr>
            <w:r w:rsidRPr="002F6538">
              <w:rPr>
                <w:rFonts w:eastAsia="Garamond"/>
                <w:b/>
                <w:sz w:val="18"/>
                <w:szCs w:val="18"/>
              </w:rPr>
              <w:t>Final category</w:t>
            </w:r>
          </w:p>
        </w:tc>
      </w:tr>
      <w:tr w:rsidR="00233E2A" w:rsidRPr="0093326B" w14:paraId="0FBDEBBC" w14:textId="77777777" w:rsidTr="0010403B">
        <w:tc>
          <w:tcPr>
            <w:tcW w:w="2263" w:type="dxa"/>
            <w:shd w:val="clear" w:color="auto" w:fill="auto"/>
          </w:tcPr>
          <w:p w14:paraId="4B9C912C" w14:textId="77777777" w:rsidR="00233E2A" w:rsidRPr="002F6538" w:rsidRDefault="00233E2A" w:rsidP="0010403B">
            <w:pPr>
              <w:rPr>
                <w:rFonts w:eastAsia="Garamond"/>
                <w:b/>
                <w:sz w:val="18"/>
                <w:szCs w:val="18"/>
              </w:rPr>
            </w:pPr>
            <w:r w:rsidRPr="002F6538">
              <w:rPr>
                <w:rFonts w:eastAsia="Garamond"/>
                <w:b/>
                <w:sz w:val="18"/>
                <w:szCs w:val="18"/>
              </w:rPr>
              <w:t xml:space="preserve">Hoshino N., Iwai M., Okazaki Y. </w:t>
            </w:r>
            <w:r w:rsidRPr="002F6538">
              <w:rPr>
                <w:rFonts w:eastAsia="Garamond"/>
                <w:b/>
                <w:i/>
                <w:sz w:val="18"/>
                <w:szCs w:val="18"/>
              </w:rPr>
              <w:t>A Two-Generation Reproductive Study of Dicyclohexyl Phthalate in Rats</w:t>
            </w:r>
            <w:r w:rsidRPr="002F6538">
              <w:rPr>
                <w:rFonts w:eastAsia="Garamond"/>
                <w:b/>
                <w:sz w:val="18"/>
                <w:szCs w:val="18"/>
              </w:rPr>
              <w:t xml:space="preserve">. </w:t>
            </w:r>
          </w:p>
          <w:p w14:paraId="507A31A1" w14:textId="77777777" w:rsidR="00233E2A" w:rsidRPr="002F6538" w:rsidRDefault="00233E2A" w:rsidP="0010403B">
            <w:pPr>
              <w:rPr>
                <w:rFonts w:eastAsia="Garamond"/>
                <w:b/>
                <w:sz w:val="18"/>
                <w:szCs w:val="18"/>
              </w:rPr>
            </w:pPr>
            <w:r w:rsidRPr="002F6538">
              <w:rPr>
                <w:rFonts w:eastAsia="Garamond"/>
                <w:b/>
                <w:sz w:val="18"/>
                <w:szCs w:val="18"/>
              </w:rPr>
              <w:t>The Journal of Toxicological Sciences, Volume 30, Special Issue, 79-96, 2005</w:t>
            </w:r>
          </w:p>
        </w:tc>
        <w:tc>
          <w:tcPr>
            <w:tcW w:w="1843" w:type="dxa"/>
            <w:shd w:val="clear" w:color="auto" w:fill="auto"/>
          </w:tcPr>
          <w:p w14:paraId="7ACED5DC" w14:textId="77777777" w:rsidR="00233E2A" w:rsidRPr="002F6538" w:rsidRDefault="00233E2A" w:rsidP="0010403B">
            <w:pPr>
              <w:rPr>
                <w:rFonts w:eastAsia="Garamond"/>
                <w:sz w:val="18"/>
                <w:szCs w:val="18"/>
              </w:rPr>
            </w:pPr>
            <w:r w:rsidRPr="002F6538">
              <w:rPr>
                <w:rFonts w:eastAsia="Garamond"/>
                <w:sz w:val="18"/>
                <w:szCs w:val="18"/>
              </w:rPr>
              <w:t>OECD TG 416 (1983) + additional ED endpoints</w:t>
            </w:r>
          </w:p>
        </w:tc>
        <w:tc>
          <w:tcPr>
            <w:tcW w:w="2835" w:type="dxa"/>
            <w:shd w:val="clear" w:color="auto" w:fill="auto"/>
          </w:tcPr>
          <w:p w14:paraId="6BEF5A19" w14:textId="77777777" w:rsidR="00233E2A" w:rsidRPr="002F6538" w:rsidRDefault="00233E2A" w:rsidP="0010403B">
            <w:pPr>
              <w:rPr>
                <w:rFonts w:eastAsia="Garamond"/>
                <w:sz w:val="18"/>
                <w:szCs w:val="18"/>
              </w:rPr>
            </w:pPr>
            <w:r w:rsidRPr="002F6538">
              <w:rPr>
                <w:rFonts w:eastAsia="Garamond"/>
                <w:sz w:val="18"/>
                <w:szCs w:val="18"/>
              </w:rPr>
              <w:t>Of the 29 applicable parts of the evaluation, 62% fulfilled, 14 % partially and 24%not fulfilled – overall good reporting, the not fulfilled regards e.g. analysis of feed and water for contaminants.</w:t>
            </w:r>
          </w:p>
        </w:tc>
        <w:tc>
          <w:tcPr>
            <w:tcW w:w="3686" w:type="dxa"/>
            <w:shd w:val="clear" w:color="auto" w:fill="auto"/>
          </w:tcPr>
          <w:p w14:paraId="5860509D" w14:textId="77777777" w:rsidR="00233E2A" w:rsidRPr="002F6538" w:rsidRDefault="00233E2A" w:rsidP="0010403B">
            <w:pPr>
              <w:rPr>
                <w:rFonts w:eastAsia="Garamond"/>
                <w:sz w:val="18"/>
                <w:szCs w:val="18"/>
              </w:rPr>
            </w:pPr>
            <w:r w:rsidRPr="002F6538">
              <w:rPr>
                <w:rFonts w:eastAsia="Garamond"/>
                <w:sz w:val="18"/>
                <w:szCs w:val="18"/>
              </w:rPr>
              <w:t xml:space="preserve">Information about study design was also available in the introductory paper of the special issue: Yamasaki K., Takahashi M, Yasuda M. 2005. Two-Generation Reproductive Toxicity Studies in rats with extra parameters for detecting endocrine disrupting activity: Introductory overview of results from nine chemicals. The Journal of Toxicological Sciences, Volume 30, Special Issue, 1-4, 2005 </w:t>
            </w:r>
          </w:p>
        </w:tc>
        <w:tc>
          <w:tcPr>
            <w:tcW w:w="2268" w:type="dxa"/>
            <w:shd w:val="clear" w:color="auto" w:fill="auto"/>
          </w:tcPr>
          <w:p w14:paraId="020187A8" w14:textId="77777777" w:rsidR="00233E2A" w:rsidRPr="002F6538" w:rsidRDefault="00233E2A" w:rsidP="0010403B">
            <w:pPr>
              <w:rPr>
                <w:rFonts w:eastAsia="Garamond"/>
                <w:sz w:val="18"/>
                <w:szCs w:val="18"/>
              </w:rPr>
            </w:pPr>
            <w:r w:rsidRPr="002F6538">
              <w:rPr>
                <w:rFonts w:eastAsia="Garamond"/>
                <w:sz w:val="18"/>
                <w:szCs w:val="18"/>
              </w:rPr>
              <w:t>Over-all R1</w:t>
            </w:r>
          </w:p>
        </w:tc>
      </w:tr>
      <w:tr w:rsidR="00233E2A" w:rsidRPr="0093326B" w14:paraId="7E70686A" w14:textId="77777777" w:rsidTr="0010403B">
        <w:tc>
          <w:tcPr>
            <w:tcW w:w="2263" w:type="dxa"/>
            <w:shd w:val="clear" w:color="auto" w:fill="auto"/>
          </w:tcPr>
          <w:p w14:paraId="04094B84" w14:textId="77777777" w:rsidR="00233E2A" w:rsidRPr="002F6538" w:rsidRDefault="00233E2A" w:rsidP="0010403B">
            <w:pPr>
              <w:rPr>
                <w:rFonts w:eastAsia="Garamond"/>
                <w:b/>
                <w:sz w:val="18"/>
                <w:szCs w:val="18"/>
              </w:rPr>
            </w:pPr>
            <w:r w:rsidRPr="002F6538">
              <w:rPr>
                <w:rFonts w:eastAsia="Garamond"/>
                <w:b/>
                <w:sz w:val="18"/>
                <w:szCs w:val="18"/>
              </w:rPr>
              <w:t xml:space="preserve">Yamasaki K., Okuda H., Takeuchi T., Minobe Y. </w:t>
            </w:r>
            <w:r w:rsidRPr="002F6538">
              <w:rPr>
                <w:rFonts w:eastAsia="Garamond"/>
                <w:b/>
                <w:i/>
                <w:sz w:val="18"/>
                <w:szCs w:val="18"/>
              </w:rPr>
              <w:t>Effects of in utero through lactational exposure to dicyclohexyl phthalate p,p’-DDE in Sprague-Dawley rats</w:t>
            </w:r>
            <w:r w:rsidRPr="002F6538">
              <w:rPr>
                <w:rFonts w:eastAsia="Garamond"/>
                <w:b/>
                <w:sz w:val="18"/>
                <w:szCs w:val="18"/>
              </w:rPr>
              <w:t>. Toxicolcogy Letters 189,2009,14-20.</w:t>
            </w:r>
          </w:p>
        </w:tc>
        <w:tc>
          <w:tcPr>
            <w:tcW w:w="1843" w:type="dxa"/>
            <w:shd w:val="clear" w:color="auto" w:fill="auto"/>
          </w:tcPr>
          <w:p w14:paraId="73A2C49E" w14:textId="77777777" w:rsidR="00233E2A" w:rsidRPr="002F6538" w:rsidRDefault="00233E2A" w:rsidP="0010403B">
            <w:pPr>
              <w:rPr>
                <w:rFonts w:eastAsia="Garamond"/>
                <w:sz w:val="18"/>
                <w:szCs w:val="18"/>
              </w:rPr>
            </w:pPr>
            <w:r w:rsidRPr="002F6538">
              <w:rPr>
                <w:rFonts w:eastAsia="Garamond"/>
                <w:sz w:val="18"/>
                <w:szCs w:val="18"/>
              </w:rPr>
              <w:t>Mated female rats (F0) (~12 weeks old) subdivided into 4 equally sized groups</w:t>
            </w:r>
          </w:p>
          <w:p w14:paraId="465DCE0B" w14:textId="77777777" w:rsidR="00233E2A" w:rsidRPr="002F6538" w:rsidRDefault="00233E2A" w:rsidP="0010403B">
            <w:pPr>
              <w:rPr>
                <w:rFonts w:eastAsia="Garamond"/>
                <w:sz w:val="18"/>
                <w:szCs w:val="18"/>
              </w:rPr>
            </w:pPr>
            <w:r w:rsidRPr="002F6538">
              <w:rPr>
                <w:rFonts w:eastAsia="Garamond"/>
                <w:sz w:val="18"/>
                <w:szCs w:val="18"/>
              </w:rPr>
              <w:t>• Culling at PND 4, to litter size of 8 aiming for 4 pups/sex when possible.</w:t>
            </w:r>
          </w:p>
          <w:p w14:paraId="17B66486" w14:textId="77777777" w:rsidR="00233E2A" w:rsidRPr="002F6538" w:rsidRDefault="00233E2A" w:rsidP="0010403B">
            <w:pPr>
              <w:rPr>
                <w:rFonts w:eastAsia="Garamond"/>
                <w:sz w:val="18"/>
                <w:szCs w:val="18"/>
              </w:rPr>
            </w:pPr>
            <w:r w:rsidRPr="002F6538">
              <w:rPr>
                <w:rFonts w:eastAsia="Garamond"/>
                <w:sz w:val="18"/>
                <w:szCs w:val="18"/>
              </w:rPr>
              <w:t>•At weaning pups (F1) randomly subdivided into sub groups A and B</w:t>
            </w:r>
          </w:p>
          <w:p w14:paraId="4B3B2B11" w14:textId="77777777" w:rsidR="00233E2A" w:rsidRPr="002F6538" w:rsidRDefault="00233E2A" w:rsidP="0010403B">
            <w:pPr>
              <w:rPr>
                <w:rFonts w:eastAsia="Garamond"/>
                <w:sz w:val="18"/>
                <w:szCs w:val="18"/>
              </w:rPr>
            </w:pPr>
            <w:r w:rsidRPr="002F6538">
              <w:rPr>
                <w:rFonts w:eastAsia="Garamond"/>
                <w:sz w:val="18"/>
                <w:szCs w:val="18"/>
              </w:rPr>
              <w:t>A. Sacrificed at 10 weeks of age.</w:t>
            </w:r>
          </w:p>
          <w:p w14:paraId="37F00278" w14:textId="77777777" w:rsidR="00233E2A" w:rsidRPr="002F6538" w:rsidRDefault="00233E2A" w:rsidP="0010403B">
            <w:pPr>
              <w:rPr>
                <w:rFonts w:eastAsia="Garamond"/>
                <w:sz w:val="18"/>
                <w:szCs w:val="18"/>
              </w:rPr>
            </w:pPr>
            <w:r w:rsidRPr="002F6538">
              <w:rPr>
                <w:rFonts w:eastAsia="Garamond"/>
                <w:sz w:val="18"/>
                <w:szCs w:val="18"/>
              </w:rPr>
              <w:t xml:space="preserve">B. 2 females and 2 males/dam mated at 12 weeks to assess reproductive performance and possible effects on </w:t>
            </w:r>
            <w:r w:rsidRPr="002F6538">
              <w:rPr>
                <w:rFonts w:eastAsia="Garamond"/>
                <w:sz w:val="18"/>
                <w:szCs w:val="18"/>
              </w:rPr>
              <w:lastRenderedPageBreak/>
              <w:t>early embryonic development (caesarean sections performed on gestation day 13).</w:t>
            </w:r>
          </w:p>
        </w:tc>
        <w:tc>
          <w:tcPr>
            <w:tcW w:w="2835" w:type="dxa"/>
            <w:shd w:val="clear" w:color="auto" w:fill="auto"/>
          </w:tcPr>
          <w:p w14:paraId="0D9B8087" w14:textId="77777777" w:rsidR="00233E2A" w:rsidRPr="002F6538" w:rsidRDefault="00233E2A" w:rsidP="0010403B">
            <w:pPr>
              <w:rPr>
                <w:rFonts w:eastAsia="Garamond"/>
                <w:sz w:val="18"/>
                <w:szCs w:val="18"/>
              </w:rPr>
            </w:pPr>
            <w:r w:rsidRPr="002F6538">
              <w:rPr>
                <w:rFonts w:eastAsia="Garamond"/>
                <w:sz w:val="18"/>
                <w:szCs w:val="18"/>
              </w:rPr>
              <w:lastRenderedPageBreak/>
              <w:t>Of the 28 applicable parts of the evaluation, 43% fulfilled, 18 % partially and 39% not fulfilled – the not fulfilled  depending lack of detailed reporting regarding animals, housing, feed, and choice of administration route.</w:t>
            </w:r>
          </w:p>
        </w:tc>
        <w:tc>
          <w:tcPr>
            <w:tcW w:w="3686" w:type="dxa"/>
            <w:shd w:val="clear" w:color="auto" w:fill="auto"/>
          </w:tcPr>
          <w:p w14:paraId="219E60BC" w14:textId="77777777" w:rsidR="00233E2A" w:rsidRPr="002F6538" w:rsidRDefault="00233E2A" w:rsidP="0010403B">
            <w:pPr>
              <w:rPr>
                <w:rFonts w:eastAsia="Garamond"/>
                <w:sz w:val="18"/>
                <w:szCs w:val="18"/>
              </w:rPr>
            </w:pPr>
            <w:r w:rsidRPr="002F6538">
              <w:rPr>
                <w:rFonts w:eastAsia="Garamond"/>
                <w:sz w:val="18"/>
                <w:szCs w:val="18"/>
              </w:rPr>
              <w:t>Important study results – no contact taken with author as other studies with similar design show similar results. Results used as supportive</w:t>
            </w:r>
          </w:p>
        </w:tc>
        <w:tc>
          <w:tcPr>
            <w:tcW w:w="2268" w:type="dxa"/>
            <w:shd w:val="clear" w:color="auto" w:fill="auto"/>
          </w:tcPr>
          <w:p w14:paraId="53F1CDC9" w14:textId="77777777" w:rsidR="00233E2A" w:rsidRPr="002F6538" w:rsidRDefault="00233E2A" w:rsidP="0010403B">
            <w:pPr>
              <w:rPr>
                <w:rFonts w:eastAsia="Garamond"/>
                <w:sz w:val="18"/>
                <w:szCs w:val="18"/>
              </w:rPr>
            </w:pPr>
            <w:r w:rsidRPr="002F6538">
              <w:rPr>
                <w:rFonts w:eastAsia="Garamond"/>
                <w:sz w:val="18"/>
                <w:szCs w:val="18"/>
              </w:rPr>
              <w:t>R2</w:t>
            </w:r>
          </w:p>
        </w:tc>
      </w:tr>
      <w:tr w:rsidR="00233E2A" w:rsidRPr="0093326B" w14:paraId="34FB562C" w14:textId="77777777" w:rsidTr="0010403B">
        <w:trPr>
          <w:trHeight w:val="4958"/>
        </w:trPr>
        <w:tc>
          <w:tcPr>
            <w:tcW w:w="2263" w:type="dxa"/>
            <w:shd w:val="clear" w:color="auto" w:fill="auto"/>
          </w:tcPr>
          <w:p w14:paraId="3962A6E4" w14:textId="77777777" w:rsidR="00233E2A" w:rsidRPr="002F6538" w:rsidRDefault="00233E2A" w:rsidP="0010403B">
            <w:pPr>
              <w:rPr>
                <w:rFonts w:eastAsia="Garamond"/>
                <w:b/>
                <w:sz w:val="18"/>
                <w:szCs w:val="18"/>
              </w:rPr>
            </w:pPr>
            <w:r w:rsidRPr="002F6538">
              <w:rPr>
                <w:rFonts w:eastAsia="Garamond"/>
                <w:b/>
                <w:sz w:val="18"/>
                <w:szCs w:val="18"/>
              </w:rPr>
              <w:t xml:space="preserve">Saillenfait, A. M., Gallissot F., Sabata J. P., </w:t>
            </w:r>
            <w:r w:rsidRPr="002F6538">
              <w:rPr>
                <w:rFonts w:eastAsia="Garamond"/>
                <w:b/>
                <w:i/>
                <w:sz w:val="18"/>
                <w:szCs w:val="18"/>
              </w:rPr>
              <w:t>Differential developmental toxicities of di-nhexyl phthalate and dicyclohexyl phthalate administered orally to rats</w:t>
            </w:r>
            <w:r w:rsidRPr="002F6538">
              <w:rPr>
                <w:rFonts w:eastAsia="Garamond"/>
                <w:b/>
                <w:sz w:val="18"/>
                <w:szCs w:val="18"/>
              </w:rPr>
              <w:t>, Journal of Applied Toxicology, 2009, 29: 510-521.</w:t>
            </w:r>
          </w:p>
        </w:tc>
        <w:tc>
          <w:tcPr>
            <w:tcW w:w="1843" w:type="dxa"/>
            <w:shd w:val="clear" w:color="auto" w:fill="auto"/>
          </w:tcPr>
          <w:p w14:paraId="18A94063" w14:textId="77777777" w:rsidR="00233E2A" w:rsidRPr="002F6538" w:rsidRDefault="00233E2A" w:rsidP="0010403B">
            <w:pPr>
              <w:rPr>
                <w:rFonts w:eastAsia="Garamond"/>
                <w:sz w:val="18"/>
                <w:szCs w:val="18"/>
              </w:rPr>
            </w:pPr>
            <w:r w:rsidRPr="002F6538">
              <w:rPr>
                <w:rFonts w:eastAsia="Garamond"/>
                <w:sz w:val="18"/>
                <w:szCs w:val="18"/>
              </w:rPr>
              <w:t>Study protocol resemble Prenatal developmental toxicity study (OECD TG 414). 20-25 pregnant dams/group.</w:t>
            </w:r>
          </w:p>
          <w:p w14:paraId="3017DB5A" w14:textId="77777777" w:rsidR="00233E2A" w:rsidRPr="002F6538" w:rsidRDefault="00233E2A" w:rsidP="0010403B">
            <w:pPr>
              <w:rPr>
                <w:rFonts w:eastAsia="Garamond"/>
                <w:sz w:val="18"/>
                <w:szCs w:val="18"/>
              </w:rPr>
            </w:pPr>
            <w:r w:rsidRPr="002F6538">
              <w:rPr>
                <w:rFonts w:eastAsia="Garamond"/>
                <w:sz w:val="18"/>
                <w:szCs w:val="18"/>
              </w:rPr>
              <w:t>In addition Anogenital distance was measured on GD 21.</w:t>
            </w:r>
          </w:p>
          <w:p w14:paraId="1E46C6D1" w14:textId="77777777" w:rsidR="00233E2A" w:rsidRPr="002F6538" w:rsidRDefault="00233E2A" w:rsidP="0010403B">
            <w:pPr>
              <w:rPr>
                <w:rFonts w:eastAsia="Garamond"/>
                <w:sz w:val="18"/>
                <w:szCs w:val="18"/>
              </w:rPr>
            </w:pPr>
          </w:p>
          <w:p w14:paraId="1C45FF78" w14:textId="77777777" w:rsidR="00233E2A" w:rsidRPr="002F6538" w:rsidRDefault="00233E2A" w:rsidP="0010403B">
            <w:pPr>
              <w:rPr>
                <w:rFonts w:eastAsia="Garamond"/>
                <w:sz w:val="18"/>
                <w:szCs w:val="18"/>
              </w:rPr>
            </w:pPr>
            <w:r w:rsidRPr="002F6538">
              <w:rPr>
                <w:rFonts w:eastAsia="Garamond"/>
                <w:sz w:val="18"/>
                <w:szCs w:val="18"/>
              </w:rPr>
              <w:t>Satellite study</w:t>
            </w:r>
          </w:p>
          <w:p w14:paraId="44665345" w14:textId="77777777" w:rsidR="00233E2A" w:rsidRPr="002F6538" w:rsidRDefault="00233E2A" w:rsidP="0010403B">
            <w:pPr>
              <w:rPr>
                <w:rFonts w:eastAsia="Garamond"/>
                <w:sz w:val="18"/>
                <w:szCs w:val="18"/>
              </w:rPr>
            </w:pPr>
            <w:r w:rsidRPr="002F6538">
              <w:rPr>
                <w:rFonts w:eastAsia="Garamond"/>
                <w:sz w:val="18"/>
                <w:szCs w:val="18"/>
              </w:rPr>
              <w:t>6-9 animals/dose level, dosing interval as main study, for examination of liver effects (histopathology, enzyme activity and liver weights) on GD 21.</w:t>
            </w:r>
          </w:p>
          <w:p w14:paraId="24954C25" w14:textId="77777777" w:rsidR="00233E2A" w:rsidRPr="002F6538" w:rsidRDefault="00233E2A" w:rsidP="0010403B">
            <w:pPr>
              <w:rPr>
                <w:rFonts w:eastAsia="Garamond"/>
                <w:sz w:val="18"/>
                <w:szCs w:val="18"/>
              </w:rPr>
            </w:pPr>
            <w:r w:rsidRPr="002F6538">
              <w:rPr>
                <w:rFonts w:eastAsia="Garamond"/>
                <w:sz w:val="18"/>
                <w:szCs w:val="18"/>
              </w:rPr>
              <w:t>study.</w:t>
            </w:r>
          </w:p>
        </w:tc>
        <w:tc>
          <w:tcPr>
            <w:tcW w:w="2835" w:type="dxa"/>
            <w:shd w:val="clear" w:color="auto" w:fill="auto"/>
          </w:tcPr>
          <w:p w14:paraId="0E96E543" w14:textId="77777777" w:rsidR="00233E2A" w:rsidRPr="002F6538" w:rsidRDefault="00233E2A" w:rsidP="0010403B">
            <w:pPr>
              <w:rPr>
                <w:rFonts w:eastAsia="Garamond"/>
                <w:sz w:val="18"/>
                <w:szCs w:val="18"/>
              </w:rPr>
            </w:pPr>
            <w:r w:rsidRPr="002F6538">
              <w:rPr>
                <w:rFonts w:eastAsia="Garamond"/>
                <w:sz w:val="18"/>
                <w:szCs w:val="18"/>
              </w:rPr>
              <w:t>Of the 30 applicable parts of the evaluation, 74% fulfilled, 13 % partially and 13% not fulfilled – overall good reporting, the not fulfilled regard analysis of feed and water for contaminants.</w:t>
            </w:r>
          </w:p>
        </w:tc>
        <w:tc>
          <w:tcPr>
            <w:tcW w:w="3686" w:type="dxa"/>
            <w:shd w:val="clear" w:color="auto" w:fill="auto"/>
          </w:tcPr>
          <w:p w14:paraId="4DE5E932" w14:textId="77777777" w:rsidR="00233E2A" w:rsidRPr="002F6538" w:rsidRDefault="00233E2A" w:rsidP="0010403B">
            <w:pPr>
              <w:rPr>
                <w:rFonts w:eastAsia="Garamond"/>
                <w:sz w:val="18"/>
                <w:szCs w:val="18"/>
              </w:rPr>
            </w:pPr>
          </w:p>
        </w:tc>
        <w:tc>
          <w:tcPr>
            <w:tcW w:w="2268" w:type="dxa"/>
            <w:shd w:val="clear" w:color="auto" w:fill="auto"/>
          </w:tcPr>
          <w:p w14:paraId="0830034D" w14:textId="77777777" w:rsidR="00233E2A" w:rsidRPr="002F6538" w:rsidRDefault="00233E2A" w:rsidP="0010403B">
            <w:pPr>
              <w:rPr>
                <w:rFonts w:eastAsia="Garamond"/>
                <w:sz w:val="18"/>
                <w:szCs w:val="18"/>
              </w:rPr>
            </w:pPr>
            <w:r w:rsidRPr="002F6538">
              <w:rPr>
                <w:rFonts w:eastAsia="Garamond"/>
                <w:sz w:val="18"/>
                <w:szCs w:val="18"/>
              </w:rPr>
              <w:t>R1</w:t>
            </w:r>
          </w:p>
        </w:tc>
      </w:tr>
      <w:tr w:rsidR="00233E2A" w:rsidRPr="0093326B" w14:paraId="7BA96F44" w14:textId="77777777" w:rsidTr="0010403B">
        <w:tc>
          <w:tcPr>
            <w:tcW w:w="2263" w:type="dxa"/>
            <w:shd w:val="clear" w:color="auto" w:fill="auto"/>
          </w:tcPr>
          <w:p w14:paraId="2925AE7A" w14:textId="77777777" w:rsidR="00233E2A" w:rsidRPr="002F6538" w:rsidRDefault="00233E2A" w:rsidP="0010403B">
            <w:pPr>
              <w:rPr>
                <w:rFonts w:eastAsia="Garamond"/>
                <w:b/>
                <w:sz w:val="18"/>
                <w:szCs w:val="18"/>
              </w:rPr>
            </w:pPr>
            <w:r w:rsidRPr="002F6538">
              <w:rPr>
                <w:rFonts w:eastAsia="Garamond"/>
                <w:b/>
                <w:sz w:val="18"/>
                <w:szCs w:val="18"/>
              </w:rPr>
              <w:t xml:space="preserve">Aydogan A. M., Barlas N. </w:t>
            </w:r>
            <w:r w:rsidRPr="002F6538">
              <w:rPr>
                <w:rFonts w:eastAsia="Garamond"/>
                <w:b/>
                <w:i/>
                <w:sz w:val="18"/>
                <w:szCs w:val="18"/>
              </w:rPr>
              <w:t xml:space="preserve">Developmental effects of prenatal di-n-hexyl phthalate and dicyclohexyl phthalate exposure on </w:t>
            </w:r>
            <w:r w:rsidRPr="002F6538">
              <w:rPr>
                <w:rFonts w:eastAsia="Garamond"/>
                <w:b/>
                <w:i/>
                <w:sz w:val="18"/>
                <w:szCs w:val="18"/>
              </w:rPr>
              <w:lastRenderedPageBreak/>
              <w:t>reproductive tract of male rats: Postnatal outcomes</w:t>
            </w:r>
            <w:r w:rsidRPr="002F6538">
              <w:rPr>
                <w:rFonts w:eastAsia="Garamond"/>
                <w:b/>
                <w:sz w:val="18"/>
                <w:szCs w:val="18"/>
              </w:rPr>
              <w:t>, Food and Chemical Toxicology, 2013, 51:123-136</w:t>
            </w:r>
          </w:p>
        </w:tc>
        <w:tc>
          <w:tcPr>
            <w:tcW w:w="1843" w:type="dxa"/>
            <w:shd w:val="clear" w:color="auto" w:fill="auto"/>
          </w:tcPr>
          <w:p w14:paraId="25A345A7" w14:textId="77777777" w:rsidR="00233E2A" w:rsidRPr="002F6538" w:rsidRDefault="00233E2A" w:rsidP="0010403B">
            <w:pPr>
              <w:rPr>
                <w:rFonts w:eastAsia="Garamond"/>
                <w:sz w:val="18"/>
                <w:szCs w:val="18"/>
              </w:rPr>
            </w:pPr>
            <w:r w:rsidRPr="002F6538">
              <w:rPr>
                <w:rFonts w:eastAsia="Garamond"/>
                <w:sz w:val="18"/>
                <w:szCs w:val="18"/>
              </w:rPr>
              <w:lastRenderedPageBreak/>
              <w:t>Pregnant rats</w:t>
            </w:r>
          </w:p>
          <w:p w14:paraId="03B3EE84" w14:textId="77777777" w:rsidR="00233E2A" w:rsidRPr="002F6538" w:rsidRDefault="00233E2A" w:rsidP="0010403B">
            <w:pPr>
              <w:rPr>
                <w:rFonts w:eastAsia="Garamond"/>
                <w:sz w:val="18"/>
                <w:szCs w:val="18"/>
              </w:rPr>
            </w:pPr>
            <w:r w:rsidRPr="002F6538">
              <w:rPr>
                <w:rFonts w:eastAsia="Garamond"/>
                <w:sz w:val="18"/>
                <w:szCs w:val="18"/>
              </w:rPr>
              <w:t xml:space="preserve">After delivery all pups were allowed to grow with their dam for 1 </w:t>
            </w:r>
            <w:r w:rsidRPr="002F6538">
              <w:rPr>
                <w:rFonts w:eastAsia="Garamond"/>
                <w:sz w:val="18"/>
                <w:szCs w:val="18"/>
              </w:rPr>
              <w:lastRenderedPageBreak/>
              <w:t>month and then male pups were separated and housed 4/cage until they were killed on:</w:t>
            </w:r>
          </w:p>
          <w:p w14:paraId="28D1DF13" w14:textId="77777777" w:rsidR="00233E2A" w:rsidRPr="002F6538" w:rsidRDefault="00233E2A" w:rsidP="0010403B">
            <w:pPr>
              <w:rPr>
                <w:rFonts w:eastAsia="Garamond"/>
                <w:sz w:val="18"/>
                <w:szCs w:val="18"/>
              </w:rPr>
            </w:pPr>
            <w:r w:rsidRPr="002F6538">
              <w:rPr>
                <w:rFonts w:eastAsia="Garamond"/>
                <w:sz w:val="18"/>
                <w:szCs w:val="18"/>
              </w:rPr>
              <w:t>- PND 20 (pre-pubertal),</w:t>
            </w:r>
          </w:p>
          <w:p w14:paraId="16679A52" w14:textId="77777777" w:rsidR="00233E2A" w:rsidRPr="002F6538" w:rsidRDefault="00233E2A" w:rsidP="0010403B">
            <w:pPr>
              <w:rPr>
                <w:rFonts w:eastAsia="Garamond"/>
                <w:sz w:val="18"/>
                <w:szCs w:val="18"/>
              </w:rPr>
            </w:pPr>
            <w:r w:rsidRPr="002F6538">
              <w:rPr>
                <w:rFonts w:eastAsia="Garamond"/>
                <w:sz w:val="18"/>
                <w:szCs w:val="18"/>
              </w:rPr>
              <w:t>- PND 32 (pubertal)</w:t>
            </w:r>
          </w:p>
          <w:p w14:paraId="1F97FB08" w14:textId="77777777" w:rsidR="00233E2A" w:rsidRPr="002F6538" w:rsidRDefault="00233E2A" w:rsidP="0010403B">
            <w:pPr>
              <w:rPr>
                <w:rFonts w:eastAsia="Garamond"/>
                <w:sz w:val="18"/>
                <w:szCs w:val="18"/>
              </w:rPr>
            </w:pPr>
            <w:r w:rsidRPr="002F6538">
              <w:rPr>
                <w:rFonts w:eastAsia="Garamond"/>
                <w:sz w:val="18"/>
                <w:szCs w:val="18"/>
              </w:rPr>
              <w:t>- PND 90 (adult).</w:t>
            </w:r>
          </w:p>
        </w:tc>
        <w:tc>
          <w:tcPr>
            <w:tcW w:w="2835" w:type="dxa"/>
            <w:shd w:val="clear" w:color="auto" w:fill="auto"/>
          </w:tcPr>
          <w:p w14:paraId="24862113" w14:textId="77777777" w:rsidR="00233E2A" w:rsidRPr="002F6538" w:rsidRDefault="00233E2A" w:rsidP="0010403B">
            <w:pPr>
              <w:rPr>
                <w:rFonts w:eastAsia="Garamond"/>
                <w:sz w:val="18"/>
                <w:szCs w:val="18"/>
              </w:rPr>
            </w:pPr>
            <w:r w:rsidRPr="002F6538">
              <w:rPr>
                <w:rFonts w:eastAsia="Garamond"/>
                <w:sz w:val="18"/>
                <w:szCs w:val="18"/>
              </w:rPr>
              <w:lastRenderedPageBreak/>
              <w:t xml:space="preserve">Initial evaluation - Of the 29 applicable parts of the evaluation, 57% fulfilled, 7 % partially and </w:t>
            </w:r>
            <w:r w:rsidRPr="002F6538">
              <w:rPr>
                <w:rFonts w:eastAsia="Garamond"/>
                <w:sz w:val="18"/>
                <w:szCs w:val="18"/>
              </w:rPr>
              <w:lastRenderedPageBreak/>
              <w:t>34.5% not fulfilled – reporting poor for animals, housing and feed.</w:t>
            </w:r>
          </w:p>
          <w:p w14:paraId="48AF8E19" w14:textId="77777777" w:rsidR="00233E2A" w:rsidRPr="002F6538" w:rsidRDefault="00233E2A" w:rsidP="0010403B">
            <w:pPr>
              <w:rPr>
                <w:rFonts w:eastAsia="Garamond"/>
                <w:sz w:val="18"/>
                <w:szCs w:val="18"/>
              </w:rPr>
            </w:pPr>
          </w:p>
        </w:tc>
        <w:tc>
          <w:tcPr>
            <w:tcW w:w="3686" w:type="dxa"/>
            <w:shd w:val="clear" w:color="auto" w:fill="auto"/>
          </w:tcPr>
          <w:p w14:paraId="11EB37C4" w14:textId="77777777" w:rsidR="00233E2A" w:rsidRPr="002F6538" w:rsidRDefault="00233E2A" w:rsidP="0010403B">
            <w:pPr>
              <w:rPr>
                <w:rFonts w:eastAsia="Garamond"/>
                <w:sz w:val="18"/>
                <w:szCs w:val="18"/>
              </w:rPr>
            </w:pPr>
            <w:r w:rsidRPr="002F6538">
              <w:rPr>
                <w:rFonts w:eastAsia="Garamond"/>
                <w:sz w:val="18"/>
                <w:szCs w:val="18"/>
              </w:rPr>
              <w:lastRenderedPageBreak/>
              <w:t>Further info provided from author – renewed evaluation: Of the 28 applicable parts of the evaluation, 82% fulfilled, and 18% not fulfilled.</w:t>
            </w:r>
          </w:p>
        </w:tc>
        <w:tc>
          <w:tcPr>
            <w:tcW w:w="2268" w:type="dxa"/>
            <w:shd w:val="clear" w:color="auto" w:fill="auto"/>
          </w:tcPr>
          <w:p w14:paraId="07C71626" w14:textId="77777777" w:rsidR="00233E2A" w:rsidRPr="002F6538" w:rsidRDefault="00233E2A" w:rsidP="0010403B">
            <w:pPr>
              <w:rPr>
                <w:rFonts w:eastAsia="Garamond"/>
                <w:sz w:val="18"/>
                <w:szCs w:val="18"/>
              </w:rPr>
            </w:pPr>
            <w:r w:rsidRPr="002F6538">
              <w:rPr>
                <w:rFonts w:eastAsia="Garamond"/>
                <w:sz w:val="18"/>
                <w:szCs w:val="18"/>
              </w:rPr>
              <w:t>Over-all R1</w:t>
            </w:r>
          </w:p>
        </w:tc>
      </w:tr>
      <w:tr w:rsidR="00233E2A" w:rsidRPr="0093326B" w14:paraId="4EAA01BA" w14:textId="77777777" w:rsidTr="0010403B">
        <w:tc>
          <w:tcPr>
            <w:tcW w:w="2263" w:type="dxa"/>
            <w:shd w:val="clear" w:color="auto" w:fill="auto"/>
          </w:tcPr>
          <w:p w14:paraId="2E1E7E23" w14:textId="77777777" w:rsidR="00233E2A" w:rsidRPr="002F6538" w:rsidRDefault="00233E2A" w:rsidP="0010403B">
            <w:pPr>
              <w:rPr>
                <w:rFonts w:eastAsia="Garamond"/>
                <w:b/>
                <w:sz w:val="18"/>
                <w:szCs w:val="18"/>
              </w:rPr>
            </w:pPr>
            <w:r w:rsidRPr="002F6538">
              <w:rPr>
                <w:rFonts w:eastAsia="Garamond"/>
                <w:b/>
                <w:sz w:val="18"/>
                <w:szCs w:val="18"/>
              </w:rPr>
              <w:t xml:space="preserve">Aydogan A. M., Barlas N. </w:t>
            </w:r>
            <w:r w:rsidRPr="002F6538">
              <w:rPr>
                <w:rFonts w:eastAsia="Garamond"/>
                <w:b/>
                <w:i/>
                <w:sz w:val="18"/>
                <w:szCs w:val="18"/>
              </w:rPr>
              <w:t>Influence of in utero di-n-hexyl phthalate and dicyclohexyl phthalate on fetal testicular development in rats</w:t>
            </w:r>
            <w:r w:rsidRPr="002F6538">
              <w:rPr>
                <w:rFonts w:eastAsia="Garamond"/>
                <w:b/>
                <w:sz w:val="18"/>
                <w:szCs w:val="18"/>
              </w:rPr>
              <w:t>. Toxicology Letters, 2015, 233: 125-137</w:t>
            </w:r>
          </w:p>
        </w:tc>
        <w:tc>
          <w:tcPr>
            <w:tcW w:w="1843" w:type="dxa"/>
            <w:shd w:val="clear" w:color="auto" w:fill="auto"/>
          </w:tcPr>
          <w:p w14:paraId="62D9D70F" w14:textId="77777777" w:rsidR="00233E2A" w:rsidRPr="002F6538" w:rsidRDefault="00233E2A" w:rsidP="0010403B">
            <w:pPr>
              <w:rPr>
                <w:rFonts w:eastAsia="Garamond"/>
                <w:sz w:val="18"/>
                <w:szCs w:val="18"/>
              </w:rPr>
            </w:pPr>
            <w:r w:rsidRPr="002F6538">
              <w:rPr>
                <w:rFonts w:eastAsia="Garamond"/>
                <w:sz w:val="18"/>
                <w:szCs w:val="18"/>
              </w:rPr>
              <w:t>Wistar rats, exposed GD 6-19 with DCHP 0, 20, 100 and 500 mg/kg bw/day. Male foetuses examined on GD 20 for testosterone, FSH, inhibin B, MIS, testis histopathology (including immunohistochemical staining for 3β-HSD. MIS/AMH. AR and PCNA and determination of Leydig cell numbers and clusters.</w:t>
            </w:r>
          </w:p>
        </w:tc>
        <w:tc>
          <w:tcPr>
            <w:tcW w:w="2835" w:type="dxa"/>
            <w:shd w:val="clear" w:color="auto" w:fill="auto"/>
          </w:tcPr>
          <w:p w14:paraId="5A1C4C30" w14:textId="77777777" w:rsidR="00233E2A" w:rsidRPr="002F6538" w:rsidRDefault="00233E2A" w:rsidP="0010403B">
            <w:pPr>
              <w:rPr>
                <w:rFonts w:eastAsia="Garamond"/>
                <w:sz w:val="18"/>
                <w:szCs w:val="18"/>
              </w:rPr>
            </w:pPr>
            <w:r w:rsidRPr="002F6538">
              <w:rPr>
                <w:rFonts w:eastAsia="Garamond"/>
                <w:sz w:val="18"/>
                <w:szCs w:val="18"/>
              </w:rPr>
              <w:t>Of the 29 applicable parts of the evaluation, 69% fulfilled, and 31% not fulfilled - reporting poor for animals, housing and feed.</w:t>
            </w:r>
          </w:p>
        </w:tc>
        <w:tc>
          <w:tcPr>
            <w:tcW w:w="3686" w:type="dxa"/>
            <w:shd w:val="clear" w:color="auto" w:fill="auto"/>
          </w:tcPr>
          <w:p w14:paraId="0AA3C34E" w14:textId="77777777" w:rsidR="00233E2A" w:rsidRPr="002F6538" w:rsidRDefault="00233E2A" w:rsidP="0010403B">
            <w:pPr>
              <w:rPr>
                <w:rFonts w:eastAsia="Garamond"/>
                <w:sz w:val="18"/>
                <w:szCs w:val="18"/>
              </w:rPr>
            </w:pPr>
            <w:r w:rsidRPr="002F6538">
              <w:rPr>
                <w:rFonts w:eastAsia="Garamond"/>
                <w:sz w:val="18"/>
                <w:szCs w:val="18"/>
              </w:rPr>
              <w:t>Further info provided from author – renewed evaluation: Of the 28 applicable parts of the evaluation, 82% fulfilled, and 18% not fulfilled.</w:t>
            </w:r>
          </w:p>
        </w:tc>
        <w:tc>
          <w:tcPr>
            <w:tcW w:w="2268" w:type="dxa"/>
            <w:shd w:val="clear" w:color="auto" w:fill="auto"/>
          </w:tcPr>
          <w:p w14:paraId="47883019" w14:textId="77777777" w:rsidR="00233E2A" w:rsidRPr="002F6538" w:rsidRDefault="00233E2A" w:rsidP="0010403B">
            <w:pPr>
              <w:rPr>
                <w:rFonts w:eastAsia="Garamond"/>
                <w:sz w:val="18"/>
                <w:szCs w:val="18"/>
              </w:rPr>
            </w:pPr>
            <w:r w:rsidRPr="002F6538">
              <w:rPr>
                <w:rFonts w:eastAsia="Garamond"/>
                <w:sz w:val="18"/>
                <w:szCs w:val="18"/>
              </w:rPr>
              <w:t>Over-all R1</w:t>
            </w:r>
          </w:p>
        </w:tc>
      </w:tr>
      <w:tr w:rsidR="00233E2A" w:rsidRPr="0093326B" w14:paraId="0FCDE8BF" w14:textId="77777777" w:rsidTr="0010403B">
        <w:tc>
          <w:tcPr>
            <w:tcW w:w="2263" w:type="dxa"/>
            <w:shd w:val="clear" w:color="auto" w:fill="auto"/>
          </w:tcPr>
          <w:p w14:paraId="6B1123D2" w14:textId="77777777" w:rsidR="00233E2A" w:rsidRPr="002F6538" w:rsidRDefault="00233E2A" w:rsidP="0010403B">
            <w:pPr>
              <w:rPr>
                <w:rFonts w:eastAsia="Garamond"/>
                <w:b/>
                <w:sz w:val="18"/>
                <w:szCs w:val="18"/>
              </w:rPr>
            </w:pPr>
            <w:r w:rsidRPr="002F6538">
              <w:rPr>
                <w:rFonts w:eastAsia="Garamond"/>
                <w:b/>
                <w:sz w:val="18"/>
                <w:szCs w:val="18"/>
              </w:rPr>
              <w:t xml:space="preserve">Furr R.J., Lambright S. C., Wilson S. V., Foster M. P., Gray E. L. A </w:t>
            </w:r>
            <w:r w:rsidRPr="002F6538">
              <w:rPr>
                <w:rFonts w:eastAsia="Garamond"/>
                <w:b/>
                <w:i/>
                <w:sz w:val="18"/>
                <w:szCs w:val="18"/>
              </w:rPr>
              <w:t xml:space="preserve">Short-term in vivo screen using fetal testosterone production, a key event in the phthalate adverse outcome pathway, </w:t>
            </w:r>
            <w:r w:rsidRPr="002F6538">
              <w:rPr>
                <w:rFonts w:eastAsia="Garamond"/>
                <w:b/>
                <w:i/>
                <w:sz w:val="18"/>
                <w:szCs w:val="18"/>
              </w:rPr>
              <w:lastRenderedPageBreak/>
              <w:t>to predict disruption of sexual differentiation</w:t>
            </w:r>
            <w:r w:rsidRPr="002F6538">
              <w:rPr>
                <w:rFonts w:eastAsia="Garamond"/>
                <w:b/>
                <w:sz w:val="18"/>
                <w:szCs w:val="18"/>
              </w:rPr>
              <w:t>. Toxicological Sciences 2014, 140(2):403-24 doi:10.1093/toxsci/kfu081</w:t>
            </w:r>
          </w:p>
        </w:tc>
        <w:tc>
          <w:tcPr>
            <w:tcW w:w="1843" w:type="dxa"/>
            <w:shd w:val="clear" w:color="auto" w:fill="auto"/>
          </w:tcPr>
          <w:p w14:paraId="0B9814AC" w14:textId="77777777" w:rsidR="00233E2A" w:rsidRPr="002F6538" w:rsidRDefault="00233E2A" w:rsidP="0010403B">
            <w:pPr>
              <w:rPr>
                <w:rFonts w:eastAsia="Garamond"/>
                <w:sz w:val="18"/>
                <w:szCs w:val="18"/>
              </w:rPr>
            </w:pPr>
            <w:r w:rsidRPr="005A120C">
              <w:rPr>
                <w:rFonts w:eastAsia="Garamond"/>
                <w:i/>
                <w:sz w:val="18"/>
                <w:szCs w:val="18"/>
              </w:rPr>
              <w:lastRenderedPageBreak/>
              <w:t>In vivo</w:t>
            </w:r>
            <w:r w:rsidRPr="002F6538">
              <w:rPr>
                <w:rFonts w:eastAsia="Garamond"/>
                <w:sz w:val="18"/>
                <w:szCs w:val="18"/>
              </w:rPr>
              <w:t xml:space="preserve"> screen to detect disruption of fetal testosterone synthesis</w:t>
            </w:r>
          </w:p>
        </w:tc>
        <w:tc>
          <w:tcPr>
            <w:tcW w:w="2835" w:type="dxa"/>
            <w:shd w:val="clear" w:color="auto" w:fill="auto"/>
          </w:tcPr>
          <w:p w14:paraId="645DB4D1" w14:textId="77777777" w:rsidR="00233E2A" w:rsidRPr="002F6538" w:rsidRDefault="00233E2A" w:rsidP="0010403B">
            <w:pPr>
              <w:rPr>
                <w:rFonts w:eastAsia="Garamond"/>
                <w:sz w:val="18"/>
                <w:szCs w:val="18"/>
              </w:rPr>
            </w:pPr>
            <w:r w:rsidRPr="002F6538">
              <w:rPr>
                <w:rFonts w:eastAsia="Garamond"/>
                <w:sz w:val="18"/>
                <w:szCs w:val="18"/>
              </w:rPr>
              <w:t>Of the 29 applicable parts of the evaluation, 83% fulfilled, 6.9 % partially and 10% not fulfilled</w:t>
            </w:r>
          </w:p>
        </w:tc>
        <w:tc>
          <w:tcPr>
            <w:tcW w:w="3686" w:type="dxa"/>
            <w:shd w:val="clear" w:color="auto" w:fill="auto"/>
          </w:tcPr>
          <w:p w14:paraId="79EEA7D0" w14:textId="77777777" w:rsidR="00233E2A" w:rsidRPr="002F6538" w:rsidRDefault="00233E2A" w:rsidP="0010403B">
            <w:pPr>
              <w:rPr>
                <w:rFonts w:eastAsia="Garamond"/>
                <w:sz w:val="18"/>
                <w:szCs w:val="18"/>
              </w:rPr>
            </w:pPr>
          </w:p>
        </w:tc>
        <w:tc>
          <w:tcPr>
            <w:tcW w:w="2268" w:type="dxa"/>
            <w:shd w:val="clear" w:color="auto" w:fill="auto"/>
          </w:tcPr>
          <w:p w14:paraId="53A8DA5C" w14:textId="77777777" w:rsidR="00233E2A" w:rsidRPr="002F6538" w:rsidRDefault="00233E2A" w:rsidP="0010403B">
            <w:pPr>
              <w:rPr>
                <w:rFonts w:eastAsia="Garamond"/>
                <w:sz w:val="18"/>
                <w:szCs w:val="18"/>
              </w:rPr>
            </w:pPr>
            <w:r w:rsidRPr="002F6538">
              <w:rPr>
                <w:rFonts w:eastAsia="Garamond"/>
                <w:sz w:val="18"/>
                <w:szCs w:val="18"/>
              </w:rPr>
              <w:t>R1</w:t>
            </w:r>
          </w:p>
        </w:tc>
      </w:tr>
    </w:tbl>
    <w:p w14:paraId="69669B62" w14:textId="77777777" w:rsidR="00233E2A" w:rsidRPr="00A40439" w:rsidRDefault="00233E2A" w:rsidP="00233E2A">
      <w:pPr>
        <w:rPr>
          <w:rFonts w:ascii="Verdana" w:hAnsi="Verdana"/>
        </w:rPr>
      </w:pPr>
    </w:p>
    <w:sectPr w:rsidR="00233E2A" w:rsidRPr="00A40439" w:rsidSect="000F6E58">
      <w:pgSz w:w="16838" w:h="11906" w:orient="landscape"/>
      <w:pgMar w:top="1440" w:right="1440" w:bottom="1440" w:left="1440" w:header="708" w:footer="708" w:gutter="0"/>
      <w:pgNumType w:start="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D87A" w14:textId="77777777" w:rsidR="00FE7D9E" w:rsidRDefault="00FE7D9E" w:rsidP="00551DA4">
      <w:pPr>
        <w:spacing w:after="0" w:line="240" w:lineRule="auto"/>
      </w:pPr>
      <w:r>
        <w:separator/>
      </w:r>
    </w:p>
  </w:endnote>
  <w:endnote w:type="continuationSeparator" w:id="0">
    <w:p w14:paraId="718CD87B" w14:textId="77777777" w:rsidR="00FE7D9E" w:rsidRDefault="00FE7D9E" w:rsidP="0055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ain Text Orangutan">
    <w:altName w:val="Simain Text Orangutan"/>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842513"/>
      <w:docPartObj>
        <w:docPartGallery w:val="Page Numbers (Bottom of Page)"/>
        <w:docPartUnique/>
      </w:docPartObj>
    </w:sdtPr>
    <w:sdtEndPr>
      <w:rPr>
        <w:noProof/>
      </w:rPr>
    </w:sdtEndPr>
    <w:sdtContent>
      <w:p w14:paraId="718CD87C" w14:textId="77777777" w:rsidR="00FE7D9E" w:rsidRDefault="00FE7D9E">
        <w:pPr>
          <w:pStyle w:val="Footer"/>
          <w:jc w:val="right"/>
        </w:pPr>
        <w:r>
          <w:fldChar w:fldCharType="begin"/>
        </w:r>
        <w:r>
          <w:instrText xml:space="preserve"> PAGE   \* MERGEFORMAT </w:instrText>
        </w:r>
        <w:r>
          <w:fldChar w:fldCharType="separate"/>
        </w:r>
        <w:r w:rsidR="00482573">
          <w:rPr>
            <w:noProof/>
          </w:rPr>
          <w:t>1</w:t>
        </w:r>
        <w:r>
          <w:rPr>
            <w:noProof/>
          </w:rPr>
          <w:fldChar w:fldCharType="end"/>
        </w:r>
      </w:p>
    </w:sdtContent>
  </w:sdt>
  <w:p w14:paraId="718CD87D" w14:textId="77777777" w:rsidR="00FE7D9E" w:rsidRDefault="00FE7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68D9" w14:textId="55F93372" w:rsidR="00FE7D9E" w:rsidRDefault="00FE7D9E">
    <w:pPr>
      <w:pStyle w:val="Footer"/>
      <w:jc w:val="right"/>
    </w:pPr>
  </w:p>
  <w:p w14:paraId="429BDDF2" w14:textId="77777777" w:rsidR="00FE7D9E" w:rsidRDefault="00FE7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33260"/>
      <w:docPartObj>
        <w:docPartGallery w:val="Page Numbers (Bottom of Page)"/>
        <w:docPartUnique/>
      </w:docPartObj>
    </w:sdtPr>
    <w:sdtEndPr>
      <w:rPr>
        <w:noProof/>
      </w:rPr>
    </w:sdtEndPr>
    <w:sdtContent>
      <w:p w14:paraId="08040541" w14:textId="77777777" w:rsidR="00FE7D9E" w:rsidRDefault="00FE7D9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D4A405E" w14:textId="77777777" w:rsidR="00FE7D9E" w:rsidRDefault="00FE7D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32D04" w14:textId="77777777" w:rsidR="00FE7D9E" w:rsidRDefault="00FE7D9E">
    <w:pPr>
      <w:pStyle w:val="Footer"/>
      <w:jc w:val="right"/>
    </w:pPr>
    <w:r>
      <w:fldChar w:fldCharType="begin"/>
    </w:r>
    <w:r>
      <w:instrText xml:space="preserve"> PAGE   \* MERGEFORMAT </w:instrText>
    </w:r>
    <w:r>
      <w:fldChar w:fldCharType="separate"/>
    </w:r>
    <w:r w:rsidR="00482573">
      <w:rPr>
        <w:noProof/>
      </w:rPr>
      <w:t>91</w:t>
    </w:r>
    <w:r>
      <w:rPr>
        <w:noProof/>
      </w:rPr>
      <w:fldChar w:fldCharType="end"/>
    </w:r>
  </w:p>
  <w:p w14:paraId="0632ABA1" w14:textId="77777777" w:rsidR="00FE7D9E" w:rsidRDefault="00FE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CD878" w14:textId="77777777" w:rsidR="00FE7D9E" w:rsidRDefault="00FE7D9E" w:rsidP="00551DA4">
      <w:pPr>
        <w:spacing w:after="0" w:line="240" w:lineRule="auto"/>
      </w:pPr>
      <w:r>
        <w:separator/>
      </w:r>
    </w:p>
  </w:footnote>
  <w:footnote w:type="continuationSeparator" w:id="0">
    <w:p w14:paraId="718CD879" w14:textId="77777777" w:rsidR="00FE7D9E" w:rsidRDefault="00FE7D9E" w:rsidP="00551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AD41" w14:textId="1CA3FBCB" w:rsidR="00FE7D9E" w:rsidRDefault="00FE7D9E">
    <w:pPr>
      <w:pStyle w:val="Header"/>
    </w:pPr>
    <w:r>
      <w:t>Weight Of Evidence/Uncertainty</w:t>
    </w:r>
    <w:r>
      <w:ptab w:relativeTo="margin" w:alignment="center" w:leader="none"/>
    </w:r>
    <w:r>
      <w:ptab w:relativeTo="margin" w:alignment="right" w:leader="none"/>
    </w:r>
    <w:r>
      <w:t xml:space="preserve">Background Document &amp; Examples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ACDC" w14:textId="47BC9B89" w:rsidR="00FE7D9E" w:rsidRDefault="00FE7D9E">
    <w:pPr>
      <w:pStyle w:val="Header"/>
    </w:pPr>
    <w:r>
      <w:rPr>
        <w:noProof/>
        <w:lang w:eastAsia="en-GB"/>
      </w:rPr>
      <w:drawing>
        <wp:inline distT="0" distB="0" distL="0" distR="0" wp14:anchorId="30DA7C80" wp14:editId="48E70667">
          <wp:extent cx="2084400" cy="532800"/>
          <wp:effectExtent l="0" t="0" r="0" b="635"/>
          <wp:docPr id="1"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r>
      <w:tab/>
    </w:r>
    <w:r>
      <w:rPr>
        <w:vanish/>
      </w:rPr>
      <w:t>WoE</w:t>
    </w:r>
  </w:p>
  <w:p w14:paraId="3721645A" w14:textId="77777777" w:rsidR="00FE7D9E" w:rsidRDefault="00FE7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746D6" w14:textId="77777777" w:rsidR="00FE7D9E" w:rsidRDefault="00FE7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2913"/>
    <w:multiLevelType w:val="hybridMultilevel"/>
    <w:tmpl w:val="2C9C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4C44"/>
    <w:multiLevelType w:val="hybridMultilevel"/>
    <w:tmpl w:val="015EF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22F9E"/>
    <w:multiLevelType w:val="hybridMultilevel"/>
    <w:tmpl w:val="F14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92EB4"/>
    <w:multiLevelType w:val="hybridMultilevel"/>
    <w:tmpl w:val="C57E26BA"/>
    <w:lvl w:ilvl="0" w:tplc="09D6C23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748EB"/>
    <w:multiLevelType w:val="hybridMultilevel"/>
    <w:tmpl w:val="660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295"/>
    <w:multiLevelType w:val="hybridMultilevel"/>
    <w:tmpl w:val="2C588AA4"/>
    <w:lvl w:ilvl="0" w:tplc="08C6FD0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E0BE3"/>
    <w:multiLevelType w:val="hybridMultilevel"/>
    <w:tmpl w:val="A944031E"/>
    <w:lvl w:ilvl="0" w:tplc="21E8354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9006F"/>
    <w:multiLevelType w:val="hybridMultilevel"/>
    <w:tmpl w:val="C62C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B4AE1"/>
    <w:multiLevelType w:val="hybridMultilevel"/>
    <w:tmpl w:val="E20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5CD2"/>
    <w:multiLevelType w:val="hybridMultilevel"/>
    <w:tmpl w:val="4B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606F3"/>
    <w:multiLevelType w:val="hybridMultilevel"/>
    <w:tmpl w:val="A0AC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94F98"/>
    <w:multiLevelType w:val="hybridMultilevel"/>
    <w:tmpl w:val="B518C904"/>
    <w:lvl w:ilvl="0" w:tplc="918ADE5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E3838"/>
    <w:multiLevelType w:val="hybridMultilevel"/>
    <w:tmpl w:val="0678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D6BEB"/>
    <w:multiLevelType w:val="hybridMultilevel"/>
    <w:tmpl w:val="A412F706"/>
    <w:lvl w:ilvl="0" w:tplc="806069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73F9E"/>
    <w:multiLevelType w:val="hybridMultilevel"/>
    <w:tmpl w:val="900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E5F49"/>
    <w:multiLevelType w:val="hybridMultilevel"/>
    <w:tmpl w:val="CD50048E"/>
    <w:lvl w:ilvl="0" w:tplc="2B56F42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45A96"/>
    <w:multiLevelType w:val="hybridMultilevel"/>
    <w:tmpl w:val="30BC1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1323F"/>
    <w:multiLevelType w:val="hybridMultilevel"/>
    <w:tmpl w:val="C08A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B3444"/>
    <w:multiLevelType w:val="hybridMultilevel"/>
    <w:tmpl w:val="CE42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B2B16"/>
    <w:multiLevelType w:val="hybridMultilevel"/>
    <w:tmpl w:val="38E0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01E98"/>
    <w:multiLevelType w:val="hybridMultilevel"/>
    <w:tmpl w:val="E940F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256E9"/>
    <w:multiLevelType w:val="hybridMultilevel"/>
    <w:tmpl w:val="0814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C50CA"/>
    <w:multiLevelType w:val="hybridMultilevel"/>
    <w:tmpl w:val="B94E6F82"/>
    <w:lvl w:ilvl="0" w:tplc="8CD09C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E272D"/>
    <w:multiLevelType w:val="hybridMultilevel"/>
    <w:tmpl w:val="397C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11D42"/>
    <w:multiLevelType w:val="hybridMultilevel"/>
    <w:tmpl w:val="24E2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05C07"/>
    <w:multiLevelType w:val="hybridMultilevel"/>
    <w:tmpl w:val="96A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30328"/>
    <w:multiLevelType w:val="hybridMultilevel"/>
    <w:tmpl w:val="278A4CAE"/>
    <w:lvl w:ilvl="0" w:tplc="AB6E15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F59C4"/>
    <w:multiLevelType w:val="hybridMultilevel"/>
    <w:tmpl w:val="39B41A20"/>
    <w:lvl w:ilvl="0" w:tplc="8286D70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A2677"/>
    <w:multiLevelType w:val="multilevel"/>
    <w:tmpl w:val="EDF45E1A"/>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5B4AB6"/>
    <w:multiLevelType w:val="hybridMultilevel"/>
    <w:tmpl w:val="C3C2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82A08"/>
    <w:multiLevelType w:val="hybridMultilevel"/>
    <w:tmpl w:val="4642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37272"/>
    <w:multiLevelType w:val="hybridMultilevel"/>
    <w:tmpl w:val="AA7A9B3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4BD167A2"/>
    <w:multiLevelType w:val="hybridMultilevel"/>
    <w:tmpl w:val="B028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75FCB"/>
    <w:multiLevelType w:val="hybridMultilevel"/>
    <w:tmpl w:val="82A6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21041"/>
    <w:multiLevelType w:val="hybridMultilevel"/>
    <w:tmpl w:val="8E1E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1F1907"/>
    <w:multiLevelType w:val="hybridMultilevel"/>
    <w:tmpl w:val="DF6A6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EB1D41"/>
    <w:multiLevelType w:val="hybridMultilevel"/>
    <w:tmpl w:val="FD92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50F29"/>
    <w:multiLevelType w:val="hybridMultilevel"/>
    <w:tmpl w:val="6D5AB75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15075A"/>
    <w:multiLevelType w:val="hybridMultilevel"/>
    <w:tmpl w:val="EF32D3E4"/>
    <w:lvl w:ilvl="0" w:tplc="1D0E2C6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A3E9D"/>
    <w:multiLevelType w:val="multilevel"/>
    <w:tmpl w:val="5BB0C2B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0B6798"/>
    <w:multiLevelType w:val="hybridMultilevel"/>
    <w:tmpl w:val="0840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8"/>
  </w:num>
  <w:num w:numId="4">
    <w:abstractNumId w:val="23"/>
  </w:num>
  <w:num w:numId="5">
    <w:abstractNumId w:val="20"/>
  </w:num>
  <w:num w:numId="6">
    <w:abstractNumId w:val="32"/>
  </w:num>
  <w:num w:numId="7">
    <w:abstractNumId w:val="8"/>
  </w:num>
  <w:num w:numId="8">
    <w:abstractNumId w:val="25"/>
  </w:num>
  <w:num w:numId="9">
    <w:abstractNumId w:val="28"/>
  </w:num>
  <w:num w:numId="10">
    <w:abstractNumId w:val="39"/>
  </w:num>
  <w:num w:numId="11">
    <w:abstractNumId w:val="30"/>
  </w:num>
  <w:num w:numId="12">
    <w:abstractNumId w:val="15"/>
  </w:num>
  <w:num w:numId="13">
    <w:abstractNumId w:val="24"/>
  </w:num>
  <w:num w:numId="14">
    <w:abstractNumId w:val="10"/>
  </w:num>
  <w:num w:numId="15">
    <w:abstractNumId w:val="36"/>
  </w:num>
  <w:num w:numId="16">
    <w:abstractNumId w:val="16"/>
  </w:num>
  <w:num w:numId="17">
    <w:abstractNumId w:val="14"/>
  </w:num>
  <w:num w:numId="18">
    <w:abstractNumId w:val="9"/>
  </w:num>
  <w:num w:numId="19">
    <w:abstractNumId w:val="29"/>
  </w:num>
  <w:num w:numId="20">
    <w:abstractNumId w:val="19"/>
  </w:num>
  <w:num w:numId="21">
    <w:abstractNumId w:val="40"/>
  </w:num>
  <w:num w:numId="22">
    <w:abstractNumId w:val="35"/>
  </w:num>
  <w:num w:numId="23">
    <w:abstractNumId w:val="26"/>
  </w:num>
  <w:num w:numId="24">
    <w:abstractNumId w:val="22"/>
  </w:num>
  <w:num w:numId="25">
    <w:abstractNumId w:val="37"/>
  </w:num>
  <w:num w:numId="26">
    <w:abstractNumId w:val="6"/>
  </w:num>
  <w:num w:numId="27">
    <w:abstractNumId w:val="5"/>
  </w:num>
  <w:num w:numId="28">
    <w:abstractNumId w:val="11"/>
  </w:num>
  <w:num w:numId="29">
    <w:abstractNumId w:val="38"/>
  </w:num>
  <w:num w:numId="30">
    <w:abstractNumId w:val="2"/>
  </w:num>
  <w:num w:numId="31">
    <w:abstractNumId w:val="0"/>
  </w:num>
  <w:num w:numId="32">
    <w:abstractNumId w:val="34"/>
  </w:num>
  <w:num w:numId="33">
    <w:abstractNumId w:val="21"/>
  </w:num>
  <w:num w:numId="34">
    <w:abstractNumId w:val="31"/>
  </w:num>
  <w:num w:numId="35">
    <w:abstractNumId w:val="13"/>
  </w:num>
  <w:num w:numId="36">
    <w:abstractNumId w:val="4"/>
  </w:num>
  <w:num w:numId="37">
    <w:abstractNumId w:val="1"/>
  </w:num>
  <w:num w:numId="38">
    <w:abstractNumId w:val="17"/>
  </w:num>
  <w:num w:numId="39">
    <w:abstractNumId w:val="7"/>
  </w:num>
  <w:num w:numId="40">
    <w:abstractNumId w:val="33"/>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C6"/>
    <w:rsid w:val="00004D9F"/>
    <w:rsid w:val="000112E8"/>
    <w:rsid w:val="00020B16"/>
    <w:rsid w:val="00025C19"/>
    <w:rsid w:val="00037B7A"/>
    <w:rsid w:val="000400F7"/>
    <w:rsid w:val="00040F4D"/>
    <w:rsid w:val="00052314"/>
    <w:rsid w:val="000655E6"/>
    <w:rsid w:val="0008611E"/>
    <w:rsid w:val="000871D3"/>
    <w:rsid w:val="000933B6"/>
    <w:rsid w:val="00093615"/>
    <w:rsid w:val="000A7529"/>
    <w:rsid w:val="000B4358"/>
    <w:rsid w:val="000D469E"/>
    <w:rsid w:val="000F6E58"/>
    <w:rsid w:val="0010403B"/>
    <w:rsid w:val="00105EA7"/>
    <w:rsid w:val="00105FA4"/>
    <w:rsid w:val="00134CAE"/>
    <w:rsid w:val="00135C62"/>
    <w:rsid w:val="00155271"/>
    <w:rsid w:val="00155303"/>
    <w:rsid w:val="00171CBD"/>
    <w:rsid w:val="00173404"/>
    <w:rsid w:val="001A71B8"/>
    <w:rsid w:val="001B0F75"/>
    <w:rsid w:val="001C20B1"/>
    <w:rsid w:val="001C2809"/>
    <w:rsid w:val="001D6A14"/>
    <w:rsid w:val="001D7324"/>
    <w:rsid w:val="001E2C8B"/>
    <w:rsid w:val="002058E7"/>
    <w:rsid w:val="00213C22"/>
    <w:rsid w:val="00233E2A"/>
    <w:rsid w:val="00237EB0"/>
    <w:rsid w:val="00252ABC"/>
    <w:rsid w:val="00265751"/>
    <w:rsid w:val="00291D67"/>
    <w:rsid w:val="00296D48"/>
    <w:rsid w:val="002A0F5D"/>
    <w:rsid w:val="002A1BC3"/>
    <w:rsid w:val="002A67B8"/>
    <w:rsid w:val="002B1CE8"/>
    <w:rsid w:val="002B23E9"/>
    <w:rsid w:val="002D7F12"/>
    <w:rsid w:val="002E6644"/>
    <w:rsid w:val="00306A88"/>
    <w:rsid w:val="0033726C"/>
    <w:rsid w:val="003646B7"/>
    <w:rsid w:val="0037489F"/>
    <w:rsid w:val="00381655"/>
    <w:rsid w:val="00381AF7"/>
    <w:rsid w:val="003A00F9"/>
    <w:rsid w:val="003A39D3"/>
    <w:rsid w:val="003B6E27"/>
    <w:rsid w:val="003B7837"/>
    <w:rsid w:val="003B7FEF"/>
    <w:rsid w:val="003C191F"/>
    <w:rsid w:val="003C2026"/>
    <w:rsid w:val="003D07B3"/>
    <w:rsid w:val="003D54F3"/>
    <w:rsid w:val="003D7592"/>
    <w:rsid w:val="003E1306"/>
    <w:rsid w:val="003E56E2"/>
    <w:rsid w:val="003F6120"/>
    <w:rsid w:val="00416692"/>
    <w:rsid w:val="0042490D"/>
    <w:rsid w:val="00442E9A"/>
    <w:rsid w:val="004674F4"/>
    <w:rsid w:val="00473B2E"/>
    <w:rsid w:val="00482573"/>
    <w:rsid w:val="00487C96"/>
    <w:rsid w:val="00496920"/>
    <w:rsid w:val="004A05DD"/>
    <w:rsid w:val="004B5873"/>
    <w:rsid w:val="004C1412"/>
    <w:rsid w:val="004C640C"/>
    <w:rsid w:val="004C76BB"/>
    <w:rsid w:val="004D67CF"/>
    <w:rsid w:val="004D7AB8"/>
    <w:rsid w:val="004F096F"/>
    <w:rsid w:val="004F412C"/>
    <w:rsid w:val="004F4577"/>
    <w:rsid w:val="004F6F8E"/>
    <w:rsid w:val="004F727E"/>
    <w:rsid w:val="0050627D"/>
    <w:rsid w:val="005220DA"/>
    <w:rsid w:val="0055145F"/>
    <w:rsid w:val="00551DA4"/>
    <w:rsid w:val="00570DE9"/>
    <w:rsid w:val="00570E38"/>
    <w:rsid w:val="00572F37"/>
    <w:rsid w:val="0058536C"/>
    <w:rsid w:val="00586278"/>
    <w:rsid w:val="005A5821"/>
    <w:rsid w:val="005B5B73"/>
    <w:rsid w:val="005C5486"/>
    <w:rsid w:val="005C7CA3"/>
    <w:rsid w:val="005D1618"/>
    <w:rsid w:val="005D437C"/>
    <w:rsid w:val="005E64E2"/>
    <w:rsid w:val="005F03E7"/>
    <w:rsid w:val="0060682D"/>
    <w:rsid w:val="00615E8D"/>
    <w:rsid w:val="00623A44"/>
    <w:rsid w:val="00623F1E"/>
    <w:rsid w:val="006318C4"/>
    <w:rsid w:val="00637EA9"/>
    <w:rsid w:val="006539D1"/>
    <w:rsid w:val="006573B2"/>
    <w:rsid w:val="0066584F"/>
    <w:rsid w:val="00671A3E"/>
    <w:rsid w:val="00676CF9"/>
    <w:rsid w:val="00687E18"/>
    <w:rsid w:val="006A4E3F"/>
    <w:rsid w:val="006B34AB"/>
    <w:rsid w:val="006B47FB"/>
    <w:rsid w:val="006C0D19"/>
    <w:rsid w:val="006E2554"/>
    <w:rsid w:val="006F16D9"/>
    <w:rsid w:val="00702283"/>
    <w:rsid w:val="00710F59"/>
    <w:rsid w:val="0072610A"/>
    <w:rsid w:val="007330AA"/>
    <w:rsid w:val="00733FFA"/>
    <w:rsid w:val="00747923"/>
    <w:rsid w:val="0075415F"/>
    <w:rsid w:val="00771FD2"/>
    <w:rsid w:val="00784FC6"/>
    <w:rsid w:val="0079707E"/>
    <w:rsid w:val="007C5A6F"/>
    <w:rsid w:val="007D266D"/>
    <w:rsid w:val="007F09DE"/>
    <w:rsid w:val="007F531A"/>
    <w:rsid w:val="00806584"/>
    <w:rsid w:val="0080678C"/>
    <w:rsid w:val="0081005C"/>
    <w:rsid w:val="00811DF6"/>
    <w:rsid w:val="0081426B"/>
    <w:rsid w:val="00815190"/>
    <w:rsid w:val="0083621C"/>
    <w:rsid w:val="008377CF"/>
    <w:rsid w:val="0085621B"/>
    <w:rsid w:val="00876F15"/>
    <w:rsid w:val="00885876"/>
    <w:rsid w:val="00890997"/>
    <w:rsid w:val="00894566"/>
    <w:rsid w:val="008A69E7"/>
    <w:rsid w:val="008E0580"/>
    <w:rsid w:val="008F5FEC"/>
    <w:rsid w:val="00901283"/>
    <w:rsid w:val="009032A2"/>
    <w:rsid w:val="009046CE"/>
    <w:rsid w:val="00906780"/>
    <w:rsid w:val="00911DB4"/>
    <w:rsid w:val="0091368C"/>
    <w:rsid w:val="009155B3"/>
    <w:rsid w:val="00934391"/>
    <w:rsid w:val="009345FF"/>
    <w:rsid w:val="0094196D"/>
    <w:rsid w:val="009539DE"/>
    <w:rsid w:val="0096129A"/>
    <w:rsid w:val="009668F5"/>
    <w:rsid w:val="00993C54"/>
    <w:rsid w:val="009A0C52"/>
    <w:rsid w:val="009A2C97"/>
    <w:rsid w:val="009A775B"/>
    <w:rsid w:val="009D3AA1"/>
    <w:rsid w:val="009F1AFE"/>
    <w:rsid w:val="009F21F3"/>
    <w:rsid w:val="00A02211"/>
    <w:rsid w:val="00A233E3"/>
    <w:rsid w:val="00A249D3"/>
    <w:rsid w:val="00A4392B"/>
    <w:rsid w:val="00A55860"/>
    <w:rsid w:val="00A64AAB"/>
    <w:rsid w:val="00A66AEF"/>
    <w:rsid w:val="00A6778C"/>
    <w:rsid w:val="00A722C6"/>
    <w:rsid w:val="00A85333"/>
    <w:rsid w:val="00A941A2"/>
    <w:rsid w:val="00AA1B29"/>
    <w:rsid w:val="00AA1EB5"/>
    <w:rsid w:val="00AB7710"/>
    <w:rsid w:val="00AC2738"/>
    <w:rsid w:val="00AC468B"/>
    <w:rsid w:val="00AC64E5"/>
    <w:rsid w:val="00AD54B8"/>
    <w:rsid w:val="00AD77B9"/>
    <w:rsid w:val="00AE765C"/>
    <w:rsid w:val="00B07D31"/>
    <w:rsid w:val="00B24E35"/>
    <w:rsid w:val="00B357D0"/>
    <w:rsid w:val="00B371D3"/>
    <w:rsid w:val="00B425F5"/>
    <w:rsid w:val="00B448E2"/>
    <w:rsid w:val="00B55FB0"/>
    <w:rsid w:val="00B6787A"/>
    <w:rsid w:val="00B7365A"/>
    <w:rsid w:val="00B76C92"/>
    <w:rsid w:val="00BA4E58"/>
    <w:rsid w:val="00BB4B61"/>
    <w:rsid w:val="00BC21BB"/>
    <w:rsid w:val="00BE5B48"/>
    <w:rsid w:val="00C0305D"/>
    <w:rsid w:val="00C03369"/>
    <w:rsid w:val="00C227E9"/>
    <w:rsid w:val="00C5600B"/>
    <w:rsid w:val="00C6235E"/>
    <w:rsid w:val="00C710F4"/>
    <w:rsid w:val="00C73FEB"/>
    <w:rsid w:val="00C74CEB"/>
    <w:rsid w:val="00C95538"/>
    <w:rsid w:val="00C95E47"/>
    <w:rsid w:val="00C96DAC"/>
    <w:rsid w:val="00CA1C8C"/>
    <w:rsid w:val="00CB3038"/>
    <w:rsid w:val="00CD41C6"/>
    <w:rsid w:val="00CE5D39"/>
    <w:rsid w:val="00CF2A68"/>
    <w:rsid w:val="00CF4926"/>
    <w:rsid w:val="00CF676E"/>
    <w:rsid w:val="00D04205"/>
    <w:rsid w:val="00D058FC"/>
    <w:rsid w:val="00D14C69"/>
    <w:rsid w:val="00D205D2"/>
    <w:rsid w:val="00D30582"/>
    <w:rsid w:val="00D31D28"/>
    <w:rsid w:val="00D339C4"/>
    <w:rsid w:val="00D351E9"/>
    <w:rsid w:val="00D65407"/>
    <w:rsid w:val="00D72B4D"/>
    <w:rsid w:val="00D76A61"/>
    <w:rsid w:val="00D8124F"/>
    <w:rsid w:val="00D93B62"/>
    <w:rsid w:val="00D96F52"/>
    <w:rsid w:val="00DA401E"/>
    <w:rsid w:val="00DB1E48"/>
    <w:rsid w:val="00DB4863"/>
    <w:rsid w:val="00DC426D"/>
    <w:rsid w:val="00DD0412"/>
    <w:rsid w:val="00DD047F"/>
    <w:rsid w:val="00E000D1"/>
    <w:rsid w:val="00E064E7"/>
    <w:rsid w:val="00E07CDE"/>
    <w:rsid w:val="00E116F6"/>
    <w:rsid w:val="00E154F8"/>
    <w:rsid w:val="00E31677"/>
    <w:rsid w:val="00E436C3"/>
    <w:rsid w:val="00E521A9"/>
    <w:rsid w:val="00E52210"/>
    <w:rsid w:val="00E7209E"/>
    <w:rsid w:val="00E917F2"/>
    <w:rsid w:val="00E93F08"/>
    <w:rsid w:val="00E95976"/>
    <w:rsid w:val="00E962F3"/>
    <w:rsid w:val="00E96D64"/>
    <w:rsid w:val="00EA1DD6"/>
    <w:rsid w:val="00EA3384"/>
    <w:rsid w:val="00EC0F3E"/>
    <w:rsid w:val="00ED4B0C"/>
    <w:rsid w:val="00EF0B29"/>
    <w:rsid w:val="00F05B26"/>
    <w:rsid w:val="00F120A9"/>
    <w:rsid w:val="00F1379C"/>
    <w:rsid w:val="00F142CE"/>
    <w:rsid w:val="00F21AB8"/>
    <w:rsid w:val="00F45063"/>
    <w:rsid w:val="00F958FE"/>
    <w:rsid w:val="00F95D36"/>
    <w:rsid w:val="00F97423"/>
    <w:rsid w:val="00FC34DE"/>
    <w:rsid w:val="00FE6D3F"/>
    <w:rsid w:val="00FE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8CD6AD"/>
  <w15:docId w15:val="{35EFAF9A-D709-480C-B195-1EA3B12B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CHA Heading 1"/>
    <w:basedOn w:val="Normal"/>
    <w:next w:val="Normal"/>
    <w:link w:val="Heading1Char"/>
    <w:qFormat/>
    <w:rsid w:val="008858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ECHA Heading 2"/>
    <w:basedOn w:val="Normal"/>
    <w:next w:val="Normal"/>
    <w:link w:val="Heading2Char"/>
    <w:unhideWhenUsed/>
    <w:qFormat/>
    <w:rsid w:val="008858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ECHA Heading 3"/>
    <w:basedOn w:val="Normal"/>
    <w:next w:val="Normal"/>
    <w:link w:val="Heading3Char"/>
    <w:unhideWhenUsed/>
    <w:qFormat/>
    <w:rsid w:val="005C54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ECHA Heading 4"/>
    <w:basedOn w:val="Heading3"/>
    <w:next w:val="BodyText"/>
    <w:link w:val="Heading4Char"/>
    <w:qFormat/>
    <w:rsid w:val="00233E2A"/>
    <w:pPr>
      <w:widowControl w:val="0"/>
      <w:spacing w:before="0" w:after="240" w:line="240" w:lineRule="auto"/>
      <w:ind w:left="142"/>
      <w:outlineLvl w:val="3"/>
    </w:pPr>
    <w:rPr>
      <w:rFonts w:ascii="Verdana" w:eastAsia="Times New Roman" w:hAnsi="Verdana" w:cs="Arial"/>
      <w:snapToGrid w:val="0"/>
      <w:color w:val="000000"/>
      <w:sz w:val="22"/>
      <w:szCs w:val="28"/>
      <w:lang w:eastAsia="fi-FI"/>
    </w:rPr>
  </w:style>
  <w:style w:type="paragraph" w:styleId="Heading5">
    <w:name w:val="heading 5"/>
    <w:aliases w:val="ECHA Heading 5"/>
    <w:basedOn w:val="Heading3"/>
    <w:next w:val="BodyText"/>
    <w:link w:val="Heading5Char"/>
    <w:qFormat/>
    <w:rsid w:val="00233E2A"/>
    <w:pPr>
      <w:widowControl w:val="0"/>
      <w:spacing w:before="0" w:after="240" w:line="240" w:lineRule="auto"/>
      <w:ind w:left="2410"/>
      <w:outlineLvl w:val="4"/>
    </w:pPr>
    <w:rPr>
      <w:rFonts w:ascii="Verdana" w:eastAsia="Times New Roman" w:hAnsi="Verdana" w:cs="Arial"/>
      <w:b/>
      <w:iCs/>
      <w:snapToGrid w:val="0"/>
      <w:color w:val="000000"/>
      <w:sz w:val="20"/>
      <w:szCs w:val="26"/>
      <w:lang w:eastAsia="fi-FI"/>
    </w:rPr>
  </w:style>
  <w:style w:type="paragraph" w:styleId="Heading6">
    <w:name w:val="heading 6"/>
    <w:aliases w:val="ECHA Heading 6"/>
    <w:basedOn w:val="Heading5"/>
    <w:next w:val="BodyText"/>
    <w:link w:val="Heading6Char"/>
    <w:qFormat/>
    <w:rsid w:val="00233E2A"/>
    <w:pPr>
      <w:ind w:left="0"/>
      <w:outlineLvl w:val="5"/>
    </w:pPr>
    <w:rPr>
      <w:bCs/>
      <w:szCs w:val="22"/>
    </w:rPr>
  </w:style>
  <w:style w:type="paragraph" w:styleId="Heading7">
    <w:name w:val="heading 7"/>
    <w:aliases w:val="ECHA Heading 7"/>
    <w:basedOn w:val="Heading5"/>
    <w:next w:val="BodyText"/>
    <w:link w:val="Heading7Char"/>
    <w:qFormat/>
    <w:rsid w:val="00233E2A"/>
    <w:pPr>
      <w:ind w:left="0"/>
      <w:outlineLvl w:val="6"/>
    </w:pPr>
    <w:rPr>
      <w:szCs w:val="24"/>
    </w:rPr>
  </w:style>
  <w:style w:type="paragraph" w:styleId="Heading8">
    <w:name w:val="heading 8"/>
    <w:aliases w:val="ECHA Heading 8"/>
    <w:basedOn w:val="Heading5"/>
    <w:next w:val="BodyText"/>
    <w:link w:val="Heading8Char"/>
    <w:qFormat/>
    <w:rsid w:val="00233E2A"/>
    <w:pPr>
      <w:ind w:left="0"/>
      <w:outlineLvl w:val="7"/>
    </w:pPr>
    <w:rPr>
      <w:iCs w:val="0"/>
      <w:szCs w:val="24"/>
    </w:rPr>
  </w:style>
  <w:style w:type="paragraph" w:styleId="Heading9">
    <w:name w:val="heading 9"/>
    <w:aliases w:val="ECHA Heading 9"/>
    <w:basedOn w:val="Heading5"/>
    <w:next w:val="BodyText"/>
    <w:link w:val="Heading9Char"/>
    <w:qFormat/>
    <w:rsid w:val="00233E2A"/>
    <w:pPr>
      <w:ind w:left="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C6"/>
    <w:pPr>
      <w:widowControl w:val="0"/>
      <w:spacing w:after="0" w:line="240" w:lineRule="auto"/>
      <w:ind w:left="720"/>
      <w:contextualSpacing/>
    </w:pPr>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CD41C6"/>
    <w:rPr>
      <w:rFonts w:ascii="Verdana" w:hAnsi="Verdana"/>
      <w:color w:val="0000FF"/>
      <w:sz w:val="20"/>
      <w:u w:val="single"/>
    </w:rPr>
  </w:style>
  <w:style w:type="paragraph" w:styleId="Title">
    <w:name w:val="Title"/>
    <w:aliases w:val="ECHA Heading"/>
    <w:basedOn w:val="Normal"/>
    <w:next w:val="Normal"/>
    <w:link w:val="TitleChar"/>
    <w:qFormat/>
    <w:rsid w:val="008858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ECHA Heading Char"/>
    <w:basedOn w:val="DefaultParagraphFont"/>
    <w:link w:val="Title"/>
    <w:rsid w:val="00885876"/>
    <w:rPr>
      <w:rFonts w:asciiTheme="majorHAnsi" w:eastAsiaTheme="majorEastAsia" w:hAnsiTheme="majorHAnsi" w:cstheme="majorBidi"/>
      <w:spacing w:val="-10"/>
      <w:kern w:val="28"/>
      <w:sz w:val="56"/>
      <w:szCs w:val="56"/>
    </w:rPr>
  </w:style>
  <w:style w:type="character" w:customStyle="1" w:styleId="Heading1Char">
    <w:name w:val="Heading 1 Char"/>
    <w:aliases w:val="ECHA Heading 1 Char"/>
    <w:basedOn w:val="DefaultParagraphFont"/>
    <w:link w:val="Heading1"/>
    <w:rsid w:val="00885876"/>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ECHA Heading 2 Char"/>
    <w:basedOn w:val="DefaultParagraphFont"/>
    <w:link w:val="Heading2"/>
    <w:rsid w:val="0088587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51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DA4"/>
  </w:style>
  <w:style w:type="paragraph" w:styleId="Footer">
    <w:name w:val="footer"/>
    <w:basedOn w:val="Normal"/>
    <w:link w:val="FooterChar"/>
    <w:uiPriority w:val="99"/>
    <w:unhideWhenUsed/>
    <w:rsid w:val="00551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DA4"/>
  </w:style>
  <w:style w:type="paragraph" w:styleId="TOCHeading">
    <w:name w:val="TOC Heading"/>
    <w:basedOn w:val="Heading1"/>
    <w:next w:val="Normal"/>
    <w:uiPriority w:val="39"/>
    <w:unhideWhenUsed/>
    <w:qFormat/>
    <w:rsid w:val="00676CF9"/>
    <w:pPr>
      <w:outlineLvl w:val="9"/>
    </w:pPr>
    <w:rPr>
      <w:lang w:val="en-US"/>
    </w:rPr>
  </w:style>
  <w:style w:type="paragraph" w:styleId="TOC1">
    <w:name w:val="toc 1"/>
    <w:basedOn w:val="Normal"/>
    <w:next w:val="Normal"/>
    <w:autoRedefine/>
    <w:uiPriority w:val="39"/>
    <w:unhideWhenUsed/>
    <w:rsid w:val="00676CF9"/>
    <w:pPr>
      <w:spacing w:after="100"/>
    </w:pPr>
  </w:style>
  <w:style w:type="paragraph" w:styleId="TOC2">
    <w:name w:val="toc 2"/>
    <w:basedOn w:val="Normal"/>
    <w:next w:val="Normal"/>
    <w:autoRedefine/>
    <w:uiPriority w:val="39"/>
    <w:unhideWhenUsed/>
    <w:rsid w:val="00676CF9"/>
    <w:pPr>
      <w:spacing w:after="100"/>
      <w:ind w:left="220"/>
    </w:pPr>
  </w:style>
  <w:style w:type="table" w:styleId="TableGrid">
    <w:name w:val="Table Grid"/>
    <w:basedOn w:val="TableNormal"/>
    <w:rsid w:val="001C2809"/>
    <w:pPr>
      <w:widowControl w:val="0"/>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2809"/>
    <w:rPr>
      <w:b/>
      <w:bCs/>
    </w:rPr>
  </w:style>
  <w:style w:type="character" w:customStyle="1" w:styleId="maintitle">
    <w:name w:val="maintitle"/>
    <w:basedOn w:val="DefaultParagraphFont"/>
    <w:rsid w:val="004C640C"/>
  </w:style>
  <w:style w:type="paragraph" w:styleId="NoSpacing">
    <w:name w:val="No Spacing"/>
    <w:link w:val="NoSpacingChar"/>
    <w:uiPriority w:val="1"/>
    <w:qFormat/>
    <w:rsid w:val="004C640C"/>
    <w:pPr>
      <w:spacing w:after="0" w:line="240" w:lineRule="auto"/>
    </w:pPr>
  </w:style>
  <w:style w:type="paragraph" w:styleId="BalloonText">
    <w:name w:val="Balloon Text"/>
    <w:basedOn w:val="Normal"/>
    <w:link w:val="BalloonTextChar"/>
    <w:uiPriority w:val="99"/>
    <w:semiHidden/>
    <w:unhideWhenUsed/>
    <w:rsid w:val="0093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F"/>
    <w:rPr>
      <w:rFonts w:ascii="Tahoma" w:hAnsi="Tahoma" w:cs="Tahoma"/>
      <w:sz w:val="16"/>
      <w:szCs w:val="16"/>
    </w:rPr>
  </w:style>
  <w:style w:type="character" w:styleId="CommentReference">
    <w:name w:val="annotation reference"/>
    <w:basedOn w:val="DefaultParagraphFont"/>
    <w:uiPriority w:val="99"/>
    <w:semiHidden/>
    <w:unhideWhenUsed/>
    <w:rsid w:val="00AA1B29"/>
    <w:rPr>
      <w:sz w:val="16"/>
      <w:szCs w:val="16"/>
    </w:rPr>
  </w:style>
  <w:style w:type="paragraph" w:styleId="CommentText">
    <w:name w:val="annotation text"/>
    <w:basedOn w:val="Normal"/>
    <w:link w:val="CommentTextChar"/>
    <w:uiPriority w:val="99"/>
    <w:unhideWhenUsed/>
    <w:rsid w:val="00AA1B29"/>
    <w:pPr>
      <w:spacing w:line="240" w:lineRule="auto"/>
    </w:pPr>
    <w:rPr>
      <w:sz w:val="20"/>
      <w:szCs w:val="20"/>
    </w:rPr>
  </w:style>
  <w:style w:type="character" w:customStyle="1" w:styleId="CommentTextChar">
    <w:name w:val="Comment Text Char"/>
    <w:basedOn w:val="DefaultParagraphFont"/>
    <w:link w:val="CommentText"/>
    <w:uiPriority w:val="99"/>
    <w:rsid w:val="00AA1B29"/>
    <w:rPr>
      <w:sz w:val="20"/>
      <w:szCs w:val="20"/>
    </w:rPr>
  </w:style>
  <w:style w:type="paragraph" w:styleId="CommentSubject">
    <w:name w:val="annotation subject"/>
    <w:basedOn w:val="CommentText"/>
    <w:next w:val="CommentText"/>
    <w:link w:val="CommentSubjectChar"/>
    <w:uiPriority w:val="99"/>
    <w:semiHidden/>
    <w:unhideWhenUsed/>
    <w:rsid w:val="00AA1B29"/>
    <w:rPr>
      <w:b/>
      <w:bCs/>
    </w:rPr>
  </w:style>
  <w:style w:type="character" w:customStyle="1" w:styleId="CommentSubjectChar">
    <w:name w:val="Comment Subject Char"/>
    <w:basedOn w:val="CommentTextChar"/>
    <w:link w:val="CommentSubject"/>
    <w:uiPriority w:val="99"/>
    <w:semiHidden/>
    <w:rsid w:val="00AA1B29"/>
    <w:rPr>
      <w:b/>
      <w:bCs/>
      <w:sz w:val="20"/>
      <w:szCs w:val="20"/>
    </w:rPr>
  </w:style>
  <w:style w:type="character" w:styleId="FollowedHyperlink">
    <w:name w:val="FollowedHyperlink"/>
    <w:basedOn w:val="DefaultParagraphFont"/>
    <w:uiPriority w:val="99"/>
    <w:semiHidden/>
    <w:unhideWhenUsed/>
    <w:rsid w:val="00C5600B"/>
    <w:rPr>
      <w:color w:val="954F72" w:themeColor="followedHyperlink"/>
      <w:u w:val="single"/>
    </w:rPr>
  </w:style>
  <w:style w:type="character" w:styleId="LineNumber">
    <w:name w:val="line number"/>
    <w:basedOn w:val="DefaultParagraphFont"/>
    <w:uiPriority w:val="99"/>
    <w:semiHidden/>
    <w:unhideWhenUsed/>
    <w:rsid w:val="0072610A"/>
  </w:style>
  <w:style w:type="character" w:customStyle="1" w:styleId="A1">
    <w:name w:val="A1"/>
    <w:uiPriority w:val="99"/>
    <w:rsid w:val="001D6A14"/>
    <w:rPr>
      <w:rFonts w:cs="Simain Text Orangutan"/>
      <w:color w:val="000000"/>
      <w:sz w:val="55"/>
      <w:szCs w:val="55"/>
    </w:rPr>
  </w:style>
  <w:style w:type="character" w:customStyle="1" w:styleId="NoSpacingChar">
    <w:name w:val="No Spacing Char"/>
    <w:basedOn w:val="DefaultParagraphFont"/>
    <w:link w:val="NoSpacing"/>
    <w:uiPriority w:val="1"/>
    <w:rsid w:val="00637EA9"/>
  </w:style>
  <w:style w:type="character" w:customStyle="1" w:styleId="Heading3Char">
    <w:name w:val="Heading 3 Char"/>
    <w:aliases w:val="ECHA Heading 3 Char"/>
    <w:basedOn w:val="DefaultParagraphFont"/>
    <w:link w:val="Heading3"/>
    <w:rsid w:val="005C5486"/>
    <w:rPr>
      <w:rFonts w:asciiTheme="majorHAnsi" w:eastAsiaTheme="majorEastAsia" w:hAnsiTheme="majorHAnsi" w:cstheme="majorBidi"/>
      <w:color w:val="1F4D78" w:themeColor="accent1" w:themeShade="7F"/>
      <w:sz w:val="24"/>
      <w:szCs w:val="24"/>
    </w:rPr>
  </w:style>
  <w:style w:type="character" w:customStyle="1" w:styleId="current-selection">
    <w:name w:val="current-selection"/>
    <w:basedOn w:val="DefaultParagraphFont"/>
    <w:rsid w:val="00890997"/>
  </w:style>
  <w:style w:type="paragraph" w:styleId="NormalWeb">
    <w:name w:val="Normal (Web)"/>
    <w:basedOn w:val="Normal"/>
    <w:uiPriority w:val="99"/>
    <w:unhideWhenUsed/>
    <w:rsid w:val="00ED4B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ED4B0C"/>
    <w:rPr>
      <w:i/>
      <w:iCs/>
    </w:rPr>
  </w:style>
  <w:style w:type="character" w:customStyle="1" w:styleId="groupname">
    <w:name w:val="groupname"/>
    <w:basedOn w:val="DefaultParagraphFont"/>
    <w:rsid w:val="00ED4B0C"/>
  </w:style>
  <w:style w:type="character" w:customStyle="1" w:styleId="articletitle">
    <w:name w:val="articletitle"/>
    <w:basedOn w:val="DefaultParagraphFont"/>
    <w:rsid w:val="00ED4B0C"/>
  </w:style>
  <w:style w:type="character" w:customStyle="1" w:styleId="journaltitle">
    <w:name w:val="journaltitle"/>
    <w:basedOn w:val="DefaultParagraphFont"/>
    <w:rsid w:val="00ED4B0C"/>
  </w:style>
  <w:style w:type="character" w:customStyle="1" w:styleId="pubyear">
    <w:name w:val="pubyear"/>
    <w:basedOn w:val="DefaultParagraphFont"/>
    <w:rsid w:val="00ED4B0C"/>
  </w:style>
  <w:style w:type="character" w:customStyle="1" w:styleId="vol">
    <w:name w:val="vol"/>
    <w:basedOn w:val="DefaultParagraphFont"/>
    <w:rsid w:val="00ED4B0C"/>
  </w:style>
  <w:style w:type="character" w:customStyle="1" w:styleId="citedissue">
    <w:name w:val="citedissue"/>
    <w:basedOn w:val="DefaultParagraphFont"/>
    <w:rsid w:val="00ED4B0C"/>
  </w:style>
  <w:style w:type="character" w:customStyle="1" w:styleId="linkinfo">
    <w:name w:val="link_info"/>
    <w:basedOn w:val="DefaultParagraphFont"/>
    <w:rsid w:val="00173404"/>
  </w:style>
  <w:style w:type="character" w:customStyle="1" w:styleId="Heading4Char">
    <w:name w:val="Heading 4 Char"/>
    <w:aliases w:val="ECHA Heading 4 Char"/>
    <w:basedOn w:val="DefaultParagraphFont"/>
    <w:link w:val="Heading4"/>
    <w:rsid w:val="00233E2A"/>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233E2A"/>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233E2A"/>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233E2A"/>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233E2A"/>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233E2A"/>
    <w:rPr>
      <w:rFonts w:ascii="Verdana" w:eastAsia="Times New Roman" w:hAnsi="Verdana" w:cs="Arial"/>
      <w:b/>
      <w:iCs/>
      <w:snapToGrid w:val="0"/>
      <w:color w:val="000000"/>
      <w:sz w:val="20"/>
      <w:lang w:eastAsia="fi-FI"/>
    </w:rPr>
  </w:style>
  <w:style w:type="paragraph" w:styleId="BodyText">
    <w:name w:val="Body Text"/>
    <w:aliases w:val="Text"/>
    <w:basedOn w:val="Normal"/>
    <w:link w:val="BodyTextChar"/>
    <w:rsid w:val="00233E2A"/>
    <w:pPr>
      <w:widowControl w:val="0"/>
      <w:spacing w:after="240" w:line="240" w:lineRule="auto"/>
    </w:pPr>
    <w:rPr>
      <w:rFonts w:ascii="Verdana" w:eastAsia="Times New Roman" w:hAnsi="Verdana" w:cs="Times New Roman"/>
      <w:snapToGrid w:val="0"/>
      <w:sz w:val="20"/>
      <w:szCs w:val="20"/>
      <w:lang w:eastAsia="fi-FI"/>
    </w:rPr>
  </w:style>
  <w:style w:type="character" w:customStyle="1" w:styleId="BodyTextChar">
    <w:name w:val="Body Text Char"/>
    <w:aliases w:val="Text Char"/>
    <w:basedOn w:val="DefaultParagraphFont"/>
    <w:link w:val="BodyText"/>
    <w:rsid w:val="00233E2A"/>
    <w:rPr>
      <w:rFonts w:ascii="Verdana" w:eastAsia="Times New Roman" w:hAnsi="Verdana" w:cs="Times New Roman"/>
      <w:snapToGrid w:val="0"/>
      <w:sz w:val="20"/>
      <w:szCs w:val="20"/>
      <w:lang w:eastAsia="fi-FI"/>
    </w:rPr>
  </w:style>
  <w:style w:type="paragraph" w:customStyle="1" w:styleId="Default">
    <w:name w:val="Default"/>
    <w:rsid w:val="00233E2A"/>
    <w:pPr>
      <w:autoSpaceDE w:val="0"/>
      <w:autoSpaceDN w:val="0"/>
      <w:adjustRightInd w:val="0"/>
      <w:spacing w:after="0" w:line="240" w:lineRule="auto"/>
    </w:pPr>
    <w:rPr>
      <w:rFonts w:ascii="Verdana" w:eastAsia="Times New Roman" w:hAnsi="Verdana" w:cs="Verdana"/>
      <w:color w:val="000000"/>
      <w:sz w:val="24"/>
      <w:szCs w:val="24"/>
      <w:lang w:val="sv-SE" w:eastAsia="sv-SE"/>
    </w:rPr>
  </w:style>
  <w:style w:type="paragraph" w:styleId="Revision">
    <w:name w:val="Revision"/>
    <w:hidden/>
    <w:uiPriority w:val="99"/>
    <w:semiHidden/>
    <w:rsid w:val="00233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0311">
      <w:bodyDiv w:val="1"/>
      <w:marLeft w:val="0"/>
      <w:marRight w:val="0"/>
      <w:marTop w:val="0"/>
      <w:marBottom w:val="0"/>
      <w:divBdr>
        <w:top w:val="none" w:sz="0" w:space="0" w:color="auto"/>
        <w:left w:val="none" w:sz="0" w:space="0" w:color="auto"/>
        <w:bottom w:val="none" w:sz="0" w:space="0" w:color="auto"/>
        <w:right w:val="none" w:sz="0" w:space="0" w:color="auto"/>
      </w:divBdr>
    </w:div>
    <w:div w:id="678701914">
      <w:bodyDiv w:val="1"/>
      <w:marLeft w:val="0"/>
      <w:marRight w:val="0"/>
      <w:marTop w:val="0"/>
      <w:marBottom w:val="0"/>
      <w:divBdr>
        <w:top w:val="none" w:sz="0" w:space="0" w:color="auto"/>
        <w:left w:val="none" w:sz="0" w:space="0" w:color="auto"/>
        <w:bottom w:val="none" w:sz="0" w:space="0" w:color="auto"/>
        <w:right w:val="none" w:sz="0" w:space="0" w:color="auto"/>
      </w:divBdr>
      <w:divsChild>
        <w:div w:id="729034302">
          <w:marLeft w:val="0"/>
          <w:marRight w:val="0"/>
          <w:marTop w:val="0"/>
          <w:marBottom w:val="0"/>
          <w:divBdr>
            <w:top w:val="none" w:sz="0" w:space="0" w:color="auto"/>
            <w:left w:val="none" w:sz="0" w:space="0" w:color="auto"/>
            <w:bottom w:val="none" w:sz="0" w:space="0" w:color="auto"/>
            <w:right w:val="none" w:sz="0" w:space="0" w:color="auto"/>
          </w:divBdr>
        </w:div>
        <w:div w:id="73861931">
          <w:marLeft w:val="0"/>
          <w:marRight w:val="0"/>
          <w:marTop w:val="0"/>
          <w:marBottom w:val="0"/>
          <w:divBdr>
            <w:top w:val="none" w:sz="0" w:space="0" w:color="auto"/>
            <w:left w:val="none" w:sz="0" w:space="0" w:color="auto"/>
            <w:bottom w:val="none" w:sz="0" w:space="0" w:color="auto"/>
            <w:right w:val="none" w:sz="0" w:space="0" w:color="auto"/>
          </w:divBdr>
        </w:div>
        <w:div w:id="48303775">
          <w:marLeft w:val="0"/>
          <w:marRight w:val="0"/>
          <w:marTop w:val="0"/>
          <w:marBottom w:val="0"/>
          <w:divBdr>
            <w:top w:val="none" w:sz="0" w:space="0" w:color="auto"/>
            <w:left w:val="none" w:sz="0" w:space="0" w:color="auto"/>
            <w:bottom w:val="none" w:sz="0" w:space="0" w:color="auto"/>
            <w:right w:val="none" w:sz="0" w:space="0" w:color="auto"/>
          </w:divBdr>
        </w:div>
        <w:div w:id="1984196060">
          <w:marLeft w:val="0"/>
          <w:marRight w:val="0"/>
          <w:marTop w:val="0"/>
          <w:marBottom w:val="0"/>
          <w:divBdr>
            <w:top w:val="none" w:sz="0" w:space="0" w:color="auto"/>
            <w:left w:val="none" w:sz="0" w:space="0" w:color="auto"/>
            <w:bottom w:val="none" w:sz="0" w:space="0" w:color="auto"/>
            <w:right w:val="none" w:sz="0" w:space="0" w:color="auto"/>
          </w:divBdr>
        </w:div>
        <w:div w:id="654183392">
          <w:marLeft w:val="0"/>
          <w:marRight w:val="0"/>
          <w:marTop w:val="0"/>
          <w:marBottom w:val="0"/>
          <w:divBdr>
            <w:top w:val="none" w:sz="0" w:space="0" w:color="auto"/>
            <w:left w:val="none" w:sz="0" w:space="0" w:color="auto"/>
            <w:bottom w:val="none" w:sz="0" w:space="0" w:color="auto"/>
            <w:right w:val="none" w:sz="0" w:space="0" w:color="auto"/>
          </w:divBdr>
        </w:div>
      </w:divsChild>
    </w:div>
    <w:div w:id="757481501">
      <w:bodyDiv w:val="1"/>
      <w:marLeft w:val="0"/>
      <w:marRight w:val="0"/>
      <w:marTop w:val="0"/>
      <w:marBottom w:val="0"/>
      <w:divBdr>
        <w:top w:val="none" w:sz="0" w:space="0" w:color="auto"/>
        <w:left w:val="none" w:sz="0" w:space="0" w:color="auto"/>
        <w:bottom w:val="none" w:sz="0" w:space="0" w:color="auto"/>
        <w:right w:val="none" w:sz="0" w:space="0" w:color="auto"/>
      </w:divBdr>
      <w:divsChild>
        <w:div w:id="1824468473">
          <w:marLeft w:val="0"/>
          <w:marRight w:val="0"/>
          <w:marTop w:val="0"/>
          <w:marBottom w:val="0"/>
          <w:divBdr>
            <w:top w:val="none" w:sz="0" w:space="0" w:color="auto"/>
            <w:left w:val="none" w:sz="0" w:space="0" w:color="auto"/>
            <w:bottom w:val="none" w:sz="0" w:space="0" w:color="auto"/>
            <w:right w:val="none" w:sz="0" w:space="0" w:color="auto"/>
          </w:divBdr>
        </w:div>
        <w:div w:id="764156882">
          <w:marLeft w:val="0"/>
          <w:marRight w:val="0"/>
          <w:marTop w:val="0"/>
          <w:marBottom w:val="0"/>
          <w:divBdr>
            <w:top w:val="none" w:sz="0" w:space="0" w:color="auto"/>
            <w:left w:val="none" w:sz="0" w:space="0" w:color="auto"/>
            <w:bottom w:val="none" w:sz="0" w:space="0" w:color="auto"/>
            <w:right w:val="none" w:sz="0" w:space="0" w:color="auto"/>
          </w:divBdr>
        </w:div>
        <w:div w:id="1323462545">
          <w:marLeft w:val="0"/>
          <w:marRight w:val="0"/>
          <w:marTop w:val="0"/>
          <w:marBottom w:val="0"/>
          <w:divBdr>
            <w:top w:val="none" w:sz="0" w:space="0" w:color="auto"/>
            <w:left w:val="none" w:sz="0" w:space="0" w:color="auto"/>
            <w:bottom w:val="none" w:sz="0" w:space="0" w:color="auto"/>
            <w:right w:val="none" w:sz="0" w:space="0" w:color="auto"/>
          </w:divBdr>
        </w:div>
        <w:div w:id="1061100454">
          <w:marLeft w:val="0"/>
          <w:marRight w:val="0"/>
          <w:marTop w:val="0"/>
          <w:marBottom w:val="0"/>
          <w:divBdr>
            <w:top w:val="none" w:sz="0" w:space="0" w:color="auto"/>
            <w:left w:val="none" w:sz="0" w:space="0" w:color="auto"/>
            <w:bottom w:val="none" w:sz="0" w:space="0" w:color="auto"/>
            <w:right w:val="none" w:sz="0" w:space="0" w:color="auto"/>
          </w:divBdr>
        </w:div>
      </w:divsChild>
    </w:div>
    <w:div w:id="839736714">
      <w:bodyDiv w:val="1"/>
      <w:marLeft w:val="0"/>
      <w:marRight w:val="0"/>
      <w:marTop w:val="0"/>
      <w:marBottom w:val="0"/>
      <w:divBdr>
        <w:top w:val="none" w:sz="0" w:space="0" w:color="auto"/>
        <w:left w:val="none" w:sz="0" w:space="0" w:color="auto"/>
        <w:bottom w:val="none" w:sz="0" w:space="0" w:color="auto"/>
        <w:right w:val="none" w:sz="0" w:space="0" w:color="auto"/>
      </w:divBdr>
      <w:divsChild>
        <w:div w:id="1689019202">
          <w:marLeft w:val="0"/>
          <w:marRight w:val="0"/>
          <w:marTop w:val="0"/>
          <w:marBottom w:val="0"/>
          <w:divBdr>
            <w:top w:val="none" w:sz="0" w:space="0" w:color="auto"/>
            <w:left w:val="none" w:sz="0" w:space="0" w:color="auto"/>
            <w:bottom w:val="none" w:sz="0" w:space="0" w:color="auto"/>
            <w:right w:val="none" w:sz="0" w:space="0" w:color="auto"/>
          </w:divBdr>
        </w:div>
        <w:div w:id="177157654">
          <w:marLeft w:val="0"/>
          <w:marRight w:val="0"/>
          <w:marTop w:val="0"/>
          <w:marBottom w:val="0"/>
          <w:divBdr>
            <w:top w:val="none" w:sz="0" w:space="0" w:color="auto"/>
            <w:left w:val="none" w:sz="0" w:space="0" w:color="auto"/>
            <w:bottom w:val="none" w:sz="0" w:space="0" w:color="auto"/>
            <w:right w:val="none" w:sz="0" w:space="0" w:color="auto"/>
          </w:divBdr>
        </w:div>
        <w:div w:id="2092196639">
          <w:marLeft w:val="0"/>
          <w:marRight w:val="0"/>
          <w:marTop w:val="0"/>
          <w:marBottom w:val="0"/>
          <w:divBdr>
            <w:top w:val="none" w:sz="0" w:space="0" w:color="auto"/>
            <w:left w:val="none" w:sz="0" w:space="0" w:color="auto"/>
            <w:bottom w:val="none" w:sz="0" w:space="0" w:color="auto"/>
            <w:right w:val="none" w:sz="0" w:space="0" w:color="auto"/>
          </w:divBdr>
        </w:div>
      </w:divsChild>
    </w:div>
    <w:div w:id="1196236528">
      <w:bodyDiv w:val="1"/>
      <w:marLeft w:val="0"/>
      <w:marRight w:val="0"/>
      <w:marTop w:val="0"/>
      <w:marBottom w:val="0"/>
      <w:divBdr>
        <w:top w:val="none" w:sz="0" w:space="0" w:color="auto"/>
        <w:left w:val="none" w:sz="0" w:space="0" w:color="auto"/>
        <w:bottom w:val="none" w:sz="0" w:space="0" w:color="auto"/>
        <w:right w:val="none" w:sz="0" w:space="0" w:color="auto"/>
      </w:divBdr>
    </w:div>
    <w:div w:id="1204246938">
      <w:bodyDiv w:val="1"/>
      <w:marLeft w:val="0"/>
      <w:marRight w:val="0"/>
      <w:marTop w:val="0"/>
      <w:marBottom w:val="0"/>
      <w:divBdr>
        <w:top w:val="none" w:sz="0" w:space="0" w:color="auto"/>
        <w:left w:val="none" w:sz="0" w:space="0" w:color="auto"/>
        <w:bottom w:val="none" w:sz="0" w:space="0" w:color="auto"/>
        <w:right w:val="none" w:sz="0" w:space="0" w:color="auto"/>
      </w:divBdr>
      <w:divsChild>
        <w:div w:id="471559790">
          <w:marLeft w:val="0"/>
          <w:marRight w:val="0"/>
          <w:marTop w:val="0"/>
          <w:marBottom w:val="0"/>
          <w:divBdr>
            <w:top w:val="none" w:sz="0" w:space="0" w:color="auto"/>
            <w:left w:val="none" w:sz="0" w:space="0" w:color="auto"/>
            <w:bottom w:val="none" w:sz="0" w:space="0" w:color="auto"/>
            <w:right w:val="none" w:sz="0" w:space="0" w:color="auto"/>
          </w:divBdr>
        </w:div>
        <w:div w:id="257719099">
          <w:marLeft w:val="0"/>
          <w:marRight w:val="0"/>
          <w:marTop w:val="0"/>
          <w:marBottom w:val="0"/>
          <w:divBdr>
            <w:top w:val="none" w:sz="0" w:space="0" w:color="auto"/>
            <w:left w:val="none" w:sz="0" w:space="0" w:color="auto"/>
            <w:bottom w:val="none" w:sz="0" w:space="0" w:color="auto"/>
            <w:right w:val="none" w:sz="0" w:space="0" w:color="auto"/>
          </w:divBdr>
        </w:div>
        <w:div w:id="1080718737">
          <w:marLeft w:val="0"/>
          <w:marRight w:val="0"/>
          <w:marTop w:val="0"/>
          <w:marBottom w:val="0"/>
          <w:divBdr>
            <w:top w:val="none" w:sz="0" w:space="0" w:color="auto"/>
            <w:left w:val="none" w:sz="0" w:space="0" w:color="auto"/>
            <w:bottom w:val="none" w:sz="0" w:space="0" w:color="auto"/>
            <w:right w:val="none" w:sz="0" w:space="0" w:color="auto"/>
          </w:divBdr>
        </w:div>
        <w:div w:id="1640111163">
          <w:marLeft w:val="0"/>
          <w:marRight w:val="0"/>
          <w:marTop w:val="0"/>
          <w:marBottom w:val="0"/>
          <w:divBdr>
            <w:top w:val="none" w:sz="0" w:space="0" w:color="auto"/>
            <w:left w:val="none" w:sz="0" w:space="0" w:color="auto"/>
            <w:bottom w:val="none" w:sz="0" w:space="0" w:color="auto"/>
            <w:right w:val="none" w:sz="0" w:space="0" w:color="auto"/>
          </w:divBdr>
        </w:div>
        <w:div w:id="55513895">
          <w:marLeft w:val="0"/>
          <w:marRight w:val="0"/>
          <w:marTop w:val="0"/>
          <w:marBottom w:val="0"/>
          <w:divBdr>
            <w:top w:val="none" w:sz="0" w:space="0" w:color="auto"/>
            <w:left w:val="none" w:sz="0" w:space="0" w:color="auto"/>
            <w:bottom w:val="none" w:sz="0" w:space="0" w:color="auto"/>
            <w:right w:val="none" w:sz="0" w:space="0" w:color="auto"/>
          </w:divBdr>
        </w:div>
      </w:divsChild>
    </w:div>
    <w:div w:id="1426807855">
      <w:bodyDiv w:val="1"/>
      <w:marLeft w:val="0"/>
      <w:marRight w:val="0"/>
      <w:marTop w:val="0"/>
      <w:marBottom w:val="0"/>
      <w:divBdr>
        <w:top w:val="none" w:sz="0" w:space="0" w:color="auto"/>
        <w:left w:val="none" w:sz="0" w:space="0" w:color="auto"/>
        <w:bottom w:val="none" w:sz="0" w:space="0" w:color="auto"/>
        <w:right w:val="none" w:sz="0" w:space="0" w:color="auto"/>
      </w:divBdr>
    </w:div>
    <w:div w:id="155924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01629">
          <w:marLeft w:val="0"/>
          <w:marRight w:val="0"/>
          <w:marTop w:val="0"/>
          <w:marBottom w:val="0"/>
          <w:divBdr>
            <w:top w:val="none" w:sz="0" w:space="0" w:color="auto"/>
            <w:left w:val="none" w:sz="0" w:space="0" w:color="auto"/>
            <w:bottom w:val="none" w:sz="0" w:space="0" w:color="auto"/>
            <w:right w:val="none" w:sz="0" w:space="0" w:color="auto"/>
          </w:divBdr>
        </w:div>
        <w:div w:id="1930380536">
          <w:marLeft w:val="0"/>
          <w:marRight w:val="0"/>
          <w:marTop w:val="0"/>
          <w:marBottom w:val="0"/>
          <w:divBdr>
            <w:top w:val="none" w:sz="0" w:space="0" w:color="auto"/>
            <w:left w:val="none" w:sz="0" w:space="0" w:color="auto"/>
            <w:bottom w:val="none" w:sz="0" w:space="0" w:color="auto"/>
            <w:right w:val="none" w:sz="0" w:space="0" w:color="auto"/>
          </w:divBdr>
        </w:div>
        <w:div w:id="180815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cvam.jrc.ec.europa.eu/about-ecvam/archive-publications/toxrtool" TargetMode="External"/><Relationship Id="rId18" Type="http://schemas.openxmlformats.org/officeDocument/2006/relationships/hyperlink" Target="https://www.ncbi.nlm.nih.gov/pubmed/?term=%C3%85gerstrand%20M%5BAuthor%5D&amp;cauthor=true&amp;cauthor_uid=26682868" TargetMode="External"/><Relationship Id="rId26" Type="http://schemas.openxmlformats.org/officeDocument/2006/relationships/hyperlink" Target="http://www.efsa.europa.eu/sites/default/files/consultation/150618.pdf" TargetMode="External"/><Relationship Id="rId39" Type="http://schemas.openxmlformats.org/officeDocument/2006/relationships/hyperlink" Target="http://doi.org/10.1186/s12940-016-0156-6" TargetMode="External"/><Relationship Id="rId21" Type="http://schemas.openxmlformats.org/officeDocument/2006/relationships/hyperlink" Target="http://echa.europa.eu/guidance-documents/guidance-on-information-requirements-and-chemical-safety-assessment" TargetMode="External"/><Relationship Id="rId34" Type="http://schemas.openxmlformats.org/officeDocument/2006/relationships/hyperlink" Target="http://www.oecd.org/officialdocuments/publicdisplaydocumentpdf/?cote=env/jm/mono%282016%2929&amp;doclanguage=en" TargetMode="External"/><Relationship Id="rId42" Type="http://schemas.openxmlformats.org/officeDocument/2006/relationships/hyperlink" Target="http://www.who.int/ipcs/methods/harmonization/areas/pbpk/en/" TargetMode="External"/><Relationship Id="rId47" Type="http://schemas.openxmlformats.org/officeDocument/2006/relationships/header" Target="header2.xml"/><Relationship Id="rId50" Type="http://schemas.openxmlformats.org/officeDocument/2006/relationships/hyperlink" Target="https://www.qsartoolbox.org/" TargetMode="External"/><Relationship Id="rId55" Type="http://schemas.openxmlformats.org/officeDocument/2006/relationships/footer" Target="footer3.xml"/><Relationship Id="rId63" Type="http://schemas.openxmlformats.org/officeDocument/2006/relationships/image" Target="media/image3.wmf"/><Relationship Id="rId68" Type="http://schemas.openxmlformats.org/officeDocument/2006/relationships/image" Target="media/image5.png"/><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ec.europa.eu/health/endocrine_disruptors/policy/index_en.htm" TargetMode="External"/><Relationship Id="rId29" Type="http://schemas.openxmlformats.org/officeDocument/2006/relationships/hyperlink" Target="http://onlinelibrary.wiley.com/doi/10.2903/j.efsa.2017.4971/full" TargetMode="External"/><Relationship Id="rId11" Type="http://schemas.openxmlformats.org/officeDocument/2006/relationships/footnotes" Target="footnotes.xml"/><Relationship Id="rId24" Type="http://schemas.openxmlformats.org/officeDocument/2006/relationships/hyperlink" Target="http://dx.doi.org/10.2903/j.efsa.2010.1637" TargetMode="External"/><Relationship Id="rId32" Type="http://schemas.openxmlformats.org/officeDocument/2006/relationships/hyperlink" Target="http://www.oecd.org/chemicalsafety/risk-assessment/iata-integrated-approaches-to-testing-and-assessment.htm" TargetMode="External"/><Relationship Id="rId37" Type="http://schemas.openxmlformats.org/officeDocument/2006/relationships/hyperlink" Target="http://ec.europa.eu/health/scientific_committees/emerging/docs/scenihr_s_001.pdf" TargetMode="External"/><Relationship Id="rId40" Type="http://schemas.openxmlformats.org/officeDocument/2006/relationships/hyperlink" Target="http://onlinelibrary.wiley.com/doi/10.1002/jat.v34.1/issuetoc" TargetMode="External"/><Relationship Id="rId45" Type="http://schemas.openxmlformats.org/officeDocument/2006/relationships/header" Target="header1.xml"/><Relationship Id="rId53" Type="http://schemas.openxmlformats.org/officeDocument/2006/relationships/hyperlink" Target="https://www.qsartoolbox.org/" TargetMode="External"/><Relationship Id="rId58" Type="http://schemas.openxmlformats.org/officeDocument/2006/relationships/hyperlink" Target="http://press.endocrine.org/doi/full/10.1210/jc.2011-2411" TargetMode="External"/><Relationship Id="rId66" Type="http://schemas.openxmlformats.org/officeDocument/2006/relationships/hyperlink" Target="http://usgov.info/2015/04/16/simvastatin-reduces-fetal-testosterone-production-and-permanently-alters-reproductive-tract-development-in-the-male-rat/" TargetMode="External"/><Relationship Id="rId74" Type="http://schemas.openxmlformats.org/officeDocument/2006/relationships/hyperlink" Target="http://www.scirap.org" TargetMode="External"/><Relationship Id="rId5" Type="http://schemas.openxmlformats.org/officeDocument/2006/relationships/customXml" Target="../customXml/item5.xml"/><Relationship Id="rId15" Type="http://schemas.openxmlformats.org/officeDocument/2006/relationships/hyperlink" Target="http://www.oecd.org/env/ehs/testing/oecdworkrelatedtoendocrinedisrupters.htm" TargetMode="External"/><Relationship Id="rId23" Type="http://schemas.openxmlformats.org/officeDocument/2006/relationships/hyperlink" Target="https://echa.europa.eu/guidance-documents/guidance-on-clp" TargetMode="External"/><Relationship Id="rId28" Type="http://schemas.openxmlformats.org/officeDocument/2006/relationships/hyperlink" Target="http://www.efsa.europa.eu/en/supporting/pub/913e" TargetMode="External"/><Relationship Id="rId36" Type="http://schemas.openxmlformats.org/officeDocument/2006/relationships/hyperlink" Target="https://ntp.niehs.nih.gov/ntp/ohat/pubs/handbookjan2015_508.pdf" TargetMode="External"/><Relationship Id="rId49" Type="http://schemas.openxmlformats.org/officeDocument/2006/relationships/hyperlink" Target="https://echa.europa.eu/documents/10162/ebe9403b-13e3-47da-b5a8-e83286f2fc30" TargetMode="External"/><Relationship Id="rId57" Type="http://schemas.openxmlformats.org/officeDocument/2006/relationships/hyperlink" Target="http://www.meti.go.jp/english/report/data/gEndoctexte.pdf" TargetMode="External"/><Relationship Id="rId61"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yperlink" Target="https://www.ncbi.nlm.nih.gov/pubmed/?term=Beronius%20A%5BAuthor%5D&amp;cauthor=true&amp;cauthor_uid=26682868" TargetMode="External"/><Relationship Id="rId31" Type="http://schemas.openxmlformats.org/officeDocument/2006/relationships/hyperlink" Target="http://www.oecd.org/chemicalsafety/testing/adverse-outcome-pathways-molecular-screening-and-toxicogenomics.htm" TargetMode="External"/><Relationship Id="rId44" Type="http://schemas.openxmlformats.org/officeDocument/2006/relationships/hyperlink" Target="http://www.who.int/ipcs/methods/harmonization/areas/hazard_assessment/en/" TargetMode="External"/><Relationship Id="rId52" Type="http://schemas.openxmlformats.org/officeDocument/2006/relationships/hyperlink" Target="http://oasis-lmc.org/products/models/environmental-fate-and-ecotoxicity/catabol-301c.aspx" TargetMode="External"/><Relationship Id="rId60" Type="http://schemas.openxmlformats.org/officeDocument/2006/relationships/hyperlink" Target="http://press.endocrine.org/doi/10.1210/en.2012-2227?url_ver=Z39.88-2003&amp;rfr_id=ori:rid:crossref.org&amp;rfr_dat=cr_pub%3dpubmed" TargetMode="External"/><Relationship Id="rId65" Type="http://schemas.openxmlformats.org/officeDocument/2006/relationships/hyperlink" Target="http://www.cpsc.gov/en/Regulations-Laws--Standards/Statutes/The-Consumer-Product-Safety-Improvement-Act/Phthalates/Chronic-Hazard-Advisory-Panel-CHAP-on-Phthalates/"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cirap.org" TargetMode="External"/><Relationship Id="rId22" Type="http://schemas.openxmlformats.org/officeDocument/2006/relationships/hyperlink" Target="https://echa.europa.eu/documents/10162/13628/raaf_en.pdf/614e5d61-891d-4154-8a47-87efebd1851a" TargetMode="External"/><Relationship Id="rId27" Type="http://schemas.openxmlformats.org/officeDocument/2006/relationships/hyperlink" Target="http://dx.doi.org/10.2903/j.efsa.2015.4121" TargetMode="External"/><Relationship Id="rId30" Type="http://schemas.openxmlformats.org/officeDocument/2006/relationships/hyperlink" Target="http://gdt.guidelinedevelopment.org/central_prod/_design/client/handbook/handbook.html" TargetMode="External"/><Relationship Id="rId35" Type="http://schemas.openxmlformats.org/officeDocument/2006/relationships/hyperlink" Target="http://www.oecd.org/env/ehs/testing/oecdworkrelatedtoendocrinedisrupters.htm" TargetMode="External"/><Relationship Id="rId43" Type="http://schemas.openxmlformats.org/officeDocument/2006/relationships/hyperlink" Target="http://www.who.int/ipcs/methods/harmonization/areas/csaf/en/" TargetMode="External"/><Relationship Id="rId48" Type="http://schemas.openxmlformats.org/officeDocument/2006/relationships/footer" Target="footer2.xml"/><Relationship Id="rId56" Type="http://schemas.openxmlformats.org/officeDocument/2006/relationships/hyperlink" Target="http://www.meti.go.jp/english/report/data/gEndoctexte.pdf" TargetMode="External"/><Relationship Id="rId64" Type="http://schemas.openxmlformats.org/officeDocument/2006/relationships/control" Target="activeX/activeX2.xml"/><Relationship Id="rId69" Type="http://schemas.openxmlformats.org/officeDocument/2006/relationships/image" Target="media/image6.png"/><Relationship Id="rId8" Type="http://schemas.openxmlformats.org/officeDocument/2006/relationships/styles" Target="styles.xml"/><Relationship Id="rId51" Type="http://schemas.openxmlformats.org/officeDocument/2006/relationships/hyperlink" Target="https://www.epa.gov/tsca-screening-tools/download-epi-suitetm-estimation-program-interface-v411" TargetMode="Externa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dx.doi.org/10.1787/5jlv1m9d1g32-en" TargetMode="External"/><Relationship Id="rId25" Type="http://schemas.openxmlformats.org/officeDocument/2006/relationships/hyperlink" Target="http://onlinelibrary.wiley.com/doi/10.2903/j.efsa.2010.1637/epdf" TargetMode="External"/><Relationship Id="rId33" Type="http://schemas.openxmlformats.org/officeDocument/2006/relationships/hyperlink" Target="http://www.oecd.org/officialdocuments/publicdisplaydocumentpdf/?cote=env/jm/mono%282016%2928&amp;doclanguage=en" TargetMode="External"/><Relationship Id="rId38" Type="http://schemas.openxmlformats.org/officeDocument/2006/relationships/hyperlink" Target="https://www.osha.gov/weightofevidence/woe_guidance.pdf" TargetMode="External"/><Relationship Id="rId46" Type="http://schemas.openxmlformats.org/officeDocument/2006/relationships/footer" Target="footer1.xml"/><Relationship Id="rId59" Type="http://schemas.openxmlformats.org/officeDocument/2006/relationships/hyperlink" Target="http://www.ncbi.nlm.nih.gov/pmc/articles/PMC3440087/pdf/ehp.1104711.pdf" TargetMode="External"/><Relationship Id="rId67" Type="http://schemas.openxmlformats.org/officeDocument/2006/relationships/image" Target="media/image4.png"/><Relationship Id="rId20" Type="http://schemas.openxmlformats.org/officeDocument/2006/relationships/hyperlink" Target="https://www.anses.fr/fr/system/files/AUTRE2015SA0089Ra.pdf" TargetMode="External"/><Relationship Id="rId41" Type="http://schemas.openxmlformats.org/officeDocument/2006/relationships/hyperlink" Target="http://www.who.int/ipcs/methods/harmonization/areas/cancer/en/" TargetMode="External"/><Relationship Id="rId54" Type="http://schemas.openxmlformats.org/officeDocument/2006/relationships/hyperlink" Target="https://www.lhasalimited.org/products/meteor-nexus.htm" TargetMode="External"/><Relationship Id="rId62" Type="http://schemas.openxmlformats.org/officeDocument/2006/relationships/control" Target="activeX/activeX1.xml"/><Relationship Id="rId70" Type="http://schemas.openxmlformats.org/officeDocument/2006/relationships/image" Target="media/image7.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E71741D26462DD4FB6765F103D56B943" ma:contentTypeVersion="13" ma:contentTypeDescription="Content type for ECHA process documents" ma:contentTypeScope="" ma:versionID="47c97eda93aef7bc702d7e8a6f0cef6c">
  <xsd:schema xmlns:xsd="http://www.w3.org/2001/XMLSchema" xmlns:xs="http://www.w3.org/2001/XMLSchema" xmlns:p="http://schemas.microsoft.com/office/2006/metadata/properties" xmlns:ns2="cb22ef4e-7cbb-4de3-aef0-ee2e9d39c909" xmlns:ns3="5bcca709-0b09-4b74-bfa0-2137a84c1763" xmlns:ns4="d80dd6ab-43bf-4d9d-bb1e-742532452846" xmlns:ns5="b80ede5c-af4c-4bf2-9a87-706a3579dc11" targetNamespace="http://schemas.microsoft.com/office/2006/metadata/properties" ma:root="true" ma:fieldsID="38a721784f4c507094c60e1a449dfe99" ns2:_="" ns3:_="" ns4:_="" ns5:_="">
    <xsd:import namespace="cb22ef4e-7cbb-4de3-aef0-ee2e9d39c909"/>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2ef4e-7cbb-4de3-aef0-ee2e9d39c909"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CHASecClassTaxHTField0 xmlns="cb22ef4e-7cbb-4de3-aef0-ee2e9d39c90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cb22ef4e-7cbb-4de3-aef0-ee2e9d39c909">
      <Terms xmlns="http://schemas.microsoft.com/office/infopath/2007/PartnerControls"/>
    </ECHACategoryTaxHTField0>
    <ECHAProcessTaxHTField0 xmlns="cb22ef4e-7cbb-4de3-aef0-ee2e9d39c909">
      <Terms xmlns="http://schemas.microsoft.com/office/infopath/2007/PartnerControls"/>
    </ECHAProcessTaxHTField0>
    <TaxCatchAll xmlns="d80dd6ab-43bf-4d9d-bb1e-742532452846">
      <Value>1</Value>
    </TaxCatchAll>
    <ECHADocumentTypeTaxHTField0 xmlns="cb22ef4e-7cbb-4de3-aef0-ee2e9d39c909">
      <Terms xmlns="http://schemas.microsoft.com/office/infopath/2007/PartnerControls"/>
    </ECHADocumentTypeTaxHTField0>
    <_dlc_DocId xmlns="5bcca709-0b09-4b74-bfa0-2137a84c1763">ACTV7-9-1933</_dlc_DocId>
    <_dlc_DocIdUrl xmlns="5bcca709-0b09-4b74-bfa0-2137a84c1763">
      <Url>https://activity.echa.europa.eu/sites/act-7/process-7-4/_layouts/DocIdRedir.aspx?ID=ACTV7-9-1933</Url>
      <Description>ACTV7-9-1933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EEA6-08B9-43CB-AE40-E7DEA820C64C}">
  <ds:schemaRefs>
    <ds:schemaRef ds:uri="http://schemas.microsoft.com/sharepoint/v3/contenttype/forms"/>
  </ds:schemaRefs>
</ds:datastoreItem>
</file>

<file path=customXml/itemProps2.xml><?xml version="1.0" encoding="utf-8"?>
<ds:datastoreItem xmlns:ds="http://schemas.openxmlformats.org/officeDocument/2006/customXml" ds:itemID="{0BEA4B52-1EAE-43E8-A252-2567E2221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2ef4e-7cbb-4de3-aef0-ee2e9d39c909"/>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33FF9-F5C5-4654-8446-9125DDFC7581}">
  <ds:schemaRefs>
    <ds:schemaRef ds:uri="Microsoft.SharePoint.Taxonomy.ContentTypeSync"/>
  </ds:schemaRefs>
</ds:datastoreItem>
</file>

<file path=customXml/itemProps4.xml><?xml version="1.0" encoding="utf-8"?>
<ds:datastoreItem xmlns:ds="http://schemas.openxmlformats.org/officeDocument/2006/customXml" ds:itemID="{B5F8DF3E-0D1B-49A1-BE0D-67C4EC815881}">
  <ds:schemaRefs>
    <ds:schemaRef ds:uri="http://schemas.microsoft.com/sharepoint/events"/>
  </ds:schemaRefs>
</ds:datastoreItem>
</file>

<file path=customXml/itemProps5.xml><?xml version="1.0" encoding="utf-8"?>
<ds:datastoreItem xmlns:ds="http://schemas.openxmlformats.org/officeDocument/2006/customXml" ds:itemID="{3DB3D867-65DB-413D-BC9A-CA6D161199BF}">
  <ds:schemaRefs>
    <ds:schemaRef ds:uri="d80dd6ab-43bf-4d9d-bb1e-742532452846"/>
    <ds:schemaRef ds:uri="http://purl.org/dc/terms/"/>
    <ds:schemaRef ds:uri="http://schemas.microsoft.com/office/2006/documentManagement/types"/>
    <ds:schemaRef ds:uri="http://purl.org/dc/dcmitype/"/>
    <ds:schemaRef ds:uri="5bcca709-0b09-4b74-bfa0-2137a84c1763"/>
    <ds:schemaRef ds:uri="b80ede5c-af4c-4bf2-9a87-706a3579dc1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22ef4e-7cbb-4de3-aef0-ee2e9d39c909"/>
    <ds:schemaRef ds:uri="http://www.w3.org/XML/1998/namespace"/>
  </ds:schemaRefs>
</ds:datastoreItem>
</file>

<file path=customXml/itemProps6.xml><?xml version="1.0" encoding="utf-8"?>
<ds:datastoreItem xmlns:ds="http://schemas.openxmlformats.org/officeDocument/2006/customXml" ds:itemID="{94ADD330-B92E-4287-9314-FBE4908B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D906EFB1.dotm</Template>
  <TotalTime>0</TotalTime>
  <Pages>92</Pages>
  <Words>23608</Words>
  <Characters>134566</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WEIGHT OF EVIDENCE/UNCERTAINTY                                     IN HAZARD ASSESSMENT</vt:lpstr>
    </vt:vector>
  </TitlesOfParts>
  <Company>European Chemicals Agency</Company>
  <LinksUpToDate>false</LinksUpToDate>
  <CharactersWithSpaces>157859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OF EVIDENCE/UNCERTAINTY                                     IN HAZARD ASSESSMENT</dc:title>
  <dc:subject>Template for Weight of evidence/uncertainty in hazard assessment</dc:subject>
  <dc:creator>FOTAKIS George</dc:creator>
  <cp:keywords/>
  <dc:description/>
  <cp:lastModifiedBy>FOTAKIS George</cp:lastModifiedBy>
  <cp:revision>2</cp:revision>
  <cp:lastPrinted>2017-11-28T13:17:00Z</cp:lastPrinted>
  <dcterms:created xsi:type="dcterms:W3CDTF">2017-11-28T16:06:00Z</dcterms:created>
  <dcterms:modified xsi:type="dcterms:W3CDTF">2017-11-28T16:06:00Z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0x010100B558917389A54ADDB58930FBD7E6FD57008586DED9191B4C4CBD31A5DF7F304A7100E71741D26462DD4FB6765F103D56B943</vt:lpwstr>
  </property>
  <property fmtid="{D5CDD505-2E9C-101B-9397-08002B2CF9AE}" pid="3" name="_dlc_DocIdItemGuid">
    <vt:lpwstr>eff47c6f-0aad-465a-b3d7-83e49cb5308b</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ECHACategory">
    <vt:lpwstr/>
  </property>
  <property fmtid="{D5CDD505-2E9C-101B-9397-08002B2CF9AE}" pid="7" name="ECHADocumentType">
    <vt:lpwstr/>
  </property>
</Properties>
</file>